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6671" w14:textId="75E4C19A" w:rsidR="007C4B1D" w:rsidRPr="0027157D" w:rsidRDefault="007C4B1D" w:rsidP="007C4B1D">
      <w:pPr>
        <w:rPr>
          <w:rFonts w:cstheme="minorHAnsi"/>
          <w:b/>
        </w:rPr>
      </w:pPr>
      <w:r w:rsidRPr="0027157D">
        <w:rPr>
          <w:rFonts w:cstheme="minorHAnsi"/>
          <w:b/>
        </w:rPr>
        <w:t xml:space="preserve">EU-rettsakter som etter en foreløpig oversikt vil kunne behandles i EØS-komiteen </w:t>
      </w:r>
      <w:r w:rsidR="00640D69">
        <w:rPr>
          <w:rFonts w:cstheme="minorHAnsi"/>
          <w:b/>
        </w:rPr>
        <w:t>10</w:t>
      </w:r>
      <w:r w:rsidRPr="0027157D">
        <w:rPr>
          <w:rFonts w:cstheme="minorHAnsi"/>
          <w:b/>
        </w:rPr>
        <w:t xml:space="preserve">. </w:t>
      </w:r>
      <w:r w:rsidR="002A57F3">
        <w:rPr>
          <w:rFonts w:cstheme="minorHAnsi"/>
          <w:b/>
        </w:rPr>
        <w:t>ju</w:t>
      </w:r>
      <w:r w:rsidR="00640D69">
        <w:rPr>
          <w:rFonts w:cstheme="minorHAnsi"/>
          <w:b/>
        </w:rPr>
        <w:t>l</w:t>
      </w:r>
      <w:r w:rsidR="002A57F3">
        <w:rPr>
          <w:rFonts w:cstheme="minorHAnsi"/>
          <w:b/>
        </w:rPr>
        <w:t>i</w:t>
      </w:r>
      <w:r w:rsidRPr="0027157D">
        <w:rPr>
          <w:rFonts w:cstheme="minorHAnsi"/>
          <w:b/>
        </w:rPr>
        <w:t xml:space="preserve"> 202</w:t>
      </w:r>
      <w:r w:rsidR="00C94121" w:rsidRPr="0027157D">
        <w:rPr>
          <w:rFonts w:cstheme="minorHAnsi"/>
          <w:b/>
        </w:rPr>
        <w:t>6</w:t>
      </w:r>
    </w:p>
    <w:p w14:paraId="3E50C967" w14:textId="77777777" w:rsidR="007C4B1D" w:rsidRPr="0027157D" w:rsidRDefault="007C4B1D" w:rsidP="007C4B1D">
      <w:pPr>
        <w:rPr>
          <w:rFonts w:cstheme="minorHAnsi"/>
          <w:i/>
          <w:lang w:eastAsia="en-US"/>
        </w:rPr>
      </w:pPr>
      <w:r w:rsidRPr="0027157D">
        <w:rPr>
          <w:rFonts w:cstheme="minorHAnsi"/>
          <w:i/>
          <w:lang w:eastAsia="en-US"/>
        </w:rPr>
        <w:t>I det nedenstående følger oversikt inndelt som følger:</w:t>
      </w:r>
    </w:p>
    <w:p w14:paraId="3C4B51C7" w14:textId="77777777" w:rsidR="007C4B1D" w:rsidRPr="0027157D" w:rsidRDefault="007C4B1D" w:rsidP="007C4B1D">
      <w:pPr>
        <w:rPr>
          <w:rFonts w:cstheme="minorHAnsi"/>
          <w:i/>
          <w:lang w:eastAsia="en-US"/>
        </w:rPr>
      </w:pPr>
      <w:r w:rsidRPr="0027157D">
        <w:rPr>
          <w:rFonts w:cstheme="minorHAnsi"/>
          <w:i/>
          <w:lang w:eastAsia="en-US"/>
        </w:rPr>
        <w:t>Under pkt. I følger rettsakter som krever lov- eller budsjettendring, samt rettsakter som krever forskriftsendring som vurderes å gripe vesentlig inn i norsk handlefrihet.</w:t>
      </w:r>
    </w:p>
    <w:p w14:paraId="308D2592" w14:textId="77777777" w:rsidR="007C4B1D" w:rsidRPr="0027157D" w:rsidRDefault="007C4B1D" w:rsidP="007C4B1D">
      <w:pPr>
        <w:rPr>
          <w:rFonts w:cstheme="minorHAnsi"/>
          <w:i/>
          <w:lang w:eastAsia="en-US"/>
        </w:rPr>
      </w:pPr>
      <w:r w:rsidRPr="0027157D">
        <w:rPr>
          <w:rFonts w:cstheme="minorHAnsi"/>
          <w:i/>
          <w:lang w:eastAsia="en-US"/>
        </w:rPr>
        <w:t xml:space="preserve">Under pkt. II følger rettsakter som krever forskriftsendring som </w:t>
      </w:r>
      <w:r w:rsidRPr="0027157D">
        <w:rPr>
          <w:rFonts w:cstheme="minorHAnsi"/>
          <w:i/>
          <w:u w:val="single"/>
          <w:lang w:eastAsia="en-US"/>
        </w:rPr>
        <w:t>ikke</w:t>
      </w:r>
      <w:r w:rsidRPr="0027157D">
        <w:rPr>
          <w:rFonts w:cstheme="minorHAnsi"/>
          <w:i/>
          <w:lang w:eastAsia="en-US"/>
        </w:rPr>
        <w:t xml:space="preserve"> griper vesentlig inn i norsk handlefrihet, samt rettsakter som </w:t>
      </w:r>
      <w:r w:rsidRPr="0027157D">
        <w:rPr>
          <w:rFonts w:cstheme="minorHAnsi"/>
          <w:i/>
          <w:u w:val="single"/>
          <w:lang w:eastAsia="en-US"/>
        </w:rPr>
        <w:t>ikke</w:t>
      </w:r>
      <w:r w:rsidRPr="0027157D">
        <w:rPr>
          <w:rFonts w:cstheme="minorHAnsi"/>
          <w:i/>
          <w:lang w:eastAsia="en-US"/>
        </w:rPr>
        <w:t xml:space="preserve"> har konsekvenser for norsk lovgivning.</w:t>
      </w:r>
    </w:p>
    <w:sdt>
      <w:sdtPr>
        <w:rPr>
          <w:rFonts w:asciiTheme="minorHAnsi" w:eastAsiaTheme="minorEastAsia" w:hAnsiTheme="minorHAnsi" w:cstheme="minorBidi"/>
          <w:color w:val="auto"/>
          <w:sz w:val="22"/>
          <w:szCs w:val="22"/>
          <w:shd w:val="clear" w:color="auto" w:fill="E6E6E6"/>
        </w:rPr>
        <w:id w:val="379063711"/>
        <w:docPartObj>
          <w:docPartGallery w:val="Table of Contents"/>
          <w:docPartUnique/>
        </w:docPartObj>
      </w:sdtPr>
      <w:sdtEndPr>
        <w:rPr>
          <w:b/>
        </w:rPr>
      </w:sdtEndPr>
      <w:sdtContent>
        <w:p w14:paraId="76ABB96F" w14:textId="7A7AE4DE" w:rsidR="00F24181" w:rsidRPr="0027157D" w:rsidRDefault="00F24181">
          <w:pPr>
            <w:pStyle w:val="TOCHeading"/>
            <w:rPr>
              <w:rStyle w:val="Heading2Char"/>
              <w:color w:val="auto"/>
            </w:rPr>
          </w:pPr>
          <w:r w:rsidRPr="0027157D">
            <w:rPr>
              <w:rStyle w:val="Heading2Char"/>
              <w:color w:val="auto"/>
            </w:rPr>
            <w:t>Innhold</w:t>
          </w:r>
        </w:p>
        <w:p w14:paraId="41E58956" w14:textId="162C900B" w:rsidR="0064737F" w:rsidRDefault="00F24181">
          <w:pPr>
            <w:pStyle w:val="TOC2"/>
            <w:rPr>
              <w:noProof/>
              <w:kern w:val="2"/>
              <w:sz w:val="24"/>
              <w:szCs w:val="24"/>
              <w14:ligatures w14:val="standardContextual"/>
            </w:rPr>
          </w:pPr>
          <w:r w:rsidRPr="0027157D">
            <w:rPr>
              <w:rFonts w:cstheme="minorHAnsi"/>
              <w:shd w:val="clear" w:color="auto" w:fill="E6E6E6"/>
            </w:rPr>
            <w:fldChar w:fldCharType="begin"/>
          </w:r>
          <w:r w:rsidRPr="0027157D">
            <w:rPr>
              <w:rFonts w:cstheme="minorHAnsi"/>
            </w:rPr>
            <w:instrText xml:space="preserve"> TOC \o "1-3" \h \z \u </w:instrText>
          </w:r>
          <w:r w:rsidRPr="0027157D">
            <w:rPr>
              <w:rFonts w:cstheme="minorHAnsi"/>
              <w:shd w:val="clear" w:color="auto" w:fill="E6E6E6"/>
            </w:rPr>
            <w:fldChar w:fldCharType="separate"/>
          </w:r>
          <w:hyperlink w:anchor="_Toc233967732" w:history="1">
            <w:r w:rsidR="0064737F" w:rsidRPr="00415BA0">
              <w:rPr>
                <w:rStyle w:val="Hyperlink"/>
                <w:noProof/>
              </w:rPr>
              <w:t>I. Rettsakter som krever lov- eller budsjettendring samt rettsakter som krever forskriftsendring som vurderes å gripe vesentlig inn i norsk handlefrihet</w:t>
            </w:r>
            <w:r w:rsidR="0064737F">
              <w:rPr>
                <w:noProof/>
                <w:webHidden/>
              </w:rPr>
              <w:tab/>
            </w:r>
            <w:r w:rsidR="0064737F">
              <w:rPr>
                <w:noProof/>
                <w:webHidden/>
              </w:rPr>
              <w:fldChar w:fldCharType="begin"/>
            </w:r>
            <w:r w:rsidR="0064737F">
              <w:rPr>
                <w:noProof/>
                <w:webHidden/>
              </w:rPr>
              <w:instrText xml:space="preserve"> PAGEREF _Toc233967732 \h </w:instrText>
            </w:r>
            <w:r w:rsidR="0064737F">
              <w:rPr>
                <w:noProof/>
                <w:webHidden/>
              </w:rPr>
            </w:r>
            <w:r w:rsidR="0064737F">
              <w:rPr>
                <w:noProof/>
                <w:webHidden/>
              </w:rPr>
              <w:fldChar w:fldCharType="separate"/>
            </w:r>
            <w:r w:rsidR="0064737F">
              <w:rPr>
                <w:noProof/>
                <w:webHidden/>
              </w:rPr>
              <w:t>2</w:t>
            </w:r>
            <w:r w:rsidR="0064737F">
              <w:rPr>
                <w:noProof/>
                <w:webHidden/>
              </w:rPr>
              <w:fldChar w:fldCharType="end"/>
            </w:r>
          </w:hyperlink>
        </w:p>
        <w:p w14:paraId="1DD27FB0" w14:textId="4E9946FC" w:rsidR="0064737F" w:rsidRDefault="0064737F">
          <w:pPr>
            <w:pStyle w:val="TOC2"/>
            <w:rPr>
              <w:noProof/>
              <w:kern w:val="2"/>
              <w:sz w:val="24"/>
              <w:szCs w:val="24"/>
              <w14:ligatures w14:val="standardContextual"/>
            </w:rPr>
          </w:pPr>
          <w:hyperlink w:anchor="_Toc233967733" w:history="1">
            <w:r w:rsidRPr="00415BA0">
              <w:rPr>
                <w:rStyle w:val="Hyperlink"/>
                <w:noProof/>
              </w:rPr>
              <w:t>DIGITALISERINGS- OG FORVALTNINGSDEPARTEMENTET</w:t>
            </w:r>
            <w:r>
              <w:rPr>
                <w:noProof/>
                <w:webHidden/>
              </w:rPr>
              <w:tab/>
            </w:r>
            <w:r>
              <w:rPr>
                <w:noProof/>
                <w:webHidden/>
              </w:rPr>
              <w:fldChar w:fldCharType="begin"/>
            </w:r>
            <w:r>
              <w:rPr>
                <w:noProof/>
                <w:webHidden/>
              </w:rPr>
              <w:instrText xml:space="preserve"> PAGEREF _Toc233967733 \h </w:instrText>
            </w:r>
            <w:r>
              <w:rPr>
                <w:noProof/>
                <w:webHidden/>
              </w:rPr>
            </w:r>
            <w:r>
              <w:rPr>
                <w:noProof/>
                <w:webHidden/>
              </w:rPr>
              <w:fldChar w:fldCharType="separate"/>
            </w:r>
            <w:r>
              <w:rPr>
                <w:noProof/>
                <w:webHidden/>
              </w:rPr>
              <w:t>2</w:t>
            </w:r>
            <w:r>
              <w:rPr>
                <w:noProof/>
                <w:webHidden/>
              </w:rPr>
              <w:fldChar w:fldCharType="end"/>
            </w:r>
          </w:hyperlink>
        </w:p>
        <w:p w14:paraId="2F793571" w14:textId="18514C76" w:rsidR="0064737F" w:rsidRDefault="0064737F">
          <w:pPr>
            <w:pStyle w:val="TOC2"/>
            <w:rPr>
              <w:noProof/>
              <w:kern w:val="2"/>
              <w:sz w:val="24"/>
              <w:szCs w:val="24"/>
              <w14:ligatures w14:val="standardContextual"/>
            </w:rPr>
          </w:pPr>
          <w:hyperlink w:anchor="_Toc233967734" w:history="1">
            <w:r w:rsidRPr="00415BA0">
              <w:rPr>
                <w:rStyle w:val="Hyperlink"/>
                <w:noProof/>
              </w:rPr>
              <w:t>FINANSDEPARTEMENTET</w:t>
            </w:r>
            <w:r>
              <w:rPr>
                <w:noProof/>
                <w:webHidden/>
              </w:rPr>
              <w:tab/>
            </w:r>
            <w:r>
              <w:rPr>
                <w:noProof/>
                <w:webHidden/>
              </w:rPr>
              <w:fldChar w:fldCharType="begin"/>
            </w:r>
            <w:r>
              <w:rPr>
                <w:noProof/>
                <w:webHidden/>
              </w:rPr>
              <w:instrText xml:space="preserve"> PAGEREF _Toc233967734 \h </w:instrText>
            </w:r>
            <w:r>
              <w:rPr>
                <w:noProof/>
                <w:webHidden/>
              </w:rPr>
            </w:r>
            <w:r>
              <w:rPr>
                <w:noProof/>
                <w:webHidden/>
              </w:rPr>
              <w:fldChar w:fldCharType="separate"/>
            </w:r>
            <w:r>
              <w:rPr>
                <w:noProof/>
                <w:webHidden/>
              </w:rPr>
              <w:t>3</w:t>
            </w:r>
            <w:r>
              <w:rPr>
                <w:noProof/>
                <w:webHidden/>
              </w:rPr>
              <w:fldChar w:fldCharType="end"/>
            </w:r>
          </w:hyperlink>
        </w:p>
        <w:p w14:paraId="5803F3DC" w14:textId="479AB369" w:rsidR="0064737F" w:rsidRDefault="0064737F">
          <w:pPr>
            <w:pStyle w:val="TOC2"/>
            <w:rPr>
              <w:noProof/>
              <w:kern w:val="2"/>
              <w:sz w:val="24"/>
              <w:szCs w:val="24"/>
              <w14:ligatures w14:val="standardContextual"/>
            </w:rPr>
          </w:pPr>
          <w:hyperlink w:anchor="_Toc233967735" w:history="1">
            <w:r w:rsidRPr="00415BA0">
              <w:rPr>
                <w:rStyle w:val="Hyperlink"/>
                <w:noProof/>
              </w:rPr>
              <w:t>FORSVARSDEPARTEMENTET</w:t>
            </w:r>
            <w:r>
              <w:rPr>
                <w:noProof/>
                <w:webHidden/>
              </w:rPr>
              <w:tab/>
            </w:r>
            <w:r>
              <w:rPr>
                <w:noProof/>
                <w:webHidden/>
              </w:rPr>
              <w:fldChar w:fldCharType="begin"/>
            </w:r>
            <w:r>
              <w:rPr>
                <w:noProof/>
                <w:webHidden/>
              </w:rPr>
              <w:instrText xml:space="preserve"> PAGEREF _Toc233967735 \h </w:instrText>
            </w:r>
            <w:r>
              <w:rPr>
                <w:noProof/>
                <w:webHidden/>
              </w:rPr>
            </w:r>
            <w:r>
              <w:rPr>
                <w:noProof/>
                <w:webHidden/>
              </w:rPr>
              <w:fldChar w:fldCharType="separate"/>
            </w:r>
            <w:r>
              <w:rPr>
                <w:noProof/>
                <w:webHidden/>
              </w:rPr>
              <w:t>5</w:t>
            </w:r>
            <w:r>
              <w:rPr>
                <w:noProof/>
                <w:webHidden/>
              </w:rPr>
              <w:fldChar w:fldCharType="end"/>
            </w:r>
          </w:hyperlink>
        </w:p>
        <w:p w14:paraId="2AAF2786" w14:textId="2CF487DF" w:rsidR="0064737F" w:rsidRDefault="0064737F">
          <w:pPr>
            <w:pStyle w:val="TOC2"/>
            <w:rPr>
              <w:noProof/>
              <w:kern w:val="2"/>
              <w:sz w:val="24"/>
              <w:szCs w:val="24"/>
              <w14:ligatures w14:val="standardContextual"/>
            </w:rPr>
          </w:pPr>
          <w:hyperlink w:anchor="_Toc233967736" w:history="1">
            <w:r w:rsidRPr="00415BA0">
              <w:rPr>
                <w:rStyle w:val="Hyperlink"/>
                <w:noProof/>
              </w:rPr>
              <w:t>NÆRINGS- OG FISKERIDEPARTEMENTET</w:t>
            </w:r>
            <w:r>
              <w:rPr>
                <w:noProof/>
                <w:webHidden/>
              </w:rPr>
              <w:tab/>
            </w:r>
            <w:r>
              <w:rPr>
                <w:noProof/>
                <w:webHidden/>
              </w:rPr>
              <w:fldChar w:fldCharType="begin"/>
            </w:r>
            <w:r>
              <w:rPr>
                <w:noProof/>
                <w:webHidden/>
              </w:rPr>
              <w:instrText xml:space="preserve"> PAGEREF _Toc233967736 \h </w:instrText>
            </w:r>
            <w:r>
              <w:rPr>
                <w:noProof/>
                <w:webHidden/>
              </w:rPr>
            </w:r>
            <w:r>
              <w:rPr>
                <w:noProof/>
                <w:webHidden/>
              </w:rPr>
              <w:fldChar w:fldCharType="separate"/>
            </w:r>
            <w:r>
              <w:rPr>
                <w:noProof/>
                <w:webHidden/>
              </w:rPr>
              <w:t>10</w:t>
            </w:r>
            <w:r>
              <w:rPr>
                <w:noProof/>
                <w:webHidden/>
              </w:rPr>
              <w:fldChar w:fldCharType="end"/>
            </w:r>
          </w:hyperlink>
        </w:p>
        <w:p w14:paraId="1C8C0909" w14:textId="644D406B" w:rsidR="0064737F" w:rsidRDefault="0064737F">
          <w:pPr>
            <w:pStyle w:val="TOC2"/>
            <w:rPr>
              <w:noProof/>
              <w:kern w:val="2"/>
              <w:sz w:val="24"/>
              <w:szCs w:val="24"/>
              <w14:ligatures w14:val="standardContextual"/>
            </w:rPr>
          </w:pPr>
          <w:hyperlink w:anchor="_Toc233967737" w:history="1">
            <w:r w:rsidRPr="00415BA0">
              <w:rPr>
                <w:rStyle w:val="Hyperlink"/>
                <w:noProof/>
              </w:rPr>
              <w:t>II. Rettsakter som krever forskriftsendring som ikke griper vesentlig inn i norsk handlefrihet, samt rettsakter som ikke har konsekvenser for norsk lovgivning</w:t>
            </w:r>
            <w:r>
              <w:rPr>
                <w:noProof/>
                <w:webHidden/>
              </w:rPr>
              <w:tab/>
            </w:r>
            <w:r>
              <w:rPr>
                <w:noProof/>
                <w:webHidden/>
              </w:rPr>
              <w:fldChar w:fldCharType="begin"/>
            </w:r>
            <w:r>
              <w:rPr>
                <w:noProof/>
                <w:webHidden/>
              </w:rPr>
              <w:instrText xml:space="preserve"> PAGEREF _Toc233967737 \h </w:instrText>
            </w:r>
            <w:r>
              <w:rPr>
                <w:noProof/>
                <w:webHidden/>
              </w:rPr>
            </w:r>
            <w:r>
              <w:rPr>
                <w:noProof/>
                <w:webHidden/>
              </w:rPr>
              <w:fldChar w:fldCharType="separate"/>
            </w:r>
            <w:r>
              <w:rPr>
                <w:noProof/>
                <w:webHidden/>
              </w:rPr>
              <w:t>14</w:t>
            </w:r>
            <w:r>
              <w:rPr>
                <w:noProof/>
                <w:webHidden/>
              </w:rPr>
              <w:fldChar w:fldCharType="end"/>
            </w:r>
          </w:hyperlink>
        </w:p>
        <w:p w14:paraId="43437171" w14:textId="4B5800E7" w:rsidR="0064737F" w:rsidRDefault="0064737F">
          <w:pPr>
            <w:pStyle w:val="TOC2"/>
            <w:rPr>
              <w:noProof/>
              <w:kern w:val="2"/>
              <w:sz w:val="24"/>
              <w:szCs w:val="24"/>
              <w14:ligatures w14:val="standardContextual"/>
            </w:rPr>
          </w:pPr>
          <w:hyperlink w:anchor="_Toc233967738" w:history="1">
            <w:r w:rsidRPr="00415BA0">
              <w:rPr>
                <w:rStyle w:val="Hyperlink"/>
                <w:noProof/>
              </w:rPr>
              <w:t>DIGITALISERINGS- OG FORVALTNINGSDEPARTEMENTET</w:t>
            </w:r>
            <w:r>
              <w:rPr>
                <w:noProof/>
                <w:webHidden/>
              </w:rPr>
              <w:tab/>
            </w:r>
            <w:r>
              <w:rPr>
                <w:noProof/>
                <w:webHidden/>
              </w:rPr>
              <w:fldChar w:fldCharType="begin"/>
            </w:r>
            <w:r>
              <w:rPr>
                <w:noProof/>
                <w:webHidden/>
              </w:rPr>
              <w:instrText xml:space="preserve"> PAGEREF _Toc233967738 \h </w:instrText>
            </w:r>
            <w:r>
              <w:rPr>
                <w:noProof/>
                <w:webHidden/>
              </w:rPr>
            </w:r>
            <w:r>
              <w:rPr>
                <w:noProof/>
                <w:webHidden/>
              </w:rPr>
              <w:fldChar w:fldCharType="separate"/>
            </w:r>
            <w:r>
              <w:rPr>
                <w:noProof/>
                <w:webHidden/>
              </w:rPr>
              <w:t>14</w:t>
            </w:r>
            <w:r>
              <w:rPr>
                <w:noProof/>
                <w:webHidden/>
              </w:rPr>
              <w:fldChar w:fldCharType="end"/>
            </w:r>
          </w:hyperlink>
        </w:p>
        <w:p w14:paraId="0D63C75B" w14:textId="295D9CCE" w:rsidR="0064737F" w:rsidRDefault="0064737F">
          <w:pPr>
            <w:pStyle w:val="TOC2"/>
            <w:rPr>
              <w:noProof/>
              <w:kern w:val="2"/>
              <w:sz w:val="24"/>
              <w:szCs w:val="24"/>
              <w14:ligatures w14:val="standardContextual"/>
            </w:rPr>
          </w:pPr>
          <w:hyperlink w:anchor="_Toc233967739" w:history="1">
            <w:r w:rsidRPr="00415BA0">
              <w:rPr>
                <w:rStyle w:val="Hyperlink"/>
                <w:noProof/>
              </w:rPr>
              <w:t>ENERGIDEPARTEMENTET</w:t>
            </w:r>
            <w:r>
              <w:rPr>
                <w:noProof/>
                <w:webHidden/>
              </w:rPr>
              <w:tab/>
            </w:r>
            <w:r>
              <w:rPr>
                <w:noProof/>
                <w:webHidden/>
              </w:rPr>
              <w:fldChar w:fldCharType="begin"/>
            </w:r>
            <w:r>
              <w:rPr>
                <w:noProof/>
                <w:webHidden/>
              </w:rPr>
              <w:instrText xml:space="preserve"> PAGEREF _Toc233967739 \h </w:instrText>
            </w:r>
            <w:r>
              <w:rPr>
                <w:noProof/>
                <w:webHidden/>
              </w:rPr>
            </w:r>
            <w:r>
              <w:rPr>
                <w:noProof/>
                <w:webHidden/>
              </w:rPr>
              <w:fldChar w:fldCharType="separate"/>
            </w:r>
            <w:r>
              <w:rPr>
                <w:noProof/>
                <w:webHidden/>
              </w:rPr>
              <w:t>14</w:t>
            </w:r>
            <w:r>
              <w:rPr>
                <w:noProof/>
                <w:webHidden/>
              </w:rPr>
              <w:fldChar w:fldCharType="end"/>
            </w:r>
          </w:hyperlink>
        </w:p>
        <w:p w14:paraId="47E3B697" w14:textId="70468690" w:rsidR="0064737F" w:rsidRDefault="0064737F">
          <w:pPr>
            <w:pStyle w:val="TOC2"/>
            <w:rPr>
              <w:noProof/>
              <w:kern w:val="2"/>
              <w:sz w:val="24"/>
              <w:szCs w:val="24"/>
              <w14:ligatures w14:val="standardContextual"/>
            </w:rPr>
          </w:pPr>
          <w:hyperlink w:anchor="_Toc233967740" w:history="1">
            <w:r w:rsidRPr="00415BA0">
              <w:rPr>
                <w:rStyle w:val="Hyperlink"/>
                <w:noProof/>
              </w:rPr>
              <w:t>FINANSDEPARTEMENTET</w:t>
            </w:r>
            <w:r>
              <w:rPr>
                <w:noProof/>
                <w:webHidden/>
              </w:rPr>
              <w:tab/>
            </w:r>
            <w:r>
              <w:rPr>
                <w:noProof/>
                <w:webHidden/>
              </w:rPr>
              <w:fldChar w:fldCharType="begin"/>
            </w:r>
            <w:r>
              <w:rPr>
                <w:noProof/>
                <w:webHidden/>
              </w:rPr>
              <w:instrText xml:space="preserve"> PAGEREF _Toc233967740 \h </w:instrText>
            </w:r>
            <w:r>
              <w:rPr>
                <w:noProof/>
                <w:webHidden/>
              </w:rPr>
            </w:r>
            <w:r>
              <w:rPr>
                <w:noProof/>
                <w:webHidden/>
              </w:rPr>
              <w:fldChar w:fldCharType="separate"/>
            </w:r>
            <w:r>
              <w:rPr>
                <w:noProof/>
                <w:webHidden/>
              </w:rPr>
              <w:t>14</w:t>
            </w:r>
            <w:r>
              <w:rPr>
                <w:noProof/>
                <w:webHidden/>
              </w:rPr>
              <w:fldChar w:fldCharType="end"/>
            </w:r>
          </w:hyperlink>
        </w:p>
        <w:p w14:paraId="05E0921B" w14:textId="48E1CBB3" w:rsidR="0064737F" w:rsidRDefault="0064737F">
          <w:pPr>
            <w:pStyle w:val="TOC2"/>
            <w:rPr>
              <w:noProof/>
              <w:kern w:val="2"/>
              <w:sz w:val="24"/>
              <w:szCs w:val="24"/>
              <w14:ligatures w14:val="standardContextual"/>
            </w:rPr>
          </w:pPr>
          <w:hyperlink w:anchor="_Toc233967741" w:history="1">
            <w:r w:rsidRPr="00415BA0">
              <w:rPr>
                <w:rStyle w:val="Hyperlink"/>
                <w:noProof/>
              </w:rPr>
              <w:t>HELSE- OG OMSORGSDEPARTEMENTET</w:t>
            </w:r>
            <w:r>
              <w:rPr>
                <w:noProof/>
                <w:webHidden/>
              </w:rPr>
              <w:tab/>
            </w:r>
            <w:r>
              <w:rPr>
                <w:noProof/>
                <w:webHidden/>
              </w:rPr>
              <w:fldChar w:fldCharType="begin"/>
            </w:r>
            <w:r>
              <w:rPr>
                <w:noProof/>
                <w:webHidden/>
              </w:rPr>
              <w:instrText xml:space="preserve"> PAGEREF _Toc233967741 \h </w:instrText>
            </w:r>
            <w:r>
              <w:rPr>
                <w:noProof/>
                <w:webHidden/>
              </w:rPr>
            </w:r>
            <w:r>
              <w:rPr>
                <w:noProof/>
                <w:webHidden/>
              </w:rPr>
              <w:fldChar w:fldCharType="separate"/>
            </w:r>
            <w:r>
              <w:rPr>
                <w:noProof/>
                <w:webHidden/>
              </w:rPr>
              <w:t>15</w:t>
            </w:r>
            <w:r>
              <w:rPr>
                <w:noProof/>
                <w:webHidden/>
              </w:rPr>
              <w:fldChar w:fldCharType="end"/>
            </w:r>
          </w:hyperlink>
        </w:p>
        <w:p w14:paraId="1351C1B8" w14:textId="3E918673" w:rsidR="0064737F" w:rsidRDefault="0064737F">
          <w:pPr>
            <w:pStyle w:val="TOC2"/>
            <w:rPr>
              <w:noProof/>
              <w:kern w:val="2"/>
              <w:sz w:val="24"/>
              <w:szCs w:val="24"/>
              <w14:ligatures w14:val="standardContextual"/>
            </w:rPr>
          </w:pPr>
          <w:hyperlink w:anchor="_Toc233967742" w:history="1">
            <w:r w:rsidRPr="00415BA0">
              <w:rPr>
                <w:rStyle w:val="Hyperlink"/>
                <w:noProof/>
              </w:rPr>
              <w:t>HELSE- OG OMSORGSDEPARTEMENTET/LANDBRUKS- OG MATDEPARTEMENTET/NÆRINGS- OG FISKERIDEPARTEMENTET (Matområdet)</w:t>
            </w:r>
            <w:r>
              <w:rPr>
                <w:noProof/>
                <w:webHidden/>
              </w:rPr>
              <w:tab/>
            </w:r>
            <w:r>
              <w:rPr>
                <w:noProof/>
                <w:webHidden/>
              </w:rPr>
              <w:fldChar w:fldCharType="begin"/>
            </w:r>
            <w:r>
              <w:rPr>
                <w:noProof/>
                <w:webHidden/>
              </w:rPr>
              <w:instrText xml:space="preserve"> PAGEREF _Toc233967742 \h </w:instrText>
            </w:r>
            <w:r>
              <w:rPr>
                <w:noProof/>
                <w:webHidden/>
              </w:rPr>
            </w:r>
            <w:r>
              <w:rPr>
                <w:noProof/>
                <w:webHidden/>
              </w:rPr>
              <w:fldChar w:fldCharType="separate"/>
            </w:r>
            <w:r>
              <w:rPr>
                <w:noProof/>
                <w:webHidden/>
              </w:rPr>
              <w:t>15</w:t>
            </w:r>
            <w:r>
              <w:rPr>
                <w:noProof/>
                <w:webHidden/>
              </w:rPr>
              <w:fldChar w:fldCharType="end"/>
            </w:r>
          </w:hyperlink>
        </w:p>
        <w:p w14:paraId="42817441" w14:textId="7446CE40" w:rsidR="0064737F" w:rsidRDefault="0064737F">
          <w:pPr>
            <w:pStyle w:val="TOC2"/>
            <w:rPr>
              <w:noProof/>
              <w:kern w:val="2"/>
              <w:sz w:val="24"/>
              <w:szCs w:val="24"/>
              <w14:ligatures w14:val="standardContextual"/>
            </w:rPr>
          </w:pPr>
          <w:hyperlink w:anchor="_Toc233967743" w:history="1">
            <w:r w:rsidRPr="00415BA0">
              <w:rPr>
                <w:rStyle w:val="Hyperlink"/>
                <w:noProof/>
                <w:lang w:val="nn-NO"/>
              </w:rPr>
              <w:t>KLIMA- OG MILJØDEPARTEMENTET</w:t>
            </w:r>
            <w:r>
              <w:rPr>
                <w:noProof/>
                <w:webHidden/>
              </w:rPr>
              <w:tab/>
            </w:r>
            <w:r>
              <w:rPr>
                <w:noProof/>
                <w:webHidden/>
              </w:rPr>
              <w:fldChar w:fldCharType="begin"/>
            </w:r>
            <w:r>
              <w:rPr>
                <w:noProof/>
                <w:webHidden/>
              </w:rPr>
              <w:instrText xml:space="preserve"> PAGEREF _Toc233967743 \h </w:instrText>
            </w:r>
            <w:r>
              <w:rPr>
                <w:noProof/>
                <w:webHidden/>
              </w:rPr>
            </w:r>
            <w:r>
              <w:rPr>
                <w:noProof/>
                <w:webHidden/>
              </w:rPr>
              <w:fldChar w:fldCharType="separate"/>
            </w:r>
            <w:r>
              <w:rPr>
                <w:noProof/>
                <w:webHidden/>
              </w:rPr>
              <w:t>17</w:t>
            </w:r>
            <w:r>
              <w:rPr>
                <w:noProof/>
                <w:webHidden/>
              </w:rPr>
              <w:fldChar w:fldCharType="end"/>
            </w:r>
          </w:hyperlink>
        </w:p>
        <w:p w14:paraId="7B55B53B" w14:textId="10DDC7B8" w:rsidR="0064737F" w:rsidRDefault="0064737F">
          <w:pPr>
            <w:pStyle w:val="TOC2"/>
            <w:rPr>
              <w:noProof/>
              <w:kern w:val="2"/>
              <w:sz w:val="24"/>
              <w:szCs w:val="24"/>
              <w14:ligatures w14:val="standardContextual"/>
            </w:rPr>
          </w:pPr>
          <w:hyperlink w:anchor="_Toc233967744" w:history="1">
            <w:r w:rsidRPr="00415BA0">
              <w:rPr>
                <w:rStyle w:val="Hyperlink"/>
                <w:noProof/>
                <w:lang w:val="nn-NO"/>
              </w:rPr>
              <w:t>NÆRINGS- OG FISKERIDEPARTEMENTET</w:t>
            </w:r>
            <w:r>
              <w:rPr>
                <w:noProof/>
                <w:webHidden/>
              </w:rPr>
              <w:tab/>
            </w:r>
            <w:r>
              <w:rPr>
                <w:noProof/>
                <w:webHidden/>
              </w:rPr>
              <w:fldChar w:fldCharType="begin"/>
            </w:r>
            <w:r>
              <w:rPr>
                <w:noProof/>
                <w:webHidden/>
              </w:rPr>
              <w:instrText xml:space="preserve"> PAGEREF _Toc233967744 \h </w:instrText>
            </w:r>
            <w:r>
              <w:rPr>
                <w:noProof/>
                <w:webHidden/>
              </w:rPr>
            </w:r>
            <w:r>
              <w:rPr>
                <w:noProof/>
                <w:webHidden/>
              </w:rPr>
              <w:fldChar w:fldCharType="separate"/>
            </w:r>
            <w:r>
              <w:rPr>
                <w:noProof/>
                <w:webHidden/>
              </w:rPr>
              <w:t>18</w:t>
            </w:r>
            <w:r>
              <w:rPr>
                <w:noProof/>
                <w:webHidden/>
              </w:rPr>
              <w:fldChar w:fldCharType="end"/>
            </w:r>
          </w:hyperlink>
        </w:p>
        <w:p w14:paraId="22168D8C" w14:textId="656FF0DD" w:rsidR="0064737F" w:rsidRDefault="0064737F">
          <w:pPr>
            <w:pStyle w:val="TOC2"/>
            <w:rPr>
              <w:noProof/>
              <w:kern w:val="2"/>
              <w:sz w:val="24"/>
              <w:szCs w:val="24"/>
              <w14:ligatures w14:val="standardContextual"/>
            </w:rPr>
          </w:pPr>
          <w:hyperlink w:anchor="_Toc233967745" w:history="1">
            <w:r w:rsidRPr="00415BA0">
              <w:rPr>
                <w:rStyle w:val="Hyperlink"/>
                <w:noProof/>
                <w:lang w:val="nn-NO"/>
              </w:rPr>
              <w:t>SAMFERDSELSDEPARTEMENTET</w:t>
            </w:r>
            <w:r>
              <w:rPr>
                <w:noProof/>
                <w:webHidden/>
              </w:rPr>
              <w:tab/>
            </w:r>
            <w:r>
              <w:rPr>
                <w:noProof/>
                <w:webHidden/>
              </w:rPr>
              <w:fldChar w:fldCharType="begin"/>
            </w:r>
            <w:r>
              <w:rPr>
                <w:noProof/>
                <w:webHidden/>
              </w:rPr>
              <w:instrText xml:space="preserve"> PAGEREF _Toc233967745 \h </w:instrText>
            </w:r>
            <w:r>
              <w:rPr>
                <w:noProof/>
                <w:webHidden/>
              </w:rPr>
            </w:r>
            <w:r>
              <w:rPr>
                <w:noProof/>
                <w:webHidden/>
              </w:rPr>
              <w:fldChar w:fldCharType="separate"/>
            </w:r>
            <w:r>
              <w:rPr>
                <w:noProof/>
                <w:webHidden/>
              </w:rPr>
              <w:t>19</w:t>
            </w:r>
            <w:r>
              <w:rPr>
                <w:noProof/>
                <w:webHidden/>
              </w:rPr>
              <w:fldChar w:fldCharType="end"/>
            </w:r>
          </w:hyperlink>
        </w:p>
        <w:p w14:paraId="34F5E05E" w14:textId="56410A1A" w:rsidR="00F24181" w:rsidRPr="0027157D" w:rsidRDefault="00F24181">
          <w:pPr>
            <w:rPr>
              <w:rFonts w:cstheme="minorHAnsi"/>
            </w:rPr>
          </w:pPr>
          <w:r w:rsidRPr="0027157D">
            <w:rPr>
              <w:rFonts w:cstheme="minorHAnsi"/>
              <w:b/>
              <w:shd w:val="clear" w:color="auto" w:fill="E6E6E6"/>
            </w:rPr>
            <w:fldChar w:fldCharType="end"/>
          </w:r>
        </w:p>
      </w:sdtContent>
    </w:sdt>
    <w:p w14:paraId="3FC8AF1B" w14:textId="069C48E8" w:rsidR="00F24181" w:rsidRPr="0027157D" w:rsidRDefault="00F24181">
      <w:pPr>
        <w:rPr>
          <w:rFonts w:cstheme="minorHAnsi"/>
          <w:b/>
        </w:rPr>
      </w:pPr>
      <w:r w:rsidRPr="0027157D">
        <w:rPr>
          <w:rFonts w:cstheme="minorHAnsi"/>
          <w:b/>
        </w:rPr>
        <w:br w:type="page"/>
      </w:r>
    </w:p>
    <w:p w14:paraId="2E06EB80" w14:textId="7AD1D3F5" w:rsidR="00B00FD0" w:rsidRDefault="007C4B1D" w:rsidP="00D90F4D">
      <w:pPr>
        <w:pStyle w:val="Heading2"/>
        <w:rPr>
          <w:color w:val="auto"/>
        </w:rPr>
      </w:pPr>
      <w:bookmarkStart w:id="0" w:name="_Toc64554381"/>
      <w:bookmarkStart w:id="1" w:name="_Toc67404875"/>
      <w:bookmarkStart w:id="2" w:name="_Toc80882106"/>
      <w:bookmarkStart w:id="3" w:name="_Toc233967732"/>
      <w:r w:rsidRPr="0027157D">
        <w:rPr>
          <w:color w:val="auto"/>
        </w:rPr>
        <w:lastRenderedPageBreak/>
        <w:t>I. Rettsakter som krever lov- eller budsjettendring samt rettsakter som krever forskriftsendring som vurderes å gripe vesentlig inn i norsk handlefrihet</w:t>
      </w:r>
      <w:bookmarkEnd w:id="0"/>
      <w:bookmarkEnd w:id="1"/>
      <w:bookmarkEnd w:id="2"/>
      <w:bookmarkEnd w:id="3"/>
    </w:p>
    <w:p w14:paraId="6A2313F0" w14:textId="77777777" w:rsidR="001029F4" w:rsidRDefault="001029F4"/>
    <w:p w14:paraId="557CB558" w14:textId="351C8D06" w:rsidR="001029F4" w:rsidRPr="009C7A4E" w:rsidRDefault="001029F4" w:rsidP="001029F4">
      <w:pPr>
        <w:pStyle w:val="Heading2"/>
        <w:rPr>
          <w:color w:val="auto"/>
        </w:rPr>
      </w:pPr>
      <w:bookmarkStart w:id="4" w:name="_Toc233967733"/>
      <w:r>
        <w:rPr>
          <w:color w:val="auto"/>
        </w:rPr>
        <w:t>DIGITALISERINGS- OG FORVALTNINGS</w:t>
      </w:r>
      <w:r w:rsidRPr="009C7A4E">
        <w:rPr>
          <w:color w:val="auto"/>
        </w:rPr>
        <w:t>DEPARTEMENTET</w:t>
      </w:r>
      <w:bookmarkEnd w:id="4"/>
    </w:p>
    <w:p w14:paraId="239CE7FE" w14:textId="77777777" w:rsidR="001029F4" w:rsidRDefault="001029F4"/>
    <w:p w14:paraId="7274F8FB" w14:textId="7CD83097" w:rsidR="001029F4" w:rsidRDefault="001029F4">
      <w:r w:rsidRPr="00602F21">
        <w:rPr>
          <w:u w:val="single"/>
        </w:rPr>
        <w:t>3202</w:t>
      </w:r>
      <w:r w:rsidR="00284954" w:rsidRPr="00602F21">
        <w:rPr>
          <w:u w:val="single"/>
        </w:rPr>
        <w:t xml:space="preserve">3R0138 Kommisjonens gjennomføringsforordning (EU) 2023/138 av 21. desember 2022 om fastsettelse av en liste over særlige datasett med høy verdi og ordninger for offentliggjøring og </w:t>
      </w:r>
      <w:proofErr w:type="spellStart"/>
      <w:r w:rsidR="00284954" w:rsidRPr="00602F21">
        <w:rPr>
          <w:u w:val="single"/>
        </w:rPr>
        <w:t>viderebruk</w:t>
      </w:r>
      <w:proofErr w:type="spellEnd"/>
      <w:r w:rsidR="00284954" w:rsidRPr="00602F21">
        <w:rPr>
          <w:u w:val="single"/>
        </w:rPr>
        <w:t xml:space="preserve"> av dem</w:t>
      </w:r>
      <w:r w:rsidR="00602F21">
        <w:t xml:space="preserve"> – Stortinget har allerede gitt sitt samtykke: </w:t>
      </w:r>
      <w:hyperlink r:id="rId11" w:history="1">
        <w:r w:rsidR="0078755B" w:rsidRPr="0078755B">
          <w:rPr>
            <w:rStyle w:val="Hyperlink"/>
          </w:rPr>
          <w:t>Sak - stortinget.no</w:t>
        </w:r>
      </w:hyperlink>
    </w:p>
    <w:p w14:paraId="32269803" w14:textId="77777777" w:rsidR="00E07CA8" w:rsidRDefault="00E07CA8"/>
    <w:p w14:paraId="7D1B5DE7" w14:textId="77777777" w:rsidR="004C2726" w:rsidRDefault="004C2726">
      <w:r>
        <w:br w:type="page"/>
      </w:r>
    </w:p>
    <w:p w14:paraId="2443F51F" w14:textId="18C111DF" w:rsidR="001029F4" w:rsidRDefault="001029F4"/>
    <w:p w14:paraId="0F3F6C9C" w14:textId="77777777" w:rsidR="0048370B" w:rsidRDefault="0048370B" w:rsidP="0048370B">
      <w:pPr>
        <w:pStyle w:val="Heading2"/>
        <w:rPr>
          <w:color w:val="auto"/>
        </w:rPr>
      </w:pPr>
      <w:bookmarkStart w:id="5" w:name="_Toc233967734"/>
      <w:r w:rsidRPr="009C7A4E">
        <w:rPr>
          <w:color w:val="auto"/>
        </w:rPr>
        <w:t>FINANSDEPARTEMENTET</w:t>
      </w:r>
      <w:bookmarkEnd w:id="5"/>
    </w:p>
    <w:p w14:paraId="710F73E8" w14:textId="77777777" w:rsidR="00C625B8" w:rsidRDefault="00C625B8" w:rsidP="00C625B8"/>
    <w:p w14:paraId="09DC855A" w14:textId="3CD23815" w:rsidR="00C625B8" w:rsidRPr="00036ED6" w:rsidRDefault="00C625B8" w:rsidP="00C625B8">
      <w:pPr>
        <w:rPr>
          <w:u w:val="single"/>
        </w:rPr>
      </w:pPr>
      <w:r w:rsidRPr="00036ED6">
        <w:rPr>
          <w:u w:val="single"/>
        </w:rPr>
        <w:t>32025R0914</w:t>
      </w:r>
      <w:r w:rsidR="00036ED6" w:rsidRPr="00036ED6">
        <w:rPr>
          <w:u w:val="single"/>
        </w:rPr>
        <w:t xml:space="preserve"> Europaparlaments- og rådsforordning (EU) 2025/914 av 7. mai 2025 om endring av forordning (EU) 2016/1011 med hensyn til virkeområdet for reglene for referanseverdier, bruk i Unionen av referanseverdier som leveres av en administrator lokalisert i et tredjeland, og visse rapporteringskrav</w:t>
      </w:r>
    </w:p>
    <w:p w14:paraId="7926AC26" w14:textId="08FE8985" w:rsidR="00253F87" w:rsidRPr="00253F87" w:rsidRDefault="00253F87" w:rsidP="00253F87">
      <w:r w:rsidRPr="00253F87">
        <w:t>Rettsakten er vedtatt i EU, og er klar for innlemmelse i EØS-avtalen. I EU trådte reglene i kraft 1. januar 2026.</w:t>
      </w:r>
      <w:r>
        <w:t xml:space="preserve"> </w:t>
      </w:r>
      <w:r w:rsidRPr="00253F87">
        <w:rPr>
          <w:b/>
          <w:bCs/>
        </w:rPr>
        <w:t>Ettersom gjennomføring av rettsakten krever lovendring, tar det forbehold om Stortingets samtykke.</w:t>
      </w:r>
    </w:p>
    <w:p w14:paraId="2BE42CDF" w14:textId="77777777" w:rsidR="00253F87" w:rsidRDefault="00253F87" w:rsidP="00253F87">
      <w:pPr>
        <w:rPr>
          <w:b/>
          <w:bCs/>
        </w:rPr>
      </w:pPr>
    </w:p>
    <w:p w14:paraId="5BA72C6F" w14:textId="31C9F5B7" w:rsidR="00253F87" w:rsidRPr="00253F87" w:rsidRDefault="00253F87" w:rsidP="00253F87">
      <w:r w:rsidRPr="00253F87">
        <w:rPr>
          <w:b/>
          <w:bCs/>
        </w:rPr>
        <w:t>Sammendrag av innhold</w:t>
      </w:r>
    </w:p>
    <w:p w14:paraId="37607744" w14:textId="77777777" w:rsidR="00253F87" w:rsidRPr="00253F87" w:rsidRDefault="00253F87" w:rsidP="00253F87">
      <w:r w:rsidRPr="00253F87">
        <w:t>Referanseverdiforordningen ((EU) 2016/1011) gjelder i utgangspunktet i sin helhet for alle administratorer av referanseverdier. Den aktuelle endringsforordningen har til formål å gjøre referanseverdiforordningen mer proporsjonal med hensyn til administratorene av de mindre referanseverdiene i unionen. Derfor gjøres det en innsnevring av hvilke referanseverdier som forordningen gjelder, noe som blant annet innebærer at mange av reglene som treffer ikke-betydningsfulle referanseverdier tas ut av forordningen. Innsnevringen av forordningens virkeområde vil imidlertid ikke gjelde for artiklene 23a til c, som gjelder avvikling av referanseverdier, da EU har veid hensynet til rettssikkerhet og økonomisk stabilitet tyngre i disse tilfellene.</w:t>
      </w:r>
    </w:p>
    <w:p w14:paraId="0ACC367C" w14:textId="519AFB1C" w:rsidR="00253F87" w:rsidRPr="00253F87" w:rsidRDefault="00253F87" w:rsidP="00253F87">
      <w:r w:rsidRPr="00253F87">
        <w:t>Endringsforordningen endrer i forlengelse av dette vilkårene for å kvalifisere som betydningsfull referanseverdi. En referanseverdi vil fortsatt være betydningsfull dersom den brukes for finansielle instrumenter med en gjen</w:t>
      </w:r>
      <w:r w:rsidR="00E32F1C">
        <w:t>n</w:t>
      </w:r>
      <w:r w:rsidRPr="00253F87">
        <w:t>omsnittlig nominell verdi på minst 50 milliarder euro gjennom en periode på seks måneder, men etter endringsforordningen måles terskelen kun på bruken innad i unionen. Utregningen må nå ta hensyn til blant annet samtlige valutaer og enheter av referanseverdien.</w:t>
      </w:r>
    </w:p>
    <w:p w14:paraId="5752F129" w14:textId="76A7E813" w:rsidR="00253F87" w:rsidRPr="00253F87" w:rsidRDefault="00253F87" w:rsidP="00253F87">
      <w:r w:rsidRPr="00253F87">
        <w:t>Endringsforordningen gjør videre flere andre justeringer i referanseverdiforordningen. Blant annet skal administratorer nå kun publisere informasjon om hvordan metoden de bruker for hver referanseverdi reflekteres i ESG</w:t>
      </w:r>
      <w:r w:rsidR="00E32F1C">
        <w:t>-</w:t>
      </w:r>
      <w:r w:rsidRPr="00253F87">
        <w:t>faktorer, der hvor det har blitt referert til ESG</w:t>
      </w:r>
      <w:r w:rsidR="00E32F1C">
        <w:t>-</w:t>
      </w:r>
      <w:r w:rsidRPr="00253F87">
        <w:t>faktorer i juridisk dokumentasjon eller markedsføring av referanseverdien. For å forhindre omgåelse av kravene til offentliggjøring av ESG-informasjon, utvides imidlertid offentliggjøringskravene i forordningen til å omfatte både administratorer av referanseverdier som er registrert etter forordningen og administratorer i samme konsern som den registrerte.</w:t>
      </w:r>
    </w:p>
    <w:p w14:paraId="23FAA1FD" w14:textId="77777777" w:rsidR="00253F87" w:rsidRPr="00253F87" w:rsidRDefault="00253F87" w:rsidP="00253F87">
      <w:r w:rsidRPr="00253F87">
        <w:t>Blant de andre endringene som gjøres i referanseverdiforordningen, er at Kommisjonen nå kun kan gjøre unntak fra forordningens regler for spot-valutareferanseverdier dersom det ikke finnes en alternativ tilsvarende referanseverdi innad i unionen fra før.</w:t>
      </w:r>
    </w:p>
    <w:p w14:paraId="6125368F" w14:textId="77777777" w:rsidR="00253F87" w:rsidRPr="00253F87" w:rsidRDefault="00253F87" w:rsidP="00253F87">
      <w:r w:rsidRPr="00253F87">
        <w:t>Godkjenning av referanseverdier fra tredjeland skal nå gjøres av ESMA, ikke nasjonale tilsynsmyndigheter.</w:t>
      </w:r>
    </w:p>
    <w:p w14:paraId="6BAAE902" w14:textId="77777777" w:rsidR="00253F87" w:rsidRPr="00253F87" w:rsidRDefault="00253F87" w:rsidP="00253F87">
      <w:proofErr w:type="spellStart"/>
      <w:r w:rsidRPr="00253F87">
        <w:t>ESMAs</w:t>
      </w:r>
      <w:proofErr w:type="spellEnd"/>
      <w:r w:rsidRPr="00253F87">
        <w:t xml:space="preserve"> register knyttet til referanseverdiforordningen utvides slik at også de enkelte referanseverdiene fremgår i tillegg til administratorene.</w:t>
      </w:r>
    </w:p>
    <w:p w14:paraId="0357A952" w14:textId="77777777" w:rsidR="00BF425D" w:rsidRDefault="00BF425D" w:rsidP="00253F87">
      <w:pPr>
        <w:rPr>
          <w:b/>
          <w:bCs/>
        </w:rPr>
      </w:pPr>
    </w:p>
    <w:p w14:paraId="028D55E7" w14:textId="32445AAF" w:rsidR="00E32F1C" w:rsidRDefault="00253F87" w:rsidP="00253F87">
      <w:pPr>
        <w:rPr>
          <w:u w:val="single"/>
        </w:rPr>
      </w:pPr>
      <w:r w:rsidRPr="00253F87">
        <w:rPr>
          <w:b/>
          <w:bCs/>
        </w:rPr>
        <w:lastRenderedPageBreak/>
        <w:t>Merknader</w:t>
      </w:r>
      <w:r w:rsidRPr="00253F87">
        <w:br/>
      </w:r>
    </w:p>
    <w:p w14:paraId="16B9E27F" w14:textId="227F23CE" w:rsidR="00253F87" w:rsidRPr="00253F87" w:rsidRDefault="00253F87" w:rsidP="00253F87">
      <w:r w:rsidRPr="00253F87">
        <w:rPr>
          <w:u w:val="single"/>
        </w:rPr>
        <w:t>Rettslige konsekvenser</w:t>
      </w:r>
    </w:p>
    <w:p w14:paraId="7432E3D9" w14:textId="77777777" w:rsidR="00253F87" w:rsidRPr="00253F87" w:rsidRDefault="00253F87" w:rsidP="00253F87">
      <w:r w:rsidRPr="00253F87">
        <w:t>Referanseverdiforordningen er inntatt i norsk rett i referanseverdiloven § 1 første ledd. Endringsforordningen må inntas på samme sted, og dette vil da fordre en endring av lovendring med tilhørende behandling i Stortinget. Det er derfor angitt "Ja" for "artikkel 103"-forbehold under EFTA-prosessen.</w:t>
      </w:r>
    </w:p>
    <w:p w14:paraId="5F5BE122" w14:textId="77777777" w:rsidR="00253F87" w:rsidRPr="00253F87" w:rsidRDefault="00253F87" w:rsidP="00253F87">
      <w:r w:rsidRPr="00253F87">
        <w:rPr>
          <w:u w:val="single"/>
        </w:rPr>
        <w:t>Økonomiske og administrative konsekvenser</w:t>
      </w:r>
    </w:p>
    <w:p w14:paraId="62D8C55E" w14:textId="00988E5E" w:rsidR="00253F87" w:rsidRPr="00253F87" w:rsidRDefault="00253F87" w:rsidP="00253F87">
      <w:r w:rsidRPr="00253F87">
        <w:t>Det er fem norske administratorer i dag. Hvis referanseverdiforordningen endres som foreslått, vil det trolig bare være én igjen som omfattes av regelverket. Generelt vil endringsforordningen bidra til større grad av proporsjonalitet i reguleringen av administratorer av referanseverdier, noe som vil lette etterlevelseskostnadene på flere administratorer. De utvidede kravene til offentliggjøring av ESG-relatert informasjon vil på den andre siden kunne øke etterlevelseskostnadene for administratorer noe. Det forventes ikke vesentlige endringer i økonomiske forpliktelser for norske offentlige myndigheter.</w:t>
      </w:r>
    </w:p>
    <w:p w14:paraId="31189632" w14:textId="77777777" w:rsidR="00253F87" w:rsidRPr="00253F87" w:rsidRDefault="00253F87" w:rsidP="00253F87">
      <w:r w:rsidRPr="00253F87">
        <w:rPr>
          <w:u w:val="single"/>
        </w:rPr>
        <w:t>Sakkyndige instansers merknader</w:t>
      </w:r>
    </w:p>
    <w:p w14:paraId="1746B6FC" w14:textId="77777777" w:rsidR="00253F87" w:rsidRPr="00253F87" w:rsidRDefault="00253F87" w:rsidP="00253F87">
      <w:r w:rsidRPr="00253F87">
        <w:t>Finanstilsynet har vurdert saken uten merknader.</w:t>
      </w:r>
    </w:p>
    <w:p w14:paraId="0EE6AB94" w14:textId="77777777" w:rsidR="00253F87" w:rsidRPr="00253F87" w:rsidRDefault="00253F87" w:rsidP="00253F87">
      <w:pPr>
        <w:rPr>
          <w:b/>
          <w:bCs/>
        </w:rPr>
      </w:pPr>
      <w:r w:rsidRPr="00253F87">
        <w:rPr>
          <w:b/>
          <w:bCs/>
        </w:rPr>
        <w:t>Vurdering</w:t>
      </w:r>
    </w:p>
    <w:p w14:paraId="425111ED" w14:textId="77777777" w:rsidR="00253F87" w:rsidRPr="00253F87" w:rsidRDefault="00253F87" w:rsidP="00253F87">
      <w:r w:rsidRPr="00253F87">
        <w:t xml:space="preserve">Det er behov for å tilpasse bestemmelser knyttet til ESMA sin myndighet ovenfor administratorer av referanseverdier, slik at </w:t>
      </w:r>
      <w:proofErr w:type="spellStart"/>
      <w:r w:rsidRPr="00253F87">
        <w:t>EFTAs</w:t>
      </w:r>
      <w:proofErr w:type="spellEnd"/>
      <w:r w:rsidRPr="00253F87">
        <w:t xml:space="preserve"> overvåkningsorgan får tilsvarende myndighet i EFTA-landene i tråd med </w:t>
      </w:r>
      <w:proofErr w:type="spellStart"/>
      <w:r w:rsidRPr="00253F87">
        <w:t>topillar</w:t>
      </w:r>
      <w:proofErr w:type="spellEnd"/>
      <w:r w:rsidRPr="00253F87">
        <w:t>-systemet. Dette er ivaretatt i EØS-komitebeslutningen.  Det er derfor angitt "Ja" for materielle tilpasninger under EFTA-prosessen.</w:t>
      </w:r>
    </w:p>
    <w:p w14:paraId="5DD45B6E" w14:textId="77777777" w:rsidR="00036ED6" w:rsidRDefault="00036ED6" w:rsidP="00C625B8"/>
    <w:p w14:paraId="17189AFC" w14:textId="77777777" w:rsidR="004C2726" w:rsidRDefault="004C2726">
      <w:r>
        <w:br w:type="page"/>
      </w:r>
    </w:p>
    <w:p w14:paraId="25FE7BC2" w14:textId="4F1092A4" w:rsidR="004C2726" w:rsidRDefault="004C2726" w:rsidP="004C2726">
      <w:pPr>
        <w:pStyle w:val="Heading2"/>
        <w:rPr>
          <w:color w:val="auto"/>
        </w:rPr>
      </w:pPr>
      <w:bookmarkStart w:id="6" w:name="_Toc233967735"/>
      <w:r>
        <w:rPr>
          <w:color w:val="auto"/>
        </w:rPr>
        <w:lastRenderedPageBreak/>
        <w:t>FORSVARS</w:t>
      </w:r>
      <w:r w:rsidRPr="009C7A4E">
        <w:rPr>
          <w:color w:val="auto"/>
        </w:rPr>
        <w:t>DEPARTEMENTET</w:t>
      </w:r>
      <w:bookmarkEnd w:id="6"/>
    </w:p>
    <w:p w14:paraId="42F25E14" w14:textId="77777777" w:rsidR="004C2726" w:rsidRDefault="004C2726" w:rsidP="004C2726"/>
    <w:p w14:paraId="58511D11" w14:textId="13343BF4" w:rsidR="00DB0871" w:rsidRPr="00FE437F" w:rsidRDefault="00DB0871" w:rsidP="004C2726">
      <w:pPr>
        <w:rPr>
          <w:u w:val="single"/>
        </w:rPr>
      </w:pPr>
      <w:r w:rsidRPr="00FE437F">
        <w:rPr>
          <w:u w:val="single"/>
        </w:rPr>
        <w:t>32025R2643 Europaparlaments- og rådsforordning (EU) 2025/2643 av 16. desember 2025 om opprettelse av programmet for europeisk forsvarsindustri og en tiltaksramme for å sikre rettidig tilgang til og forsyning av forsvarsprodukter («EDIP-forordningen»)</w:t>
      </w:r>
      <w:r w:rsidR="00FE437F" w:rsidRPr="00FE437F">
        <w:rPr>
          <w:u w:val="single"/>
        </w:rPr>
        <w:t xml:space="preserve"> </w:t>
      </w:r>
    </w:p>
    <w:p w14:paraId="5E9760AC" w14:textId="77777777" w:rsidR="00BB613F" w:rsidRDefault="00BB613F" w:rsidP="00C824F0"/>
    <w:p w14:paraId="56B73E55" w14:textId="5D26DF31" w:rsidR="00C824F0" w:rsidRDefault="00C824F0" w:rsidP="00C824F0">
      <w:r w:rsidRPr="00C824F0">
        <w:t>Rettsakten er under vurdering i EØS/EFTA-statene, med komitebeslutning planlagt i juli 2026.</w:t>
      </w:r>
      <w:r w:rsidR="0045208C">
        <w:t xml:space="preserve"> </w:t>
      </w:r>
    </w:p>
    <w:p w14:paraId="6C132629" w14:textId="208DA967" w:rsidR="00BB613F" w:rsidRPr="00E32F1C" w:rsidRDefault="00BB613F" w:rsidP="00C824F0">
      <w:pPr>
        <w:rPr>
          <w:b/>
          <w:bCs/>
        </w:rPr>
      </w:pPr>
      <w:r w:rsidRPr="00E32F1C">
        <w:rPr>
          <w:b/>
          <w:bCs/>
        </w:rPr>
        <w:t>Fordi deltakelse i EDIP krever lovendring, har budsjettmessige konsekvenser og ansees som en sak av særlig stor viktighet, er Stortingets samtykke til godkjennelse av EØS-komiteens beslutning nødvendig etter Grunnloven § 26, annet ledd.</w:t>
      </w:r>
    </w:p>
    <w:p w14:paraId="5AC9BFC1" w14:textId="77777777" w:rsidR="00BB613F" w:rsidRDefault="00BB613F" w:rsidP="00C824F0">
      <w:pPr>
        <w:rPr>
          <w:b/>
          <w:bCs/>
        </w:rPr>
      </w:pPr>
    </w:p>
    <w:p w14:paraId="4EDF32D2" w14:textId="70648185" w:rsidR="00C824F0" w:rsidRPr="00C824F0" w:rsidRDefault="00C824F0" w:rsidP="00C824F0">
      <w:r w:rsidRPr="00C824F0">
        <w:rPr>
          <w:b/>
          <w:bCs/>
        </w:rPr>
        <w:t>Sammendrag av innhold</w:t>
      </w:r>
    </w:p>
    <w:p w14:paraId="63AD8A5D" w14:textId="77777777" w:rsidR="00C824F0" w:rsidRPr="00C824F0" w:rsidRDefault="00C824F0" w:rsidP="00C824F0">
      <w:r w:rsidRPr="00C824F0">
        <w:t>EDIP innebærer en rekke nye verktøy for å fremme nærmere europeisk forsvarsindustrielt samarbeid. EDIP inneholder et programsamarbeid der økonomisk støtte kan gis til ulike aktiviteter som beskrevet nedenfor. Videre inneholder EDIP også et eget kapittel med bestemmelser for å styrke forsyningssikkerhet for forsvarsindustri. Programsamarbeidet i EDIP er tidsavgrenset og opphører i 2028, mens bestemmelsene knyttet til forsyningssikkerhet ikke er tidsavgrenset.</w:t>
      </w:r>
    </w:p>
    <w:p w14:paraId="13A1F717" w14:textId="77777777" w:rsidR="00C824F0" w:rsidRPr="00C824F0" w:rsidRDefault="00C824F0" w:rsidP="00C824F0">
      <w:r w:rsidRPr="00C824F0">
        <w:rPr>
          <w:i/>
          <w:iCs/>
        </w:rPr>
        <w:t>Støtte til økt produksjonskapasitet og felles anskaffelser</w:t>
      </w:r>
    </w:p>
    <w:p w14:paraId="4790F703" w14:textId="77777777" w:rsidR="00C824F0" w:rsidRPr="00C824F0" w:rsidRDefault="00C824F0" w:rsidP="00C824F0">
      <w:r w:rsidRPr="00C824F0">
        <w:t>EDIP innebærer videreføringen av to forordninger som allerede er innlemmet i EØS-avtalens protokoll 31, forordning (EU) 2023/1525 «Om støtte til ammunisjonsproduksjon» (ASAP) og forordning (EU) 2023/2418 «Om opprettelse av et instrument for å styrke den europeiske forsvarsindustrien gjennom felles anskaffelser» (EDIRPA). ASAP-forordningen er gjennomført i norsk rett ved inkorporasjon i forskrift om forsvars- og sikkerhetsanskaffelser. EDIRPA er en programforordning som ikke gir rettigheter eller plikter til private og er derfor ikke gjennomført i norsk rett.</w:t>
      </w:r>
    </w:p>
    <w:p w14:paraId="1F60F6C6" w14:textId="77777777" w:rsidR="00C824F0" w:rsidRPr="00C824F0" w:rsidRDefault="00C824F0" w:rsidP="00C824F0">
      <w:r w:rsidRPr="00C824F0">
        <w:rPr>
          <w:i/>
          <w:iCs/>
        </w:rPr>
        <w:t>«Tiltak for å styrke industrien» (IRA)</w:t>
      </w:r>
    </w:p>
    <w:p w14:paraId="65E7C4BF" w14:textId="77777777" w:rsidR="00C824F0" w:rsidRPr="00C824F0" w:rsidRDefault="00C824F0" w:rsidP="00C824F0">
      <w:r w:rsidRPr="00C824F0">
        <w:t>I EDIP omtales ASAP-aktiviteter som «Tiltak for å styrke industrien (IRA)». IRA er rettet inn mot å bidra med økonomisk støtte for å øke europeisk forsvarsindustris produksjonskapasitet. Det gis incentiver for internasjonalt samarbeid mellom industri under IRA, inkludert med ukrainsk industri.</w:t>
      </w:r>
    </w:p>
    <w:p w14:paraId="0773C3C8" w14:textId="77777777" w:rsidR="00C824F0" w:rsidRPr="00C824F0" w:rsidRDefault="00C824F0" w:rsidP="00C824F0">
      <w:r w:rsidRPr="00C824F0">
        <w:t>«Felles anskaffelsestiltak» (CPA)</w:t>
      </w:r>
    </w:p>
    <w:p w14:paraId="7F2A94D0" w14:textId="77777777" w:rsidR="00C824F0" w:rsidRPr="00C824F0" w:rsidRDefault="00C824F0" w:rsidP="00C824F0">
      <w:r w:rsidRPr="00C824F0">
        <w:t>EDIRPA-aktiviteter omtales i EDIP som «Felles anskaffelsestiltak» («</w:t>
      </w:r>
      <w:proofErr w:type="spellStart"/>
      <w:r w:rsidRPr="00C824F0">
        <w:t>Common</w:t>
      </w:r>
      <w:proofErr w:type="spellEnd"/>
      <w:r w:rsidRPr="00C824F0">
        <w:t xml:space="preserve"> </w:t>
      </w:r>
      <w:proofErr w:type="spellStart"/>
      <w:r w:rsidRPr="00C824F0">
        <w:t>procurement</w:t>
      </w:r>
      <w:proofErr w:type="spellEnd"/>
      <w:r w:rsidRPr="00C824F0">
        <w:t xml:space="preserve"> </w:t>
      </w:r>
      <w:proofErr w:type="spellStart"/>
      <w:r w:rsidRPr="00C824F0">
        <w:t>actions</w:t>
      </w:r>
      <w:proofErr w:type="spellEnd"/>
      <w:r w:rsidRPr="00C824F0">
        <w:t>»). Felles anskaffelsestiltak forutsetter at minimum tre oppdragsgivere fra EUs medlemsstater eller EFTA-statene går sammen om en anskaffelse. Statene kan da motta økonomisk støtte for å gjennomføre en flernasjonal anskaffelsesprosess. Minst to av de tre oppdragsgiverne må dessuten være fra EUs medlemsstater. Det gis også her incentiver for anskaffelser som også kommer Ukraina til gode. </w:t>
      </w:r>
    </w:p>
    <w:p w14:paraId="1F9BE281" w14:textId="77777777" w:rsidR="00C824F0" w:rsidRPr="00C824F0" w:rsidRDefault="00C824F0" w:rsidP="00C824F0">
      <w:r w:rsidRPr="00C824F0">
        <w:rPr>
          <w:i/>
          <w:iCs/>
        </w:rPr>
        <w:t>«Fond for å fremskynde omstillingen av forsvarsindustriens forsyningskjeder» (FAST)</w:t>
      </w:r>
    </w:p>
    <w:p w14:paraId="3A4D3AEB" w14:textId="77777777" w:rsidR="00C824F0" w:rsidRPr="00C824F0" w:rsidRDefault="00C824F0" w:rsidP="00C824F0">
      <w:r w:rsidRPr="00C824F0">
        <w:t xml:space="preserve">EDIP etablerer et eget fond med formål om å opptre som en katalysator for å styrke verdikjedene i europeisk forsvarsindustri. FAST skal redusere risiko og framskynde investeringer for å øke </w:t>
      </w:r>
      <w:r w:rsidRPr="00C824F0">
        <w:lastRenderedPageBreak/>
        <w:t>produksjonskapasiteten til små- og mellomstore bedrifter i EU- og assosierte land (EFTA-statene i EØS). FAST skal videre bidra til å utløse privat kapital til de samme formålene.</w:t>
      </w:r>
    </w:p>
    <w:p w14:paraId="3FDA0ADC" w14:textId="77777777" w:rsidR="00C824F0" w:rsidRPr="00C824F0" w:rsidRDefault="00C824F0" w:rsidP="00C824F0">
      <w:r w:rsidRPr="00C824F0">
        <w:rPr>
          <w:i/>
          <w:iCs/>
        </w:rPr>
        <w:t>«Støtteinstrumentet for Ukraina» (USI)</w:t>
      </w:r>
    </w:p>
    <w:p w14:paraId="2ADF6A52" w14:textId="77777777" w:rsidR="00C824F0" w:rsidRPr="00C824F0" w:rsidRDefault="00C824F0" w:rsidP="00C824F0">
      <w:r w:rsidRPr="00C824F0">
        <w:t>EDIP inneholder også et støtteinstrument for ukrainsk forsvarsindustri (USI). USI skal bidra til å styrke samarbeidet mellom europeisk og ukrainsk forsvarsindustri gjennom etableringen av ny produksjonskapasitet og oppskalering av eksisterende kapasitet i Ukraina. Støtte gjennom USI kan ta form både av felles anskaffelser fra ukrainsk industri og støtte til samarbeid mellom ukrainsk og europeisk industri. Formålet er blant annet å bidra til en modernisering av ukrainsk forsvarsindustri i tråd med de kravene som stilles til Ukraina som et mulig framtidig medlem av EU. Bare virksomheter lokalisert i EU-land eller Ukraina kan motta støtte gjennom USI. Forordningen avgrenser mot deltakelse i USI fra assosierte land, inkludert Norge. Dette vil reflekteres i EØS-komitebeslutningen når EDIP innlemmes i EØS-avtalen. </w:t>
      </w:r>
    </w:p>
    <w:p w14:paraId="57FEA1CE" w14:textId="77777777" w:rsidR="00C824F0" w:rsidRPr="00C824F0" w:rsidRDefault="00C824F0" w:rsidP="00C824F0">
      <w:r w:rsidRPr="00C824F0">
        <w:rPr>
          <w:i/>
          <w:iCs/>
        </w:rPr>
        <w:t>«Struktur for europeiske forsvarsmateriellprogrammer» (SEAP)</w:t>
      </w:r>
    </w:p>
    <w:p w14:paraId="5E9249C1" w14:textId="77777777" w:rsidR="00C824F0" w:rsidRPr="00C824F0" w:rsidRDefault="00C824F0" w:rsidP="00C824F0">
      <w:r w:rsidRPr="00C824F0">
        <w:t>SEAP er et felles juridisk rammeverk som skal kunne brukes av land som vil anskaffe og eie kapabiliteter i fellesskap. Rammeverket innebærer at minst tre av EUs medlemsland eller assosierte land kan gå sammen og etablere en juridisk enhet for blant annet felles utvikling og anskaffelse av forsvarsprodukter. En SEAP kan etableres av tre eller flere av EUs medlemsland, EØS/EFTA-statene eller Ukraina for å utvikle, anskaffe, vedlikeholde og tilgjengeliggjøre forsvarsmateriell for landene som har etablert den. Minst to av medlemmene må være medlemsland i EU og en SEAP kan bare lokaliseres i et EU-land, men Norge kan delta i et SEAP-samarbeid.</w:t>
      </w:r>
    </w:p>
    <w:p w14:paraId="2D245CDD" w14:textId="77777777" w:rsidR="00C824F0" w:rsidRPr="00C824F0" w:rsidRDefault="00C824F0" w:rsidP="00C824F0">
      <w:r w:rsidRPr="00C824F0">
        <w:rPr>
          <w:i/>
          <w:iCs/>
        </w:rPr>
        <w:t>«Europeiske forsvarsprosjekter av felles interesse» </w:t>
      </w:r>
      <w:r w:rsidRPr="00C824F0">
        <w:t>(EDPCI)</w:t>
      </w:r>
    </w:p>
    <w:p w14:paraId="670B4567" w14:textId="3AF14700" w:rsidR="00C824F0" w:rsidRPr="00C824F0" w:rsidRDefault="00C824F0" w:rsidP="00C824F0">
      <w:r w:rsidRPr="00C824F0">
        <w:t>EDIP åpner for etableringen av europeiske forsvarsprosjekter basert på felles interesser (EDPCI). En EDPCI skal være et industrielt prosjekt som støtter utviklingen av kapabiliteter innenfor alle domener. EDPCI</w:t>
      </w:r>
      <w:r w:rsidR="00E32F1C">
        <w:t>-</w:t>
      </w:r>
      <w:r w:rsidRPr="00C824F0">
        <w:t>er er ment som større prosjekter der utvikling, industrialisering og kapabilitetssamarbeid sees i sammenheng. Prosjektene skal ha en varighet utover EDIP og skal videre bidra til å styrke samordningen av europeisk forsvarssamarbeid finansiert av EU. Minst fire av EUs medlemsland, assosierte land (inkludert EØS/EFTA-statene) og/eller Ukraina må gå sammen for å etablere en EDPCI som kan medfinansieres gjennom EDIP. EDPCI</w:t>
      </w:r>
      <w:r w:rsidR="00E32F1C">
        <w:t>-</w:t>
      </w:r>
      <w:r w:rsidRPr="00C824F0">
        <w:t>er kan beslutte å etablere en eller flere SEAP</w:t>
      </w:r>
      <w:r w:rsidR="00E32F1C">
        <w:t>-</w:t>
      </w:r>
      <w:r w:rsidRPr="00C824F0">
        <w:t>er for å fremme samarbeidet ytterligere</w:t>
      </w:r>
    </w:p>
    <w:p w14:paraId="36726652" w14:textId="77777777" w:rsidR="00C824F0" w:rsidRPr="00C824F0" w:rsidRDefault="00C824F0" w:rsidP="00C824F0">
      <w:r w:rsidRPr="00C824F0">
        <w:rPr>
          <w:i/>
          <w:iCs/>
        </w:rPr>
        <w:t>«Europeisk militær salgsmekanisme» (EMS)</w:t>
      </w:r>
    </w:p>
    <w:p w14:paraId="5DCC32D3" w14:textId="77777777" w:rsidR="00C824F0" w:rsidRPr="00C824F0" w:rsidRDefault="00C824F0" w:rsidP="00C824F0">
      <w:r w:rsidRPr="00C824F0">
        <w:t>Gjennom EDIP skal det etableres en salgsmekanisme for europeisk forsvarsmateriell. Det innebærer etableringen av en egen katalog for slike produkter, inkludert for produkter produsert i Ukraina. Bidrag til katalogen er frivillig for EUs medlemsland og EØS/EFTA-statene. Det åpnes videre for å etablere felles beredskapsbeholdninger av forsvarsindustrimateriell. Disse kan forvaltes av ett land eller en SEAP på vegne av flere land.</w:t>
      </w:r>
    </w:p>
    <w:p w14:paraId="7DC6BD16" w14:textId="77777777" w:rsidR="00C824F0" w:rsidRPr="00C824F0" w:rsidRDefault="00C824F0" w:rsidP="00C824F0">
      <w:r w:rsidRPr="00C824F0">
        <w:rPr>
          <w:i/>
          <w:iCs/>
        </w:rPr>
        <w:t>Forsyningssikkerhet</w:t>
      </w:r>
    </w:p>
    <w:p w14:paraId="4C50FF89" w14:textId="553D91E2" w:rsidR="00C824F0" w:rsidRPr="00C824F0" w:rsidRDefault="00C824F0" w:rsidP="00C824F0">
      <w:r w:rsidRPr="00C824F0">
        <w:t>For å hindre flaskehalser i leverandørkjeden til produsenter introduseres et regime for forsyningssikkerhet («EU Security of Supply Regime»). Intensjonen er å samordne produksjon og sikre god flyt i leverandørkjeder. Forordningen legger opp til at Kommisjonen skal opprette og fortløpende oppdatere en liste av kriserelevante produkter («</w:t>
      </w:r>
      <w:proofErr w:type="spellStart"/>
      <w:r w:rsidRPr="00C824F0">
        <w:t>crisis</w:t>
      </w:r>
      <w:proofErr w:type="spellEnd"/>
      <w:r w:rsidRPr="00C824F0">
        <w:t xml:space="preserve">-relevant </w:t>
      </w:r>
      <w:proofErr w:type="spellStart"/>
      <w:r w:rsidRPr="00C824F0">
        <w:t>products</w:t>
      </w:r>
      <w:proofErr w:type="spellEnd"/>
      <w:r w:rsidRPr="00C824F0">
        <w:t xml:space="preserve">»). På bakgrunn av denne listen skal medlemslandene i EU identifisere produsenter av slike produkter og gi disse virksomhetene informasjon om at de er utpekt. Slike utpekte virksomheter har en plikt til å </w:t>
      </w:r>
      <w:r w:rsidRPr="00C824F0">
        <w:lastRenderedPageBreak/>
        <w:t>informere det aktuelle EU-medlemslandet dersom de står overfor alvorlige forstyrrelser i sin produksjon av det kriserelevante produktet. Regimet skal bidra til bedre informasjonsflyt mellom EU-medlemslandene og Kommisjonen, men også å gi Kommisjonen mulighet til å intervenere der det blir definert en forsyningssikkerhetskrise, blant annet ved å prioritere ordre. Forordningen gir Kommisjonen anledning til å be bedrifter som produserer kriserelevante produkter, om å godta eller prioritere en gitt bestilling. Virksomheter som mottar en slik forespørsel</w:t>
      </w:r>
      <w:r w:rsidR="00E32F1C">
        <w:t>,</w:t>
      </w:r>
      <w:r w:rsidRPr="00C824F0">
        <w:t xml:space="preserve"> kan motsette seg den og instrumentet skal kun brukes som en siste instans dersom alle andre virkemidler er uttømt. Dersom en produsent av kriserelevante produkter som ikke er forsvarsprodukter motsetter seg en slik forespørsel, åpner forordningen for at Kommisjonen, ved hjelp av en gjennomføringsrettsakt, vedtar en prioritert bestilling som pålegger den berørte økonomiske aktøren plikt til å utføre denne bestillingen. Et slikt pålegg forutsetter imidlertid samtykke fra den staten på hvis territorium den berørte økonomiske aktøren har sitt produksjonsanlegg, og med den medlemsstaten på hvis territorium den berørte økonomiske aktøren har sin ledelsesstruktur. Kommisjonen vil, etter en innlemmelse av forordningen i EØS-avtalen, med andre ord ikke kunne ilegge en norsk virksomhet et slikt pålegg uten forhåndssamtykke fra norske myndigheter.</w:t>
      </w:r>
    </w:p>
    <w:p w14:paraId="5A67FF10" w14:textId="77777777" w:rsidR="00C824F0" w:rsidRPr="00C824F0" w:rsidRDefault="00C824F0" w:rsidP="00C824F0">
      <w:r w:rsidRPr="00C824F0">
        <w:rPr>
          <w:i/>
          <w:iCs/>
        </w:rPr>
        <w:t>Forsvarsindustrielt beredskapsråd</w:t>
      </w:r>
    </w:p>
    <w:p w14:paraId="62B0EFE9" w14:textId="77777777" w:rsidR="00C824F0" w:rsidRPr="00C824F0" w:rsidRDefault="00C824F0" w:rsidP="00C824F0">
      <w:r w:rsidRPr="00C824F0">
        <w:t>EDIP etablerer et forsvarsindustrielt beredskapsråd (</w:t>
      </w:r>
      <w:proofErr w:type="spellStart"/>
      <w:r w:rsidRPr="00C824F0">
        <w:t>Defence</w:t>
      </w:r>
      <w:proofErr w:type="spellEnd"/>
      <w:r w:rsidRPr="00C824F0">
        <w:t xml:space="preserve"> Security of Supply Board) bestående av representanter fra EU-medlemslandene, Kommisjonen, EUs høyrepresentant for utenriks- og sikkerhetspolitikk og Det europeiske forsvarsbyrået (EDA). Bare EU-medlemsland har stemmerett. Norge er, som eneste land utenfor EU, invitert til å delta i rådet, som har som formål å koordinere EU-medlemslandene og tidlig identifisere mulige utfordringer knyttet til forsyningssikkerhet i forsvarsindustrien.</w:t>
      </w:r>
    </w:p>
    <w:p w14:paraId="38F0BB73" w14:textId="017493D1" w:rsidR="00C824F0" w:rsidRPr="00C824F0" w:rsidRDefault="00C824F0" w:rsidP="00C824F0">
      <w:r w:rsidRPr="00C824F0">
        <w:rPr>
          <w:b/>
          <w:bCs/>
        </w:rPr>
        <w:t>Merknader</w:t>
      </w:r>
      <w:r w:rsidRPr="00C824F0">
        <w:br/>
      </w:r>
      <w:r w:rsidRPr="00C824F0">
        <w:rPr>
          <w:u w:val="single"/>
        </w:rPr>
        <w:t>Rettslige konsekvenser</w:t>
      </w:r>
    </w:p>
    <w:p w14:paraId="2EA4F9C1" w14:textId="2461C59F" w:rsidR="000930E1" w:rsidRPr="00BB613F" w:rsidRDefault="000930E1" w:rsidP="000930E1">
      <w:r w:rsidRPr="00BB613F">
        <w:t>Fordi deltakelse i EDIP krever lovendring, har budsjettmessige konsekvenser og ansees som en sak av særlig stor viktighet, er Stortingets samtykke til godkjennelse av EØS-komiteens beslutning nødvendig etter Grunnloven § 26 annet ledd.</w:t>
      </w:r>
    </w:p>
    <w:p w14:paraId="0A0E3A35" w14:textId="77777777" w:rsidR="000930E1" w:rsidRPr="00BB613F" w:rsidRDefault="000930E1" w:rsidP="000930E1">
      <w:r w:rsidRPr="00BB613F">
        <w:t>Enkelte bestemmelser i EDIP inneholder dessuten elementer av myndighetsoverføring. Dette knytter seg spesifikt til Kommisjonens myndighet til å gi pålegg rettet mot norske virksomheter, myndigheten til å fatte vedtak om overtredelsesgebyr, samt myndigheten til tilsynsorganet «European Anti-</w:t>
      </w:r>
      <w:proofErr w:type="spellStart"/>
      <w:r w:rsidRPr="00BB613F">
        <w:t>Fraud</w:t>
      </w:r>
      <w:proofErr w:type="spellEnd"/>
      <w:r w:rsidRPr="00BB613F">
        <w:t xml:space="preserve"> Office» (OLAF). Myndigheten til å fatte vedtak om overtredelsesgebyr overfor norske virksomheter foreslås ved tilpasningstekst i EØS-komitébeslutningen tillagt ESA. </w:t>
      </w:r>
    </w:p>
    <w:p w14:paraId="601C94C0" w14:textId="22D251B3" w:rsidR="00C824F0" w:rsidRPr="00C824F0" w:rsidRDefault="00C824F0" w:rsidP="00C824F0">
      <w:r w:rsidRPr="00C824F0">
        <w:t xml:space="preserve">Forsvarsdepartementet har vurdert det som hensiktsmessig å gjennomføre rettsakten i lovs form, blant annet med bakgrunn i behovet for lovhjemmel for ESAs myndighet til å ilegge sanksjoner i form av overtredelsesgebyr. Det kan dessuten bli spørsmål om hvorvidt enkelte deler av forordningen medfører behov for endringer i gjeldende nasjonale regler. Dette knytter seg i stor grad til bestemmelser som referer til andre rettsakter som er innlemmet i EØS-avtalen og gjennomført i nasjonal rett og hvor forordningen legger opp til at statene enten (1) underlegges visse søknader o.l. raskest mulig saksbehandling, eller (2) hvor forordningen gir uttrykk for at visse vilkår i andre rettsakter er oppfylt, at unntaksbestemmelser kan brukes o.l. Med hensyn til førstnevnte gruppe bestemmelser vil det være nødvendig å vurdere nærmere om forordningen krever endringer i norsk rett for å oppfylle forpliktelsene til rask saksbehandling m.m.(se som eksempel art. 54 nr. 1, art. 67 nr. 1 og art. 71 nr. 2, men bestemmelsenes utforming ser i utgangspunktet ut til å kreve at allerede eksisterende mekanismer i nasjonale regler utnyttes, heller enn at det må innføres egne regler. For den andre gruppen bestemmelser rettet mot tolkningen av bestemmelser i andre rettsakter (se for </w:t>
      </w:r>
      <w:r w:rsidRPr="00C824F0">
        <w:lastRenderedPageBreak/>
        <w:t>eksempel art. 67 nr. 2, art. 69 nr. 3, art. 70 og art. 71 nr</w:t>
      </w:r>
      <w:r w:rsidR="00E32F1C">
        <w:t>.</w:t>
      </w:r>
      <w:r w:rsidRPr="00C824F0">
        <w:t xml:space="preserve"> 1) kan innlemmelsen av rettsakten utløse spørsmål om hvorvidt den tolkningen Rådet og Europaparlamentet gir uttrykk for i forordningen også er ivaretatt ved tolkningen av eksisterende nasjonale regler, og om et eventuelt avvik i tolkningen av nasjonale regler da må ivaretas ved gjennomføring. I begge tilfeller kan det dermed tenkes at det i anledning gjennomføring av EDIP-forordningen kan bli aktuelt med endringer i nasjonale regler. Etter Forsvarsdepartementets vurdering knytter imidlertid disse delene av forordningen seg til et bredt spekter av nasjonale regler tilhørende under andre fagdepartementet. Forsvarsdepartementet vil i anledning arbeidet med samtykkeproposisjonen henvende seg til de berørte fagdepartementene for å innhente deres syn på forordningens betydning for nasjonale regler.</w:t>
      </w:r>
    </w:p>
    <w:p w14:paraId="4383725A" w14:textId="77777777" w:rsidR="00C824F0" w:rsidRPr="00C824F0" w:rsidRDefault="00C824F0" w:rsidP="00C824F0">
      <w:r w:rsidRPr="00C824F0">
        <w:t>Siden deltakelse i EDIP nødvendiggjør Stortingets samtykke og lovendringer vil saken legges fram for Stortinget i form av en samlet lov- og samtykkeproposisjonen (</w:t>
      </w:r>
      <w:proofErr w:type="spellStart"/>
      <w:r w:rsidRPr="00C824F0">
        <w:t>Prop</w:t>
      </w:r>
      <w:proofErr w:type="spellEnd"/>
      <w:r w:rsidRPr="00C824F0">
        <w:t>. LS). I anledning posisjonen vil departementet komme tilbake med en nærmere vurdering av de overnevnte forhold. </w:t>
      </w:r>
    </w:p>
    <w:p w14:paraId="24C6B00D" w14:textId="3E95B16E" w:rsidR="00C824F0" w:rsidRPr="00C824F0" w:rsidRDefault="00C824F0" w:rsidP="00C824F0">
      <w:r w:rsidRPr="00C824F0">
        <w:t>Forordningen inneholder referanser til flere rettsakter som ikke er innlemmet i EØS-avtalen. Forsvarsdepartementet har vurdert eventuelle behovet for tilpasningstekster som følge av dette. Det er departemente</w:t>
      </w:r>
      <w:r>
        <w:t>t</w:t>
      </w:r>
      <w:r w:rsidRPr="00C824F0">
        <w:t>s vurdering at de aktuelle henvisningene ikke har noen rettslige konsekvenser. Flere av henvisningene knytter seg til tolkningen av disse rettsaktene, herunder at tiltak etter EDIP skal anses som å oppfylle vilkår i de aktuelle rettsaktene (se f.eks</w:t>
      </w:r>
      <w:r>
        <w:t>.</w:t>
      </w:r>
      <w:r w:rsidRPr="00C824F0">
        <w:t xml:space="preserve"> art. 65 nr. 16). Tilsvarende innebærer forordningen bestemmelser knyttet til hurtigprosedyrer for behandling av enkelte søknader m.m. (se f.eks</w:t>
      </w:r>
      <w:r>
        <w:t>.</w:t>
      </w:r>
      <w:r w:rsidRPr="00C824F0">
        <w:t xml:space="preserve"> art. 70) og at tiltak etter EDIP skal anses for å oppfylle vilkårene for slik hurtigbehandling etter andre rettsakter. For rettsakter som ikke er innlemmet i EØS-avtalen har Forsvarsdepartementet vurdert at slike tolkninger fra EU-siden ikke vil ha betydning for Norges forpliktelser. Etter departementets vurdering er det dermed ikke nødvendig med tilpasningstek</w:t>
      </w:r>
      <w:r>
        <w:t>s</w:t>
      </w:r>
      <w:r w:rsidRPr="00C824F0">
        <w:t>ter for dette i forbindelse med innlemmelse. </w:t>
      </w:r>
    </w:p>
    <w:p w14:paraId="755CB5E4" w14:textId="77777777" w:rsidR="00C824F0" w:rsidRPr="00C824F0" w:rsidRDefault="00C824F0" w:rsidP="00C824F0">
      <w:r w:rsidRPr="00C824F0">
        <w:rPr>
          <w:u w:val="single"/>
        </w:rPr>
        <w:t>Økonomiske og administrative konsekvenser</w:t>
      </w:r>
    </w:p>
    <w:p w14:paraId="00BADD80" w14:textId="77777777" w:rsidR="00C824F0" w:rsidRPr="00C824F0" w:rsidRDefault="00C824F0" w:rsidP="00C824F0">
      <w:r w:rsidRPr="00C824F0">
        <w:t xml:space="preserve">EDIP er videreføringen av ASAP- og EDIRPA-programmene og utgiftene til norsk deltakelse vil tilsvarende bli dekket innenfor den militære delen av Nansen-programmet. Formålet med EDIP er å styrke europeisk og ukrainsk forsvarsindustri for å sette industrien i stand til å levere på økt europeisk og ukrainsk etterspørsel etter forsvarsmateriell. Både industritiltak (IRA) og felles anskaffelsestiltak (CPA) er ment å øke tilgangen på forsvarsmateriell i Europa gjennom å øke tilbud og </w:t>
      </w:r>
      <w:proofErr w:type="spellStart"/>
      <w:r w:rsidRPr="00C824F0">
        <w:t>strømlinjeforme</w:t>
      </w:r>
      <w:proofErr w:type="spellEnd"/>
      <w:r w:rsidRPr="00C824F0">
        <w:t xml:space="preserve"> etterspørsel. Både IRA og CPA innebærer en rekke incentiver for å stimulere til økt samarbeid med ukrainsk industri og flere felles anskaffelser med Ukraina. Ukraina kan delta i både EDPCI og SEAP-initiativer og produkter levert av ukrainsk forsvarsindustri kan omfattes av EMS. Regjeringen ønsker å delta i EDIP for å bidra til å støtte Ukrainas forsvarsevne, samt norsk og alliert evne til å videreføre og trappe opp den militære støtten til Ukraina. EDIP vil også bidra til å styrke europeisk forsvarsindustri og forsyningskjeder, og dermed også øke norsk og europeisk forsvarsevne.</w:t>
      </w:r>
    </w:p>
    <w:p w14:paraId="1BD019BF" w14:textId="328EB349" w:rsidR="00C824F0" w:rsidRPr="00C824F0" w:rsidRDefault="00C824F0" w:rsidP="00C824F0">
      <w:r w:rsidRPr="00C824F0">
        <w:t xml:space="preserve">EDIP har et totalt budsjett på 1,5 mrd. euro, hvorav 300 mill. euro er satt av til «Støtteinstrumentet for Ukraina». Rettsakten åpner for assosiert deltakelse for EØS/EFTA-statene i Norge omfattes av alle deler av EDIP-forordningen, utenom «Støtteinstrumentet for Ukraina» som er gjenstand for en bilateral avtale mellom EU og Ukraina som Norge ikke er part i. </w:t>
      </w:r>
      <w:proofErr w:type="spellStart"/>
      <w:r w:rsidRPr="00C824F0">
        <w:t>EDIPs</w:t>
      </w:r>
      <w:proofErr w:type="spellEnd"/>
      <w:r w:rsidRPr="00C824F0">
        <w:t xml:space="preserve"> totale budsjett uten USI er 1,2 mrd. </w:t>
      </w:r>
      <w:r w:rsidR="00EC2047">
        <w:t>e</w:t>
      </w:r>
      <w:r w:rsidRPr="00C824F0">
        <w:t>uro for perioden 2026-2028.</w:t>
      </w:r>
    </w:p>
    <w:p w14:paraId="1978683E" w14:textId="77777777" w:rsidR="00C824F0" w:rsidRPr="00C824F0" w:rsidRDefault="00C824F0" w:rsidP="00C824F0">
      <w:r w:rsidRPr="00C824F0">
        <w:t>EØS/EFTA-statenes finansielle bidrag til EDIP bestemmes i henhold til EØS-avtalens artikkel 82 nr. 1 bokstav a. Norges andel av totalbudsjettet vil i tråd med vanlig praksis for EU-programmer tilsvarer Norges BNP-andel, for tiden 2,43 pst. De samlede kontingentutgiftene ved Norges deltakelse i EDIP for perioden 2026-2028 er anslått til 328 millioner 2026-kroner.</w:t>
      </w:r>
    </w:p>
    <w:p w14:paraId="3B43C5D0" w14:textId="77777777" w:rsidR="00C824F0" w:rsidRPr="00C824F0" w:rsidRDefault="00C824F0" w:rsidP="00C824F0">
      <w:r w:rsidRPr="00C824F0">
        <w:lastRenderedPageBreak/>
        <w:t>Utbetalingsprofil for Norges deltakelse i EDIP er ikke endelig fastsatt. Erfaringer fra tidligere rammeprogrammer viser at utbetaling av kontingenten fordeler seg ujevnt men stigende, og strekker seg utover den gitte programperioden. Dette skyldes blant annet at prosjekter som settes i gang mot slutten av perioden vil fortsette etter at programperioden formelt er avsluttet. Det vil i tillegg være usikkerhet knyttet til en eventuell endring av proporsjonalitetsfaktoren over tid og svingninger i valutakurs. Utgiftene til norsk deltakelse vil bli dekket innenfor den militære delen av Nansen-programmet og regjeringen kommer tilbake til de årlige utgiftene fra 2026 og framover i forbindelse med forslag til revidert nasjonalbudsjett for 2026 og forslag til statsbudsjett for 2027.</w:t>
      </w:r>
    </w:p>
    <w:p w14:paraId="32088FFF" w14:textId="77777777" w:rsidR="00C824F0" w:rsidRPr="00C824F0" w:rsidRDefault="00C824F0" w:rsidP="00C824F0">
      <w:r w:rsidRPr="00C824F0">
        <w:t>Forsvarsdepartementet vil sammen med underliggende etater stå for den løpende oppfølgingen av EDIP i programperioden, og deltakelse vil medføre administrativt merarbeid.</w:t>
      </w:r>
    </w:p>
    <w:p w14:paraId="0D88FA1D" w14:textId="77777777" w:rsidR="00C824F0" w:rsidRPr="00C824F0" w:rsidRDefault="00C824F0" w:rsidP="00C824F0">
      <w:pPr>
        <w:rPr>
          <w:u w:val="single"/>
        </w:rPr>
      </w:pPr>
      <w:r w:rsidRPr="00C824F0">
        <w:rPr>
          <w:u w:val="single"/>
        </w:rPr>
        <w:t>Sakkyndiges merknader</w:t>
      </w:r>
    </w:p>
    <w:p w14:paraId="5AEFE128" w14:textId="5AB8CCD9" w:rsidR="00C824F0" w:rsidRPr="00C824F0" w:rsidRDefault="00C824F0" w:rsidP="00C824F0">
      <w:r w:rsidRPr="00C824F0">
        <w:t>Rettsakten </w:t>
      </w:r>
      <w:r w:rsidR="0062272A">
        <w:t xml:space="preserve">er </w:t>
      </w:r>
      <w:r w:rsidRPr="00C824F0">
        <w:t>behandle</w:t>
      </w:r>
      <w:r w:rsidR="0062272A">
        <w:t>t</w:t>
      </w:r>
      <w:r w:rsidRPr="00C824F0">
        <w:t xml:space="preserve"> i spesialutvalget for indre marked.</w:t>
      </w:r>
    </w:p>
    <w:p w14:paraId="156EB21B" w14:textId="77777777" w:rsidR="00BF425D" w:rsidRDefault="00BF425D" w:rsidP="00C824F0">
      <w:pPr>
        <w:rPr>
          <w:b/>
          <w:bCs/>
        </w:rPr>
      </w:pPr>
    </w:p>
    <w:p w14:paraId="3F9DA555" w14:textId="550755AD" w:rsidR="00C824F0" w:rsidRPr="00C824F0" w:rsidRDefault="00C824F0" w:rsidP="00C824F0">
      <w:pPr>
        <w:rPr>
          <w:b/>
          <w:bCs/>
        </w:rPr>
      </w:pPr>
      <w:r w:rsidRPr="00C824F0">
        <w:rPr>
          <w:b/>
          <w:bCs/>
        </w:rPr>
        <w:t>Vurdering</w:t>
      </w:r>
    </w:p>
    <w:p w14:paraId="1DDC73A4" w14:textId="77777777" w:rsidR="00C824F0" w:rsidRPr="00C824F0" w:rsidRDefault="00C824F0" w:rsidP="00C824F0">
      <w:r w:rsidRPr="00C824F0">
        <w:t>EU-siden har markert rettsakten som «</w:t>
      </w:r>
      <w:proofErr w:type="spellStart"/>
      <w:r w:rsidRPr="00C824F0">
        <w:t>text</w:t>
      </w:r>
      <w:proofErr w:type="spellEnd"/>
      <w:r w:rsidRPr="00C824F0">
        <w:t xml:space="preserve"> </w:t>
      </w:r>
      <w:proofErr w:type="spellStart"/>
      <w:r w:rsidRPr="00C824F0">
        <w:t>with</w:t>
      </w:r>
      <w:proofErr w:type="spellEnd"/>
      <w:r w:rsidRPr="00C824F0">
        <w:t xml:space="preserve"> EEA </w:t>
      </w:r>
      <w:proofErr w:type="spellStart"/>
      <w:r w:rsidRPr="00C824F0">
        <w:t>relevance</w:t>
      </w:r>
      <w:proofErr w:type="spellEnd"/>
      <w:r w:rsidRPr="00C824F0">
        <w:t>». Dette indikere at EU anser rettsakten EØS-relevant, men det er ikke styrende for om man på norsk side vurdere rettsakten som EØS-relevant. Tematisk er rettsakten knyttet til økonomisk støtte og investeringer for den europeiske forsvarsindustrien. Samarbeid innenfor forsvar og sikkerhet er generelt antatt å falle utenfor EØS-avtalens virkeområde. Samlet sett er rettsakten vurdert å ikke være EØS-relevant, og EØS/EFTA-statene anses ikke forpliktet til å innlemme forordningen i EØS-avtalen.</w:t>
      </w:r>
    </w:p>
    <w:p w14:paraId="2D4D122D" w14:textId="2876AB70" w:rsidR="00C824F0" w:rsidRPr="00C824F0" w:rsidRDefault="00C824F0" w:rsidP="00C824F0">
      <w:r w:rsidRPr="00C824F0">
        <w:t>Forordningen har betydning for den forsvarsindustrielle delen av det indre marked.</w:t>
      </w:r>
    </w:p>
    <w:p w14:paraId="00BF19A6" w14:textId="77777777" w:rsidR="00C824F0" w:rsidRPr="00C824F0" w:rsidRDefault="00C824F0" w:rsidP="00C824F0">
      <w:r w:rsidRPr="00C824F0">
        <w:t>Norge er ett av få land i EØS-området med en forsvarsindustri og et omfattende forsvarsbudsjett. Norge ønsker å bruke deltakelse i EDIP som et virkemiddel for å bidra til å styrke den europeiske og ukrainske forsvarsindustrielle basen. Deltakelse skal bidra til å øke kapasiteten og redusere ledetider i europeisk forsvarsindustri, som igjen vurderes som viktig for å bidra til at Ukraina mottar den militære støtten de trenger for å opprettholde sin forsvarskamp. </w:t>
      </w:r>
    </w:p>
    <w:p w14:paraId="3E47ABDA" w14:textId="77777777" w:rsidR="00C824F0" w:rsidRPr="00C824F0" w:rsidRDefault="00C824F0" w:rsidP="00C824F0">
      <w:r w:rsidRPr="00C824F0">
        <w:t>EDIP-forordningen samsvarer med regjeringens politikk for styrket norsk forsvarsindustri som en del av den europeiske forsvarsindustrielle teknologibasen og definert i regjeringens Veikart for økt produksjonskapasitet i forsvarsindustrien. Forsvarsdepartementets vurdering er at EDIP-forordningen derfor bør innlemmes i protokoll 31 om det frivillige samarbeidet, tilsvarende ASAP og EDIRPA.</w:t>
      </w:r>
    </w:p>
    <w:p w14:paraId="5E98AD06" w14:textId="415CDA27" w:rsidR="00C824F0" w:rsidRPr="00C824F0" w:rsidRDefault="00C824F0" w:rsidP="00C824F0">
      <w:r w:rsidRPr="00C824F0">
        <w:t>Inn</w:t>
      </w:r>
      <w:r>
        <w:t>e</w:t>
      </w:r>
      <w:r w:rsidRPr="00C824F0">
        <w:t xml:space="preserve">holder informasjon unntatt offentlighet, jf. </w:t>
      </w:r>
      <w:proofErr w:type="spellStart"/>
      <w:r w:rsidRPr="00C824F0">
        <w:t>offl</w:t>
      </w:r>
      <w:proofErr w:type="spellEnd"/>
      <w:r w:rsidRPr="00C824F0">
        <w:t>. § 13</w:t>
      </w:r>
    </w:p>
    <w:p w14:paraId="740DBE2A" w14:textId="77777777" w:rsidR="00FE437F" w:rsidRDefault="00FE437F" w:rsidP="004C2726"/>
    <w:p w14:paraId="228B6F4B" w14:textId="5A395E52" w:rsidR="0048370B" w:rsidRDefault="0048370B">
      <w:r>
        <w:br w:type="page"/>
      </w:r>
    </w:p>
    <w:p w14:paraId="27EBA759" w14:textId="56428DA6" w:rsidR="0048370B" w:rsidRPr="009C7A4E" w:rsidRDefault="0048370B" w:rsidP="0048370B">
      <w:pPr>
        <w:pStyle w:val="Heading2"/>
        <w:rPr>
          <w:color w:val="auto"/>
        </w:rPr>
      </w:pPr>
      <w:bookmarkStart w:id="7" w:name="_Toc233967736"/>
      <w:r>
        <w:rPr>
          <w:color w:val="auto"/>
        </w:rPr>
        <w:lastRenderedPageBreak/>
        <w:t>NÆRINGS- OG FISKERI</w:t>
      </w:r>
      <w:r w:rsidRPr="009C7A4E">
        <w:rPr>
          <w:color w:val="auto"/>
        </w:rPr>
        <w:t>DEPARTEMENTET</w:t>
      </w:r>
      <w:bookmarkEnd w:id="7"/>
    </w:p>
    <w:p w14:paraId="4509E6E5" w14:textId="77777777" w:rsidR="0048370B" w:rsidRPr="0048370B" w:rsidRDefault="0048370B" w:rsidP="0048370B"/>
    <w:p w14:paraId="687CC9E8" w14:textId="48455638" w:rsidR="0043110B" w:rsidRDefault="00797C38" w:rsidP="008F45D1">
      <w:pPr>
        <w:rPr>
          <w:rFonts w:eastAsiaTheme="majorEastAsia" w:cstheme="minorHAnsi"/>
        </w:rPr>
      </w:pPr>
      <w:r w:rsidRPr="00C72BEF">
        <w:rPr>
          <w:rFonts w:eastAsiaTheme="majorEastAsia" w:cstheme="minorHAnsi"/>
          <w:u w:val="single"/>
        </w:rPr>
        <w:t>32013</w:t>
      </w:r>
      <w:r w:rsidR="00D74649" w:rsidRPr="00C72BEF">
        <w:rPr>
          <w:rFonts w:eastAsiaTheme="majorEastAsia" w:cstheme="minorHAnsi"/>
          <w:u w:val="single"/>
        </w:rPr>
        <w:t>R0734</w:t>
      </w:r>
      <w:r w:rsidR="009967FB">
        <w:rPr>
          <w:rFonts w:eastAsiaTheme="majorEastAsia" w:cstheme="minorHAnsi"/>
        </w:rPr>
        <w:t xml:space="preserve"> </w:t>
      </w:r>
      <w:r w:rsidR="009967FB" w:rsidRPr="00C72BEF">
        <w:rPr>
          <w:rFonts w:eastAsiaTheme="majorEastAsia" w:cstheme="minorHAnsi"/>
          <w:u w:val="single"/>
        </w:rPr>
        <w:t>Rådsforordning (EU) nr. 734/2013 av 22. juli 2013 om endring av forordning (EF) nr. 659/1999 om fastsettelse av nærmere regler for anvendelsen av EF-traktatens artikkel 93</w:t>
      </w:r>
      <w:r w:rsidR="00C72BEF">
        <w:rPr>
          <w:rFonts w:eastAsiaTheme="majorEastAsia" w:cstheme="minorHAnsi"/>
        </w:rPr>
        <w:t xml:space="preserve"> </w:t>
      </w:r>
    </w:p>
    <w:p w14:paraId="5A287E92" w14:textId="35910B6A" w:rsidR="009967FB" w:rsidRPr="0027157D" w:rsidRDefault="009967FB" w:rsidP="008F45D1">
      <w:pPr>
        <w:rPr>
          <w:rFonts w:eastAsiaTheme="majorEastAsia" w:cstheme="minorHAnsi"/>
        </w:rPr>
      </w:pPr>
      <w:r w:rsidRPr="00C72BEF">
        <w:rPr>
          <w:rFonts w:eastAsiaTheme="majorEastAsia" w:cstheme="minorHAnsi"/>
          <w:u w:val="single"/>
        </w:rPr>
        <w:t>32015R1589 Rådsforordning (EU) 2015/1589 av 13. juli 2015 om fastsettelse av nærmere regler for anvendelsen av artikkel 108 i traktaten om Den europeiske unions virkemåte</w:t>
      </w:r>
    </w:p>
    <w:p w14:paraId="3D0D8701" w14:textId="6578FD03" w:rsidR="000D321A" w:rsidRDefault="000D321A" w:rsidP="002A57F3">
      <w:bookmarkStart w:id="8" w:name="_Toc31365058"/>
      <w:bookmarkStart w:id="9" w:name="_Toc37761044"/>
      <w:bookmarkStart w:id="10" w:name="_Toc56089317"/>
      <w:bookmarkStart w:id="11" w:name="_Toc64554387"/>
      <w:bookmarkStart w:id="12" w:name="_Toc73612617"/>
      <w:bookmarkStart w:id="13" w:name="_Toc80882116"/>
    </w:p>
    <w:p w14:paraId="2C7EC154" w14:textId="6B914CD8" w:rsidR="00C72BEF" w:rsidRDefault="00C72BEF" w:rsidP="002A57F3">
      <w:r>
        <w:t xml:space="preserve">Stortinget har allerede gitt sitt samtykke til disse to: </w:t>
      </w:r>
      <w:hyperlink r:id="rId12" w:history="1">
        <w:r w:rsidR="00DB52CD" w:rsidRPr="00DB52CD">
          <w:rPr>
            <w:rStyle w:val="Hyperlink"/>
          </w:rPr>
          <w:t>Sak - stortinget.no</w:t>
        </w:r>
      </w:hyperlink>
    </w:p>
    <w:p w14:paraId="0E2E9CA4" w14:textId="77777777" w:rsidR="00C72BEF" w:rsidRDefault="00C72BEF">
      <w:r>
        <w:br w:type="page"/>
      </w:r>
    </w:p>
    <w:p w14:paraId="3567B4DA" w14:textId="481A5BCA" w:rsidR="00945ED2" w:rsidRPr="00945ED2" w:rsidRDefault="00C72BEF">
      <w:pPr>
        <w:rPr>
          <w:u w:val="single"/>
        </w:rPr>
      </w:pPr>
      <w:r w:rsidRPr="00945ED2">
        <w:rPr>
          <w:u w:val="single"/>
        </w:rPr>
        <w:lastRenderedPageBreak/>
        <w:t xml:space="preserve">32023R0588 </w:t>
      </w:r>
      <w:r w:rsidR="00945ED2" w:rsidRPr="00945ED2">
        <w:rPr>
          <w:u w:val="single"/>
        </w:rPr>
        <w:t xml:space="preserve">Europaparlaments- og rådsforordning (EU) 2023/588 av 15. mars 2023 om opprettelse av Unionens program for sikker </w:t>
      </w:r>
      <w:proofErr w:type="spellStart"/>
      <w:r w:rsidR="00945ED2" w:rsidRPr="00945ED2">
        <w:rPr>
          <w:u w:val="single"/>
        </w:rPr>
        <w:t>konnektivitet</w:t>
      </w:r>
      <w:proofErr w:type="spellEnd"/>
      <w:r w:rsidR="00945ED2" w:rsidRPr="00945ED2">
        <w:rPr>
          <w:u w:val="single"/>
        </w:rPr>
        <w:t xml:space="preserve"> for perioden 2023–2027</w:t>
      </w:r>
    </w:p>
    <w:p w14:paraId="2465C768" w14:textId="77777777" w:rsidR="00B13FE5" w:rsidRPr="00E32F1C" w:rsidRDefault="00B13FE5" w:rsidP="00B13FE5">
      <w:pPr>
        <w:rPr>
          <w:b/>
          <w:bCs/>
        </w:rPr>
      </w:pPr>
      <w:r w:rsidRPr="00E32F1C">
        <w:rPr>
          <w:b/>
          <w:bCs/>
        </w:rPr>
        <w:t>Gjennomføring av EØS-komiteens beslutning i norsk rett vil innebære budsjettmessige konsekvenser og kan medføre lite inngripende myndighetsoverføring, er Stortingets samtykke til godkjennelse av EØS-komiteens beslutning nødvendig i medhold av Grunnloven § 26 annet ledd.</w:t>
      </w:r>
    </w:p>
    <w:p w14:paraId="204F7C71" w14:textId="77777777" w:rsidR="00B13FE5" w:rsidRDefault="00B13FE5" w:rsidP="000A47D0"/>
    <w:p w14:paraId="4E8B95AA" w14:textId="25DCBD1B" w:rsidR="000A47D0" w:rsidRDefault="000A47D0" w:rsidP="000A47D0">
      <w:r>
        <w:t xml:space="preserve">Rammeverket for norsk deltakelse vil både være en separat avtale og en EØS-komitébeslutning. Den separate avtalen ble undertegnet 26. mars 2026. Utkast til EØS-komitébeslutning om innlemmelse i EØS-avtalen av </w:t>
      </w:r>
      <w:proofErr w:type="spellStart"/>
      <w:r>
        <w:t>Secure</w:t>
      </w:r>
      <w:proofErr w:type="spellEnd"/>
      <w:r>
        <w:t xml:space="preserve"> Connectivity-forordningen og GOVSATCOM-komponenten ble godkjent 5. juni, og forventes behandlet i EØS-komiteen 10. juli.</w:t>
      </w:r>
    </w:p>
    <w:p w14:paraId="3CADBC89" w14:textId="77777777" w:rsidR="000A47D0" w:rsidRDefault="000A47D0" w:rsidP="000A47D0"/>
    <w:p w14:paraId="7026B4B9" w14:textId="77777777" w:rsidR="000A47D0" w:rsidRPr="00B13FE5" w:rsidRDefault="000A47D0" w:rsidP="000A47D0">
      <w:pPr>
        <w:rPr>
          <w:b/>
          <w:bCs/>
        </w:rPr>
      </w:pPr>
      <w:r w:rsidRPr="00B13FE5">
        <w:rPr>
          <w:b/>
          <w:bCs/>
        </w:rPr>
        <w:t>Sammendrag av innhold</w:t>
      </w:r>
    </w:p>
    <w:p w14:paraId="71E4540B" w14:textId="77777777" w:rsidR="000A47D0" w:rsidRDefault="000A47D0" w:rsidP="000A47D0">
      <w:r>
        <w:t xml:space="preserve">EUs program for sikker og robust bredbåndskommunikasjon med lav forsinkelse for myndigheter, </w:t>
      </w:r>
      <w:proofErr w:type="spellStart"/>
      <w:r>
        <w:t>Secure</w:t>
      </w:r>
      <w:proofErr w:type="spellEnd"/>
      <w:r>
        <w:t xml:space="preserve"> Connectivity, skal gi bedre og sikrere tilgang til kommunikasjons­tjenester i områder som Afrika, Arktis, Østersjøen, Svartehavet, Middelhavet og Atlanterhavet. EU legger stadig større vekt på systemets fremtidige militære bruk.</w:t>
      </w:r>
    </w:p>
    <w:p w14:paraId="45382501" w14:textId="77777777" w:rsidR="000A47D0" w:rsidRDefault="000A47D0" w:rsidP="000A47D0">
      <w:proofErr w:type="spellStart"/>
      <w:r>
        <w:t>Secure</w:t>
      </w:r>
      <w:proofErr w:type="spellEnd"/>
      <w:r>
        <w:t xml:space="preserve"> Connectivity-forordningen fastsetter programmets mål, budsjettet for perioden 2023–2027, former for unionsfinansiering og regler for å gi slik finansiering samt reglene for gjennomføringen av programmet. </w:t>
      </w:r>
      <w:proofErr w:type="spellStart"/>
      <w:r>
        <w:t>Secure</w:t>
      </w:r>
      <w:proofErr w:type="spellEnd"/>
      <w:r>
        <w:t xml:space="preserve"> Connectivity-forordningen henviser i stor grad til europaparlaments- og rådsforordning (EU) 2021/696 om opprettelse av Unionens romprogram og Den europeiske unions byrå for romprogrammet (romforordningen). Hovedaktivitetene i </w:t>
      </w:r>
      <w:proofErr w:type="spellStart"/>
      <w:r>
        <w:t>Secure</w:t>
      </w:r>
      <w:proofErr w:type="spellEnd"/>
      <w:r>
        <w:t xml:space="preserve"> Connectivity er:</w:t>
      </w:r>
    </w:p>
    <w:p w14:paraId="4208E286" w14:textId="1FCFDA70" w:rsidR="000A47D0" w:rsidRDefault="006C2B09" w:rsidP="006C2B09">
      <w:r>
        <w:t xml:space="preserve">a. </w:t>
      </w:r>
      <w:r w:rsidR="000A47D0">
        <w:t>Definisjon, utforming, utvikling, validering og tilknyttede utbyggingsaktiviteter for å bygge den rom- og bakkeinfrastrukturen som kreves for å levere de første offentlige tjenestene innen 2024.</w:t>
      </w:r>
    </w:p>
    <w:p w14:paraId="69E6FDCD" w14:textId="4BD84CA0" w:rsidR="000A47D0" w:rsidRDefault="006C2B09" w:rsidP="000A47D0">
      <w:r>
        <w:t xml:space="preserve">b. </w:t>
      </w:r>
      <w:r w:rsidR="000A47D0">
        <w:t>Gradvise utbyggingsaktiviteter for å ferdigstille den rom- og bakkeinfrastrukturen som kreves for å levere avanserte offentlige tjenester, for snarest mulig å dekke behovene til brukere som er godkjent av offentlige myndigheter, med sikte på å oppnå full driftskapasitet innen 2027.</w:t>
      </w:r>
    </w:p>
    <w:p w14:paraId="5DA39A7B" w14:textId="33D2F160" w:rsidR="000A47D0" w:rsidRDefault="006C2B09" w:rsidP="000A47D0">
      <w:r>
        <w:t xml:space="preserve">c. </w:t>
      </w:r>
      <w:r w:rsidR="000A47D0">
        <w:t xml:space="preserve">Utvikling og utbygging av </w:t>
      </w:r>
      <w:proofErr w:type="spellStart"/>
      <w:r w:rsidR="000A47D0">
        <w:t>EuroQCI</w:t>
      </w:r>
      <w:proofErr w:type="spellEnd"/>
      <w:r w:rsidR="000A47D0">
        <w:t xml:space="preserve"> (European Quantum </w:t>
      </w:r>
      <w:proofErr w:type="spellStart"/>
      <w:r w:rsidR="000A47D0">
        <w:t>Communication</w:t>
      </w:r>
      <w:proofErr w:type="spellEnd"/>
      <w:r w:rsidR="000A47D0">
        <w:t xml:space="preserve"> </w:t>
      </w:r>
      <w:proofErr w:type="spellStart"/>
      <w:r w:rsidR="000A47D0">
        <w:t>Infrastructure</w:t>
      </w:r>
      <w:proofErr w:type="spellEnd"/>
      <w:r w:rsidR="000A47D0">
        <w:t xml:space="preserve">) med henblikk på gradvis integrering i systemet for sikker </w:t>
      </w:r>
      <w:proofErr w:type="spellStart"/>
      <w:r w:rsidR="000A47D0">
        <w:t>konnektivitet</w:t>
      </w:r>
      <w:proofErr w:type="spellEnd"/>
      <w:r w:rsidR="000A47D0">
        <w:t>.</w:t>
      </w:r>
    </w:p>
    <w:p w14:paraId="686A47EF" w14:textId="3008C650" w:rsidR="000A47D0" w:rsidRDefault="006C2B09" w:rsidP="000A47D0">
      <w:r>
        <w:t xml:space="preserve">d. </w:t>
      </w:r>
      <w:r w:rsidR="000A47D0">
        <w:t>Utnyttelsesaktiviteter for levering av offentlige kommunikasjonstjenester, herunder drift, vedlikehold, kontinuerlig forbedring og beskyttelse av rom- og bakkeinfrastrukturen, herunder oppgradering og håndtering av foreldelse.</w:t>
      </w:r>
    </w:p>
    <w:p w14:paraId="50568134" w14:textId="5F55A104" w:rsidR="000A47D0" w:rsidRDefault="006C2B09" w:rsidP="000A47D0">
      <w:r>
        <w:t xml:space="preserve">e. </w:t>
      </w:r>
      <w:r w:rsidR="000A47D0">
        <w:t>Utvikling av framtidige generasjoner av rom- og bakkeinfrastruktur og utvikling av offentlige kommunikasjonstjenester.</w:t>
      </w:r>
    </w:p>
    <w:p w14:paraId="21A77884" w14:textId="77777777" w:rsidR="000A47D0" w:rsidRDefault="000A47D0" w:rsidP="000A47D0">
      <w:r>
        <w:t>Fremdriften i programmet er noe forsinket i forhold til det som fremgår av forordningen.</w:t>
      </w:r>
    </w:p>
    <w:p w14:paraId="30C72484" w14:textId="77777777" w:rsidR="000A47D0" w:rsidRDefault="000A47D0" w:rsidP="000A47D0"/>
    <w:p w14:paraId="62D09725" w14:textId="77777777" w:rsidR="000A47D0" w:rsidRDefault="000A47D0" w:rsidP="000A47D0">
      <w:r>
        <w:t xml:space="preserve">Følgende enheter kan godkjennes som brukere av offentlige tjenester:      </w:t>
      </w:r>
    </w:p>
    <w:p w14:paraId="6CDFFAFA" w14:textId="1FB2881E" w:rsidR="000A47D0" w:rsidRDefault="00416667" w:rsidP="000A47D0">
      <w:r>
        <w:t xml:space="preserve">a. </w:t>
      </w:r>
      <w:r w:rsidR="000A47D0">
        <w:t>En offentlig myndighet i Unionen eller en medlemsstat eller et organ som har fått i oppgave å utøve offentlig myndighet.</w:t>
      </w:r>
    </w:p>
    <w:p w14:paraId="67AC3DA2" w14:textId="044AE362" w:rsidR="000A47D0" w:rsidRDefault="00416667" w:rsidP="000A47D0">
      <w:r>
        <w:lastRenderedPageBreak/>
        <w:t xml:space="preserve">b. </w:t>
      </w:r>
      <w:r w:rsidR="000A47D0">
        <w:t>En fysisk eller juridisk person som opptrer på vegne av og under kontroll av en enhet nevnt i bokstav a).</w:t>
      </w:r>
    </w:p>
    <w:p w14:paraId="55C55095" w14:textId="77777777" w:rsidR="000A47D0" w:rsidRDefault="000A47D0" w:rsidP="000A47D0">
      <w:r>
        <w:t>Det legges stor vekt på samarbeid med industrien og utvikling av små- og mellomstore bedrifter.</w:t>
      </w:r>
    </w:p>
    <w:p w14:paraId="668023C9" w14:textId="77777777" w:rsidR="000A47D0" w:rsidRDefault="000A47D0" w:rsidP="000A47D0">
      <w:proofErr w:type="spellStart"/>
      <w:r>
        <w:t>Secure</w:t>
      </w:r>
      <w:proofErr w:type="spellEnd"/>
      <w:r>
        <w:t xml:space="preserve"> Connectivity henger tett sammen med GOVSATCOM-komponenten i romforordningen. Norge deltar allerede i det aller meste av EUs romprogram ved at romforordningen delvis er innlemmet i EØS-avtalen gjennom protokoll 31, men ikke i GOVSATCOM-komponenten og SST (Space </w:t>
      </w:r>
      <w:proofErr w:type="spellStart"/>
      <w:r>
        <w:t>Surveillance</w:t>
      </w:r>
      <w:proofErr w:type="spellEnd"/>
      <w:r>
        <w:t xml:space="preserve"> and </w:t>
      </w:r>
      <w:proofErr w:type="spellStart"/>
      <w:r>
        <w:t>Tracking</w:t>
      </w:r>
      <w:proofErr w:type="spellEnd"/>
      <w:r>
        <w:t xml:space="preserve">). I </w:t>
      </w:r>
      <w:proofErr w:type="spellStart"/>
      <w:r>
        <w:t>Secure</w:t>
      </w:r>
      <w:proofErr w:type="spellEnd"/>
      <w:r>
        <w:t xml:space="preserve"> Connectivity-forordningen forutsettes det deltakelse i GOVSATCOM for deltakelse i </w:t>
      </w:r>
      <w:proofErr w:type="spellStart"/>
      <w:r>
        <w:t>Secure</w:t>
      </w:r>
      <w:proofErr w:type="spellEnd"/>
      <w:r>
        <w:t xml:space="preserve"> Connectivity.</w:t>
      </w:r>
    </w:p>
    <w:p w14:paraId="0F791527" w14:textId="77777777" w:rsidR="000A47D0" w:rsidRDefault="000A47D0" w:rsidP="000A47D0">
      <w:proofErr w:type="spellStart"/>
      <w:r>
        <w:t>Secure</w:t>
      </w:r>
      <w:proofErr w:type="spellEnd"/>
      <w:r>
        <w:t xml:space="preserve"> Connectivity-forordningen og romforordningen setter enkelte begrensninger for norsk industrideltakelse. Dette innebærer bl.a. at oppskyting av satellitter fra Norge kun kan skje i «berettigede unntakstilfeller». Begrunnelsen for begrensningene er EUs behov for å beskytte sikkerhet, integritet og motstands­kraft i EU.</w:t>
      </w:r>
    </w:p>
    <w:p w14:paraId="686118BD" w14:textId="77777777" w:rsidR="000A47D0" w:rsidRDefault="000A47D0" w:rsidP="000A47D0">
      <w:r>
        <w:t xml:space="preserve">Sikkerhetsprinsippene for både </w:t>
      </w:r>
      <w:proofErr w:type="spellStart"/>
      <w:r>
        <w:t>Secure</w:t>
      </w:r>
      <w:proofErr w:type="spellEnd"/>
      <w:r>
        <w:t xml:space="preserve"> Connectivity og GOVSATCOM skal basere seg på romforordningen. Medlemsstatenes kompetanse på sikkerhet skal hensyntas, og Rådets og Kommisjonens sikkerhetsregler skal legges til grunn, blant annet for å skille operative driftsfunksjoner fra akkrediteringsfunksjoner.</w:t>
      </w:r>
    </w:p>
    <w:p w14:paraId="24370A25" w14:textId="77777777" w:rsidR="000A47D0" w:rsidRDefault="000A47D0" w:rsidP="000A47D0">
      <w:proofErr w:type="spellStart"/>
      <w:r>
        <w:t>Secure</w:t>
      </w:r>
      <w:proofErr w:type="spellEnd"/>
      <w:r>
        <w:t xml:space="preserve"> Connectivity-forordningen forutsetter ved deltakelse en rettferdig balanse mellom bidrag og ytelser. EUs kostnader til </w:t>
      </w:r>
      <w:proofErr w:type="spellStart"/>
      <w:r>
        <w:t>Secure</w:t>
      </w:r>
      <w:proofErr w:type="spellEnd"/>
      <w:r>
        <w:t xml:space="preserve"> Connectivity er budsjettert til 2,4 mrd. euro for perioden 2023-2027. For GOVSATCOM og SSA (Space </w:t>
      </w:r>
      <w:proofErr w:type="spellStart"/>
      <w:r>
        <w:t>Situational</w:t>
      </w:r>
      <w:proofErr w:type="spellEnd"/>
      <w:r>
        <w:t xml:space="preserve"> </w:t>
      </w:r>
      <w:proofErr w:type="spellStart"/>
      <w:r>
        <w:t>Awareness</w:t>
      </w:r>
      <w:proofErr w:type="spellEnd"/>
      <w:r>
        <w:t>) er budsjettet i romforordningen på 442 mill. euro for perioden 2021–2027. Budsjettet for GOVSATCOM er senere spesifisert til 209,6 mill. euro.</w:t>
      </w:r>
    </w:p>
    <w:p w14:paraId="2E1063DF" w14:textId="77777777" w:rsidR="000A47D0" w:rsidRDefault="000A47D0" w:rsidP="000A47D0">
      <w:r>
        <w:t xml:space="preserve">Detaljregler for </w:t>
      </w:r>
      <w:proofErr w:type="spellStart"/>
      <w:r>
        <w:t>Secure</w:t>
      </w:r>
      <w:proofErr w:type="spellEnd"/>
      <w:r>
        <w:t xml:space="preserve"> Connectivity og GOVSATCOM vil i stor grad bli beskrevet i gjennomføringsrettsakter. Det er fastsatt i artikkel 39 i </w:t>
      </w:r>
      <w:proofErr w:type="spellStart"/>
      <w:r>
        <w:t>Secure</w:t>
      </w:r>
      <w:proofErr w:type="spellEnd"/>
      <w:r>
        <w:t xml:space="preserve"> Connectivity-forordningen at bl.a. medlemmer av EFTA som er medlemmer av EØS kan delta, men at dette krever en egen avtale i tråd med artikkel 218 i TEUV. Det åpnes ikke for at slike land kan ha noen besluttende myndighet i programmet.</w:t>
      </w:r>
    </w:p>
    <w:p w14:paraId="7848800A" w14:textId="77777777" w:rsidR="000A47D0" w:rsidRDefault="000A47D0" w:rsidP="000A47D0">
      <w:r w:rsidRPr="000A47D0">
        <w:rPr>
          <w:lang w:val="en-US"/>
        </w:rPr>
        <w:t>Secure Connectivity-</w:t>
      </w:r>
      <w:proofErr w:type="spellStart"/>
      <w:r w:rsidRPr="000A47D0">
        <w:rPr>
          <w:lang w:val="en-US"/>
        </w:rPr>
        <w:t>programmet</w:t>
      </w:r>
      <w:proofErr w:type="spellEnd"/>
      <w:r w:rsidRPr="000A47D0">
        <w:rPr>
          <w:lang w:val="en-US"/>
        </w:rPr>
        <w:t xml:space="preserve"> </w:t>
      </w:r>
      <w:proofErr w:type="spellStart"/>
      <w:r w:rsidRPr="000A47D0">
        <w:rPr>
          <w:lang w:val="en-US"/>
        </w:rPr>
        <w:t>omtales</w:t>
      </w:r>
      <w:proofErr w:type="spellEnd"/>
      <w:r w:rsidRPr="000A47D0">
        <w:rPr>
          <w:lang w:val="en-US"/>
        </w:rPr>
        <w:t xml:space="preserve"> </w:t>
      </w:r>
      <w:proofErr w:type="spellStart"/>
      <w:r w:rsidRPr="000A47D0">
        <w:rPr>
          <w:lang w:val="en-US"/>
        </w:rPr>
        <w:t>ofte</w:t>
      </w:r>
      <w:proofErr w:type="spellEnd"/>
      <w:r w:rsidRPr="000A47D0">
        <w:rPr>
          <w:lang w:val="en-US"/>
        </w:rPr>
        <w:t xml:space="preserve"> </w:t>
      </w:r>
      <w:proofErr w:type="spellStart"/>
      <w:r w:rsidRPr="000A47D0">
        <w:rPr>
          <w:lang w:val="en-US"/>
        </w:rPr>
        <w:t>som</w:t>
      </w:r>
      <w:proofErr w:type="spellEnd"/>
      <w:r w:rsidRPr="000A47D0">
        <w:rPr>
          <w:lang w:val="en-US"/>
        </w:rPr>
        <w:t xml:space="preserve"> IRIS2 (Infrastructure for Resilience, Interconnectivity and Security by Satellite). </w:t>
      </w:r>
      <w:r>
        <w:t>Dette begrepet er ikke benyttet i forordningen.</w:t>
      </w:r>
    </w:p>
    <w:p w14:paraId="0C41D74E" w14:textId="77777777" w:rsidR="000A47D0" w:rsidRPr="00416667" w:rsidRDefault="000A47D0" w:rsidP="000A47D0">
      <w:pPr>
        <w:rPr>
          <w:b/>
          <w:bCs/>
        </w:rPr>
      </w:pPr>
      <w:r w:rsidRPr="00416667">
        <w:rPr>
          <w:b/>
          <w:bCs/>
        </w:rPr>
        <w:t>Merknader</w:t>
      </w:r>
    </w:p>
    <w:p w14:paraId="54ED83FB" w14:textId="77777777" w:rsidR="000A47D0" w:rsidRPr="00416667" w:rsidRDefault="000A47D0" w:rsidP="000A47D0">
      <w:pPr>
        <w:rPr>
          <w:u w:val="single"/>
        </w:rPr>
      </w:pPr>
      <w:r w:rsidRPr="00416667">
        <w:rPr>
          <w:u w:val="single"/>
        </w:rPr>
        <w:t>Rettslige konsekvenser</w:t>
      </w:r>
    </w:p>
    <w:p w14:paraId="411738A4" w14:textId="77777777" w:rsidR="000A47D0" w:rsidRDefault="000A47D0" w:rsidP="000A47D0">
      <w:r>
        <w:t>Det er ikke behov for lov eller forskriftsendring.</w:t>
      </w:r>
    </w:p>
    <w:p w14:paraId="32E4D3A8" w14:textId="77777777" w:rsidR="000A47D0" w:rsidRDefault="000A47D0" w:rsidP="000A47D0"/>
    <w:p w14:paraId="0F9892F9" w14:textId="77777777" w:rsidR="000A47D0" w:rsidRPr="00416667" w:rsidRDefault="000A47D0" w:rsidP="000A47D0">
      <w:pPr>
        <w:rPr>
          <w:u w:val="single"/>
        </w:rPr>
      </w:pPr>
      <w:r w:rsidRPr="00416667">
        <w:rPr>
          <w:u w:val="single"/>
        </w:rPr>
        <w:t>Økonomiske og administrative konsekvenser</w:t>
      </w:r>
    </w:p>
    <w:p w14:paraId="3CB53537" w14:textId="7D184DE9" w:rsidR="000A47D0" w:rsidRDefault="000A47D0" w:rsidP="000A47D0">
      <w:r>
        <w:t>Kostnad for norsk deltakelse er beregnet til 466,2 mill</w:t>
      </w:r>
      <w:r w:rsidR="00416667">
        <w:t>.</w:t>
      </w:r>
      <w:r>
        <w:t xml:space="preserve"> kroner ut 2027. I tillegg kommer noe følgekostnader i Direktoratet for romvirksomhet og Nasjonal sikkerhetsmyndighet.</w:t>
      </w:r>
    </w:p>
    <w:p w14:paraId="0EC76051" w14:textId="77777777" w:rsidR="000A47D0" w:rsidRDefault="000A47D0" w:rsidP="000A47D0"/>
    <w:p w14:paraId="11C6B508" w14:textId="77777777" w:rsidR="000A47D0" w:rsidRPr="00416667" w:rsidRDefault="000A47D0" w:rsidP="000A47D0">
      <w:pPr>
        <w:rPr>
          <w:u w:val="single"/>
        </w:rPr>
      </w:pPr>
      <w:r w:rsidRPr="00416667">
        <w:rPr>
          <w:u w:val="single"/>
        </w:rPr>
        <w:t>Sakkyndige instansers merknader</w:t>
      </w:r>
    </w:p>
    <w:p w14:paraId="345B5BFB" w14:textId="77777777" w:rsidR="000A47D0" w:rsidRDefault="000A47D0" w:rsidP="000A47D0">
      <w:r>
        <w:t>Vurderingen er gjort i samråd med Direktoratet for romvirksomhet.</w:t>
      </w:r>
    </w:p>
    <w:p w14:paraId="2FE4710B" w14:textId="77777777" w:rsidR="000A47D0" w:rsidRDefault="000A47D0" w:rsidP="000A47D0"/>
    <w:p w14:paraId="69D18A0F" w14:textId="77777777" w:rsidR="000A47D0" w:rsidRPr="00416667" w:rsidRDefault="000A47D0" w:rsidP="000A47D0">
      <w:pPr>
        <w:rPr>
          <w:b/>
          <w:bCs/>
        </w:rPr>
      </w:pPr>
      <w:r w:rsidRPr="00416667">
        <w:rPr>
          <w:b/>
          <w:bCs/>
        </w:rPr>
        <w:lastRenderedPageBreak/>
        <w:t>Vurdering</w:t>
      </w:r>
    </w:p>
    <w:p w14:paraId="26AA6433" w14:textId="77777777" w:rsidR="000A47D0" w:rsidRDefault="000A47D0" w:rsidP="000A47D0">
      <w:r>
        <w:t xml:space="preserve">Det har vært ønskelig fra norsk side å benytte EØS-avtalen som tilknytningsform. EU har nå endret sin vurdering fra at det utelukkende kreve en separat avtale utenom EØS-avtalen, til nå å akseptere at EØS-avtalen delvis kan være grunnlag for norsk deltakelse. Forordningen vurderes derfor å være EØS-relevant. </w:t>
      </w:r>
    </w:p>
    <w:p w14:paraId="5077B374" w14:textId="77777777" w:rsidR="000A47D0" w:rsidRPr="00574A60" w:rsidRDefault="000A47D0" w:rsidP="000A47D0">
      <w:pPr>
        <w:rPr>
          <w:b/>
          <w:bCs/>
        </w:rPr>
      </w:pPr>
      <w:r w:rsidRPr="00574A60">
        <w:rPr>
          <w:b/>
          <w:bCs/>
        </w:rPr>
        <w:t>Andre opplysninger</w:t>
      </w:r>
    </w:p>
    <w:p w14:paraId="474F6FDC" w14:textId="1B2C4D79" w:rsidR="003C6969" w:rsidRDefault="000A47D0" w:rsidP="000A47D0">
      <w:r>
        <w:t>Det har vært en arbeidsgruppe bestående av NFD, UD, FD, Direktoratet for romvirksomhet og Nasjonal sikkerhetsmyndighet. Også DFD, JD og Nasjonal kommunikasjonsmyndighet har blitt involvert i arbeidet.</w:t>
      </w:r>
    </w:p>
    <w:p w14:paraId="70DA5395" w14:textId="0476A950" w:rsidR="000D321A" w:rsidRDefault="000D321A">
      <w:r>
        <w:br w:type="page"/>
      </w:r>
    </w:p>
    <w:p w14:paraId="12D099CB" w14:textId="71D24839" w:rsidR="007C4B1D" w:rsidRPr="0027157D" w:rsidRDefault="007C4B1D" w:rsidP="002A5EB8">
      <w:pPr>
        <w:pStyle w:val="Heading2"/>
        <w:rPr>
          <w:color w:val="auto"/>
        </w:rPr>
      </w:pPr>
      <w:bookmarkStart w:id="14" w:name="_Toc233967737"/>
      <w:r w:rsidRPr="0027157D">
        <w:rPr>
          <w:color w:val="auto"/>
        </w:rPr>
        <w:lastRenderedPageBreak/>
        <w:t>II. Rettsakter som krever forskriftsendring som ikke griper vesentlig inn i norsk handlefrihet, samt rettsakter som ikke har konsekvenser for norsk lovgivning</w:t>
      </w:r>
      <w:bookmarkEnd w:id="8"/>
      <w:bookmarkEnd w:id="9"/>
      <w:bookmarkEnd w:id="10"/>
      <w:bookmarkEnd w:id="11"/>
      <w:bookmarkEnd w:id="12"/>
      <w:bookmarkEnd w:id="13"/>
      <w:bookmarkEnd w:id="14"/>
    </w:p>
    <w:p w14:paraId="5861E854" w14:textId="77777777" w:rsidR="00E93495" w:rsidRDefault="00E93495" w:rsidP="007D7A1F">
      <w:pPr>
        <w:rPr>
          <w:rStyle w:val="Hyperlink"/>
          <w:color w:val="auto"/>
        </w:rPr>
      </w:pPr>
    </w:p>
    <w:p w14:paraId="4DA8F173" w14:textId="77777777" w:rsidR="00975D2C" w:rsidRPr="00975D2C" w:rsidRDefault="00975D2C" w:rsidP="00975D2C"/>
    <w:p w14:paraId="497A1A2F" w14:textId="3BEC5D5A" w:rsidR="004B0654" w:rsidRPr="009C7A4E" w:rsidRDefault="00975D2C" w:rsidP="004B0654">
      <w:pPr>
        <w:pStyle w:val="Heading2"/>
        <w:rPr>
          <w:color w:val="auto"/>
        </w:rPr>
      </w:pPr>
      <w:bookmarkStart w:id="15" w:name="_Toc233967738"/>
      <w:r>
        <w:rPr>
          <w:color w:val="auto"/>
        </w:rPr>
        <w:t>DIGITALISERINGS- OG FORVALTNINGS</w:t>
      </w:r>
      <w:r w:rsidR="004B0654" w:rsidRPr="009C7A4E">
        <w:rPr>
          <w:color w:val="auto"/>
        </w:rPr>
        <w:t>DEPARTEMENTET</w:t>
      </w:r>
      <w:bookmarkEnd w:id="15"/>
    </w:p>
    <w:p w14:paraId="306D26AE" w14:textId="77777777" w:rsidR="00185B8A" w:rsidRDefault="00185B8A" w:rsidP="00185B8A">
      <w:pPr>
        <w:rPr>
          <w:rFonts w:cstheme="minorHAnsi"/>
        </w:rPr>
      </w:pPr>
    </w:p>
    <w:p w14:paraId="6E568D07" w14:textId="20F6E7DF" w:rsidR="0096664F" w:rsidRPr="0096664F" w:rsidRDefault="00A61AD1" w:rsidP="0096664F">
      <w:pPr>
        <w:rPr>
          <w:rFonts w:ascii="Calibri" w:eastAsia="Times New Roman" w:hAnsi="Calibri" w:cs="Calibri"/>
          <w:color w:val="0000FF"/>
          <w:u w:val="single"/>
        </w:rPr>
      </w:pPr>
      <w:r>
        <w:t>32026D0179</w:t>
      </w:r>
      <w:r w:rsidR="0096664F">
        <w:t xml:space="preserve"> </w:t>
      </w:r>
      <w:r w:rsidR="005273DF">
        <w:t xml:space="preserve">Kommisjonens gjennomføringsbeslutning (EU) </w:t>
      </w:r>
      <w:r w:rsidR="003B0B86">
        <w:t xml:space="preserve">2026/179 </w:t>
      </w:r>
      <w:r w:rsidR="0039087C">
        <w:t>av 26. januar 2026</w:t>
      </w:r>
      <w:r w:rsidR="00625788">
        <w:t xml:space="preserve"> </w:t>
      </w:r>
      <w:r w:rsidR="003B0B86">
        <w:t>i henhold til europaparl</w:t>
      </w:r>
      <w:r w:rsidR="00CB28B9">
        <w:t>aments- og rådsforordning (EU) 2016/679</w:t>
      </w:r>
      <w:r w:rsidR="00FF7467">
        <w:t xml:space="preserve"> om et tilstrekkelig </w:t>
      </w:r>
      <w:r w:rsidR="00625788">
        <w:t>vern av</w:t>
      </w:r>
      <w:r w:rsidR="00FF7467">
        <w:t xml:space="preserve"> </w:t>
      </w:r>
      <w:r w:rsidR="000D0BB4">
        <w:t>personopplysninger</w:t>
      </w:r>
      <w:r w:rsidR="000F3E18">
        <w:t xml:space="preserve"> </w:t>
      </w:r>
      <w:r w:rsidR="004C2BC8">
        <w:t>i Brasil</w:t>
      </w:r>
      <w:r w:rsidR="00E44620">
        <w:t xml:space="preserve"> </w:t>
      </w:r>
      <w:r w:rsidR="0096664F">
        <w:t xml:space="preserve">– </w:t>
      </w:r>
      <w:hyperlink r:id="rId13" w:history="1">
        <w:r w:rsidR="0096664F" w:rsidRPr="0096664F">
          <w:rPr>
            <w:rFonts w:ascii="Calibri" w:eastAsia="Times New Roman" w:hAnsi="Calibri" w:cs="Calibri"/>
            <w:color w:val="0000FF"/>
            <w:u w:val="single"/>
          </w:rPr>
          <w:t>EØS-notat</w:t>
        </w:r>
      </w:hyperlink>
    </w:p>
    <w:p w14:paraId="7378CE83" w14:textId="77777777" w:rsidR="00DB52CD" w:rsidRPr="00DB52CD" w:rsidRDefault="00DB52CD" w:rsidP="00DB52CD"/>
    <w:p w14:paraId="0E363301" w14:textId="77777777" w:rsidR="00E70A53" w:rsidRPr="009C7A4E" w:rsidRDefault="00E70A53" w:rsidP="00E70A53">
      <w:pPr>
        <w:pStyle w:val="Heading2"/>
        <w:rPr>
          <w:color w:val="auto"/>
        </w:rPr>
      </w:pPr>
      <w:bookmarkStart w:id="16" w:name="_Toc233967739"/>
      <w:r>
        <w:rPr>
          <w:color w:val="auto"/>
        </w:rPr>
        <w:t>ENERGI</w:t>
      </w:r>
      <w:r w:rsidRPr="009C7A4E">
        <w:rPr>
          <w:color w:val="auto"/>
        </w:rPr>
        <w:t>DEPARTEMENTET</w:t>
      </w:r>
      <w:bookmarkEnd w:id="16"/>
    </w:p>
    <w:p w14:paraId="598C51D4" w14:textId="77777777" w:rsidR="00185B8A" w:rsidRDefault="00185B8A" w:rsidP="00185B8A">
      <w:pPr>
        <w:rPr>
          <w:rFonts w:cstheme="minorHAnsi"/>
        </w:rPr>
      </w:pPr>
    </w:p>
    <w:p w14:paraId="14856FBC" w14:textId="78051BC3" w:rsidR="00F75385" w:rsidRPr="00F75385" w:rsidRDefault="006F326D" w:rsidP="00F75385">
      <w:pPr>
        <w:rPr>
          <w:rFonts w:ascii="Calibri" w:eastAsia="Times New Roman" w:hAnsi="Calibri" w:cs="Calibri"/>
          <w:color w:val="0000FF"/>
          <w:u w:val="single"/>
        </w:rPr>
      </w:pPr>
      <w:r>
        <w:t>3202</w:t>
      </w:r>
      <w:r w:rsidR="00F75385">
        <w:t>3</w:t>
      </w:r>
      <w:r>
        <w:t>R2533</w:t>
      </w:r>
      <w:r w:rsidR="00370392">
        <w:t xml:space="preserve"> </w:t>
      </w:r>
      <w:r w:rsidR="00370392" w:rsidRPr="00370392">
        <w:t xml:space="preserve">Kommisjonsforordning (EU) 2023/2533 av 17. november 2023 om gjennomføring av europaparlaments- og rådsdirektiv 2009/125/EF med omsyn til økodesignkrav til </w:t>
      </w:r>
      <w:proofErr w:type="spellStart"/>
      <w:r w:rsidR="00370392" w:rsidRPr="00370392">
        <w:t>hushaldstørketromlar</w:t>
      </w:r>
      <w:proofErr w:type="spellEnd"/>
      <w:r w:rsidR="00370392" w:rsidRPr="00370392">
        <w:t>, om endring av kommisjonsforordning (EU) 2023/826 og om oppheving av kommisjonsforordning (EU) nr. 932/2012</w:t>
      </w:r>
      <w:r w:rsidR="00370392">
        <w:t xml:space="preserve"> – </w:t>
      </w:r>
      <w:hyperlink r:id="rId14" w:history="1">
        <w:r w:rsidR="00F75385" w:rsidRPr="00F75385">
          <w:rPr>
            <w:rFonts w:ascii="Calibri" w:eastAsia="Times New Roman" w:hAnsi="Calibri" w:cs="Calibri"/>
            <w:color w:val="0000FF"/>
            <w:u w:val="single"/>
          </w:rPr>
          <w:t>EØS-notat</w:t>
        </w:r>
      </w:hyperlink>
    </w:p>
    <w:p w14:paraId="01AAB3C3" w14:textId="40317886" w:rsidR="00370392" w:rsidRDefault="00370392" w:rsidP="0078755B">
      <w:r>
        <w:t>32025R2052</w:t>
      </w:r>
      <w:r w:rsidR="00DB6DA3">
        <w:t xml:space="preserve"> </w:t>
      </w:r>
      <w:r w:rsidR="00DB6DA3" w:rsidRPr="00DB6DA3">
        <w:t>Kommisjonsforordning (EU) 2025/2052 av 13. oktober 2025 om fastsettelse av økodesignkrav for eksterne strømkilder, trådløse ladere, trådløse ladeplater, batteriladere for bærbare batterier til generell bruk og USB type C-kabler i henhold til europaparlaments- og rådsdirektiv 2009/125/EF, og om oppheving av kommisjonsforordning (EU) 2019/1782</w:t>
      </w:r>
      <w:r w:rsidR="00DB6DA3">
        <w:t xml:space="preserve"> </w:t>
      </w:r>
      <w:r w:rsidR="00133DFC">
        <w:t xml:space="preserve">– </w:t>
      </w:r>
      <w:hyperlink r:id="rId15" w:history="1">
        <w:r w:rsidR="00133DFC">
          <w:rPr>
            <w:rStyle w:val="Hyperlink"/>
          </w:rPr>
          <w:t>EØS-notat</w:t>
        </w:r>
      </w:hyperlink>
    </w:p>
    <w:p w14:paraId="2744DFFF" w14:textId="7D0D7E43" w:rsidR="00A33D17" w:rsidRDefault="00F21C77" w:rsidP="0078755B">
      <w:r>
        <w:t>32026R0879</w:t>
      </w:r>
      <w:r w:rsidR="00DB6DA3">
        <w:t xml:space="preserve"> </w:t>
      </w:r>
      <w:r w:rsidR="00D15655" w:rsidRPr="00D15655">
        <w:t xml:space="preserve">Delegert kommisjonsforordning (EU) 2026/879 av 5. desember 2025 om retting av visse </w:t>
      </w:r>
      <w:proofErr w:type="spellStart"/>
      <w:r w:rsidR="00D15655" w:rsidRPr="00D15655">
        <w:t>språkversjonar</w:t>
      </w:r>
      <w:proofErr w:type="spellEnd"/>
      <w:r w:rsidR="00D15655" w:rsidRPr="00D15655">
        <w:t xml:space="preserve"> av delegert forordning (EU) 2023/1669 om utfylling av europaparlaments- og rådsforordning (EU) 2017/1369 med omsyn til energimerking av </w:t>
      </w:r>
      <w:proofErr w:type="spellStart"/>
      <w:r w:rsidR="00D15655" w:rsidRPr="00D15655">
        <w:t>smarttelefonar</w:t>
      </w:r>
      <w:proofErr w:type="spellEnd"/>
      <w:r w:rsidR="00D15655" w:rsidRPr="00D15655">
        <w:t xml:space="preserve"> og nettbrett</w:t>
      </w:r>
      <w:r w:rsidR="00AC710C">
        <w:t xml:space="preserve"> – </w:t>
      </w:r>
      <w:hyperlink r:id="rId16" w:history="1">
        <w:r w:rsidR="00AC710C">
          <w:rPr>
            <w:rStyle w:val="Hyperlink"/>
          </w:rPr>
          <w:t>EØS-notat</w:t>
        </w:r>
      </w:hyperlink>
    </w:p>
    <w:p w14:paraId="130E70F7" w14:textId="77777777" w:rsidR="002265BE" w:rsidRPr="0078755B" w:rsidRDefault="002265BE" w:rsidP="0078755B"/>
    <w:p w14:paraId="65BB5471" w14:textId="17ECAA0C" w:rsidR="003F1B6F" w:rsidRPr="009C7A4E" w:rsidRDefault="00925CBE" w:rsidP="00182AEB">
      <w:pPr>
        <w:pStyle w:val="Heading2"/>
        <w:rPr>
          <w:color w:val="auto"/>
        </w:rPr>
      </w:pPr>
      <w:bookmarkStart w:id="17" w:name="_Toc233967740"/>
      <w:r w:rsidRPr="009C7A4E">
        <w:rPr>
          <w:color w:val="auto"/>
        </w:rPr>
        <w:t>FINANSDEPARTEMENTET</w:t>
      </w:r>
      <w:bookmarkEnd w:id="17"/>
    </w:p>
    <w:p w14:paraId="4499C79C" w14:textId="77777777" w:rsidR="00861B7D" w:rsidRDefault="00861B7D" w:rsidP="00861B7D">
      <w:pPr>
        <w:rPr>
          <w:rFonts w:cstheme="minorHAnsi"/>
        </w:rPr>
      </w:pPr>
    </w:p>
    <w:p w14:paraId="602F2F46" w14:textId="26149F3B" w:rsidR="001A59AF" w:rsidRPr="00542BD5" w:rsidRDefault="001A59AF" w:rsidP="001A59AF">
      <w:pPr>
        <w:rPr>
          <w:rFonts w:ascii="Calibri" w:eastAsia="Times New Roman" w:hAnsi="Calibri" w:cs="Calibri"/>
          <w:color w:val="0000FF"/>
          <w:u w:val="single"/>
        </w:rPr>
      </w:pPr>
      <w:r w:rsidRPr="001A59AF">
        <w:rPr>
          <w:rFonts w:ascii="Calibri" w:eastAsia="Times New Roman" w:hAnsi="Calibri" w:cs="Calibri"/>
        </w:rPr>
        <w:t>32026R0722</w:t>
      </w:r>
      <w:r>
        <w:rPr>
          <w:rFonts w:ascii="Calibri" w:eastAsia="Times New Roman" w:hAnsi="Calibri" w:cs="Calibri"/>
        </w:rPr>
        <w:t xml:space="preserve"> </w:t>
      </w:r>
      <w:r w:rsidRPr="001A59AF">
        <w:rPr>
          <w:rFonts w:ascii="Calibri" w:eastAsia="Times New Roman" w:hAnsi="Calibri" w:cs="Calibri"/>
        </w:rPr>
        <w:t xml:space="preserve">Kommisjonens gjennomføringsforordning (EU) 2026/722 av 26. mars 2026 om endring av de tekniske gjennomføringsstandardene fastsatt i gjennomføringsforordning (EU) 2024/3172 med hensyn til gjennomføringen av </w:t>
      </w:r>
      <w:proofErr w:type="spellStart"/>
      <w:r w:rsidRPr="001A59AF">
        <w:rPr>
          <w:rFonts w:ascii="Calibri" w:eastAsia="Times New Roman" w:hAnsi="Calibri" w:cs="Calibri"/>
        </w:rPr>
        <w:t>EBAs</w:t>
      </w:r>
      <w:proofErr w:type="spellEnd"/>
      <w:r w:rsidRPr="001A59AF">
        <w:rPr>
          <w:rFonts w:ascii="Calibri" w:eastAsia="Times New Roman" w:hAnsi="Calibri" w:cs="Calibri"/>
        </w:rPr>
        <w:t xml:space="preserve"> felles tilgangspunkt og bruken av dette til offentliggjøring av opplysninger fra andre institusjoner enn små og ikke-komplekse institusjoner</w:t>
      </w:r>
      <w:r w:rsidR="00542BD5">
        <w:rPr>
          <w:rFonts w:ascii="Calibri" w:eastAsia="Times New Roman" w:hAnsi="Calibri" w:cs="Calibri"/>
        </w:rPr>
        <w:t xml:space="preserve"> – </w:t>
      </w:r>
      <w:hyperlink r:id="rId17" w:history="1">
        <w:r w:rsidR="00542BD5" w:rsidRPr="00542BD5">
          <w:rPr>
            <w:rFonts w:ascii="Calibri" w:eastAsia="Times New Roman" w:hAnsi="Calibri" w:cs="Calibri"/>
            <w:color w:val="0000FF"/>
            <w:u w:val="single"/>
          </w:rPr>
          <w:t>EØS-notat</w:t>
        </w:r>
      </w:hyperlink>
    </w:p>
    <w:p w14:paraId="74B826A2" w14:textId="6E332ECC" w:rsidR="000C79C3" w:rsidRPr="000C79C3" w:rsidRDefault="001A59AF" w:rsidP="000C79C3">
      <w:pPr>
        <w:rPr>
          <w:rFonts w:ascii="Calibri" w:eastAsia="Times New Roman" w:hAnsi="Calibri" w:cs="Calibri"/>
          <w:u w:val="single"/>
        </w:rPr>
      </w:pPr>
      <w:r w:rsidRPr="001A59AF">
        <w:rPr>
          <w:rFonts w:ascii="Calibri" w:eastAsia="Times New Roman" w:hAnsi="Calibri" w:cs="Calibri"/>
        </w:rPr>
        <w:t>32024R1504</w:t>
      </w:r>
      <w:r>
        <w:rPr>
          <w:rFonts w:ascii="Calibri" w:eastAsia="Times New Roman" w:hAnsi="Calibri" w:cs="Calibri"/>
        </w:rPr>
        <w:t xml:space="preserve"> </w:t>
      </w:r>
      <w:r w:rsidRPr="001A59AF">
        <w:rPr>
          <w:rFonts w:ascii="Calibri" w:eastAsia="Times New Roman" w:hAnsi="Calibri" w:cs="Calibri"/>
        </w:rPr>
        <w:t>Delegert kommisjonsforordning (EU) 2024/1504 av 22. februar 2024 om utfylling av europaparlaments- og rådsforordning (EU) 2023/1114 ved å spesifisere saksbehandlingsregler for Den europeiske banktilsynsmyndighets utøvelse av myndigheten til å ilegge utstedere av signifikante eiendelsbaserte token og utstedere av signifikante e-pengetoken overtredelsesgebyrer eller tvangsmulkter</w:t>
      </w:r>
      <w:r w:rsidR="000C79C3">
        <w:rPr>
          <w:rFonts w:ascii="Calibri" w:eastAsia="Times New Roman" w:hAnsi="Calibri" w:cs="Calibri"/>
        </w:rPr>
        <w:t xml:space="preserve"> – </w:t>
      </w:r>
      <w:hyperlink r:id="rId18" w:history="1">
        <w:r w:rsidR="000C79C3" w:rsidRPr="000C79C3">
          <w:rPr>
            <w:rFonts w:ascii="Calibri" w:eastAsia="Times New Roman" w:hAnsi="Calibri" w:cs="Calibri"/>
            <w:u w:val="single"/>
          </w:rPr>
          <w:t>EØS-notat</w:t>
        </w:r>
      </w:hyperlink>
    </w:p>
    <w:p w14:paraId="43774C2D" w14:textId="5D409B5D" w:rsidR="009174A8" w:rsidRDefault="009174A8" w:rsidP="001A59AF">
      <w:pPr>
        <w:rPr>
          <w:rFonts w:ascii="Calibri" w:eastAsia="Times New Roman" w:hAnsi="Calibri" w:cs="Calibri"/>
        </w:rPr>
      </w:pPr>
      <w:r>
        <w:rPr>
          <w:rFonts w:ascii="Calibri" w:eastAsia="Times New Roman" w:hAnsi="Calibri" w:cs="Calibri"/>
        </w:rPr>
        <w:t>32026R0338</w:t>
      </w:r>
      <w:r w:rsidR="004802F7">
        <w:rPr>
          <w:rFonts w:ascii="Calibri" w:eastAsia="Times New Roman" w:hAnsi="Calibri" w:cs="Calibri"/>
        </w:rPr>
        <w:t xml:space="preserve"> </w:t>
      </w:r>
      <w:r w:rsidR="004802F7" w:rsidRPr="004802F7">
        <w:rPr>
          <w:rFonts w:ascii="Calibri" w:eastAsia="Times New Roman" w:hAnsi="Calibri" w:cs="Calibri"/>
        </w:rPr>
        <w:t>Kommisjonsforordning (EU) 2026/338 av 13. februar 2026 om endring av forordning (EU) 2023/1803 med hensyn til internasjonal standard for finansiell rapportering 18</w:t>
      </w:r>
      <w:r w:rsidR="004802F7">
        <w:rPr>
          <w:rFonts w:ascii="Calibri" w:eastAsia="Times New Roman" w:hAnsi="Calibri" w:cs="Calibri"/>
        </w:rPr>
        <w:t xml:space="preserve"> </w:t>
      </w:r>
      <w:r w:rsidR="00AC325D">
        <w:rPr>
          <w:rFonts w:ascii="Calibri" w:eastAsia="Times New Roman" w:hAnsi="Calibri" w:cs="Calibri"/>
        </w:rPr>
        <w:t>–</w:t>
      </w:r>
      <w:r>
        <w:rPr>
          <w:rFonts w:ascii="Calibri" w:eastAsia="Times New Roman" w:hAnsi="Calibri" w:cs="Calibri"/>
        </w:rPr>
        <w:t xml:space="preserve"> </w:t>
      </w:r>
      <w:hyperlink r:id="rId19" w:history="1">
        <w:r w:rsidR="00B70E4E">
          <w:rPr>
            <w:rStyle w:val="Hyperlink"/>
            <w:rFonts w:ascii="Calibri" w:eastAsia="Times New Roman" w:hAnsi="Calibri" w:cs="Calibri"/>
          </w:rPr>
          <w:t>EØS-notat</w:t>
        </w:r>
      </w:hyperlink>
    </w:p>
    <w:p w14:paraId="20992373" w14:textId="7D921543" w:rsidR="001A59AF" w:rsidRPr="000B0500" w:rsidRDefault="00C34E7C" w:rsidP="001A59AF">
      <w:pPr>
        <w:rPr>
          <w:rFonts w:ascii="Calibri" w:eastAsia="Times New Roman" w:hAnsi="Calibri" w:cs="Calibri"/>
          <w:color w:val="0000FF"/>
          <w:u w:val="single"/>
        </w:rPr>
      </w:pPr>
      <w:r w:rsidRPr="00C34E7C">
        <w:rPr>
          <w:rFonts w:ascii="Calibri" w:eastAsia="Times New Roman" w:hAnsi="Calibri" w:cs="Calibri"/>
        </w:rPr>
        <w:lastRenderedPageBreak/>
        <w:t>32024R3018</w:t>
      </w:r>
      <w:r>
        <w:rPr>
          <w:rFonts w:ascii="Calibri" w:eastAsia="Times New Roman" w:hAnsi="Calibri" w:cs="Calibri"/>
        </w:rPr>
        <w:t xml:space="preserve"> </w:t>
      </w:r>
      <w:r w:rsidRPr="00C34E7C">
        <w:rPr>
          <w:rFonts w:ascii="Calibri" w:eastAsia="Times New Roman" w:hAnsi="Calibri" w:cs="Calibri"/>
        </w:rPr>
        <w:t>Europaparlaments- og rådsforordning (EU) 2024/3018 av 27. november 2024 om endring av forordning (EF) nr. 223/2009 om europeisk statistikk</w:t>
      </w:r>
      <w:r w:rsidR="000B0500">
        <w:rPr>
          <w:rFonts w:ascii="Calibri" w:eastAsia="Times New Roman" w:hAnsi="Calibri" w:cs="Calibri"/>
        </w:rPr>
        <w:t xml:space="preserve"> – </w:t>
      </w:r>
      <w:hyperlink r:id="rId20" w:history="1">
        <w:r w:rsidR="000B0500" w:rsidRPr="000B0500">
          <w:rPr>
            <w:rFonts w:ascii="Calibri" w:eastAsia="Times New Roman" w:hAnsi="Calibri" w:cs="Calibri"/>
            <w:color w:val="0000FF"/>
            <w:u w:val="single"/>
          </w:rPr>
          <w:t>EØS-notat</w:t>
        </w:r>
      </w:hyperlink>
    </w:p>
    <w:p w14:paraId="3CAB8452" w14:textId="77777777" w:rsidR="009174A8" w:rsidRPr="007A57CB" w:rsidRDefault="009174A8" w:rsidP="001A59AF">
      <w:pPr>
        <w:rPr>
          <w:rFonts w:ascii="Calibri" w:eastAsia="Times New Roman" w:hAnsi="Calibri" w:cs="Calibri"/>
        </w:rPr>
      </w:pPr>
    </w:p>
    <w:p w14:paraId="1A14D924" w14:textId="5D7E9D2E" w:rsidR="00A80CC2" w:rsidRPr="0027157D" w:rsidRDefault="00A80CC2" w:rsidP="00A80CC2">
      <w:pPr>
        <w:pStyle w:val="Heading2"/>
        <w:rPr>
          <w:color w:val="auto"/>
        </w:rPr>
      </w:pPr>
      <w:bookmarkStart w:id="18" w:name="_Toc233967741"/>
      <w:r w:rsidRPr="0027157D">
        <w:rPr>
          <w:color w:val="auto"/>
        </w:rPr>
        <w:t>HELSE- OG OMSORGSDEPARTEMENTET</w:t>
      </w:r>
      <w:bookmarkEnd w:id="18"/>
    </w:p>
    <w:p w14:paraId="43504BAA" w14:textId="77777777" w:rsidR="00204B75" w:rsidRPr="0027157D" w:rsidRDefault="00204B75" w:rsidP="000D5E44"/>
    <w:p w14:paraId="237A1967" w14:textId="6D9EAE2C" w:rsidR="003B01C2" w:rsidRPr="00D52E17" w:rsidRDefault="00652405" w:rsidP="00652405">
      <w:pPr>
        <w:rPr>
          <w:rFonts w:ascii="Calibri" w:eastAsia="Times New Roman" w:hAnsi="Calibri" w:cs="Calibri"/>
          <w:color w:val="0000FF"/>
          <w:u w:val="single"/>
        </w:rPr>
      </w:pPr>
      <w:r>
        <w:t>32026R0758 Kommisjonens gjennomføringsforordning (EU) 2026/758 av 1. april 2026 om endring av gjennomføringsforordning (EU) 2021/17 med hensyn til oppføring av en endring av kontaktopplysninger for distributører på listen over endringer som ikke krever vurdering</w:t>
      </w:r>
      <w:r w:rsidR="0003048D">
        <w:t xml:space="preserve"> </w:t>
      </w:r>
      <w:r w:rsidR="00D52E17">
        <w:t xml:space="preserve">– </w:t>
      </w:r>
      <w:hyperlink r:id="rId21" w:history="1">
        <w:r w:rsidR="00D52E17" w:rsidRPr="00D52E17">
          <w:rPr>
            <w:rFonts w:ascii="Calibri" w:eastAsia="Times New Roman" w:hAnsi="Calibri" w:cs="Calibri"/>
            <w:color w:val="0000FF"/>
            <w:u w:val="single"/>
          </w:rPr>
          <w:t>EØS-notat</w:t>
        </w:r>
      </w:hyperlink>
    </w:p>
    <w:p w14:paraId="673C1D17" w14:textId="0F29A9C4" w:rsidR="00652405" w:rsidRPr="00D52E17" w:rsidRDefault="00F925F6" w:rsidP="00F925F6">
      <w:pPr>
        <w:rPr>
          <w:rFonts w:ascii="Calibri" w:eastAsia="Times New Roman" w:hAnsi="Calibri" w:cs="Calibri"/>
          <w:color w:val="0000FF"/>
          <w:u w:val="single"/>
        </w:rPr>
      </w:pPr>
      <w:r>
        <w:t xml:space="preserve">32026R0909 Kommisjonsforordning (EU) 2026/909 av 27. april 2026 om endring av europaparlaments- og rådsforordning (EF) nr. 1223/2009 med hensyn til bruk av Benzyl </w:t>
      </w:r>
      <w:proofErr w:type="spellStart"/>
      <w:r>
        <w:t>Salicylate</w:t>
      </w:r>
      <w:proofErr w:type="spellEnd"/>
      <w:r>
        <w:t xml:space="preserve">, </w:t>
      </w:r>
      <w:proofErr w:type="spellStart"/>
      <w:r>
        <w:t>Triphenyl</w:t>
      </w:r>
      <w:proofErr w:type="spellEnd"/>
      <w:r>
        <w:t xml:space="preserve"> </w:t>
      </w:r>
      <w:proofErr w:type="spellStart"/>
      <w:r>
        <w:t>Phosphate</w:t>
      </w:r>
      <w:proofErr w:type="spellEnd"/>
      <w:r>
        <w:t xml:space="preserve">, Ammonium Silver </w:t>
      </w:r>
      <w:proofErr w:type="spellStart"/>
      <w:r>
        <w:t>Zinc</w:t>
      </w:r>
      <w:proofErr w:type="spellEnd"/>
      <w:r>
        <w:t xml:space="preserve"> Aluminium </w:t>
      </w:r>
      <w:proofErr w:type="spellStart"/>
      <w:r>
        <w:t>Silicate</w:t>
      </w:r>
      <w:proofErr w:type="spellEnd"/>
      <w:r>
        <w:t xml:space="preserve">, aluminium, vannløselige sinksalter, acetylert </w:t>
      </w:r>
      <w:proofErr w:type="spellStart"/>
      <w:r>
        <w:t>vetiverolje</w:t>
      </w:r>
      <w:proofErr w:type="spellEnd"/>
      <w:r>
        <w:t xml:space="preserve">, Citral, HC Blue No 18, HC Red No 18, HC </w:t>
      </w:r>
      <w:proofErr w:type="spellStart"/>
      <w:r>
        <w:t>Yellow</w:t>
      </w:r>
      <w:proofErr w:type="spellEnd"/>
      <w:r>
        <w:t xml:space="preserve"> No 16, </w:t>
      </w:r>
      <w:proofErr w:type="spellStart"/>
      <w:r>
        <w:t>Hydroxypropyl</w:t>
      </w:r>
      <w:proofErr w:type="spellEnd"/>
      <w:r>
        <w:t>-p-</w:t>
      </w:r>
      <w:proofErr w:type="spellStart"/>
      <w:r>
        <w:t>phenylenediamine</w:t>
      </w:r>
      <w:proofErr w:type="spellEnd"/>
      <w:r>
        <w:t xml:space="preserve"> og dets </w:t>
      </w:r>
      <w:proofErr w:type="spellStart"/>
      <w:r>
        <w:t>dihydrokloridsalt</w:t>
      </w:r>
      <w:proofErr w:type="spellEnd"/>
      <w:r>
        <w:t xml:space="preserve"> og DHHB i kosmetiske produkter</w:t>
      </w:r>
      <w:r w:rsidR="00E07E9C">
        <w:t xml:space="preserve"> –</w:t>
      </w:r>
      <w:r w:rsidR="00D52E17">
        <w:t xml:space="preserve"> </w:t>
      </w:r>
      <w:hyperlink r:id="rId22" w:history="1">
        <w:r w:rsidR="00D52E17" w:rsidRPr="00D52E17">
          <w:rPr>
            <w:rFonts w:ascii="Calibri" w:eastAsia="Times New Roman" w:hAnsi="Calibri" w:cs="Calibri"/>
            <w:color w:val="0000FF"/>
            <w:u w:val="single"/>
          </w:rPr>
          <w:t>EØS-notat</w:t>
        </w:r>
      </w:hyperlink>
    </w:p>
    <w:p w14:paraId="5947EDDB" w14:textId="0EED3BB2" w:rsidR="00E07E9C" w:rsidRPr="000451E1" w:rsidRDefault="009B41D2" w:rsidP="00F925F6">
      <w:pPr>
        <w:rPr>
          <w:rFonts w:ascii="Calibri" w:eastAsia="Times New Roman" w:hAnsi="Calibri" w:cs="Calibri"/>
          <w:color w:val="0000FF"/>
          <w:u w:val="single"/>
        </w:rPr>
      </w:pPr>
      <w:r w:rsidRPr="009B41D2">
        <w:t>32025R2526</w:t>
      </w:r>
      <w:r>
        <w:t xml:space="preserve"> </w:t>
      </w:r>
      <w:r w:rsidRPr="009B41D2">
        <w:t xml:space="preserve">Kommisjonens gjennomføringsforordning (EU) 2025/2526 av 16. desember 2025 om endring av gjennomføringsforordning (EU) 2023/2713 for å rette utpekingen av et EU-referanselaboratorium og for å utpeke EU-referanselaboratorier for medisinsk utstyr til </w:t>
      </w:r>
      <w:r w:rsidRPr="009B41D2">
        <w:rPr>
          <w:i/>
          <w:iCs/>
        </w:rPr>
        <w:t xml:space="preserve">in </w:t>
      </w:r>
      <w:proofErr w:type="spellStart"/>
      <w:r w:rsidRPr="009B41D2">
        <w:rPr>
          <w:i/>
          <w:iCs/>
        </w:rPr>
        <w:t>vitro</w:t>
      </w:r>
      <w:proofErr w:type="spellEnd"/>
      <w:r w:rsidRPr="009B41D2">
        <w:t>-diagnostikk beregnet på påvisning eller kvantifisering av markører for parasittinfeksjon og påvisning av blodtypemarkører</w:t>
      </w:r>
      <w:r>
        <w:t xml:space="preserve"> </w:t>
      </w:r>
      <w:r w:rsidR="000451E1">
        <w:t xml:space="preserve">– </w:t>
      </w:r>
      <w:hyperlink r:id="rId23" w:history="1">
        <w:r w:rsidR="000451E1" w:rsidRPr="000451E1">
          <w:rPr>
            <w:rFonts w:ascii="Calibri" w:eastAsia="Times New Roman" w:hAnsi="Calibri" w:cs="Calibri"/>
            <w:color w:val="0000FF"/>
            <w:u w:val="single"/>
          </w:rPr>
          <w:t>EØS-notat</w:t>
        </w:r>
      </w:hyperlink>
    </w:p>
    <w:p w14:paraId="7FB7064B" w14:textId="77777777" w:rsidR="00437732" w:rsidRDefault="00437732" w:rsidP="00F925F6"/>
    <w:p w14:paraId="0721D4B2" w14:textId="6770642A" w:rsidR="00D93F85" w:rsidRPr="0027157D" w:rsidRDefault="00D93F85" w:rsidP="00D90F4D">
      <w:pPr>
        <w:pStyle w:val="Heading2"/>
        <w:rPr>
          <w:color w:val="auto"/>
        </w:rPr>
      </w:pPr>
      <w:bookmarkStart w:id="19" w:name="_Toc233967742"/>
      <w:r w:rsidRPr="0027157D">
        <w:rPr>
          <w:color w:val="auto"/>
        </w:rPr>
        <w:t>H</w:t>
      </w:r>
      <w:r w:rsidR="00925CBE" w:rsidRPr="0027157D">
        <w:rPr>
          <w:color w:val="auto"/>
        </w:rPr>
        <w:t>ELSE- OG OMSORGS</w:t>
      </w:r>
      <w:r w:rsidRPr="0027157D">
        <w:rPr>
          <w:color w:val="auto"/>
        </w:rPr>
        <w:t>D</w:t>
      </w:r>
      <w:r w:rsidR="00925CBE" w:rsidRPr="0027157D">
        <w:rPr>
          <w:color w:val="auto"/>
        </w:rPr>
        <w:t>EPART</w:t>
      </w:r>
      <w:r w:rsidR="00F24181" w:rsidRPr="0027157D">
        <w:rPr>
          <w:color w:val="auto"/>
        </w:rPr>
        <w:t>E</w:t>
      </w:r>
      <w:r w:rsidR="00925CBE" w:rsidRPr="0027157D">
        <w:rPr>
          <w:color w:val="auto"/>
        </w:rPr>
        <w:t>MENTET</w:t>
      </w:r>
      <w:r w:rsidR="00242646" w:rsidRPr="0027157D">
        <w:rPr>
          <w:color w:val="auto"/>
        </w:rPr>
        <w:t>/LANDBRUKS- OG MATDEPARTEMENTET/NÆRINGS- OG FISKERIDEPARTEMENTET</w:t>
      </w:r>
      <w:r w:rsidR="000C2A41" w:rsidRPr="0027157D">
        <w:rPr>
          <w:color w:val="auto"/>
        </w:rPr>
        <w:t xml:space="preserve"> (</w:t>
      </w:r>
      <w:r w:rsidR="00DF2B2B" w:rsidRPr="0027157D">
        <w:rPr>
          <w:color w:val="auto"/>
        </w:rPr>
        <w:t>Matområdet</w:t>
      </w:r>
      <w:r w:rsidR="000C2A41" w:rsidRPr="0027157D">
        <w:rPr>
          <w:color w:val="auto"/>
        </w:rPr>
        <w:t>)</w:t>
      </w:r>
      <w:bookmarkEnd w:id="19"/>
    </w:p>
    <w:p w14:paraId="310DB1DB" w14:textId="77777777" w:rsidR="008A6065" w:rsidRDefault="008A6065" w:rsidP="008A6065">
      <w:bookmarkStart w:id="20" w:name="_Hlk123910229"/>
    </w:p>
    <w:p w14:paraId="34A7E34E" w14:textId="7AFFEDFE" w:rsidR="00E733D5" w:rsidRPr="005B3906" w:rsidRDefault="00E733D5" w:rsidP="00E733D5">
      <w:pPr>
        <w:rPr>
          <w:rFonts w:ascii="Calibri" w:eastAsia="Times New Roman" w:hAnsi="Calibri" w:cs="Calibri"/>
          <w:color w:val="0000FF"/>
          <w:u w:val="single"/>
        </w:rPr>
      </w:pPr>
      <w:r>
        <w:t>32024R1141 Delegert kommisjonsforordning (EU) 2024/1141 av 14. desember 2023 om endring av vedlegg II og III til europaparlaments- og rådsforordning (EF) nr. 853/2004 med hensyn til særlige hygieneregler for visse typer kjøtt, fiskerivarer, melkeprodukter og egg</w:t>
      </w:r>
      <w:r w:rsidR="005B3906">
        <w:t xml:space="preserve"> – </w:t>
      </w:r>
      <w:hyperlink r:id="rId24" w:history="1">
        <w:r w:rsidR="005B3906" w:rsidRPr="005B3906">
          <w:rPr>
            <w:rFonts w:ascii="Calibri" w:eastAsia="Times New Roman" w:hAnsi="Calibri" w:cs="Calibri"/>
            <w:color w:val="0000FF"/>
            <w:u w:val="single"/>
          </w:rPr>
          <w:t>EØS-notat</w:t>
        </w:r>
      </w:hyperlink>
    </w:p>
    <w:p w14:paraId="0B35D6A1" w14:textId="31E87C1C" w:rsidR="00C266E9" w:rsidRPr="00504231" w:rsidRDefault="00E733D5" w:rsidP="00E733D5">
      <w:pPr>
        <w:rPr>
          <w:rFonts w:ascii="Calibri" w:eastAsia="Times New Roman" w:hAnsi="Calibri" w:cs="Calibri"/>
          <w:color w:val="0000FF"/>
          <w:u w:val="single"/>
        </w:rPr>
      </w:pPr>
      <w:r>
        <w:t>32026R0731 Kommisjonens gjennomføringsforordning (EU) 2026/731 av 27. mars 2026 om endring av gjennomføringsforordning (EU) 2021/808 med hensyn til dens overgangsbestemmelser og visse bestemmelser om prøvetaking</w:t>
      </w:r>
      <w:r w:rsidR="00504231">
        <w:t xml:space="preserve"> – </w:t>
      </w:r>
      <w:hyperlink r:id="rId25" w:history="1">
        <w:r w:rsidR="00504231" w:rsidRPr="00504231">
          <w:rPr>
            <w:rFonts w:ascii="Calibri" w:eastAsia="Times New Roman" w:hAnsi="Calibri" w:cs="Calibri"/>
            <w:color w:val="0000FF"/>
            <w:u w:val="single"/>
          </w:rPr>
          <w:t>EØS-notat</w:t>
        </w:r>
      </w:hyperlink>
    </w:p>
    <w:p w14:paraId="50C15CEF" w14:textId="2D9079E7" w:rsidR="00D0101B" w:rsidRDefault="00D0101B" w:rsidP="00D0101B">
      <w:r>
        <w:t>32026R0402 Kommisjonens gjennomføringsforordning (EU) 2026/402 av 24. februar 2026 om godkjenning av L-</w:t>
      </w:r>
      <w:proofErr w:type="spellStart"/>
      <w:r>
        <w:t>cystin</w:t>
      </w:r>
      <w:proofErr w:type="spellEnd"/>
      <w:r>
        <w:t xml:space="preserve"> framstilt med </w:t>
      </w:r>
      <w:proofErr w:type="spellStart"/>
      <w:r w:rsidRPr="00606850">
        <w:rPr>
          <w:i/>
          <w:iCs/>
        </w:rPr>
        <w:t>Escherichia</w:t>
      </w:r>
      <w:proofErr w:type="spellEnd"/>
      <w:r w:rsidRPr="00606850">
        <w:rPr>
          <w:i/>
          <w:iCs/>
        </w:rPr>
        <w:t xml:space="preserve"> </w:t>
      </w:r>
      <w:proofErr w:type="spellStart"/>
      <w:r w:rsidRPr="00606850">
        <w:rPr>
          <w:i/>
          <w:iCs/>
        </w:rPr>
        <w:t>coli</w:t>
      </w:r>
      <w:proofErr w:type="spellEnd"/>
      <w:r>
        <w:t xml:space="preserve"> DSM 34232 som tilsetningsstoff i fôr til alle dyrearter</w:t>
      </w:r>
      <w:r w:rsidR="001C33D5">
        <w:t xml:space="preserve"> – </w:t>
      </w:r>
      <w:hyperlink r:id="rId26" w:history="1">
        <w:r w:rsidR="001C33D5">
          <w:rPr>
            <w:rStyle w:val="Hyperlink"/>
          </w:rPr>
          <w:t>EØS-notat</w:t>
        </w:r>
      </w:hyperlink>
    </w:p>
    <w:p w14:paraId="25171624" w14:textId="26207FC9" w:rsidR="00D0101B" w:rsidRDefault="00D0101B" w:rsidP="00D0101B">
      <w:r>
        <w:t xml:space="preserve">32026R0404 Kommisjonens gjennomføringsforordning (EU) 2026/404 av 24. februar 2026 om godkjenning av et preparat av 6-fytase framstilt med </w:t>
      </w:r>
      <w:proofErr w:type="spellStart"/>
      <w:r w:rsidRPr="00606850">
        <w:rPr>
          <w:i/>
          <w:iCs/>
        </w:rPr>
        <w:t>Komagataella</w:t>
      </w:r>
      <w:proofErr w:type="spellEnd"/>
      <w:r w:rsidRPr="00606850">
        <w:rPr>
          <w:i/>
          <w:iCs/>
        </w:rPr>
        <w:t xml:space="preserve"> </w:t>
      </w:r>
      <w:proofErr w:type="spellStart"/>
      <w:r w:rsidRPr="00606850">
        <w:rPr>
          <w:i/>
          <w:iCs/>
        </w:rPr>
        <w:t>phaffii</w:t>
      </w:r>
      <w:proofErr w:type="spellEnd"/>
      <w:r>
        <w:t xml:space="preserve"> CGMCC 7.370 som tilsetningsstoff i fôr til svin, fjørfe og prydfugler (innehaver av godkjenningen: </w:t>
      </w:r>
      <w:proofErr w:type="spellStart"/>
      <w:r>
        <w:t>Victory</w:t>
      </w:r>
      <w:proofErr w:type="spellEnd"/>
      <w:r>
        <w:t xml:space="preserve"> </w:t>
      </w:r>
      <w:proofErr w:type="spellStart"/>
      <w:r>
        <w:t>Enzymes</w:t>
      </w:r>
      <w:proofErr w:type="spellEnd"/>
      <w:r>
        <w:t xml:space="preserve"> </w:t>
      </w:r>
      <w:proofErr w:type="spellStart"/>
      <w:r>
        <w:t>GmbH</w:t>
      </w:r>
      <w:proofErr w:type="spellEnd"/>
      <w:r>
        <w:t>)</w:t>
      </w:r>
      <w:r w:rsidR="007B7578">
        <w:t xml:space="preserve"> – </w:t>
      </w:r>
      <w:hyperlink r:id="rId27" w:history="1">
        <w:r w:rsidR="007B7578">
          <w:rPr>
            <w:rStyle w:val="Hyperlink"/>
          </w:rPr>
          <w:t>EØS-notat</w:t>
        </w:r>
      </w:hyperlink>
    </w:p>
    <w:p w14:paraId="7BF1297B" w14:textId="1E1D40CE" w:rsidR="00E95FCB" w:rsidRDefault="00D0101B" w:rsidP="00D0101B">
      <w:r>
        <w:t>32026R0460 Kommisjonens gjennomføringsforordning (EU) 2026/460 av 26. februar 2026 om fornyet godkjenning av tiaminhydroklorid og tiaminmononitrat som tilsetningsstoffer i fôr til alle dyrearter og om oppheving av gjennomføringsforordning (EU) 2015/897</w:t>
      </w:r>
      <w:r w:rsidR="00AC69A5">
        <w:t xml:space="preserve"> </w:t>
      </w:r>
      <w:r w:rsidR="00D54813">
        <w:t xml:space="preserve">- </w:t>
      </w:r>
      <w:hyperlink r:id="rId28" w:history="1">
        <w:r w:rsidR="00D54813">
          <w:rPr>
            <w:rStyle w:val="Hyperlink"/>
          </w:rPr>
          <w:t>EØS-notat</w:t>
        </w:r>
      </w:hyperlink>
    </w:p>
    <w:p w14:paraId="7F4F74CE" w14:textId="269D4F1F" w:rsidR="000B3D88" w:rsidRPr="000B3D88" w:rsidRDefault="00437732" w:rsidP="00D0101B">
      <w:pPr>
        <w:rPr>
          <w:rFonts w:ascii="Calibri" w:eastAsia="Times New Roman" w:hAnsi="Calibri" w:cs="Calibri"/>
          <w:color w:val="0000FF"/>
          <w:u w:val="single"/>
        </w:rPr>
      </w:pPr>
      <w:r>
        <w:lastRenderedPageBreak/>
        <w:t xml:space="preserve">32026R0516 Kommisjonens gjennomføringsforordning (EU) 2026/516 av 10. mars 2026 om retting av gjennomføringsforordning (EU) 2025/1403 med omsyn til konsentrasjonen av </w:t>
      </w:r>
      <w:proofErr w:type="spellStart"/>
      <w:r>
        <w:t>tujon</w:t>
      </w:r>
      <w:proofErr w:type="spellEnd"/>
      <w:r>
        <w:t xml:space="preserve"> i eterisk olje av spansk salvie</w:t>
      </w:r>
      <w:r w:rsidR="00504231">
        <w:t xml:space="preserve"> – </w:t>
      </w:r>
      <w:hyperlink r:id="rId29" w:history="1">
        <w:r w:rsidR="000B3D88" w:rsidRPr="000B3D88">
          <w:rPr>
            <w:rFonts w:ascii="Calibri" w:eastAsia="Times New Roman" w:hAnsi="Calibri" w:cs="Calibri"/>
            <w:color w:val="0000FF"/>
            <w:u w:val="single"/>
          </w:rPr>
          <w:t>EØS-notat</w:t>
        </w:r>
      </w:hyperlink>
    </w:p>
    <w:p w14:paraId="2E75986A" w14:textId="0DC82E96" w:rsidR="000B3D88" w:rsidRPr="000B3D88" w:rsidRDefault="00437732" w:rsidP="000B3D88">
      <w:pPr>
        <w:rPr>
          <w:rFonts w:ascii="Calibri" w:eastAsia="Times New Roman" w:hAnsi="Calibri" w:cs="Calibri"/>
          <w:color w:val="0000FF"/>
          <w:u w:val="single"/>
        </w:rPr>
      </w:pPr>
      <w:r>
        <w:t xml:space="preserve">32026R0528 Kommisjonens gjennomføringsforordning (EU) 2026/528 av 11. mars 2026 om godkjenning av eterisk </w:t>
      </w:r>
      <w:proofErr w:type="spellStart"/>
      <w:r>
        <w:t>patchouliolje</w:t>
      </w:r>
      <w:proofErr w:type="spellEnd"/>
      <w:r>
        <w:t xml:space="preserve"> </w:t>
      </w:r>
      <w:proofErr w:type="spellStart"/>
      <w:r>
        <w:t>frå</w:t>
      </w:r>
      <w:proofErr w:type="spellEnd"/>
      <w:r>
        <w:t xml:space="preserve"> </w:t>
      </w:r>
      <w:proofErr w:type="spellStart"/>
      <w:r w:rsidRPr="00437732">
        <w:rPr>
          <w:i/>
          <w:iCs/>
        </w:rPr>
        <w:t>Pogostemon</w:t>
      </w:r>
      <w:proofErr w:type="spellEnd"/>
      <w:r w:rsidRPr="00437732">
        <w:rPr>
          <w:i/>
          <w:iCs/>
        </w:rPr>
        <w:t xml:space="preserve"> </w:t>
      </w:r>
      <w:proofErr w:type="spellStart"/>
      <w:r w:rsidRPr="00437732">
        <w:rPr>
          <w:i/>
          <w:iCs/>
        </w:rPr>
        <w:t>cablin</w:t>
      </w:r>
      <w:proofErr w:type="spellEnd"/>
      <w:r>
        <w:t xml:space="preserve"> </w:t>
      </w:r>
      <w:proofErr w:type="spellStart"/>
      <w:r>
        <w:t>Benth</w:t>
      </w:r>
      <w:proofErr w:type="spellEnd"/>
      <w:r>
        <w:t xml:space="preserve">. som </w:t>
      </w:r>
      <w:proofErr w:type="spellStart"/>
      <w:r>
        <w:t>tilsetjingsstoff</w:t>
      </w:r>
      <w:proofErr w:type="spellEnd"/>
      <w:r>
        <w:t xml:space="preserve"> i fôr til alle </w:t>
      </w:r>
      <w:proofErr w:type="spellStart"/>
      <w:r>
        <w:t>dyreartar</w:t>
      </w:r>
      <w:proofErr w:type="spellEnd"/>
      <w:r w:rsidR="000B3D88">
        <w:t xml:space="preserve"> – </w:t>
      </w:r>
      <w:hyperlink r:id="rId30" w:history="1">
        <w:r w:rsidR="000B3D88" w:rsidRPr="000B3D88">
          <w:rPr>
            <w:rFonts w:ascii="Calibri" w:eastAsia="Times New Roman" w:hAnsi="Calibri" w:cs="Calibri"/>
            <w:color w:val="0000FF"/>
            <w:u w:val="single"/>
          </w:rPr>
          <w:t>EØS-notat</w:t>
        </w:r>
      </w:hyperlink>
    </w:p>
    <w:p w14:paraId="37A52C58" w14:textId="7C07168F" w:rsidR="00437732" w:rsidRPr="00460F6F" w:rsidRDefault="00437732" w:rsidP="00437732">
      <w:pPr>
        <w:rPr>
          <w:rFonts w:ascii="Calibri" w:eastAsia="Times New Roman" w:hAnsi="Calibri" w:cs="Calibri"/>
          <w:color w:val="0000FF"/>
          <w:u w:val="single"/>
          <w:lang w:val="nn-NO"/>
        </w:rPr>
      </w:pPr>
      <w:r w:rsidRPr="007370BE">
        <w:rPr>
          <w:lang w:val="nn-NO"/>
        </w:rPr>
        <w:t>32026R0532</w:t>
      </w:r>
      <w:r>
        <w:rPr>
          <w:lang w:val="nn-NO"/>
        </w:rPr>
        <w:t xml:space="preserve"> </w:t>
      </w:r>
      <w:r w:rsidRPr="007370BE">
        <w:rPr>
          <w:lang w:val="nn-NO"/>
        </w:rPr>
        <w:t>Kommisjonens gjennomføringsforordning (EU) 2026/532 av 11. mars 2026 om fornya godkjenning av og godkjenning av nye bruksområde for eit preparat av monensinnatrium (Coxidin) som tilsetjingsstoff i fôr til slaktekyllingar, livkyllingar, slaktekalkunar og kalkunar som vert fôra opp for avl (innehavar av godkjenninga: Huvepharma N.V.), og om oppheving av forordning (EF) nr. 109/2007 og gjennomføringsforordning (EU) nr. 140/2012</w:t>
      </w:r>
      <w:r w:rsidR="000B3D88">
        <w:rPr>
          <w:lang w:val="nn-NO"/>
        </w:rPr>
        <w:t xml:space="preserve"> – </w:t>
      </w:r>
      <w:hyperlink r:id="rId31" w:history="1">
        <w:r w:rsidR="00460F6F" w:rsidRPr="00460F6F">
          <w:rPr>
            <w:rFonts w:ascii="Calibri" w:eastAsia="Times New Roman" w:hAnsi="Calibri" w:cs="Calibri"/>
            <w:color w:val="0000FF"/>
            <w:u w:val="single"/>
            <w:lang w:val="nn-NO"/>
          </w:rPr>
          <w:t>EØS-notat</w:t>
        </w:r>
      </w:hyperlink>
    </w:p>
    <w:p w14:paraId="56A2F207" w14:textId="4812951E" w:rsidR="00437732" w:rsidRPr="00460F6F" w:rsidRDefault="00437732" w:rsidP="00437732">
      <w:pPr>
        <w:rPr>
          <w:rFonts w:ascii="Calibri" w:eastAsia="Times New Roman" w:hAnsi="Calibri" w:cs="Calibri"/>
          <w:color w:val="0000FF"/>
          <w:u w:val="single"/>
          <w:lang w:val="nn-NO"/>
        </w:rPr>
      </w:pPr>
      <w:r w:rsidRPr="007370BE">
        <w:rPr>
          <w:lang w:val="nn-NO"/>
        </w:rPr>
        <w:t>32026R0534</w:t>
      </w:r>
      <w:r w:rsidR="005D0CC2">
        <w:rPr>
          <w:lang w:val="nn-NO"/>
        </w:rPr>
        <w:t xml:space="preserve"> </w:t>
      </w:r>
      <w:r w:rsidRPr="007370BE">
        <w:rPr>
          <w:lang w:val="nn-NO"/>
        </w:rPr>
        <w:t xml:space="preserve">Kommisjonens gjennomføringsforordning (EU) 2026/534 av 11. mars 2026 om godkjenning av eit preparat av </w:t>
      </w:r>
      <w:r w:rsidRPr="005D0CC2">
        <w:rPr>
          <w:i/>
          <w:iCs/>
          <w:lang w:val="nn-NO"/>
        </w:rPr>
        <w:t>Duddingtonia flagrans</w:t>
      </w:r>
      <w:r w:rsidRPr="007370BE">
        <w:rPr>
          <w:lang w:val="nn-NO"/>
        </w:rPr>
        <w:t xml:space="preserve"> NCIMB 30336 som tilsetjingsstoff i fôr til beitande storfe, sauer og geiter bortsett frå dyr til mjølkeproduksjon, og til beitande kameldyr, hjortedyr, hestedyr, svin og kaninar (innehavar av godkjenninga: International Animal Health Products Pty Ltd, som er representert i Unionen ved SynTech Regulatory Europe GmbH)</w:t>
      </w:r>
      <w:r w:rsidR="00460F6F">
        <w:rPr>
          <w:lang w:val="nn-NO"/>
        </w:rPr>
        <w:t xml:space="preserve"> – </w:t>
      </w:r>
      <w:hyperlink r:id="rId32" w:history="1">
        <w:r w:rsidR="00460F6F" w:rsidRPr="00460F6F">
          <w:rPr>
            <w:rFonts w:ascii="Calibri" w:eastAsia="Times New Roman" w:hAnsi="Calibri" w:cs="Calibri"/>
            <w:color w:val="0000FF"/>
            <w:u w:val="single"/>
            <w:lang w:val="nn-NO"/>
          </w:rPr>
          <w:t>EØS-notat</w:t>
        </w:r>
      </w:hyperlink>
    </w:p>
    <w:p w14:paraId="442BCA03" w14:textId="00365952" w:rsidR="00437732" w:rsidRPr="00C11AFE" w:rsidRDefault="00437732" w:rsidP="00437732">
      <w:pPr>
        <w:rPr>
          <w:rFonts w:ascii="Calibri" w:eastAsia="Times New Roman" w:hAnsi="Calibri" w:cs="Calibri"/>
          <w:color w:val="0000FF"/>
          <w:u w:val="single"/>
          <w:lang w:val="nn-NO"/>
        </w:rPr>
      </w:pPr>
      <w:r w:rsidRPr="007370BE">
        <w:rPr>
          <w:lang w:val="nn-NO"/>
        </w:rPr>
        <w:t>32026R0538</w:t>
      </w:r>
      <w:r w:rsidR="005D0CC2">
        <w:rPr>
          <w:lang w:val="nn-NO"/>
        </w:rPr>
        <w:t xml:space="preserve"> </w:t>
      </w:r>
      <w:r w:rsidRPr="007370BE">
        <w:rPr>
          <w:lang w:val="nn-NO"/>
        </w:rPr>
        <w:t xml:space="preserve">Kommisjonens gjennomføringsforordning (EU) 2026/538 av 11. mars 2026 om godkjenning av xantangummi framstilt med </w:t>
      </w:r>
      <w:r w:rsidRPr="005D0CC2">
        <w:rPr>
          <w:i/>
          <w:iCs/>
          <w:lang w:val="nn-NO"/>
        </w:rPr>
        <w:t>Xanthomonas campestris</w:t>
      </w:r>
      <w:r w:rsidRPr="007370BE">
        <w:rPr>
          <w:lang w:val="nn-NO"/>
        </w:rPr>
        <w:t xml:space="preserve"> ATCC SD 7012 eller DSM 23730 eller CNCM I-4861 eller CIP 74.23 som tilsetjingsstoff i fôr til alle dyreartar bortsett frå kattar, hundar og akvatiske artar</w:t>
      </w:r>
      <w:r w:rsidR="00460F6F">
        <w:rPr>
          <w:lang w:val="nn-NO"/>
        </w:rPr>
        <w:t xml:space="preserve"> – </w:t>
      </w:r>
      <w:hyperlink r:id="rId33" w:history="1">
        <w:r w:rsidR="00C11AFE" w:rsidRPr="00C11AFE">
          <w:rPr>
            <w:rFonts w:ascii="Calibri" w:eastAsia="Times New Roman" w:hAnsi="Calibri" w:cs="Calibri"/>
            <w:color w:val="0000FF"/>
            <w:u w:val="single"/>
            <w:lang w:val="nn-NO"/>
          </w:rPr>
          <w:t>EØS-notat</w:t>
        </w:r>
      </w:hyperlink>
    </w:p>
    <w:p w14:paraId="5EF1BC44" w14:textId="5348D83C" w:rsidR="00437732" w:rsidRPr="00205202" w:rsidRDefault="00437732" w:rsidP="00437732">
      <w:pPr>
        <w:rPr>
          <w:rFonts w:ascii="Calibri" w:eastAsia="Times New Roman" w:hAnsi="Calibri" w:cs="Calibri"/>
          <w:color w:val="0000FF"/>
          <w:u w:val="single"/>
          <w:lang w:val="nn-NO"/>
        </w:rPr>
      </w:pPr>
      <w:r w:rsidRPr="005D0CC2">
        <w:rPr>
          <w:lang w:val="nn-NO"/>
        </w:rPr>
        <w:t>32026R0540</w:t>
      </w:r>
      <w:r w:rsidR="005D0CC2" w:rsidRPr="005D0CC2">
        <w:rPr>
          <w:lang w:val="nn-NO"/>
        </w:rPr>
        <w:t xml:space="preserve"> </w:t>
      </w:r>
      <w:r w:rsidRPr="005D0CC2">
        <w:rPr>
          <w:lang w:val="nn-NO"/>
        </w:rPr>
        <w:t>Kommisjonens gjennomføringsforordning (EU) 2026/540 av 11. mars 2026 om godkjenning av akasiegummi som tilsetjingsstoff i fôr til alle dyreartar</w:t>
      </w:r>
      <w:r w:rsidR="00C11AFE">
        <w:rPr>
          <w:lang w:val="nn-NO"/>
        </w:rPr>
        <w:t xml:space="preserve"> – </w:t>
      </w:r>
      <w:hyperlink r:id="rId34" w:history="1">
        <w:r w:rsidR="00C11AFE" w:rsidRPr="00205202">
          <w:rPr>
            <w:rFonts w:ascii="Calibri" w:eastAsia="Times New Roman" w:hAnsi="Calibri" w:cs="Calibri"/>
            <w:color w:val="0000FF"/>
            <w:u w:val="single"/>
            <w:lang w:val="nn-NO"/>
          </w:rPr>
          <w:t>EØS-notat</w:t>
        </w:r>
      </w:hyperlink>
    </w:p>
    <w:p w14:paraId="2B487D4F" w14:textId="29659443" w:rsidR="00FA10F2" w:rsidRPr="00205202" w:rsidRDefault="00FA10F2" w:rsidP="00494297">
      <w:pPr>
        <w:rPr>
          <w:rFonts w:ascii="Calibri" w:eastAsia="Times New Roman" w:hAnsi="Calibri" w:cs="Calibri"/>
          <w:color w:val="0000FF"/>
          <w:u w:val="single"/>
          <w:lang w:val="nn-NO"/>
        </w:rPr>
      </w:pPr>
      <w:r>
        <w:rPr>
          <w:lang w:val="nn-NO"/>
        </w:rPr>
        <w:t>32026R0548</w:t>
      </w:r>
      <w:r w:rsidR="0035290C">
        <w:rPr>
          <w:lang w:val="nn-NO"/>
        </w:rPr>
        <w:t xml:space="preserve"> </w:t>
      </w:r>
      <w:r w:rsidR="0035290C" w:rsidRPr="0035290C">
        <w:rPr>
          <w:lang w:val="nn-NO"/>
        </w:rPr>
        <w:t xml:space="preserve">Kommisjonens gjennomføringsforordning (EU) 2026/548 av 13. mars 2026 om avslag på godkjenning av ekstrakt av storborre fra </w:t>
      </w:r>
      <w:r w:rsidR="0035290C" w:rsidRPr="00161CA0">
        <w:rPr>
          <w:i/>
          <w:iCs/>
          <w:lang w:val="nn-NO"/>
        </w:rPr>
        <w:t>Arctium lappa</w:t>
      </w:r>
      <w:r w:rsidR="0035290C" w:rsidRPr="0035290C">
        <w:rPr>
          <w:lang w:val="nn-NO"/>
        </w:rPr>
        <w:t xml:space="preserve"> L. som tilsetningsstoff i fôr til katter og hunder</w:t>
      </w:r>
      <w:r>
        <w:rPr>
          <w:lang w:val="nn-NO"/>
        </w:rPr>
        <w:t xml:space="preserve"> – </w:t>
      </w:r>
      <w:hyperlink r:id="rId35" w:history="1">
        <w:r w:rsidR="00142309" w:rsidRPr="00205202">
          <w:rPr>
            <w:rFonts w:ascii="Calibri" w:eastAsia="Times New Roman" w:hAnsi="Calibri" w:cs="Calibri"/>
            <w:color w:val="0000FF"/>
            <w:u w:val="single"/>
            <w:lang w:val="nn-NO"/>
          </w:rPr>
          <w:t>EØS-notat</w:t>
        </w:r>
      </w:hyperlink>
    </w:p>
    <w:p w14:paraId="1C134873" w14:textId="7AEE394F" w:rsidR="00FA10F2" w:rsidRPr="00205202" w:rsidRDefault="00FA10F2" w:rsidP="00494297">
      <w:pPr>
        <w:rPr>
          <w:rFonts w:ascii="Calibri" w:eastAsia="Times New Roman" w:hAnsi="Calibri" w:cs="Calibri"/>
          <w:color w:val="0000FF"/>
          <w:u w:val="single"/>
          <w:lang w:val="nn-NO"/>
        </w:rPr>
      </w:pPr>
      <w:r>
        <w:rPr>
          <w:lang w:val="nn-NO"/>
        </w:rPr>
        <w:t>32026R0549</w:t>
      </w:r>
      <w:r w:rsidR="0035290C">
        <w:rPr>
          <w:lang w:val="nn-NO"/>
        </w:rPr>
        <w:t xml:space="preserve"> </w:t>
      </w:r>
      <w:r w:rsidR="0035290C" w:rsidRPr="0035290C">
        <w:rPr>
          <w:lang w:val="nn-NO"/>
        </w:rPr>
        <w:t>Kommisjonens gjennomføringsforordning (EU) 2026/549 av 13. mars 2026 om fornyet godkjenning av et preparat av bakteriestammen DSM 11798 av Eggerthellaceae-familien som tilsetningsstoff i fôr til svin, fjørfe og prydfugler og om oppheving av gjennomføringsforordning (EU) nr. 1016/2013 og (EU) 2017/930</w:t>
      </w:r>
      <w:r w:rsidR="00142309">
        <w:rPr>
          <w:lang w:val="nn-NO"/>
        </w:rPr>
        <w:t xml:space="preserve"> – </w:t>
      </w:r>
      <w:hyperlink r:id="rId36" w:history="1">
        <w:r w:rsidR="00142309" w:rsidRPr="00205202">
          <w:rPr>
            <w:rFonts w:ascii="Calibri" w:eastAsia="Times New Roman" w:hAnsi="Calibri" w:cs="Calibri"/>
            <w:color w:val="0000FF"/>
            <w:u w:val="single"/>
            <w:lang w:val="nn-NO"/>
          </w:rPr>
          <w:t>EØS-notat</w:t>
        </w:r>
      </w:hyperlink>
    </w:p>
    <w:p w14:paraId="495A84BF" w14:textId="3A35569C" w:rsidR="00494297" w:rsidRPr="00494297" w:rsidRDefault="00B41411" w:rsidP="00494297">
      <w:pPr>
        <w:rPr>
          <w:rFonts w:ascii="Calibri" w:eastAsia="Times New Roman" w:hAnsi="Calibri" w:cs="Calibri"/>
          <w:color w:val="0000FF"/>
          <w:u w:val="single"/>
          <w:lang w:val="nn-NO"/>
        </w:rPr>
      </w:pPr>
      <w:r w:rsidRPr="00B41411">
        <w:rPr>
          <w:lang w:val="nn-NO"/>
        </w:rPr>
        <w:t>32026R0553</w:t>
      </w:r>
      <w:r>
        <w:rPr>
          <w:lang w:val="nn-NO"/>
        </w:rPr>
        <w:t xml:space="preserve"> </w:t>
      </w:r>
      <w:r w:rsidRPr="00B41411">
        <w:rPr>
          <w:lang w:val="nn-NO"/>
        </w:rPr>
        <w:t xml:space="preserve">Kommisjonens gjennomføringsforordning (EU) 2026/553 av 13. mars 2026 om endring av gjennomføringsforordning (EU) 2020/1755 og (EU) 2024/1054 med omsyn til vilkåra for godkjenning av eit preparat av </w:t>
      </w:r>
      <w:r w:rsidRPr="00B41411">
        <w:rPr>
          <w:i/>
          <w:iCs/>
          <w:lang w:val="nn-NO"/>
        </w:rPr>
        <w:t>Weizmannia faecalis</w:t>
      </w:r>
      <w:r w:rsidRPr="00B41411">
        <w:rPr>
          <w:lang w:val="nn-NO"/>
        </w:rPr>
        <w:t xml:space="preserve"> DSM 32016 som tilsetjingsstoff i fôr til alle fjørfeartar meinte for slakt, avl og eggproduksjon og til prydfuglar (innehavar av godkjenninga: Biochem Zusatzstoffe Handels- und Produktionsges. mbH)</w:t>
      </w:r>
      <w:r w:rsidR="00C11AFE">
        <w:rPr>
          <w:lang w:val="nn-NO"/>
        </w:rPr>
        <w:t xml:space="preserve"> – </w:t>
      </w:r>
      <w:hyperlink r:id="rId37" w:history="1">
        <w:r w:rsidR="00494297" w:rsidRPr="00494297">
          <w:rPr>
            <w:rFonts w:ascii="Calibri" w:eastAsia="Times New Roman" w:hAnsi="Calibri" w:cs="Calibri"/>
            <w:color w:val="0000FF"/>
            <w:u w:val="single"/>
            <w:lang w:val="nn-NO"/>
          </w:rPr>
          <w:t>EØS-notat</w:t>
        </w:r>
      </w:hyperlink>
    </w:p>
    <w:p w14:paraId="70A5B900" w14:textId="7EAF606F" w:rsidR="00E733D5" w:rsidRPr="00EB6050" w:rsidRDefault="00B41411" w:rsidP="00B41411">
      <w:pPr>
        <w:rPr>
          <w:rFonts w:ascii="Calibri" w:eastAsia="Times New Roman" w:hAnsi="Calibri" w:cs="Calibri"/>
          <w:color w:val="0000FF"/>
          <w:u w:val="single"/>
          <w:lang w:val="nn-NO"/>
        </w:rPr>
      </w:pPr>
      <w:r w:rsidRPr="00B41411">
        <w:rPr>
          <w:lang w:val="nn-NO"/>
        </w:rPr>
        <w:t>32026R0585</w:t>
      </w:r>
      <w:r w:rsidR="00DB6C46">
        <w:rPr>
          <w:lang w:val="nn-NO"/>
        </w:rPr>
        <w:t xml:space="preserve"> </w:t>
      </w:r>
      <w:r w:rsidRPr="00B41411">
        <w:rPr>
          <w:lang w:val="nn-NO"/>
        </w:rPr>
        <w:t>Kommisjonens gjennomføringsforordning (EU) 2026/585 av 13. mars 2026 om avslag på godkjenning av ginsengekstrakt frå Panax ginseng C.A. Meyer som tilsetjingsstoff i fôr til kattar og hundar</w:t>
      </w:r>
      <w:r w:rsidR="00EB6050">
        <w:rPr>
          <w:lang w:val="nn-NO"/>
        </w:rPr>
        <w:t xml:space="preserve"> – </w:t>
      </w:r>
      <w:hyperlink r:id="rId38" w:history="1">
        <w:r w:rsidR="00EB6050" w:rsidRPr="00EB6050">
          <w:rPr>
            <w:rFonts w:ascii="Calibri" w:eastAsia="Times New Roman" w:hAnsi="Calibri" w:cs="Calibri"/>
            <w:color w:val="0000FF"/>
            <w:u w:val="single"/>
            <w:lang w:val="nn-NO"/>
          </w:rPr>
          <w:t>EØS-notat</w:t>
        </w:r>
      </w:hyperlink>
    </w:p>
    <w:p w14:paraId="703D673C" w14:textId="325B75D6" w:rsidR="0041204B" w:rsidRPr="0041204B" w:rsidRDefault="00DB2656" w:rsidP="0041204B">
      <w:pPr>
        <w:rPr>
          <w:rFonts w:ascii="Calibri" w:eastAsia="Times New Roman" w:hAnsi="Calibri" w:cs="Calibri"/>
          <w:color w:val="0000FF"/>
          <w:u w:val="single"/>
          <w:lang w:val="nn-NO"/>
        </w:rPr>
      </w:pPr>
      <w:r w:rsidRPr="00DB2656">
        <w:rPr>
          <w:lang w:val="nn-NO"/>
        </w:rPr>
        <w:t>32024D1941</w:t>
      </w:r>
      <w:r>
        <w:rPr>
          <w:lang w:val="nn-NO"/>
        </w:rPr>
        <w:t xml:space="preserve"> </w:t>
      </w:r>
      <w:r w:rsidRPr="00DB2656">
        <w:rPr>
          <w:lang w:val="nn-NO"/>
        </w:rPr>
        <w:t>Kommisjonens gjennomføringsbeslutning (EU) 2024/1941 av 22. juli 2024 om utpeking av et EU-referanselaboratorium for næringsmiddelforbedringsmidler i samsvar med europaparlaments- og rådsforordning (EU) 2017/625</w:t>
      </w:r>
      <w:r w:rsidR="0041204B">
        <w:rPr>
          <w:lang w:val="nn-NO"/>
        </w:rPr>
        <w:t xml:space="preserve"> – </w:t>
      </w:r>
      <w:hyperlink r:id="rId39" w:history="1">
        <w:r w:rsidR="0041204B" w:rsidRPr="0041204B">
          <w:rPr>
            <w:rFonts w:ascii="Calibri" w:eastAsia="Times New Roman" w:hAnsi="Calibri" w:cs="Calibri"/>
            <w:color w:val="0000FF"/>
            <w:u w:val="single"/>
            <w:lang w:val="nn-NO"/>
          </w:rPr>
          <w:t>EØS-notat</w:t>
        </w:r>
      </w:hyperlink>
    </w:p>
    <w:p w14:paraId="4FA0C366" w14:textId="6ACDA083" w:rsidR="00DB2656" w:rsidRPr="00A3216C" w:rsidRDefault="00DB2656" w:rsidP="00DB2656">
      <w:pPr>
        <w:rPr>
          <w:rFonts w:ascii="Calibri" w:eastAsia="Times New Roman" w:hAnsi="Calibri" w:cs="Calibri"/>
          <w:color w:val="0000FF"/>
          <w:u w:val="single"/>
          <w:lang w:val="nn-NO"/>
        </w:rPr>
      </w:pPr>
      <w:r w:rsidRPr="00DB2656">
        <w:rPr>
          <w:lang w:val="nn-NO"/>
        </w:rPr>
        <w:lastRenderedPageBreak/>
        <w:t>32025R2501</w:t>
      </w:r>
      <w:r>
        <w:rPr>
          <w:lang w:val="nn-NO"/>
        </w:rPr>
        <w:t xml:space="preserve"> </w:t>
      </w:r>
      <w:r w:rsidRPr="00DB2656">
        <w:rPr>
          <w:lang w:val="nn-NO"/>
        </w:rPr>
        <w:t>Kommisjonens gjennomføringsforordning (EU) 2025/2501 av 11. desember 2025 om endring av gjennomføringsforordning (EU) 2021/1165 med hensyn til bruk av visse produkter og stoffer i økologisk produksjon</w:t>
      </w:r>
      <w:r w:rsidR="00A3216C">
        <w:rPr>
          <w:lang w:val="nn-NO"/>
        </w:rPr>
        <w:t xml:space="preserve"> – </w:t>
      </w:r>
      <w:hyperlink r:id="rId40" w:history="1">
        <w:r w:rsidR="00A3216C" w:rsidRPr="00A3216C">
          <w:rPr>
            <w:rFonts w:ascii="Calibri" w:eastAsia="Times New Roman" w:hAnsi="Calibri" w:cs="Calibri"/>
            <w:color w:val="0000FF"/>
            <w:u w:val="single"/>
            <w:lang w:val="nn-NO"/>
          </w:rPr>
          <w:t>EØS-notat</w:t>
        </w:r>
      </w:hyperlink>
    </w:p>
    <w:p w14:paraId="6574F2B3" w14:textId="50B59C2A" w:rsidR="00DB2656" w:rsidRPr="00AD6E73" w:rsidRDefault="00DB2656" w:rsidP="00DB2656">
      <w:pPr>
        <w:rPr>
          <w:rFonts w:ascii="Calibri" w:eastAsia="Times New Roman" w:hAnsi="Calibri" w:cs="Calibri"/>
          <w:color w:val="0000FF"/>
          <w:u w:val="single"/>
          <w:lang w:val="nn-NO"/>
        </w:rPr>
      </w:pPr>
      <w:r w:rsidRPr="00DB2656">
        <w:rPr>
          <w:lang w:val="nn-NO"/>
        </w:rPr>
        <w:t>32025R2651</w:t>
      </w:r>
      <w:r>
        <w:rPr>
          <w:lang w:val="nn-NO"/>
        </w:rPr>
        <w:t xml:space="preserve"> </w:t>
      </w:r>
      <w:r w:rsidRPr="00DB2656">
        <w:rPr>
          <w:lang w:val="nn-NO"/>
        </w:rPr>
        <w:t>Delegert kommisjonsforordning (EU) 2025/2651 av 16. oktober 2025 om endring av delegert forordning (EU) 2021/1698 med hensyn til visse kriterier for fastsettelse av listen over tredjestater med høy risiko og høyrisikoprodukter</w:t>
      </w:r>
      <w:r w:rsidR="00AD6E73">
        <w:rPr>
          <w:lang w:val="nn-NO"/>
        </w:rPr>
        <w:t xml:space="preserve"> – </w:t>
      </w:r>
      <w:hyperlink r:id="rId41" w:history="1">
        <w:r w:rsidR="00AD6E73" w:rsidRPr="00AD6E73">
          <w:rPr>
            <w:rFonts w:ascii="Calibri" w:eastAsia="Times New Roman" w:hAnsi="Calibri" w:cs="Calibri"/>
            <w:color w:val="0000FF"/>
            <w:u w:val="single"/>
            <w:lang w:val="nn-NO"/>
          </w:rPr>
          <w:t>EØS-notat</w:t>
        </w:r>
      </w:hyperlink>
    </w:p>
    <w:p w14:paraId="6B9E1D2B" w14:textId="79B50754" w:rsidR="00DB2656" w:rsidRPr="00DB2656" w:rsidRDefault="00DB2656" w:rsidP="00DB2656">
      <w:pPr>
        <w:rPr>
          <w:lang w:val="nn-NO"/>
        </w:rPr>
      </w:pPr>
      <w:r w:rsidRPr="00DB2656">
        <w:rPr>
          <w:lang w:val="nn-NO"/>
        </w:rPr>
        <w:t>32026R0765</w:t>
      </w:r>
      <w:r>
        <w:rPr>
          <w:lang w:val="nn-NO"/>
        </w:rPr>
        <w:t xml:space="preserve"> </w:t>
      </w:r>
      <w:r w:rsidRPr="00DB2656">
        <w:rPr>
          <w:lang w:val="nn-NO"/>
        </w:rPr>
        <w:t xml:space="preserve">Kommisjonens gjennomføringsforordning (EU) 2026/765 av 1. april 2026 om metoder for prøvetaking og analyse og om tolking av resultater fra offentlig kontroll av rester av plantevernmidler i og på næringsmidler og fôr av vegetabilsk og animalsk opprinnelse, og om oppheving av direktiv 2002/63/EF </w:t>
      </w:r>
      <w:r w:rsidR="006E2B32">
        <w:rPr>
          <w:lang w:val="nn-NO"/>
        </w:rPr>
        <w:t xml:space="preserve">– </w:t>
      </w:r>
      <w:hyperlink r:id="rId42" w:history="1">
        <w:r w:rsidR="006E2B32">
          <w:rPr>
            <w:rStyle w:val="Hyperlink"/>
            <w:lang w:val="nn-NO"/>
          </w:rPr>
          <w:t>EØS-notat</w:t>
        </w:r>
      </w:hyperlink>
    </w:p>
    <w:p w14:paraId="302EB23C" w14:textId="6744A7F7" w:rsidR="00DB2656" w:rsidRPr="00CA3FBF" w:rsidRDefault="00DB2656" w:rsidP="00DB2656">
      <w:pPr>
        <w:rPr>
          <w:rFonts w:ascii="Calibri" w:eastAsia="Times New Roman" w:hAnsi="Calibri" w:cs="Calibri"/>
          <w:color w:val="0000FF"/>
          <w:u w:val="single"/>
          <w:lang w:val="nn-NO"/>
        </w:rPr>
      </w:pPr>
      <w:r w:rsidRPr="00DB2656">
        <w:rPr>
          <w:lang w:val="nn-NO"/>
        </w:rPr>
        <w:t>32026R0840</w:t>
      </w:r>
      <w:r>
        <w:rPr>
          <w:lang w:val="nn-NO"/>
        </w:rPr>
        <w:t xml:space="preserve"> </w:t>
      </w:r>
      <w:r w:rsidRPr="00DB2656">
        <w:rPr>
          <w:lang w:val="nn-NO"/>
        </w:rPr>
        <w:t>Kommisjonsforordning (EU) 2026/840 av 15. april 2026 om endring av vedlegg II og III til europaparlaments- og rådsforordning (EF) nr. 396/2005 med hensyn til øvre grenseverdier for rester av kobberforbindelser i eller på visse produkter</w:t>
      </w:r>
      <w:r w:rsidR="00CA3FBF">
        <w:rPr>
          <w:lang w:val="nn-NO"/>
        </w:rPr>
        <w:t xml:space="preserve"> – </w:t>
      </w:r>
      <w:hyperlink r:id="rId43" w:history="1">
        <w:r w:rsidR="00CA3FBF" w:rsidRPr="00CA3FBF">
          <w:rPr>
            <w:rFonts w:ascii="Calibri" w:eastAsia="Times New Roman" w:hAnsi="Calibri" w:cs="Calibri"/>
            <w:color w:val="0000FF"/>
            <w:u w:val="single"/>
            <w:lang w:val="nn-NO"/>
          </w:rPr>
          <w:t>EØS-notat</w:t>
        </w:r>
      </w:hyperlink>
    </w:p>
    <w:p w14:paraId="441FE576" w14:textId="07202369" w:rsidR="001E560C" w:rsidRPr="001E560C" w:rsidRDefault="00DB2656" w:rsidP="001E560C">
      <w:pPr>
        <w:rPr>
          <w:rFonts w:ascii="Calibri" w:eastAsia="Times New Roman" w:hAnsi="Calibri" w:cs="Calibri"/>
          <w:color w:val="0000FF"/>
          <w:u w:val="single"/>
          <w:lang w:val="nn-NO"/>
        </w:rPr>
      </w:pPr>
      <w:r w:rsidRPr="00DB2656">
        <w:rPr>
          <w:lang w:val="nn-NO"/>
        </w:rPr>
        <w:t>32026R0876</w:t>
      </w:r>
      <w:r>
        <w:rPr>
          <w:lang w:val="nn-NO"/>
        </w:rPr>
        <w:t xml:space="preserve"> </w:t>
      </w:r>
      <w:r w:rsidRPr="00DB2656">
        <w:rPr>
          <w:lang w:val="nn-NO"/>
        </w:rPr>
        <w:t>Kommisjonsforordning (EU) 2026/876 av 21. april 2026 om endring av vedlegg II til europaparlaments- og rådsforordning (EF) nr. 396/2005 med hensyn til øvre grenseverdier for rester av acetamiprid, aklonifen, deltametrin, oksatiapiprolin og kaliumfosfonater i eller på visse produkter</w:t>
      </w:r>
      <w:r w:rsidR="001E560C">
        <w:rPr>
          <w:lang w:val="nn-NO"/>
        </w:rPr>
        <w:t xml:space="preserve"> – </w:t>
      </w:r>
      <w:hyperlink r:id="rId44" w:history="1">
        <w:r w:rsidR="001E560C" w:rsidRPr="001E560C">
          <w:rPr>
            <w:rFonts w:ascii="Calibri" w:eastAsia="Times New Roman" w:hAnsi="Calibri" w:cs="Calibri"/>
            <w:color w:val="0000FF"/>
            <w:u w:val="single"/>
            <w:lang w:val="nn-NO"/>
          </w:rPr>
          <w:t>EØS-notat</w:t>
        </w:r>
      </w:hyperlink>
    </w:p>
    <w:p w14:paraId="40A0914F" w14:textId="7EE6C7DF" w:rsidR="001248E2" w:rsidRPr="001248E2" w:rsidRDefault="00E60D16" w:rsidP="001248E2">
      <w:pPr>
        <w:rPr>
          <w:rFonts w:ascii="Calibri" w:eastAsia="Times New Roman" w:hAnsi="Calibri" w:cs="Calibri"/>
          <w:color w:val="0000FF"/>
          <w:u w:val="single"/>
          <w:lang w:val="nn-NO"/>
        </w:rPr>
      </w:pPr>
      <w:r w:rsidRPr="00E60D16">
        <w:rPr>
          <w:lang w:val="nn-NO"/>
        </w:rPr>
        <w:t>32025R2274</w:t>
      </w:r>
      <w:r>
        <w:rPr>
          <w:lang w:val="nn-NO"/>
        </w:rPr>
        <w:t xml:space="preserve"> </w:t>
      </w:r>
      <w:r w:rsidRPr="00E60D16">
        <w:rPr>
          <w:lang w:val="nn-NO"/>
        </w:rPr>
        <w:t>Kommisjonsforordning (EU) 2025/2274 av 12. november 2025 om endring av forordning (EU) 2024/1487 med hensyn til vedtakelse av arbeidsprogrammet for gradvis revurdering av beskyttende midler og synergister</w:t>
      </w:r>
      <w:r w:rsidR="001248E2">
        <w:rPr>
          <w:lang w:val="nn-NO"/>
        </w:rPr>
        <w:t xml:space="preserve"> – </w:t>
      </w:r>
      <w:hyperlink r:id="rId45" w:history="1">
        <w:r w:rsidR="001248E2" w:rsidRPr="001248E2">
          <w:rPr>
            <w:rFonts w:ascii="Calibri" w:eastAsia="Times New Roman" w:hAnsi="Calibri" w:cs="Calibri"/>
            <w:color w:val="0000FF"/>
            <w:u w:val="single"/>
            <w:lang w:val="nn-NO"/>
          </w:rPr>
          <w:t>EØS-notat</w:t>
        </w:r>
      </w:hyperlink>
    </w:p>
    <w:p w14:paraId="143DF5B3" w14:textId="221E363A" w:rsidR="00E60D16" w:rsidRDefault="003D355B" w:rsidP="00C266E9">
      <w:pPr>
        <w:rPr>
          <w:lang w:val="nn-NO"/>
        </w:rPr>
      </w:pPr>
      <w:r w:rsidRPr="003D355B">
        <w:rPr>
          <w:lang w:val="nn-NO"/>
        </w:rPr>
        <w:t>32026R0870</w:t>
      </w:r>
      <w:r w:rsidR="00D42119">
        <w:rPr>
          <w:lang w:val="nn-NO"/>
        </w:rPr>
        <w:t xml:space="preserve"> </w:t>
      </w:r>
      <w:r w:rsidRPr="003D355B">
        <w:rPr>
          <w:lang w:val="nn-NO"/>
        </w:rPr>
        <w:t>Kommisjonens gjennomføringsforordning (EU) 2026/870 av 21. april 2026 om fornyet godkjenning av det aktive stoffet parafinolje (CAS-nr. 8042-47-5) i samsvar med europaparlaments- og rådsforordning (EF) nr. 1107/2009, og om endring av Kommisjonens gjennomføringsforordning (EU) nr. 540/2011</w:t>
      </w:r>
      <w:r w:rsidR="006E2B32">
        <w:rPr>
          <w:lang w:val="nn-NO"/>
        </w:rPr>
        <w:t xml:space="preserve"> – </w:t>
      </w:r>
      <w:hyperlink r:id="rId46" w:history="1">
        <w:r w:rsidR="00EF7DD9">
          <w:rPr>
            <w:rStyle w:val="Hyperlink"/>
            <w:lang w:val="nn-NO"/>
          </w:rPr>
          <w:t>EØS-notat</w:t>
        </w:r>
      </w:hyperlink>
    </w:p>
    <w:p w14:paraId="2AA69BD7" w14:textId="77777777" w:rsidR="003D355B" w:rsidRPr="005D0CC2" w:rsidRDefault="003D355B" w:rsidP="00C266E9">
      <w:pPr>
        <w:rPr>
          <w:lang w:val="nn-NO"/>
        </w:rPr>
      </w:pPr>
    </w:p>
    <w:p w14:paraId="20773129" w14:textId="6F18ED35" w:rsidR="0020749D" w:rsidRPr="005D0CC2" w:rsidRDefault="0020749D" w:rsidP="0020749D">
      <w:pPr>
        <w:pStyle w:val="Heading2"/>
        <w:rPr>
          <w:color w:val="auto"/>
          <w:lang w:val="nn-NO"/>
        </w:rPr>
      </w:pPr>
      <w:bookmarkStart w:id="21" w:name="_Toc233967743"/>
      <w:r w:rsidRPr="005D0CC2">
        <w:rPr>
          <w:color w:val="auto"/>
          <w:lang w:val="nn-NO"/>
        </w:rPr>
        <w:t>KLIMA- OG MILJØDEPARTEMENTET</w:t>
      </w:r>
      <w:bookmarkEnd w:id="21"/>
    </w:p>
    <w:p w14:paraId="702A2F61" w14:textId="77777777" w:rsidR="003D74D8" w:rsidRDefault="003D74D8" w:rsidP="00EC40AE">
      <w:pPr>
        <w:rPr>
          <w:lang w:val="nn-NO"/>
        </w:rPr>
      </w:pPr>
    </w:p>
    <w:p w14:paraId="2FA04409" w14:textId="7C3A353B" w:rsidR="004068DF" w:rsidRPr="004068DF" w:rsidRDefault="004068DF" w:rsidP="004068DF">
      <w:pPr>
        <w:rPr>
          <w:lang w:val="nn-NO"/>
        </w:rPr>
      </w:pPr>
      <w:r w:rsidRPr="004068DF">
        <w:rPr>
          <w:lang w:val="nn-NO"/>
        </w:rPr>
        <w:t>32026D0576</w:t>
      </w:r>
      <w:r>
        <w:rPr>
          <w:lang w:val="nn-NO"/>
        </w:rPr>
        <w:t xml:space="preserve"> </w:t>
      </w:r>
      <w:r w:rsidRPr="004068DF">
        <w:rPr>
          <w:lang w:val="nn-NO"/>
        </w:rPr>
        <w:t>Kommisjonens gjennomføringsbeslutning (EU) 2026/576 av 17. mars 2026 om utsettelse av utløpsdatoen for godkjenningen av basisk kobberkarbonat til bruk i biocidprodukter av type 8 i samsvar med europaparlaments- og rådsforordning (EU) nr. 528/2012</w:t>
      </w:r>
      <w:r w:rsidR="00C22BEB">
        <w:rPr>
          <w:lang w:val="nn-NO"/>
        </w:rPr>
        <w:t xml:space="preserve"> – </w:t>
      </w:r>
      <w:hyperlink r:id="rId47" w:history="1">
        <w:r w:rsidR="00C22BEB">
          <w:rPr>
            <w:rStyle w:val="Hyperlink"/>
            <w:lang w:val="nn-NO"/>
          </w:rPr>
          <w:t>EØS-notat</w:t>
        </w:r>
      </w:hyperlink>
    </w:p>
    <w:p w14:paraId="325ED31B" w14:textId="08EC2432" w:rsidR="004068DF" w:rsidRPr="004068DF" w:rsidRDefault="004068DF" w:rsidP="004068DF">
      <w:pPr>
        <w:rPr>
          <w:lang w:val="nn-NO"/>
        </w:rPr>
      </w:pPr>
      <w:r w:rsidRPr="004068DF">
        <w:rPr>
          <w:lang w:val="nn-NO"/>
        </w:rPr>
        <w:t>32026D0578</w:t>
      </w:r>
      <w:r>
        <w:rPr>
          <w:lang w:val="nn-NO"/>
        </w:rPr>
        <w:t xml:space="preserve"> </w:t>
      </w:r>
      <w:r w:rsidRPr="004068DF">
        <w:rPr>
          <w:lang w:val="nn-NO"/>
        </w:rPr>
        <w:t>Kommisjonens gjennomføringsbeslutning (EU) 2026/578 av 17. mars 2026 om utsettelse av utløpsdatoen for godkjenningen av alfakloralose til bruk i biocidprodukter av type 14 i samsvar med europaparlaments- og rådsforordning (EU) nr. 528/2012</w:t>
      </w:r>
      <w:r w:rsidR="00DB1EC7">
        <w:rPr>
          <w:lang w:val="nn-NO"/>
        </w:rPr>
        <w:t xml:space="preserve"> – </w:t>
      </w:r>
      <w:hyperlink r:id="rId48" w:history="1">
        <w:r w:rsidR="00DB1EC7">
          <w:rPr>
            <w:rStyle w:val="Hyperlink"/>
            <w:lang w:val="nn-NO"/>
          </w:rPr>
          <w:t>EØS-notat</w:t>
        </w:r>
      </w:hyperlink>
    </w:p>
    <w:p w14:paraId="7AD5715F" w14:textId="317DAC50" w:rsidR="004068DF" w:rsidRPr="004068DF" w:rsidRDefault="004068DF" w:rsidP="004068DF">
      <w:pPr>
        <w:rPr>
          <w:lang w:val="nn-NO"/>
        </w:rPr>
      </w:pPr>
      <w:r w:rsidRPr="004068DF">
        <w:rPr>
          <w:lang w:val="nn-NO"/>
        </w:rPr>
        <w:t>32026D0579</w:t>
      </w:r>
      <w:r>
        <w:rPr>
          <w:lang w:val="nn-NO"/>
        </w:rPr>
        <w:t xml:space="preserve"> </w:t>
      </w:r>
      <w:r w:rsidRPr="004068DF">
        <w:rPr>
          <w:lang w:val="nn-NO"/>
        </w:rPr>
        <w:t>Kommisjonens gjennomføringsbeslutning (EU) 2026/579 av 17. mars 2026 om utsettelse av utløpsdatoen for godkjenningen av kobberhydroksid til bruk i biocidprodukter av type 8 i samsvar med europaparlaments- og rådsforordning (EU) nr. 528/2012</w:t>
      </w:r>
      <w:r w:rsidR="00DB1EC7">
        <w:rPr>
          <w:lang w:val="nn-NO"/>
        </w:rPr>
        <w:t xml:space="preserve"> – </w:t>
      </w:r>
      <w:hyperlink r:id="rId49" w:history="1">
        <w:r w:rsidR="00BD5CFE">
          <w:rPr>
            <w:rStyle w:val="Hyperlink"/>
            <w:lang w:val="nn-NO"/>
          </w:rPr>
          <w:t>EØS-notat</w:t>
        </w:r>
      </w:hyperlink>
    </w:p>
    <w:p w14:paraId="696B3D0D" w14:textId="377488AB" w:rsidR="004068DF" w:rsidRPr="004068DF" w:rsidRDefault="004068DF" w:rsidP="004068DF">
      <w:pPr>
        <w:rPr>
          <w:lang w:val="nn-NO"/>
        </w:rPr>
      </w:pPr>
      <w:r w:rsidRPr="004068DF">
        <w:rPr>
          <w:lang w:val="nn-NO"/>
        </w:rPr>
        <w:t>32026D0619</w:t>
      </w:r>
      <w:r>
        <w:rPr>
          <w:lang w:val="nn-NO"/>
        </w:rPr>
        <w:t xml:space="preserve"> </w:t>
      </w:r>
      <w:r w:rsidRPr="004068DF">
        <w:rPr>
          <w:lang w:val="nn-NO"/>
        </w:rPr>
        <w:t>Kommisjonens gjennomføringsbeslutning (EU) 2026/619 av 19. mars 2026 om utsettelse av utløpsdatoen for godkjenningen av kobber(II)oksid til bruk i biocidprodukter av type 8 i samsvar med europaparlaments- og rådsforordning (EU) nr. 528/2012</w:t>
      </w:r>
      <w:r w:rsidR="00BD5CFE">
        <w:rPr>
          <w:lang w:val="nn-NO"/>
        </w:rPr>
        <w:t xml:space="preserve"> – </w:t>
      </w:r>
      <w:hyperlink r:id="rId50" w:history="1">
        <w:r w:rsidR="002B4CB6">
          <w:rPr>
            <w:rStyle w:val="Hyperlink"/>
            <w:lang w:val="nn-NO"/>
          </w:rPr>
          <w:t>EØS-notat</w:t>
        </w:r>
      </w:hyperlink>
    </w:p>
    <w:p w14:paraId="62E2D3BB" w14:textId="0D164F63" w:rsidR="004068DF" w:rsidRPr="005D0CC2" w:rsidRDefault="004068DF" w:rsidP="004068DF">
      <w:pPr>
        <w:rPr>
          <w:lang w:val="nn-NO"/>
        </w:rPr>
      </w:pPr>
      <w:r w:rsidRPr="004068DF">
        <w:rPr>
          <w:lang w:val="nn-NO"/>
        </w:rPr>
        <w:lastRenderedPageBreak/>
        <w:t>32026R0577</w:t>
      </w:r>
      <w:r>
        <w:rPr>
          <w:lang w:val="nn-NO"/>
        </w:rPr>
        <w:t xml:space="preserve"> </w:t>
      </w:r>
      <w:r w:rsidRPr="004068DF">
        <w:rPr>
          <w:lang w:val="nn-NO"/>
        </w:rPr>
        <w:t>Kommisjonens gjennomføringsforordning (EU) 2026/577 av 17. mars 2026 om godkjenning av 2,2-dibrom-2-cyanoacetamid (DBNPA) som eksisterende aktivt stoff til bruk i biocidprodukter av type 11 i samsvar med europaparlaments- og rådsforordning (EU) nr. 528/2012</w:t>
      </w:r>
      <w:r w:rsidR="002B4CB6">
        <w:rPr>
          <w:lang w:val="nn-NO"/>
        </w:rPr>
        <w:t xml:space="preserve"> – </w:t>
      </w:r>
      <w:hyperlink r:id="rId51" w:history="1">
        <w:r w:rsidR="00992D7B">
          <w:rPr>
            <w:rStyle w:val="Hyperlink"/>
            <w:lang w:val="nn-NO"/>
          </w:rPr>
          <w:t>EØS-notat</w:t>
        </w:r>
      </w:hyperlink>
    </w:p>
    <w:p w14:paraId="72ABA1ED" w14:textId="59A6DCB4" w:rsidR="007D62E0" w:rsidRPr="0047608B" w:rsidRDefault="007D62E0" w:rsidP="00335811">
      <w:pPr>
        <w:rPr>
          <w:lang w:val="nn-NO"/>
        </w:rPr>
      </w:pPr>
      <w:r>
        <w:rPr>
          <w:lang w:val="nn-NO"/>
        </w:rPr>
        <w:t>3</w:t>
      </w:r>
      <w:r w:rsidR="00007B75">
        <w:rPr>
          <w:lang w:val="nn-NO"/>
        </w:rPr>
        <w:t xml:space="preserve">2026R0859 </w:t>
      </w:r>
      <w:r w:rsidR="0047608B" w:rsidRPr="0047608B">
        <w:rPr>
          <w:rFonts w:ascii="Calibri" w:hAnsi="Calibri" w:cs="Calibri"/>
          <w:lang w:val="nn-NO"/>
        </w:rPr>
        <w:t>Kommisjonsforordning (EU) 2026/859 av 20. april 2026 om endring av vedlegg XVII til europaparlaments- og rådsforordning (EF) nr. 1907/2006 om registrering, vurdering og godkjenning av samt begrensninger for kjemikalier (REACH) med hensyn til 2,4-dinitrotoluen i produkter</w:t>
      </w:r>
      <w:r w:rsidR="0047608B">
        <w:rPr>
          <w:rFonts w:ascii="Calibri" w:hAnsi="Calibri" w:cs="Calibri"/>
          <w:lang w:val="nn-NO"/>
        </w:rPr>
        <w:t xml:space="preserve"> - </w:t>
      </w:r>
      <w:hyperlink r:id="rId52" w:history="1">
        <w:r w:rsidR="00BD7673">
          <w:rPr>
            <w:rStyle w:val="Hyperlink"/>
            <w:rFonts w:ascii="Calibri" w:hAnsi="Calibri" w:cs="Calibri"/>
            <w:lang w:val="nn-NO"/>
          </w:rPr>
          <w:t>EØS-notat</w:t>
        </w:r>
      </w:hyperlink>
    </w:p>
    <w:p w14:paraId="09A9F279" w14:textId="7454C237" w:rsidR="00335811" w:rsidRPr="00335811" w:rsidRDefault="00EC40AE" w:rsidP="00335811">
      <w:pPr>
        <w:rPr>
          <w:rFonts w:ascii="Calibri" w:eastAsia="Times New Roman" w:hAnsi="Calibri" w:cs="Calibri"/>
          <w:color w:val="0000FF"/>
          <w:u w:val="single"/>
          <w:lang w:val="nn-NO"/>
        </w:rPr>
      </w:pPr>
      <w:r w:rsidRPr="00335811">
        <w:rPr>
          <w:lang w:val="nn-NO"/>
        </w:rPr>
        <w:t>32026D0599 Kommisjonens gjennomføringsbeslutning (EU) 2026/599 av 19. mars 2026 om ikke å godkjenne formaldehyd frigitt fra reaksjonsproduktene av paraformaldehyd og 2-hydroksypropylamin (forhold 1:1) som aktivt stoff til bruk i biocidprodukter av type 6 i samsvar med europaparlaments- og rådsforordning (EU) nr. 528/2012</w:t>
      </w:r>
      <w:r w:rsidR="00335811" w:rsidRPr="00335811">
        <w:rPr>
          <w:lang w:val="nn-NO"/>
        </w:rPr>
        <w:t xml:space="preserve"> </w:t>
      </w:r>
      <w:r w:rsidR="00335811">
        <w:rPr>
          <w:lang w:val="nn-NO"/>
        </w:rPr>
        <w:t xml:space="preserve">– </w:t>
      </w:r>
      <w:hyperlink r:id="rId53" w:history="1">
        <w:r w:rsidR="00335811" w:rsidRPr="00335811">
          <w:rPr>
            <w:rFonts w:ascii="Calibri" w:eastAsia="Times New Roman" w:hAnsi="Calibri" w:cs="Calibri"/>
            <w:color w:val="0000FF"/>
            <w:u w:val="single"/>
            <w:lang w:val="nn-NO"/>
          </w:rPr>
          <w:t>EØS-notat</w:t>
        </w:r>
      </w:hyperlink>
    </w:p>
    <w:p w14:paraId="0AB6241A" w14:textId="79790033" w:rsidR="00FF7FDD" w:rsidRPr="00FF7FDD" w:rsidRDefault="001B0EDE" w:rsidP="00FF7FDD">
      <w:pPr>
        <w:rPr>
          <w:rFonts w:ascii="Calibri" w:eastAsia="Times New Roman" w:hAnsi="Calibri" w:cs="Calibri"/>
          <w:color w:val="0000FF"/>
          <w:u w:val="single"/>
          <w:lang w:val="nn-NO"/>
        </w:rPr>
      </w:pPr>
      <w:r w:rsidRPr="001F06EF">
        <w:rPr>
          <w:rFonts w:ascii="Calibri" w:eastAsia="Times New Roman" w:hAnsi="Calibri" w:cs="Calibri"/>
          <w:lang w:val="nn-NO"/>
        </w:rPr>
        <w:t>32026R0389</w:t>
      </w:r>
      <w:r>
        <w:rPr>
          <w:rFonts w:ascii="Calibri" w:eastAsia="Times New Roman" w:hAnsi="Calibri" w:cs="Calibri"/>
          <w:lang w:val="nn-NO"/>
        </w:rPr>
        <w:t xml:space="preserve"> </w:t>
      </w:r>
      <w:r w:rsidRPr="001F06EF">
        <w:rPr>
          <w:rFonts w:ascii="Calibri" w:eastAsia="Times New Roman" w:hAnsi="Calibri" w:cs="Calibri"/>
          <w:lang w:val="nn-NO"/>
        </w:rPr>
        <w:t>Kommisjonens gjennomføringsforordning (EU) 2026/389 av 23. februar 2026 om endring av gjennomføringsforordning (EU) 2021/447 med omsyn til fastsetjing av ein revidert utsleppsstandardverdi for natriumkarbonat for året 2025</w:t>
      </w:r>
      <w:r>
        <w:rPr>
          <w:rFonts w:ascii="Calibri" w:eastAsia="Times New Roman" w:hAnsi="Calibri" w:cs="Calibri"/>
          <w:lang w:val="nn-NO"/>
        </w:rPr>
        <w:t xml:space="preserve"> </w:t>
      </w:r>
      <w:r w:rsidR="00335811">
        <w:rPr>
          <w:rFonts w:ascii="Calibri" w:eastAsia="Times New Roman" w:hAnsi="Calibri" w:cs="Calibri"/>
          <w:lang w:val="nn-NO"/>
        </w:rPr>
        <w:t xml:space="preserve">– </w:t>
      </w:r>
      <w:hyperlink r:id="rId54" w:history="1">
        <w:r w:rsidR="00FF7FDD" w:rsidRPr="00FF7FDD">
          <w:rPr>
            <w:rFonts w:ascii="Calibri" w:eastAsia="Times New Roman" w:hAnsi="Calibri" w:cs="Calibri"/>
            <w:color w:val="0000FF"/>
            <w:u w:val="single"/>
            <w:lang w:val="nn-NO"/>
          </w:rPr>
          <w:t>EØS-notat</w:t>
        </w:r>
      </w:hyperlink>
    </w:p>
    <w:p w14:paraId="33E3B204" w14:textId="7CAB9CD0" w:rsidR="00CA0138" w:rsidRPr="00134AE9" w:rsidRDefault="00452E51" w:rsidP="00CA0138">
      <w:pPr>
        <w:rPr>
          <w:rFonts w:ascii="Calibri" w:eastAsia="Times New Roman" w:hAnsi="Calibri" w:cs="Calibri"/>
          <w:color w:val="0000FF"/>
          <w:u w:val="single"/>
          <w:lang w:val="nn-NO"/>
        </w:rPr>
      </w:pPr>
      <w:r w:rsidRPr="00134AE9">
        <w:rPr>
          <w:lang w:val="nn-NO"/>
        </w:rPr>
        <w:t>3202</w:t>
      </w:r>
      <w:r w:rsidR="00E230EE" w:rsidRPr="00134AE9">
        <w:rPr>
          <w:lang w:val="nn-NO"/>
        </w:rPr>
        <w:t>5D0113</w:t>
      </w:r>
      <w:r w:rsidR="00374FE7" w:rsidRPr="00134AE9">
        <w:rPr>
          <w:lang w:val="nn-NO"/>
        </w:rPr>
        <w:t xml:space="preserve"> Kommisjonens gjennomføringsbeslutning (EU) 2025/113 av 23. januar 2025 om fastsettelse av formatet for overføring av opplysninger fra medlemsstatene om gjennomføringen av europaparlaments- og rådsdirektiv 2012/18/EU om kontroll med faren for storulykker med farlige stoffer, og om oppheving av Kommisjonens gjennomføringsbeslutning 2014/896/EU</w:t>
      </w:r>
      <w:r w:rsidR="00B842EF" w:rsidRPr="00134AE9">
        <w:rPr>
          <w:lang w:val="nn-NO"/>
        </w:rPr>
        <w:t xml:space="preserve"> – </w:t>
      </w:r>
      <w:hyperlink r:id="rId55" w:history="1">
        <w:r w:rsidR="00B842EF" w:rsidRPr="00134AE9">
          <w:rPr>
            <w:rStyle w:val="Hyperlink"/>
            <w:lang w:val="nn-NO"/>
          </w:rPr>
          <w:t>EØS-notat</w:t>
        </w:r>
      </w:hyperlink>
    </w:p>
    <w:p w14:paraId="1D218EEB" w14:textId="49B12708" w:rsidR="00427799" w:rsidRPr="00205202" w:rsidRDefault="00FA2FC5" w:rsidP="00427799">
      <w:pPr>
        <w:rPr>
          <w:rFonts w:ascii="Calibri" w:eastAsia="Times New Roman" w:hAnsi="Calibri" w:cs="Calibri"/>
          <w:color w:val="0000FF"/>
          <w:u w:val="single"/>
          <w:lang w:val="nn-NO"/>
        </w:rPr>
      </w:pPr>
      <w:r w:rsidRPr="00205202">
        <w:rPr>
          <w:rFonts w:ascii="Calibri" w:eastAsia="Times New Roman" w:hAnsi="Calibri" w:cs="Calibri"/>
          <w:lang w:val="nn-NO"/>
        </w:rPr>
        <w:t>3</w:t>
      </w:r>
      <w:r w:rsidR="00A25D25" w:rsidRPr="00205202">
        <w:rPr>
          <w:rFonts w:ascii="Calibri" w:eastAsia="Times New Roman" w:hAnsi="Calibri" w:cs="Calibri"/>
          <w:lang w:val="nn-NO"/>
        </w:rPr>
        <w:t>202</w:t>
      </w:r>
      <w:r w:rsidR="00B842EF" w:rsidRPr="00205202">
        <w:rPr>
          <w:rFonts w:ascii="Calibri" w:eastAsia="Times New Roman" w:hAnsi="Calibri" w:cs="Calibri"/>
          <w:lang w:val="nn-NO"/>
        </w:rPr>
        <w:t>6R0055</w:t>
      </w:r>
      <w:r w:rsidR="00E83278" w:rsidRPr="00205202">
        <w:rPr>
          <w:lang w:val="nn-NO"/>
        </w:rPr>
        <w:t xml:space="preserve"> </w:t>
      </w:r>
      <w:r w:rsidR="00E83278" w:rsidRPr="00205202">
        <w:rPr>
          <w:rFonts w:ascii="Calibri" w:eastAsia="Times New Roman" w:hAnsi="Calibri" w:cs="Calibri"/>
          <w:lang w:val="nn-NO"/>
        </w:rPr>
        <w:t xml:space="preserve">Delegert kommisjonsforordning (EU) 2026/55 av 17. desember 2025 om endring av europaparlaments- og rådsforordning (EU) 2017/852 med omsyn til produkt med tilsett kvikksølv som det er forbode å framstille, importere og eksportere </w:t>
      </w:r>
      <w:r w:rsidR="00B842EF" w:rsidRPr="00205202">
        <w:rPr>
          <w:rFonts w:ascii="Calibri" w:eastAsia="Times New Roman" w:hAnsi="Calibri" w:cs="Calibri"/>
          <w:lang w:val="nn-NO"/>
        </w:rPr>
        <w:t xml:space="preserve">– </w:t>
      </w:r>
      <w:hyperlink r:id="rId56" w:history="1">
        <w:r w:rsidR="00427799" w:rsidRPr="00205202">
          <w:rPr>
            <w:rFonts w:ascii="Calibri" w:eastAsia="Times New Roman" w:hAnsi="Calibri" w:cs="Calibri"/>
            <w:color w:val="0000FF"/>
            <w:u w:val="single"/>
            <w:lang w:val="nn-NO"/>
          </w:rPr>
          <w:t>EØS-notat</w:t>
        </w:r>
      </w:hyperlink>
    </w:p>
    <w:p w14:paraId="35AD97C2" w14:textId="6BC85220" w:rsidR="004E13F3" w:rsidRPr="00205202" w:rsidRDefault="004E13F3" w:rsidP="004E13F3">
      <w:pPr>
        <w:rPr>
          <w:rFonts w:ascii="Calibri" w:eastAsia="Times New Roman" w:hAnsi="Calibri" w:cs="Calibri"/>
          <w:lang w:val="nn-NO"/>
        </w:rPr>
      </w:pPr>
      <w:r w:rsidRPr="00205202">
        <w:rPr>
          <w:rFonts w:ascii="Calibri" w:eastAsia="Times New Roman" w:hAnsi="Calibri" w:cs="Calibri"/>
          <w:lang w:val="nn-NO"/>
        </w:rPr>
        <w:t>32026D</w:t>
      </w:r>
      <w:r w:rsidR="007A757C" w:rsidRPr="00205202">
        <w:rPr>
          <w:rFonts w:ascii="Calibri" w:eastAsia="Times New Roman" w:hAnsi="Calibri" w:cs="Calibri"/>
          <w:lang w:val="nn-NO"/>
        </w:rPr>
        <w:t>0116</w:t>
      </w:r>
      <w:r w:rsidR="00F72507" w:rsidRPr="00205202">
        <w:rPr>
          <w:rFonts w:ascii="Calibri" w:eastAsia="Times New Roman" w:hAnsi="Calibri" w:cs="Calibri"/>
          <w:lang w:val="nn-NO"/>
        </w:rPr>
        <w:t xml:space="preserve"> </w:t>
      </w:r>
      <w:r w:rsidR="00E83278" w:rsidRPr="00205202">
        <w:rPr>
          <w:rFonts w:ascii="Calibri" w:eastAsia="Times New Roman" w:hAnsi="Calibri" w:cs="Calibri"/>
          <w:lang w:val="nn-NO"/>
        </w:rPr>
        <w:t xml:space="preserve">Kommisjonens gjennomføringsbeslutning (EU) 2026/116 av 19. januar 2026 om endring av Kommisjonens gjennomføringsbeslutning (EU) 2016/2321 om formatet på gjenvinningssertifikatet som utstedes i samsvar med europaparlaments- og rådsforordning (EU) nr. 1257/2013 om gjenvinning av skip </w:t>
      </w:r>
      <w:r w:rsidR="00F72507" w:rsidRPr="00205202">
        <w:rPr>
          <w:rFonts w:ascii="Calibri" w:eastAsia="Times New Roman" w:hAnsi="Calibri" w:cs="Calibri"/>
          <w:lang w:val="nn-NO"/>
        </w:rPr>
        <w:t xml:space="preserve">– </w:t>
      </w:r>
      <w:hyperlink r:id="rId57" w:history="1">
        <w:r w:rsidR="00F72507" w:rsidRPr="00205202">
          <w:rPr>
            <w:rStyle w:val="Hyperlink"/>
            <w:rFonts w:ascii="Calibri" w:eastAsia="Times New Roman" w:hAnsi="Calibri" w:cs="Calibri"/>
            <w:lang w:val="nn-NO"/>
          </w:rPr>
          <w:t>EØS-notat</w:t>
        </w:r>
      </w:hyperlink>
    </w:p>
    <w:p w14:paraId="2D3C230D" w14:textId="1FCD97FD" w:rsidR="00D103E9" w:rsidRPr="00205202" w:rsidRDefault="007A757C" w:rsidP="00D103E9">
      <w:pPr>
        <w:rPr>
          <w:rFonts w:ascii="Calibri" w:eastAsia="Times New Roman" w:hAnsi="Calibri" w:cs="Calibri"/>
          <w:color w:val="0000FF"/>
          <w:u w:val="single"/>
          <w:lang w:val="nn-NO"/>
        </w:rPr>
      </w:pPr>
      <w:r w:rsidRPr="00205202">
        <w:rPr>
          <w:rFonts w:ascii="Calibri" w:eastAsia="Times New Roman" w:hAnsi="Calibri" w:cs="Calibri"/>
          <w:lang w:val="nn-NO"/>
        </w:rPr>
        <w:t>32026D0121</w:t>
      </w:r>
      <w:r w:rsidR="00D103E9" w:rsidRPr="00205202">
        <w:rPr>
          <w:rFonts w:ascii="Calibri" w:eastAsia="Times New Roman" w:hAnsi="Calibri" w:cs="Calibri"/>
          <w:lang w:val="nn-NO"/>
        </w:rPr>
        <w:t xml:space="preserve"> </w:t>
      </w:r>
      <w:r w:rsidR="00FF010A" w:rsidRPr="00205202">
        <w:rPr>
          <w:rFonts w:ascii="Calibri" w:eastAsia="Times New Roman" w:hAnsi="Calibri" w:cs="Calibri"/>
          <w:lang w:val="nn-NO"/>
        </w:rPr>
        <w:t xml:space="preserve">Kommisjonens gjennomføringsbeslutning (EU) 2026/121 av 19. januar 2026 om endring av gjennomføringsbeslutning (EU) 2016/2325 om formatet på sertifikatet for fortegnelsen over farlige materialer som utstedes i samsvar med europaparlaments- og rådsforordning (EU) nr. 1257/2013 om gjenvinning av skip </w:t>
      </w:r>
      <w:r w:rsidR="00D103E9" w:rsidRPr="00205202">
        <w:rPr>
          <w:rFonts w:ascii="Calibri" w:eastAsia="Times New Roman" w:hAnsi="Calibri" w:cs="Calibri"/>
          <w:lang w:val="nn-NO"/>
        </w:rPr>
        <w:t xml:space="preserve">– </w:t>
      </w:r>
      <w:hyperlink r:id="rId58" w:history="1">
        <w:r w:rsidR="00D103E9" w:rsidRPr="00205202">
          <w:rPr>
            <w:rFonts w:ascii="Calibri" w:eastAsia="Times New Roman" w:hAnsi="Calibri" w:cs="Calibri"/>
            <w:color w:val="0000FF"/>
            <w:u w:val="single"/>
            <w:lang w:val="nn-NO"/>
          </w:rPr>
          <w:t>EØS-notat</w:t>
        </w:r>
      </w:hyperlink>
    </w:p>
    <w:p w14:paraId="7E592B32" w14:textId="028ADAB7" w:rsidR="004E13F3" w:rsidRPr="00205202" w:rsidRDefault="004E13F3" w:rsidP="004E13F3">
      <w:pPr>
        <w:rPr>
          <w:rFonts w:ascii="Calibri" w:eastAsia="Times New Roman" w:hAnsi="Calibri" w:cs="Calibri"/>
          <w:lang w:val="nn-NO"/>
        </w:rPr>
      </w:pPr>
      <w:r w:rsidRPr="00205202">
        <w:rPr>
          <w:rFonts w:ascii="Calibri" w:eastAsia="Times New Roman" w:hAnsi="Calibri" w:cs="Calibri"/>
          <w:lang w:val="nn-NO"/>
        </w:rPr>
        <w:t>32026D0448</w:t>
      </w:r>
      <w:r w:rsidR="00FF010A" w:rsidRPr="00205202">
        <w:rPr>
          <w:rFonts w:ascii="Calibri" w:eastAsia="Times New Roman" w:hAnsi="Calibri" w:cs="Calibri"/>
          <w:lang w:val="nn-NO"/>
        </w:rPr>
        <w:t xml:space="preserve"> Kommisjonens gjennomføringsbeslutning (EU) 2026/448 av 27. februar 2026 om endring av gjennomføringsbeslutning (EU) 2016/2323 med hensyn til oppdateringer av den europeiske listen over skipsgjenvinningsanlegg</w:t>
      </w:r>
      <w:r w:rsidRPr="00205202">
        <w:rPr>
          <w:rFonts w:ascii="Calibri" w:eastAsia="Times New Roman" w:hAnsi="Calibri" w:cs="Calibri"/>
          <w:lang w:val="nn-NO"/>
        </w:rPr>
        <w:t xml:space="preserve"> – </w:t>
      </w:r>
      <w:hyperlink r:id="rId59" w:history="1">
        <w:r w:rsidRPr="00205202">
          <w:rPr>
            <w:rFonts w:ascii="Calibri" w:eastAsia="Times New Roman" w:hAnsi="Calibri" w:cs="Calibri"/>
            <w:color w:val="0000FF"/>
            <w:u w:val="single"/>
            <w:lang w:val="nn-NO"/>
          </w:rPr>
          <w:t>EØS-notat</w:t>
        </w:r>
      </w:hyperlink>
    </w:p>
    <w:p w14:paraId="02E7EC20" w14:textId="77777777" w:rsidR="004A4977" w:rsidRPr="001F06EF" w:rsidRDefault="004A4977" w:rsidP="00CA0138">
      <w:pPr>
        <w:rPr>
          <w:rFonts w:ascii="Calibri" w:eastAsia="Times New Roman" w:hAnsi="Calibri" w:cs="Calibri"/>
          <w:lang w:val="nn-NO"/>
        </w:rPr>
      </w:pPr>
    </w:p>
    <w:p w14:paraId="43EC55CB" w14:textId="0FF2F061" w:rsidR="00C91803" w:rsidRPr="00205202" w:rsidRDefault="00A3360D" w:rsidP="00EE69E7">
      <w:pPr>
        <w:pStyle w:val="Heading2"/>
        <w:rPr>
          <w:color w:val="auto"/>
          <w:lang w:val="nn-NO"/>
        </w:rPr>
      </w:pPr>
      <w:bookmarkStart w:id="22" w:name="_Toc233967744"/>
      <w:r w:rsidRPr="00205202">
        <w:rPr>
          <w:color w:val="auto"/>
          <w:lang w:val="nn-NO"/>
        </w:rPr>
        <w:t>NÆRINGS</w:t>
      </w:r>
      <w:r w:rsidR="00DF35E7" w:rsidRPr="00205202">
        <w:rPr>
          <w:color w:val="auto"/>
          <w:lang w:val="nn-NO"/>
        </w:rPr>
        <w:t>- OG</w:t>
      </w:r>
      <w:r w:rsidR="00C91803" w:rsidRPr="00205202">
        <w:rPr>
          <w:color w:val="auto"/>
          <w:lang w:val="nn-NO"/>
        </w:rPr>
        <w:t xml:space="preserve"> </w:t>
      </w:r>
      <w:r w:rsidRPr="00205202">
        <w:rPr>
          <w:color w:val="auto"/>
          <w:lang w:val="nn-NO"/>
        </w:rPr>
        <w:t>FISKERI</w:t>
      </w:r>
      <w:r w:rsidR="003359C3" w:rsidRPr="00205202">
        <w:rPr>
          <w:color w:val="auto"/>
          <w:lang w:val="nn-NO"/>
        </w:rPr>
        <w:t>DE</w:t>
      </w:r>
      <w:r w:rsidR="00C91803" w:rsidRPr="00205202">
        <w:rPr>
          <w:color w:val="auto"/>
          <w:lang w:val="nn-NO"/>
        </w:rPr>
        <w:t>PARTEMENTET</w:t>
      </w:r>
      <w:bookmarkEnd w:id="22"/>
    </w:p>
    <w:p w14:paraId="45A9592A" w14:textId="43181A12" w:rsidR="00BD3024" w:rsidRPr="00205202" w:rsidRDefault="00BD3024" w:rsidP="000B6339">
      <w:pPr>
        <w:rPr>
          <w:lang w:val="nn-NO"/>
        </w:rPr>
      </w:pPr>
    </w:p>
    <w:p w14:paraId="76276E71" w14:textId="24B72680" w:rsidR="00C804DC" w:rsidRPr="00205202" w:rsidRDefault="00C804DC" w:rsidP="000B6339">
      <w:pPr>
        <w:rPr>
          <w:lang w:val="nn-NO"/>
        </w:rPr>
      </w:pPr>
      <w:r w:rsidRPr="00205202">
        <w:rPr>
          <w:lang w:val="nn-NO"/>
        </w:rPr>
        <w:t>32024L3099</w:t>
      </w:r>
      <w:r w:rsidR="003B0D16" w:rsidRPr="00205202">
        <w:rPr>
          <w:lang w:val="nn-NO"/>
        </w:rPr>
        <w:t xml:space="preserve"> Europaparlaments- og rådsdirektiv (EU) 2024/3099 av 27. november 2024 om endring av direktiv 2009/16/EF om havnestatskontroll</w:t>
      </w:r>
      <w:r w:rsidR="00CC772E" w:rsidRPr="00205202">
        <w:rPr>
          <w:lang w:val="nn-NO"/>
        </w:rPr>
        <w:t xml:space="preserve"> – </w:t>
      </w:r>
      <w:hyperlink r:id="rId60" w:history="1">
        <w:r w:rsidR="00E00C57" w:rsidRPr="00205202">
          <w:rPr>
            <w:rStyle w:val="Hyperlink"/>
            <w:lang w:val="nn-NO"/>
          </w:rPr>
          <w:t>EØS-notat</w:t>
        </w:r>
      </w:hyperlink>
    </w:p>
    <w:p w14:paraId="10074D4E" w14:textId="6627708F" w:rsidR="00F354D1" w:rsidRPr="00205202" w:rsidRDefault="001E5526" w:rsidP="00F354D1">
      <w:pPr>
        <w:rPr>
          <w:rFonts w:ascii="Calibri" w:eastAsia="Times New Roman" w:hAnsi="Calibri" w:cs="Calibri"/>
          <w:color w:val="0000FF"/>
          <w:u w:val="single"/>
          <w:lang w:val="nn-NO"/>
        </w:rPr>
      </w:pPr>
      <w:r w:rsidRPr="00205202">
        <w:rPr>
          <w:lang w:val="nn-NO"/>
        </w:rPr>
        <w:t>32015R2282</w:t>
      </w:r>
      <w:r w:rsidR="00E27F16" w:rsidRPr="00205202">
        <w:rPr>
          <w:lang w:val="nn-NO"/>
        </w:rPr>
        <w:t xml:space="preserve"> </w:t>
      </w:r>
      <w:r w:rsidRPr="00205202">
        <w:rPr>
          <w:lang w:val="nn-NO"/>
        </w:rPr>
        <w:t>Kommisjonsforordning (EU) 2015/2282 av 27. november 2015 om endring av forordning (EF) nr. 794/2004 med hensyn til meldings- og opplysningsskjemaer</w:t>
      </w:r>
      <w:r w:rsidR="00E27F16" w:rsidRPr="00205202">
        <w:rPr>
          <w:lang w:val="nn-NO"/>
        </w:rPr>
        <w:t xml:space="preserve"> – </w:t>
      </w:r>
      <w:hyperlink r:id="rId61" w:history="1">
        <w:r w:rsidR="00F354D1" w:rsidRPr="00205202">
          <w:rPr>
            <w:rFonts w:ascii="Calibri" w:eastAsia="Times New Roman" w:hAnsi="Calibri" w:cs="Calibri"/>
            <w:color w:val="0000FF"/>
            <w:u w:val="single"/>
            <w:lang w:val="nn-NO"/>
          </w:rPr>
          <w:t>EØS-notat</w:t>
        </w:r>
      </w:hyperlink>
    </w:p>
    <w:p w14:paraId="055F1C36" w14:textId="77777777" w:rsidR="00E27F16" w:rsidRPr="00205202" w:rsidRDefault="00E27F16" w:rsidP="000B6339">
      <w:pPr>
        <w:rPr>
          <w:lang w:val="nn-NO"/>
        </w:rPr>
      </w:pPr>
    </w:p>
    <w:p w14:paraId="2029FD73" w14:textId="3B3E2F2D" w:rsidR="0064626C" w:rsidRPr="00205202" w:rsidRDefault="0064626C" w:rsidP="001969DE">
      <w:pPr>
        <w:pStyle w:val="Heading2"/>
        <w:rPr>
          <w:color w:val="auto"/>
          <w:lang w:val="nn-NO"/>
        </w:rPr>
      </w:pPr>
      <w:bookmarkStart w:id="23" w:name="_Toc233967745"/>
      <w:r w:rsidRPr="00205202">
        <w:rPr>
          <w:color w:val="auto"/>
          <w:lang w:val="nn-NO"/>
        </w:rPr>
        <w:t>SAMFERDSELSDEPARTEMENTET</w:t>
      </w:r>
      <w:bookmarkEnd w:id="23"/>
    </w:p>
    <w:bookmarkEnd w:id="20"/>
    <w:p w14:paraId="16AC9416" w14:textId="77777777" w:rsidR="003D432D" w:rsidRPr="00205202" w:rsidRDefault="003D432D" w:rsidP="0073582D">
      <w:pPr>
        <w:rPr>
          <w:rFonts w:cstheme="minorHAnsi"/>
          <w:lang w:val="nn-NO"/>
        </w:rPr>
      </w:pPr>
    </w:p>
    <w:p w14:paraId="579F3174" w14:textId="09F5B592" w:rsidR="00345754" w:rsidRPr="00205202" w:rsidRDefault="00345754" w:rsidP="000E4CE3">
      <w:pPr>
        <w:rPr>
          <w:rFonts w:ascii="Calibri" w:eastAsia="Times New Roman" w:hAnsi="Calibri" w:cs="Calibri"/>
          <w:color w:val="0000FF"/>
          <w:u w:val="single"/>
          <w:lang w:val="nn-NO"/>
        </w:rPr>
      </w:pPr>
      <w:r w:rsidRPr="00205202">
        <w:rPr>
          <w:rFonts w:cstheme="minorHAnsi"/>
          <w:lang w:val="nn-NO"/>
        </w:rPr>
        <w:t>32022L2561</w:t>
      </w:r>
      <w:r w:rsidR="003727AA" w:rsidRPr="00205202">
        <w:rPr>
          <w:rFonts w:cstheme="minorHAnsi"/>
          <w:lang w:val="nn-NO"/>
        </w:rPr>
        <w:t xml:space="preserve"> Europaparlaments- og rådsdirektiv (EU) 2022/2561 av 14. desember 2022 om grunnleggende kvalifisering og regelmessig opplæring av førere av visse veigående kjøretøyer for transport av gods eller passasjerer (kodifisering) – </w:t>
      </w:r>
      <w:hyperlink r:id="rId62" w:history="1">
        <w:r w:rsidR="00681A4D" w:rsidRPr="00205202">
          <w:rPr>
            <w:rFonts w:ascii="Calibri" w:eastAsia="Times New Roman" w:hAnsi="Calibri" w:cs="Calibri"/>
            <w:color w:val="0000FF"/>
            <w:u w:val="single"/>
            <w:lang w:val="nn-NO"/>
          </w:rPr>
          <w:t>EØS-notat</w:t>
        </w:r>
      </w:hyperlink>
    </w:p>
    <w:p w14:paraId="6ECD8233" w14:textId="062F29BB" w:rsidR="00554904" w:rsidRPr="00205202" w:rsidRDefault="003F3536" w:rsidP="000E4CE3">
      <w:pPr>
        <w:rPr>
          <w:rFonts w:cstheme="minorHAnsi"/>
          <w:lang w:val="nn-NO"/>
        </w:rPr>
      </w:pPr>
      <w:r w:rsidRPr="00205202">
        <w:rPr>
          <w:rFonts w:cstheme="minorHAnsi"/>
          <w:lang w:val="nn-NO"/>
        </w:rPr>
        <w:t>32025R0020</w:t>
      </w:r>
      <w:r w:rsidR="00CD475F" w:rsidRPr="00205202">
        <w:rPr>
          <w:rFonts w:cstheme="minorHAnsi"/>
          <w:lang w:val="nn-NO"/>
        </w:rPr>
        <w:t xml:space="preserve"> Delegert kommisjonsforordning (EU) 2025/20 av 19. desember 2024 om utfylling av europaparlaments- og rådsforordning (EU) 2018/1139 ved fastsettelse av krav til sikker yting av bakketjenester og til organisasjoner som yter dem</w:t>
      </w:r>
      <w:r w:rsidR="00774724" w:rsidRPr="00205202">
        <w:rPr>
          <w:rFonts w:cstheme="minorHAnsi"/>
          <w:lang w:val="nn-NO"/>
        </w:rPr>
        <w:t xml:space="preserve"> – </w:t>
      </w:r>
      <w:hyperlink r:id="rId63" w:history="1">
        <w:r w:rsidR="00F26902" w:rsidRPr="00205202">
          <w:rPr>
            <w:rStyle w:val="Hyperlink"/>
            <w:rFonts w:cstheme="minorHAnsi"/>
            <w:lang w:val="nn-NO"/>
          </w:rPr>
          <w:t>EØS-notat</w:t>
        </w:r>
      </w:hyperlink>
    </w:p>
    <w:p w14:paraId="6AF07E0D" w14:textId="4D22CD04" w:rsidR="003F3536" w:rsidRPr="00205202" w:rsidRDefault="003F3536" w:rsidP="000E4CE3">
      <w:pPr>
        <w:rPr>
          <w:rFonts w:cstheme="minorHAnsi"/>
          <w:lang w:val="nn-NO"/>
        </w:rPr>
      </w:pPr>
      <w:r w:rsidRPr="00205202">
        <w:rPr>
          <w:rFonts w:cstheme="minorHAnsi"/>
          <w:lang w:val="nn-NO"/>
        </w:rPr>
        <w:t>32025R0021</w:t>
      </w:r>
      <w:r w:rsidR="00216606" w:rsidRPr="00205202">
        <w:rPr>
          <w:rFonts w:cstheme="minorHAnsi"/>
          <w:lang w:val="nn-NO"/>
        </w:rPr>
        <w:t xml:space="preserve"> </w:t>
      </w:r>
      <w:r w:rsidR="00526CA7" w:rsidRPr="00205202">
        <w:rPr>
          <w:rFonts w:cstheme="minorHAnsi"/>
          <w:lang w:val="nn-NO"/>
        </w:rPr>
        <w:t>Kommisjonens gjennomføringsforordning (EU) 2025/</w:t>
      </w:r>
      <w:r w:rsidR="00993777" w:rsidRPr="00205202">
        <w:rPr>
          <w:rFonts w:cstheme="minorHAnsi"/>
          <w:lang w:val="nn-NO"/>
        </w:rPr>
        <w:t>21 av 19. desember 202</w:t>
      </w:r>
      <w:r w:rsidR="004E1F36" w:rsidRPr="00205202">
        <w:rPr>
          <w:rFonts w:cstheme="minorHAnsi"/>
          <w:lang w:val="nn-NO"/>
        </w:rPr>
        <w:t>4</w:t>
      </w:r>
      <w:r w:rsidR="00993777" w:rsidRPr="00205202">
        <w:rPr>
          <w:rFonts w:cstheme="minorHAnsi"/>
          <w:lang w:val="nn-NO"/>
        </w:rPr>
        <w:t xml:space="preserve"> </w:t>
      </w:r>
      <w:r w:rsidR="00932294" w:rsidRPr="00205202">
        <w:rPr>
          <w:rFonts w:cstheme="minorHAnsi"/>
          <w:lang w:val="nn-NO"/>
        </w:rPr>
        <w:t xml:space="preserve">om endring av forordning (EU) nr. 139/2014 med hensyn til krav til </w:t>
      </w:r>
      <w:r w:rsidR="00CC7D98" w:rsidRPr="00205202">
        <w:rPr>
          <w:rFonts w:cstheme="minorHAnsi"/>
          <w:lang w:val="nn-NO"/>
        </w:rPr>
        <w:t xml:space="preserve">lufthavnoperatører knyttet til </w:t>
      </w:r>
      <w:r w:rsidR="002A5161" w:rsidRPr="00205202">
        <w:rPr>
          <w:rFonts w:cstheme="minorHAnsi"/>
          <w:lang w:val="nn-NO"/>
        </w:rPr>
        <w:t xml:space="preserve">bakketjenester </w:t>
      </w:r>
      <w:r w:rsidR="00216606" w:rsidRPr="00205202">
        <w:rPr>
          <w:rFonts w:cstheme="minorHAnsi"/>
          <w:lang w:val="nn-NO"/>
        </w:rPr>
        <w:t xml:space="preserve">– </w:t>
      </w:r>
      <w:hyperlink r:id="rId64" w:history="1">
        <w:r w:rsidR="00216606" w:rsidRPr="00205202">
          <w:rPr>
            <w:rStyle w:val="Hyperlink"/>
            <w:rFonts w:cstheme="minorHAnsi"/>
            <w:lang w:val="nn-NO"/>
          </w:rPr>
          <w:t>EØS-notat</w:t>
        </w:r>
      </w:hyperlink>
    </w:p>
    <w:p w14:paraId="5D69B7C9" w14:textId="07229C6D" w:rsidR="003F3536" w:rsidRPr="00205202" w:rsidRDefault="003F3536" w:rsidP="000E4CE3">
      <w:pPr>
        <w:rPr>
          <w:rFonts w:cstheme="minorHAnsi"/>
          <w:lang w:val="nn-NO"/>
        </w:rPr>
      </w:pPr>
      <w:r w:rsidRPr="00205202">
        <w:rPr>
          <w:rFonts w:cstheme="minorHAnsi"/>
          <w:lang w:val="nn-NO"/>
        </w:rPr>
        <w:t>32025R0022</w:t>
      </w:r>
      <w:r w:rsidR="002A5161" w:rsidRPr="00205202">
        <w:rPr>
          <w:rFonts w:cstheme="minorHAnsi"/>
          <w:lang w:val="nn-NO"/>
        </w:rPr>
        <w:t xml:space="preserve"> Kommisjonens gjennomføringsforordning (EU) 2025/22 av 19. desember 202</w:t>
      </w:r>
      <w:r w:rsidR="004E1F36" w:rsidRPr="00205202">
        <w:rPr>
          <w:rFonts w:cstheme="minorHAnsi"/>
          <w:lang w:val="nn-NO"/>
        </w:rPr>
        <w:t>4</w:t>
      </w:r>
      <w:r w:rsidR="002A5161" w:rsidRPr="00205202">
        <w:rPr>
          <w:rFonts w:cstheme="minorHAnsi"/>
          <w:lang w:val="nn-NO"/>
        </w:rPr>
        <w:t xml:space="preserve"> om endring av</w:t>
      </w:r>
      <w:r w:rsidR="004A68D3" w:rsidRPr="00205202">
        <w:rPr>
          <w:rFonts w:cstheme="minorHAnsi"/>
          <w:lang w:val="nn-NO"/>
        </w:rPr>
        <w:t xml:space="preserve"> delegert</w:t>
      </w:r>
      <w:r w:rsidR="002A5161" w:rsidRPr="00205202">
        <w:rPr>
          <w:rFonts w:cstheme="minorHAnsi"/>
          <w:lang w:val="nn-NO"/>
        </w:rPr>
        <w:t xml:space="preserve"> forordning (EU) </w:t>
      </w:r>
      <w:r w:rsidR="004A68D3" w:rsidRPr="00205202">
        <w:rPr>
          <w:rFonts w:cstheme="minorHAnsi"/>
          <w:lang w:val="nn-NO"/>
        </w:rPr>
        <w:t>2022</w:t>
      </w:r>
      <w:r w:rsidR="002A5161" w:rsidRPr="00205202">
        <w:rPr>
          <w:rFonts w:cstheme="minorHAnsi"/>
          <w:lang w:val="nn-NO"/>
        </w:rPr>
        <w:t>/</w:t>
      </w:r>
      <w:r w:rsidR="004A68D3" w:rsidRPr="00205202">
        <w:rPr>
          <w:rFonts w:cstheme="minorHAnsi"/>
          <w:lang w:val="nn-NO"/>
        </w:rPr>
        <w:t xml:space="preserve">1645 </w:t>
      </w:r>
      <w:r w:rsidR="002A5161" w:rsidRPr="00205202">
        <w:rPr>
          <w:rFonts w:cstheme="minorHAnsi"/>
          <w:lang w:val="nn-NO"/>
        </w:rPr>
        <w:t>med hensyn til krav til</w:t>
      </w:r>
      <w:r w:rsidR="00B26E5F" w:rsidRPr="00205202">
        <w:rPr>
          <w:rFonts w:cstheme="minorHAnsi"/>
          <w:lang w:val="nn-NO"/>
        </w:rPr>
        <w:t xml:space="preserve"> </w:t>
      </w:r>
      <w:r w:rsidR="004A68D3" w:rsidRPr="00205202">
        <w:rPr>
          <w:rFonts w:cstheme="minorHAnsi"/>
          <w:lang w:val="nn-NO"/>
        </w:rPr>
        <w:t>informasjonssikkerhet</w:t>
      </w:r>
      <w:r w:rsidR="00674333" w:rsidRPr="00205202">
        <w:rPr>
          <w:rFonts w:cstheme="minorHAnsi"/>
          <w:lang w:val="nn-NO"/>
        </w:rPr>
        <w:t xml:space="preserve"> for organisasjoner som yter bakketjenester </w:t>
      </w:r>
      <w:r w:rsidR="00B26E5F" w:rsidRPr="00205202">
        <w:rPr>
          <w:rFonts w:cstheme="minorHAnsi"/>
          <w:lang w:val="nn-NO"/>
        </w:rPr>
        <w:t xml:space="preserve">– </w:t>
      </w:r>
      <w:hyperlink r:id="rId65" w:history="1">
        <w:r w:rsidR="00B26E5F" w:rsidRPr="00205202">
          <w:rPr>
            <w:rStyle w:val="Hyperlink"/>
            <w:rFonts w:cstheme="minorHAnsi"/>
            <w:lang w:val="nn-NO"/>
          </w:rPr>
          <w:t>EØS-notat</w:t>
        </w:r>
      </w:hyperlink>
    </w:p>
    <w:p w14:paraId="62B49C11" w14:textId="2D394994" w:rsidR="000E4CE3" w:rsidRPr="00205202" w:rsidRDefault="00F65158" w:rsidP="000E4CE3">
      <w:pPr>
        <w:rPr>
          <w:rFonts w:cstheme="minorHAnsi"/>
          <w:lang w:val="nn-NO"/>
        </w:rPr>
      </w:pPr>
      <w:r w:rsidRPr="00205202">
        <w:rPr>
          <w:rFonts w:cstheme="minorHAnsi"/>
          <w:lang w:val="nn-NO"/>
        </w:rPr>
        <w:t>3202</w:t>
      </w:r>
      <w:r w:rsidR="00554904" w:rsidRPr="00205202">
        <w:rPr>
          <w:rFonts w:cstheme="minorHAnsi"/>
          <w:lang w:val="nn-NO"/>
        </w:rPr>
        <w:t>5</w:t>
      </w:r>
      <w:r w:rsidRPr="00205202">
        <w:rPr>
          <w:rFonts w:cstheme="minorHAnsi"/>
          <w:lang w:val="nn-NO"/>
        </w:rPr>
        <w:t>R0</w:t>
      </w:r>
      <w:r w:rsidR="00554904" w:rsidRPr="00205202">
        <w:rPr>
          <w:rFonts w:cstheme="minorHAnsi"/>
          <w:lang w:val="nn-NO"/>
        </w:rPr>
        <w:t>023</w:t>
      </w:r>
      <w:r w:rsidR="00457FBC" w:rsidRPr="00205202">
        <w:rPr>
          <w:rFonts w:cstheme="minorHAnsi"/>
          <w:lang w:val="nn-NO"/>
        </w:rPr>
        <w:t xml:space="preserve"> Delegert kommisjonsforordning (EU) 2025/23 av 19. desember 2024 om fastsettelse av regler for gjennomføring av europaparlaments- og rådsforordning (EU) 2018/1139 med hensyn til krav til </w:t>
      </w:r>
      <w:r w:rsidR="00CC6100" w:rsidRPr="00205202">
        <w:rPr>
          <w:rFonts w:cstheme="minorHAnsi"/>
          <w:lang w:val="nn-NO"/>
        </w:rPr>
        <w:t xml:space="preserve">tilsyn med </w:t>
      </w:r>
      <w:r w:rsidR="00457FBC" w:rsidRPr="00205202">
        <w:rPr>
          <w:rFonts w:cstheme="minorHAnsi"/>
          <w:lang w:val="nn-NO"/>
        </w:rPr>
        <w:t xml:space="preserve">bakketjenester og </w:t>
      </w:r>
      <w:r w:rsidR="00CC6100" w:rsidRPr="00205202">
        <w:rPr>
          <w:rFonts w:cstheme="minorHAnsi"/>
          <w:lang w:val="nn-NO"/>
        </w:rPr>
        <w:t>med</w:t>
      </w:r>
      <w:r w:rsidR="00457FBC" w:rsidRPr="00205202">
        <w:rPr>
          <w:rFonts w:cstheme="minorHAnsi"/>
          <w:lang w:val="nn-NO"/>
        </w:rPr>
        <w:t xml:space="preserve"> organisasjoner som yter dem</w:t>
      </w:r>
      <w:r w:rsidRPr="00205202">
        <w:rPr>
          <w:rFonts w:cstheme="minorHAnsi"/>
          <w:lang w:val="nn-NO"/>
        </w:rPr>
        <w:t xml:space="preserve"> – </w:t>
      </w:r>
      <w:hyperlink r:id="rId66" w:history="1">
        <w:r w:rsidR="005D0BAD" w:rsidRPr="00205202">
          <w:rPr>
            <w:rStyle w:val="Hyperlink"/>
            <w:rFonts w:cstheme="minorHAnsi"/>
            <w:lang w:val="nn-NO"/>
          </w:rPr>
          <w:t>EØS-notat</w:t>
        </w:r>
      </w:hyperlink>
    </w:p>
    <w:p w14:paraId="5B72A95D" w14:textId="6C2AC640" w:rsidR="003F3536" w:rsidRPr="00205202" w:rsidRDefault="003F3536" w:rsidP="000E4CE3">
      <w:pPr>
        <w:rPr>
          <w:rFonts w:cstheme="minorHAnsi"/>
          <w:lang w:val="nn-NO"/>
        </w:rPr>
      </w:pPr>
      <w:r w:rsidRPr="00205202">
        <w:rPr>
          <w:rFonts w:cstheme="minorHAnsi"/>
          <w:lang w:val="nn-NO"/>
        </w:rPr>
        <w:t>32025R0024</w:t>
      </w:r>
      <w:r w:rsidR="00216606" w:rsidRPr="00205202">
        <w:rPr>
          <w:rFonts w:cstheme="minorHAnsi"/>
          <w:lang w:val="nn-NO"/>
        </w:rPr>
        <w:t xml:space="preserve"> </w:t>
      </w:r>
      <w:r w:rsidR="001D6B8A" w:rsidRPr="00205202">
        <w:rPr>
          <w:rFonts w:cstheme="minorHAnsi"/>
          <w:lang w:val="nn-NO"/>
        </w:rPr>
        <w:t xml:space="preserve">Kommisjonens gjennomføringsforordning (EU) 2025/21 av 19. desember 2024 om endring av forordning (EU) nr. </w:t>
      </w:r>
      <w:r w:rsidR="00341340" w:rsidRPr="00205202">
        <w:rPr>
          <w:rFonts w:cstheme="minorHAnsi"/>
          <w:lang w:val="nn-NO"/>
        </w:rPr>
        <w:t>965</w:t>
      </w:r>
      <w:r w:rsidR="001D6B8A" w:rsidRPr="00205202">
        <w:rPr>
          <w:rFonts w:cstheme="minorHAnsi"/>
          <w:lang w:val="nn-NO"/>
        </w:rPr>
        <w:t>/201</w:t>
      </w:r>
      <w:r w:rsidR="00341340" w:rsidRPr="00205202">
        <w:rPr>
          <w:rFonts w:cstheme="minorHAnsi"/>
          <w:lang w:val="nn-NO"/>
        </w:rPr>
        <w:t>2</w:t>
      </w:r>
      <w:r w:rsidR="001D6B8A" w:rsidRPr="00205202">
        <w:rPr>
          <w:rFonts w:cstheme="minorHAnsi"/>
          <w:lang w:val="nn-NO"/>
        </w:rPr>
        <w:t xml:space="preserve"> med hensyn til krav til luft</w:t>
      </w:r>
      <w:r w:rsidR="00341340" w:rsidRPr="00205202">
        <w:rPr>
          <w:rFonts w:cstheme="minorHAnsi"/>
          <w:lang w:val="nn-NO"/>
        </w:rPr>
        <w:t>fartøy</w:t>
      </w:r>
      <w:r w:rsidR="001A61BC" w:rsidRPr="00205202">
        <w:rPr>
          <w:rFonts w:cstheme="minorHAnsi"/>
          <w:lang w:val="nn-NO"/>
        </w:rPr>
        <w:t>o</w:t>
      </w:r>
      <w:r w:rsidR="001D6B8A" w:rsidRPr="00205202">
        <w:rPr>
          <w:rFonts w:cstheme="minorHAnsi"/>
          <w:lang w:val="nn-NO"/>
        </w:rPr>
        <w:t xml:space="preserve">peratører knyttet til bakketjenester </w:t>
      </w:r>
      <w:r w:rsidR="00216606" w:rsidRPr="00205202">
        <w:rPr>
          <w:rFonts w:cstheme="minorHAnsi"/>
          <w:lang w:val="nn-NO"/>
        </w:rPr>
        <w:t xml:space="preserve">– </w:t>
      </w:r>
      <w:hyperlink r:id="rId67" w:history="1">
        <w:r w:rsidR="006C6588" w:rsidRPr="00205202">
          <w:rPr>
            <w:rStyle w:val="Hyperlink"/>
            <w:rFonts w:cstheme="minorHAnsi"/>
            <w:lang w:val="nn-NO"/>
          </w:rPr>
          <w:t>EØS-notat</w:t>
        </w:r>
      </w:hyperlink>
    </w:p>
    <w:p w14:paraId="0F8B2558" w14:textId="6DAD6BA2" w:rsidR="00345754" w:rsidRDefault="00345754" w:rsidP="000E4CE3">
      <w:pPr>
        <w:rPr>
          <w:rFonts w:cstheme="minorHAnsi"/>
        </w:rPr>
      </w:pPr>
      <w:r>
        <w:rPr>
          <w:rFonts w:cstheme="minorHAnsi"/>
        </w:rPr>
        <w:t xml:space="preserve">32026D1232 </w:t>
      </w:r>
      <w:r w:rsidR="00CC25B1">
        <w:rPr>
          <w:rFonts w:cstheme="minorHAnsi"/>
        </w:rPr>
        <w:t>Kommisjonens gjennomføringsbeslutning</w:t>
      </w:r>
      <w:r w:rsidR="002E2033">
        <w:rPr>
          <w:rFonts w:cstheme="minorHAnsi"/>
        </w:rPr>
        <w:t xml:space="preserve"> om endring av gjennomføringsbeslutning C(2</w:t>
      </w:r>
      <w:r w:rsidR="007E4F9F">
        <w:rPr>
          <w:rFonts w:cstheme="minorHAnsi"/>
        </w:rPr>
        <w:t xml:space="preserve">015) 8005 med hensyn til </w:t>
      </w:r>
      <w:r w:rsidR="00B5310E" w:rsidRPr="00CC25B1">
        <w:rPr>
          <w:rFonts w:cstheme="minorHAnsi"/>
        </w:rPr>
        <w:t>visse detaljerte tiltak for gjennomføring av de felles grunnleggende standardene for luftfartssikkerhet</w:t>
      </w:r>
      <w:r w:rsidR="0068443F">
        <w:rPr>
          <w:rFonts w:cstheme="minorHAnsi"/>
        </w:rPr>
        <w:t xml:space="preserve"> </w:t>
      </w:r>
      <w:r w:rsidR="00B5310E">
        <w:rPr>
          <w:rFonts w:cstheme="minorHAnsi"/>
        </w:rPr>
        <w:t>(</w:t>
      </w:r>
      <w:r w:rsidR="00311DF7">
        <w:rPr>
          <w:rFonts w:cstheme="minorHAnsi"/>
        </w:rPr>
        <w:t xml:space="preserve">sikkerhetstiltak i lufthavner – </w:t>
      </w:r>
      <w:r w:rsidR="0068443F">
        <w:rPr>
          <w:rFonts w:cstheme="minorHAnsi"/>
        </w:rPr>
        <w:t>rettsakt unntatt offentlighet – EØS-notat skrives ikke</w:t>
      </w:r>
      <w:r w:rsidR="00B5310E">
        <w:rPr>
          <w:rFonts w:cstheme="minorHAnsi"/>
        </w:rPr>
        <w:t>)</w:t>
      </w:r>
    </w:p>
    <w:p w14:paraId="127A2D31" w14:textId="0FA90B31" w:rsidR="00E9706A" w:rsidRPr="0068443F" w:rsidRDefault="00E9706A" w:rsidP="000E4CE3">
      <w:pPr>
        <w:rPr>
          <w:rFonts w:ascii="Calibri" w:eastAsia="Times New Roman" w:hAnsi="Calibri" w:cs="Calibri"/>
          <w:color w:val="0000FF"/>
          <w:u w:val="single"/>
        </w:rPr>
      </w:pPr>
      <w:r>
        <w:rPr>
          <w:rFonts w:cstheme="minorHAnsi"/>
        </w:rPr>
        <w:t xml:space="preserve">32026R0449 </w:t>
      </w:r>
      <w:r w:rsidR="00CC25B1" w:rsidRPr="00CC25B1">
        <w:rPr>
          <w:rFonts w:cstheme="minorHAnsi"/>
        </w:rPr>
        <w:t>Kommisjonens gjennomføringsforordning (EU) 2026/449 av 27. februar 2026 om endring av gjennomføringsforordning (EU) 2015/1998 med hensyn til visse detaljerte tiltak for gjennomføring av de felles grunnleggende standardene for luftfartssikkerhet</w:t>
      </w:r>
      <w:r w:rsidR="00CC25B1">
        <w:rPr>
          <w:rFonts w:cstheme="minorHAnsi"/>
        </w:rPr>
        <w:t xml:space="preserve"> – </w:t>
      </w:r>
      <w:hyperlink r:id="rId68" w:history="1">
        <w:r w:rsidR="00764DB5">
          <w:rPr>
            <w:rStyle w:val="Hyperlink"/>
            <w:rFonts w:cstheme="minorHAnsi"/>
          </w:rPr>
          <w:t>EØS-notat</w:t>
        </w:r>
      </w:hyperlink>
    </w:p>
    <w:sectPr w:rsidR="00E9706A" w:rsidRPr="0068443F">
      <w:head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E826" w14:textId="77777777" w:rsidR="00B766D0" w:rsidRDefault="00B766D0" w:rsidP="00445DA8">
      <w:pPr>
        <w:spacing w:after="0" w:line="240" w:lineRule="auto"/>
      </w:pPr>
      <w:r>
        <w:separator/>
      </w:r>
    </w:p>
  </w:endnote>
  <w:endnote w:type="continuationSeparator" w:id="0">
    <w:p w14:paraId="6CEAE1CC" w14:textId="77777777" w:rsidR="00B766D0" w:rsidRDefault="00B766D0" w:rsidP="00445DA8">
      <w:pPr>
        <w:spacing w:after="0" w:line="240" w:lineRule="auto"/>
      </w:pPr>
      <w:r>
        <w:continuationSeparator/>
      </w:r>
    </w:p>
  </w:endnote>
  <w:endnote w:type="continuationNotice" w:id="1">
    <w:p w14:paraId="3D430042" w14:textId="77777777" w:rsidR="00B766D0" w:rsidRDefault="00B76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A75D" w14:textId="77777777" w:rsidR="00B766D0" w:rsidRDefault="00B766D0" w:rsidP="00445DA8">
      <w:pPr>
        <w:spacing w:after="0" w:line="240" w:lineRule="auto"/>
      </w:pPr>
      <w:r>
        <w:separator/>
      </w:r>
    </w:p>
  </w:footnote>
  <w:footnote w:type="continuationSeparator" w:id="0">
    <w:p w14:paraId="5D96BF00" w14:textId="77777777" w:rsidR="00B766D0" w:rsidRDefault="00B766D0" w:rsidP="00445DA8">
      <w:pPr>
        <w:spacing w:after="0" w:line="240" w:lineRule="auto"/>
      </w:pPr>
      <w:r>
        <w:continuationSeparator/>
      </w:r>
    </w:p>
  </w:footnote>
  <w:footnote w:type="continuationNotice" w:id="1">
    <w:p w14:paraId="1F8F28B8" w14:textId="77777777" w:rsidR="00B766D0" w:rsidRDefault="00B76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475171"/>
      <w:docPartObj>
        <w:docPartGallery w:val="Page Numbers (Top of Page)"/>
        <w:docPartUnique/>
      </w:docPartObj>
    </w:sdtPr>
    <w:sdtContent>
      <w:p w14:paraId="7F0A9934" w14:textId="428E38E1" w:rsidR="00445DA8" w:rsidRDefault="00445DA8">
        <w:pPr>
          <w:pStyle w:val="Head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7F39EF8F" w14:textId="77777777" w:rsidR="00445DA8" w:rsidRDefault="0044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5F"/>
    <w:multiLevelType w:val="multilevel"/>
    <w:tmpl w:val="8F6CB1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8E01EB"/>
    <w:multiLevelType w:val="multilevel"/>
    <w:tmpl w:val="A96E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50AB9"/>
    <w:multiLevelType w:val="multilevel"/>
    <w:tmpl w:val="3F6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35AF2"/>
    <w:multiLevelType w:val="multilevel"/>
    <w:tmpl w:val="849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068DC"/>
    <w:multiLevelType w:val="multilevel"/>
    <w:tmpl w:val="0310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F00DF"/>
    <w:multiLevelType w:val="multilevel"/>
    <w:tmpl w:val="0EE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97456"/>
    <w:multiLevelType w:val="multilevel"/>
    <w:tmpl w:val="8EEE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7312A"/>
    <w:multiLevelType w:val="multilevel"/>
    <w:tmpl w:val="97C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26EF9"/>
    <w:multiLevelType w:val="multilevel"/>
    <w:tmpl w:val="0B38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A571B"/>
    <w:multiLevelType w:val="multilevel"/>
    <w:tmpl w:val="C72C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909CF"/>
    <w:multiLevelType w:val="multilevel"/>
    <w:tmpl w:val="DCCAB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12333137">
    <w:abstractNumId w:val="7"/>
  </w:num>
  <w:num w:numId="2" w16cid:durableId="1761443571">
    <w:abstractNumId w:val="4"/>
  </w:num>
  <w:num w:numId="3" w16cid:durableId="77144105">
    <w:abstractNumId w:val="1"/>
  </w:num>
  <w:num w:numId="4" w16cid:durableId="972249706">
    <w:abstractNumId w:val="8"/>
  </w:num>
  <w:num w:numId="5" w16cid:durableId="292176454">
    <w:abstractNumId w:val="6"/>
  </w:num>
  <w:num w:numId="6" w16cid:durableId="1774470163">
    <w:abstractNumId w:val="2"/>
  </w:num>
  <w:num w:numId="7" w16cid:durableId="678043686">
    <w:abstractNumId w:val="3"/>
  </w:num>
  <w:num w:numId="8" w16cid:durableId="132412449">
    <w:abstractNumId w:val="9"/>
  </w:num>
  <w:num w:numId="9" w16cid:durableId="1575625478">
    <w:abstractNumId w:val="5"/>
  </w:num>
  <w:num w:numId="10" w16cid:durableId="1507480040">
    <w:abstractNumId w:val="0"/>
  </w:num>
  <w:num w:numId="11" w16cid:durableId="14760231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3"/>
    <w:rsid w:val="000001CD"/>
    <w:rsid w:val="000007D7"/>
    <w:rsid w:val="00000A02"/>
    <w:rsid w:val="0000127B"/>
    <w:rsid w:val="000023E5"/>
    <w:rsid w:val="00003466"/>
    <w:rsid w:val="000036DF"/>
    <w:rsid w:val="000045A8"/>
    <w:rsid w:val="00004B5D"/>
    <w:rsid w:val="00004F01"/>
    <w:rsid w:val="0000532C"/>
    <w:rsid w:val="000057AE"/>
    <w:rsid w:val="000058E4"/>
    <w:rsid w:val="00005BFB"/>
    <w:rsid w:val="00006218"/>
    <w:rsid w:val="00006619"/>
    <w:rsid w:val="00006C91"/>
    <w:rsid w:val="00006E25"/>
    <w:rsid w:val="00007B75"/>
    <w:rsid w:val="000102F6"/>
    <w:rsid w:val="0001107B"/>
    <w:rsid w:val="000118E9"/>
    <w:rsid w:val="00011E53"/>
    <w:rsid w:val="00011F99"/>
    <w:rsid w:val="0001255B"/>
    <w:rsid w:val="000131BD"/>
    <w:rsid w:val="00013847"/>
    <w:rsid w:val="00013E4A"/>
    <w:rsid w:val="000140B1"/>
    <w:rsid w:val="00014103"/>
    <w:rsid w:val="00014173"/>
    <w:rsid w:val="000143AE"/>
    <w:rsid w:val="000144AA"/>
    <w:rsid w:val="00014503"/>
    <w:rsid w:val="00014DE4"/>
    <w:rsid w:val="00015305"/>
    <w:rsid w:val="000154C4"/>
    <w:rsid w:val="000154E7"/>
    <w:rsid w:val="00016252"/>
    <w:rsid w:val="000164A3"/>
    <w:rsid w:val="000166F8"/>
    <w:rsid w:val="00016B80"/>
    <w:rsid w:val="00016B9C"/>
    <w:rsid w:val="00016D2E"/>
    <w:rsid w:val="0001743E"/>
    <w:rsid w:val="000177AC"/>
    <w:rsid w:val="00017873"/>
    <w:rsid w:val="00021B0E"/>
    <w:rsid w:val="0002207E"/>
    <w:rsid w:val="00023A50"/>
    <w:rsid w:val="00023BB0"/>
    <w:rsid w:val="00023BB1"/>
    <w:rsid w:val="000243C5"/>
    <w:rsid w:val="000243EE"/>
    <w:rsid w:val="00025097"/>
    <w:rsid w:val="00025A8D"/>
    <w:rsid w:val="00025DC1"/>
    <w:rsid w:val="00026562"/>
    <w:rsid w:val="00026DC9"/>
    <w:rsid w:val="00026F7D"/>
    <w:rsid w:val="00027A19"/>
    <w:rsid w:val="000301B1"/>
    <w:rsid w:val="0003028F"/>
    <w:rsid w:val="0003048D"/>
    <w:rsid w:val="000306AA"/>
    <w:rsid w:val="000310AA"/>
    <w:rsid w:val="00031B99"/>
    <w:rsid w:val="00031CBA"/>
    <w:rsid w:val="00031D6E"/>
    <w:rsid w:val="00032DFE"/>
    <w:rsid w:val="00033936"/>
    <w:rsid w:val="00033F44"/>
    <w:rsid w:val="0003400F"/>
    <w:rsid w:val="000341AF"/>
    <w:rsid w:val="000341F7"/>
    <w:rsid w:val="000343E0"/>
    <w:rsid w:val="00034E29"/>
    <w:rsid w:val="00036286"/>
    <w:rsid w:val="000369D4"/>
    <w:rsid w:val="00036ED6"/>
    <w:rsid w:val="000374BA"/>
    <w:rsid w:val="00037FD0"/>
    <w:rsid w:val="0004006E"/>
    <w:rsid w:val="00041633"/>
    <w:rsid w:val="00041E69"/>
    <w:rsid w:val="000424BB"/>
    <w:rsid w:val="00042858"/>
    <w:rsid w:val="00043170"/>
    <w:rsid w:val="00043FEC"/>
    <w:rsid w:val="00044412"/>
    <w:rsid w:val="0004447F"/>
    <w:rsid w:val="0004458F"/>
    <w:rsid w:val="00044925"/>
    <w:rsid w:val="00044C77"/>
    <w:rsid w:val="00044D68"/>
    <w:rsid w:val="000451BE"/>
    <w:rsid w:val="000451E1"/>
    <w:rsid w:val="00045293"/>
    <w:rsid w:val="00046044"/>
    <w:rsid w:val="0004622F"/>
    <w:rsid w:val="00046493"/>
    <w:rsid w:val="00046C84"/>
    <w:rsid w:val="00046DBD"/>
    <w:rsid w:val="00046EB7"/>
    <w:rsid w:val="00047E81"/>
    <w:rsid w:val="000500BE"/>
    <w:rsid w:val="000500E0"/>
    <w:rsid w:val="000503C2"/>
    <w:rsid w:val="00050AF7"/>
    <w:rsid w:val="0005121E"/>
    <w:rsid w:val="00051226"/>
    <w:rsid w:val="00051582"/>
    <w:rsid w:val="00052BA0"/>
    <w:rsid w:val="000544A7"/>
    <w:rsid w:val="000547CC"/>
    <w:rsid w:val="00055519"/>
    <w:rsid w:val="00055CC3"/>
    <w:rsid w:val="00055D20"/>
    <w:rsid w:val="00056055"/>
    <w:rsid w:val="000564D8"/>
    <w:rsid w:val="0005660C"/>
    <w:rsid w:val="00056631"/>
    <w:rsid w:val="00056679"/>
    <w:rsid w:val="000568CF"/>
    <w:rsid w:val="0005718E"/>
    <w:rsid w:val="00060250"/>
    <w:rsid w:val="0006170C"/>
    <w:rsid w:val="00061C08"/>
    <w:rsid w:val="0006228A"/>
    <w:rsid w:val="00063167"/>
    <w:rsid w:val="00063381"/>
    <w:rsid w:val="00063576"/>
    <w:rsid w:val="0006372B"/>
    <w:rsid w:val="00063C8A"/>
    <w:rsid w:val="00063DBF"/>
    <w:rsid w:val="00064141"/>
    <w:rsid w:val="0006453A"/>
    <w:rsid w:val="000646ED"/>
    <w:rsid w:val="000646FA"/>
    <w:rsid w:val="000648E3"/>
    <w:rsid w:val="0006498A"/>
    <w:rsid w:val="00064E89"/>
    <w:rsid w:val="000653E4"/>
    <w:rsid w:val="0006567F"/>
    <w:rsid w:val="000664A3"/>
    <w:rsid w:val="000666C4"/>
    <w:rsid w:val="00066A71"/>
    <w:rsid w:val="00066DAD"/>
    <w:rsid w:val="00066E04"/>
    <w:rsid w:val="00066E2E"/>
    <w:rsid w:val="00066FB1"/>
    <w:rsid w:val="000673FC"/>
    <w:rsid w:val="0006768D"/>
    <w:rsid w:val="000676AC"/>
    <w:rsid w:val="00067942"/>
    <w:rsid w:val="00070A0F"/>
    <w:rsid w:val="00071024"/>
    <w:rsid w:val="00071032"/>
    <w:rsid w:val="00071725"/>
    <w:rsid w:val="00071868"/>
    <w:rsid w:val="000718B2"/>
    <w:rsid w:val="00071D38"/>
    <w:rsid w:val="00071E97"/>
    <w:rsid w:val="00072014"/>
    <w:rsid w:val="000721C4"/>
    <w:rsid w:val="00072462"/>
    <w:rsid w:val="00072F93"/>
    <w:rsid w:val="000735B0"/>
    <w:rsid w:val="00073E2F"/>
    <w:rsid w:val="00074183"/>
    <w:rsid w:val="000745FA"/>
    <w:rsid w:val="00074777"/>
    <w:rsid w:val="000748DA"/>
    <w:rsid w:val="00074FCD"/>
    <w:rsid w:val="00075028"/>
    <w:rsid w:val="0007524E"/>
    <w:rsid w:val="000754CE"/>
    <w:rsid w:val="000754E4"/>
    <w:rsid w:val="000756D2"/>
    <w:rsid w:val="0007619A"/>
    <w:rsid w:val="00076209"/>
    <w:rsid w:val="00076411"/>
    <w:rsid w:val="00076450"/>
    <w:rsid w:val="0007676D"/>
    <w:rsid w:val="0007707C"/>
    <w:rsid w:val="00077298"/>
    <w:rsid w:val="00077D9C"/>
    <w:rsid w:val="00077DDE"/>
    <w:rsid w:val="000812B0"/>
    <w:rsid w:val="00081506"/>
    <w:rsid w:val="0008225E"/>
    <w:rsid w:val="000823B4"/>
    <w:rsid w:val="000827E2"/>
    <w:rsid w:val="00082824"/>
    <w:rsid w:val="00082F88"/>
    <w:rsid w:val="00083323"/>
    <w:rsid w:val="000835E0"/>
    <w:rsid w:val="00083651"/>
    <w:rsid w:val="00083983"/>
    <w:rsid w:val="00083E74"/>
    <w:rsid w:val="0008441F"/>
    <w:rsid w:val="00084FBD"/>
    <w:rsid w:val="00085027"/>
    <w:rsid w:val="000854CC"/>
    <w:rsid w:val="00085E43"/>
    <w:rsid w:val="00085EAA"/>
    <w:rsid w:val="000860D9"/>
    <w:rsid w:val="000866F7"/>
    <w:rsid w:val="000867F2"/>
    <w:rsid w:val="00086B39"/>
    <w:rsid w:val="0009045D"/>
    <w:rsid w:val="000904D7"/>
    <w:rsid w:val="00090D08"/>
    <w:rsid w:val="0009108E"/>
    <w:rsid w:val="00091278"/>
    <w:rsid w:val="00091420"/>
    <w:rsid w:val="000915EA"/>
    <w:rsid w:val="00091CDC"/>
    <w:rsid w:val="00091F2A"/>
    <w:rsid w:val="000921EA"/>
    <w:rsid w:val="000924B1"/>
    <w:rsid w:val="00092519"/>
    <w:rsid w:val="00092B6B"/>
    <w:rsid w:val="00092C45"/>
    <w:rsid w:val="000930E1"/>
    <w:rsid w:val="00093595"/>
    <w:rsid w:val="00094B92"/>
    <w:rsid w:val="000960A4"/>
    <w:rsid w:val="0009668E"/>
    <w:rsid w:val="00096795"/>
    <w:rsid w:val="00096EF8"/>
    <w:rsid w:val="00097332"/>
    <w:rsid w:val="000A08C1"/>
    <w:rsid w:val="000A0CDF"/>
    <w:rsid w:val="000A1440"/>
    <w:rsid w:val="000A1AF2"/>
    <w:rsid w:val="000A1CE1"/>
    <w:rsid w:val="000A1E5C"/>
    <w:rsid w:val="000A250E"/>
    <w:rsid w:val="000A2A17"/>
    <w:rsid w:val="000A2D2B"/>
    <w:rsid w:val="000A2DA2"/>
    <w:rsid w:val="000A3029"/>
    <w:rsid w:val="000A3721"/>
    <w:rsid w:val="000A3B7F"/>
    <w:rsid w:val="000A3CD4"/>
    <w:rsid w:val="000A3D18"/>
    <w:rsid w:val="000A4017"/>
    <w:rsid w:val="000A4056"/>
    <w:rsid w:val="000A4799"/>
    <w:rsid w:val="000A47D0"/>
    <w:rsid w:val="000A485B"/>
    <w:rsid w:val="000A529E"/>
    <w:rsid w:val="000A55EC"/>
    <w:rsid w:val="000A65BF"/>
    <w:rsid w:val="000A6766"/>
    <w:rsid w:val="000A7159"/>
    <w:rsid w:val="000A7539"/>
    <w:rsid w:val="000A7579"/>
    <w:rsid w:val="000A78C3"/>
    <w:rsid w:val="000A7EBA"/>
    <w:rsid w:val="000B0500"/>
    <w:rsid w:val="000B1405"/>
    <w:rsid w:val="000B17FB"/>
    <w:rsid w:val="000B1BFF"/>
    <w:rsid w:val="000B20A1"/>
    <w:rsid w:val="000B2961"/>
    <w:rsid w:val="000B2AFF"/>
    <w:rsid w:val="000B3868"/>
    <w:rsid w:val="000B386F"/>
    <w:rsid w:val="000B3D88"/>
    <w:rsid w:val="000B59D0"/>
    <w:rsid w:val="000B5CB7"/>
    <w:rsid w:val="000B61CF"/>
    <w:rsid w:val="000B6339"/>
    <w:rsid w:val="000B67F6"/>
    <w:rsid w:val="000B6858"/>
    <w:rsid w:val="000B6AD6"/>
    <w:rsid w:val="000B7315"/>
    <w:rsid w:val="000B7624"/>
    <w:rsid w:val="000C04AF"/>
    <w:rsid w:val="000C0BAE"/>
    <w:rsid w:val="000C0C4B"/>
    <w:rsid w:val="000C0C78"/>
    <w:rsid w:val="000C0DDE"/>
    <w:rsid w:val="000C14B0"/>
    <w:rsid w:val="000C1691"/>
    <w:rsid w:val="000C16BA"/>
    <w:rsid w:val="000C1B8F"/>
    <w:rsid w:val="000C21B5"/>
    <w:rsid w:val="000C2761"/>
    <w:rsid w:val="000C2A41"/>
    <w:rsid w:val="000C2A71"/>
    <w:rsid w:val="000C350C"/>
    <w:rsid w:val="000C39F2"/>
    <w:rsid w:val="000C3B3F"/>
    <w:rsid w:val="000C3CEE"/>
    <w:rsid w:val="000C3E38"/>
    <w:rsid w:val="000C419E"/>
    <w:rsid w:val="000C46DB"/>
    <w:rsid w:val="000C47D5"/>
    <w:rsid w:val="000C48BC"/>
    <w:rsid w:val="000C49D1"/>
    <w:rsid w:val="000C5FEF"/>
    <w:rsid w:val="000C6AF8"/>
    <w:rsid w:val="000C745E"/>
    <w:rsid w:val="000C76A9"/>
    <w:rsid w:val="000C79C3"/>
    <w:rsid w:val="000D0285"/>
    <w:rsid w:val="000D03A6"/>
    <w:rsid w:val="000D0519"/>
    <w:rsid w:val="000D06FF"/>
    <w:rsid w:val="000D0BB4"/>
    <w:rsid w:val="000D1476"/>
    <w:rsid w:val="000D15CD"/>
    <w:rsid w:val="000D15E1"/>
    <w:rsid w:val="000D19A8"/>
    <w:rsid w:val="000D2387"/>
    <w:rsid w:val="000D26E3"/>
    <w:rsid w:val="000D27FC"/>
    <w:rsid w:val="000D2BFF"/>
    <w:rsid w:val="000D2C53"/>
    <w:rsid w:val="000D321A"/>
    <w:rsid w:val="000D3272"/>
    <w:rsid w:val="000D37B0"/>
    <w:rsid w:val="000D3B82"/>
    <w:rsid w:val="000D3BFB"/>
    <w:rsid w:val="000D3FC3"/>
    <w:rsid w:val="000D3FC4"/>
    <w:rsid w:val="000D443C"/>
    <w:rsid w:val="000D4477"/>
    <w:rsid w:val="000D464C"/>
    <w:rsid w:val="000D4ED9"/>
    <w:rsid w:val="000D5077"/>
    <w:rsid w:val="000D51EB"/>
    <w:rsid w:val="000D5E44"/>
    <w:rsid w:val="000D61DF"/>
    <w:rsid w:val="000D6377"/>
    <w:rsid w:val="000D6F25"/>
    <w:rsid w:val="000D70E4"/>
    <w:rsid w:val="000D72E4"/>
    <w:rsid w:val="000D765F"/>
    <w:rsid w:val="000D7924"/>
    <w:rsid w:val="000D7BC4"/>
    <w:rsid w:val="000E0597"/>
    <w:rsid w:val="000E05E1"/>
    <w:rsid w:val="000E119C"/>
    <w:rsid w:val="000E123A"/>
    <w:rsid w:val="000E1AF1"/>
    <w:rsid w:val="000E22A7"/>
    <w:rsid w:val="000E244C"/>
    <w:rsid w:val="000E26CB"/>
    <w:rsid w:val="000E3503"/>
    <w:rsid w:val="000E35DF"/>
    <w:rsid w:val="000E35F1"/>
    <w:rsid w:val="000E3969"/>
    <w:rsid w:val="000E42E6"/>
    <w:rsid w:val="000E44B8"/>
    <w:rsid w:val="000E473E"/>
    <w:rsid w:val="000E4CE3"/>
    <w:rsid w:val="000E5054"/>
    <w:rsid w:val="000E5F36"/>
    <w:rsid w:val="000E6465"/>
    <w:rsid w:val="000E6A97"/>
    <w:rsid w:val="000E6B9A"/>
    <w:rsid w:val="000E7499"/>
    <w:rsid w:val="000E761D"/>
    <w:rsid w:val="000E7B91"/>
    <w:rsid w:val="000F0012"/>
    <w:rsid w:val="000F033A"/>
    <w:rsid w:val="000F044C"/>
    <w:rsid w:val="000F1709"/>
    <w:rsid w:val="000F171A"/>
    <w:rsid w:val="000F18C4"/>
    <w:rsid w:val="000F2071"/>
    <w:rsid w:val="000F221D"/>
    <w:rsid w:val="000F2712"/>
    <w:rsid w:val="000F29BD"/>
    <w:rsid w:val="000F2B45"/>
    <w:rsid w:val="000F2BDA"/>
    <w:rsid w:val="000F32C2"/>
    <w:rsid w:val="000F3E18"/>
    <w:rsid w:val="000F505D"/>
    <w:rsid w:val="000F510C"/>
    <w:rsid w:val="000F52CE"/>
    <w:rsid w:val="000F5C8C"/>
    <w:rsid w:val="000F5D47"/>
    <w:rsid w:val="000F6110"/>
    <w:rsid w:val="000F6297"/>
    <w:rsid w:val="000F7841"/>
    <w:rsid w:val="000F7A81"/>
    <w:rsid w:val="0010019D"/>
    <w:rsid w:val="0010034D"/>
    <w:rsid w:val="00100BCE"/>
    <w:rsid w:val="00100CDC"/>
    <w:rsid w:val="00100E6E"/>
    <w:rsid w:val="001013F0"/>
    <w:rsid w:val="00101D98"/>
    <w:rsid w:val="00101EC1"/>
    <w:rsid w:val="001022F5"/>
    <w:rsid w:val="00102509"/>
    <w:rsid w:val="001027C1"/>
    <w:rsid w:val="001029F4"/>
    <w:rsid w:val="001031A5"/>
    <w:rsid w:val="0010351C"/>
    <w:rsid w:val="00103B32"/>
    <w:rsid w:val="0010412E"/>
    <w:rsid w:val="0010461B"/>
    <w:rsid w:val="0010462A"/>
    <w:rsid w:val="001049A9"/>
    <w:rsid w:val="001054C9"/>
    <w:rsid w:val="00105B80"/>
    <w:rsid w:val="001061FC"/>
    <w:rsid w:val="00106B04"/>
    <w:rsid w:val="00106F02"/>
    <w:rsid w:val="00107652"/>
    <w:rsid w:val="00107BEB"/>
    <w:rsid w:val="001103A7"/>
    <w:rsid w:val="001107ED"/>
    <w:rsid w:val="00110F1F"/>
    <w:rsid w:val="00111CE6"/>
    <w:rsid w:val="00111DF8"/>
    <w:rsid w:val="001125BC"/>
    <w:rsid w:val="00112E15"/>
    <w:rsid w:val="00112EFA"/>
    <w:rsid w:val="00113355"/>
    <w:rsid w:val="00113417"/>
    <w:rsid w:val="001138C9"/>
    <w:rsid w:val="00113EB6"/>
    <w:rsid w:val="0011519D"/>
    <w:rsid w:val="001154EE"/>
    <w:rsid w:val="00115791"/>
    <w:rsid w:val="001159AA"/>
    <w:rsid w:val="00115A2F"/>
    <w:rsid w:val="0011627E"/>
    <w:rsid w:val="0011681B"/>
    <w:rsid w:val="00116B77"/>
    <w:rsid w:val="00116CB5"/>
    <w:rsid w:val="0011708D"/>
    <w:rsid w:val="00117CF1"/>
    <w:rsid w:val="00120756"/>
    <w:rsid w:val="00120B99"/>
    <w:rsid w:val="00121815"/>
    <w:rsid w:val="00121CB9"/>
    <w:rsid w:val="00122D2D"/>
    <w:rsid w:val="00122DDB"/>
    <w:rsid w:val="00122FC9"/>
    <w:rsid w:val="00123209"/>
    <w:rsid w:val="001234AC"/>
    <w:rsid w:val="00123D49"/>
    <w:rsid w:val="00123FCE"/>
    <w:rsid w:val="001245A1"/>
    <w:rsid w:val="001245A3"/>
    <w:rsid w:val="0012467D"/>
    <w:rsid w:val="001248E2"/>
    <w:rsid w:val="00124943"/>
    <w:rsid w:val="00124BAD"/>
    <w:rsid w:val="001251AB"/>
    <w:rsid w:val="001256FE"/>
    <w:rsid w:val="0012600B"/>
    <w:rsid w:val="001260B5"/>
    <w:rsid w:val="00126200"/>
    <w:rsid w:val="00126358"/>
    <w:rsid w:val="001268E1"/>
    <w:rsid w:val="00126ACC"/>
    <w:rsid w:val="00126AD7"/>
    <w:rsid w:val="00127379"/>
    <w:rsid w:val="001277A0"/>
    <w:rsid w:val="001303CB"/>
    <w:rsid w:val="00130C32"/>
    <w:rsid w:val="00130FAD"/>
    <w:rsid w:val="0013122F"/>
    <w:rsid w:val="001312B8"/>
    <w:rsid w:val="0013135F"/>
    <w:rsid w:val="00131744"/>
    <w:rsid w:val="00131DEE"/>
    <w:rsid w:val="0013208F"/>
    <w:rsid w:val="0013220A"/>
    <w:rsid w:val="0013272A"/>
    <w:rsid w:val="00132D51"/>
    <w:rsid w:val="00133515"/>
    <w:rsid w:val="00133DFC"/>
    <w:rsid w:val="001343D2"/>
    <w:rsid w:val="001346EC"/>
    <w:rsid w:val="00134AE9"/>
    <w:rsid w:val="00134B1A"/>
    <w:rsid w:val="00134BBE"/>
    <w:rsid w:val="00134DEB"/>
    <w:rsid w:val="00134F89"/>
    <w:rsid w:val="001350D4"/>
    <w:rsid w:val="0013514B"/>
    <w:rsid w:val="00135309"/>
    <w:rsid w:val="00135461"/>
    <w:rsid w:val="0013588E"/>
    <w:rsid w:val="00136D83"/>
    <w:rsid w:val="001371DC"/>
    <w:rsid w:val="0013792E"/>
    <w:rsid w:val="00137C17"/>
    <w:rsid w:val="00140188"/>
    <w:rsid w:val="001404DF"/>
    <w:rsid w:val="001412BC"/>
    <w:rsid w:val="001413EE"/>
    <w:rsid w:val="00142309"/>
    <w:rsid w:val="00142414"/>
    <w:rsid w:val="00142D2F"/>
    <w:rsid w:val="0014329C"/>
    <w:rsid w:val="0014354B"/>
    <w:rsid w:val="00143A85"/>
    <w:rsid w:val="0014444E"/>
    <w:rsid w:val="0014454E"/>
    <w:rsid w:val="001445E5"/>
    <w:rsid w:val="001446F8"/>
    <w:rsid w:val="0014506C"/>
    <w:rsid w:val="00145246"/>
    <w:rsid w:val="00145D5D"/>
    <w:rsid w:val="00145F32"/>
    <w:rsid w:val="001463A8"/>
    <w:rsid w:val="00146906"/>
    <w:rsid w:val="00146BC4"/>
    <w:rsid w:val="00146FF9"/>
    <w:rsid w:val="001471A7"/>
    <w:rsid w:val="0014732C"/>
    <w:rsid w:val="0014787C"/>
    <w:rsid w:val="0014791E"/>
    <w:rsid w:val="00147C4B"/>
    <w:rsid w:val="00150165"/>
    <w:rsid w:val="001502B8"/>
    <w:rsid w:val="001502EF"/>
    <w:rsid w:val="00150986"/>
    <w:rsid w:val="00150B85"/>
    <w:rsid w:val="00150BC3"/>
    <w:rsid w:val="00151C9B"/>
    <w:rsid w:val="00152103"/>
    <w:rsid w:val="00152357"/>
    <w:rsid w:val="00152C37"/>
    <w:rsid w:val="00154534"/>
    <w:rsid w:val="00154CC0"/>
    <w:rsid w:val="00154CFF"/>
    <w:rsid w:val="001553FD"/>
    <w:rsid w:val="0015597D"/>
    <w:rsid w:val="00155A21"/>
    <w:rsid w:val="0015633E"/>
    <w:rsid w:val="00156424"/>
    <w:rsid w:val="001567DD"/>
    <w:rsid w:val="00156A8E"/>
    <w:rsid w:val="00156CA9"/>
    <w:rsid w:val="00156DAB"/>
    <w:rsid w:val="00156FC2"/>
    <w:rsid w:val="001572E8"/>
    <w:rsid w:val="00160AE7"/>
    <w:rsid w:val="00160DD2"/>
    <w:rsid w:val="00161261"/>
    <w:rsid w:val="00161A29"/>
    <w:rsid w:val="00161C2C"/>
    <w:rsid w:val="00161CA0"/>
    <w:rsid w:val="00161D61"/>
    <w:rsid w:val="00162690"/>
    <w:rsid w:val="001626B1"/>
    <w:rsid w:val="00163193"/>
    <w:rsid w:val="00163979"/>
    <w:rsid w:val="00163A5E"/>
    <w:rsid w:val="00163CD1"/>
    <w:rsid w:val="00163F51"/>
    <w:rsid w:val="001645F5"/>
    <w:rsid w:val="001647C3"/>
    <w:rsid w:val="00164CFB"/>
    <w:rsid w:val="00165A40"/>
    <w:rsid w:val="00166EF3"/>
    <w:rsid w:val="00166F36"/>
    <w:rsid w:val="001671B7"/>
    <w:rsid w:val="00167227"/>
    <w:rsid w:val="00167F82"/>
    <w:rsid w:val="001703CC"/>
    <w:rsid w:val="00170540"/>
    <w:rsid w:val="00170548"/>
    <w:rsid w:val="00170733"/>
    <w:rsid w:val="00170C98"/>
    <w:rsid w:val="00170F73"/>
    <w:rsid w:val="00171163"/>
    <w:rsid w:val="0017157A"/>
    <w:rsid w:val="0017164C"/>
    <w:rsid w:val="00171710"/>
    <w:rsid w:val="00171958"/>
    <w:rsid w:val="001722C3"/>
    <w:rsid w:val="00174B20"/>
    <w:rsid w:val="00175010"/>
    <w:rsid w:val="001759BB"/>
    <w:rsid w:val="0017608B"/>
    <w:rsid w:val="001767CA"/>
    <w:rsid w:val="00176B0B"/>
    <w:rsid w:val="0017778C"/>
    <w:rsid w:val="001800F2"/>
    <w:rsid w:val="00180436"/>
    <w:rsid w:val="001807B6"/>
    <w:rsid w:val="00180CEC"/>
    <w:rsid w:val="00180F16"/>
    <w:rsid w:val="001812A6"/>
    <w:rsid w:val="0018168F"/>
    <w:rsid w:val="00181823"/>
    <w:rsid w:val="00181E03"/>
    <w:rsid w:val="00182267"/>
    <w:rsid w:val="0018249F"/>
    <w:rsid w:val="00182925"/>
    <w:rsid w:val="00182AEB"/>
    <w:rsid w:val="00182EA9"/>
    <w:rsid w:val="00182FDE"/>
    <w:rsid w:val="00183654"/>
    <w:rsid w:val="00183907"/>
    <w:rsid w:val="00183C82"/>
    <w:rsid w:val="001848FF"/>
    <w:rsid w:val="0018506C"/>
    <w:rsid w:val="001850CA"/>
    <w:rsid w:val="0018518F"/>
    <w:rsid w:val="00185227"/>
    <w:rsid w:val="001857E5"/>
    <w:rsid w:val="00185B8A"/>
    <w:rsid w:val="001862E4"/>
    <w:rsid w:val="0018699E"/>
    <w:rsid w:val="0018704A"/>
    <w:rsid w:val="00187299"/>
    <w:rsid w:val="001872DC"/>
    <w:rsid w:val="00187EC6"/>
    <w:rsid w:val="001904B4"/>
    <w:rsid w:val="00190CA4"/>
    <w:rsid w:val="00191406"/>
    <w:rsid w:val="001914DB"/>
    <w:rsid w:val="001919E2"/>
    <w:rsid w:val="001920D9"/>
    <w:rsid w:val="00192242"/>
    <w:rsid w:val="001934B2"/>
    <w:rsid w:val="00193D6E"/>
    <w:rsid w:val="00194629"/>
    <w:rsid w:val="00194C86"/>
    <w:rsid w:val="00194E3B"/>
    <w:rsid w:val="00195D0D"/>
    <w:rsid w:val="00195F11"/>
    <w:rsid w:val="001965CE"/>
    <w:rsid w:val="001966A2"/>
    <w:rsid w:val="001966A3"/>
    <w:rsid w:val="001969DE"/>
    <w:rsid w:val="00196F5C"/>
    <w:rsid w:val="0019728E"/>
    <w:rsid w:val="001973C2"/>
    <w:rsid w:val="00197872"/>
    <w:rsid w:val="001978FB"/>
    <w:rsid w:val="00197AC3"/>
    <w:rsid w:val="00197F76"/>
    <w:rsid w:val="001A004C"/>
    <w:rsid w:val="001A0156"/>
    <w:rsid w:val="001A07EE"/>
    <w:rsid w:val="001A13F5"/>
    <w:rsid w:val="001A196D"/>
    <w:rsid w:val="001A2970"/>
    <w:rsid w:val="001A298A"/>
    <w:rsid w:val="001A2C3F"/>
    <w:rsid w:val="001A308F"/>
    <w:rsid w:val="001A338F"/>
    <w:rsid w:val="001A39B2"/>
    <w:rsid w:val="001A39EE"/>
    <w:rsid w:val="001A3B20"/>
    <w:rsid w:val="001A3F6D"/>
    <w:rsid w:val="001A43F3"/>
    <w:rsid w:val="001A4800"/>
    <w:rsid w:val="001A4918"/>
    <w:rsid w:val="001A4B91"/>
    <w:rsid w:val="001A4D6E"/>
    <w:rsid w:val="001A4E9D"/>
    <w:rsid w:val="001A5118"/>
    <w:rsid w:val="001A577D"/>
    <w:rsid w:val="001A5847"/>
    <w:rsid w:val="001A588E"/>
    <w:rsid w:val="001A59AF"/>
    <w:rsid w:val="001A61BC"/>
    <w:rsid w:val="001A6549"/>
    <w:rsid w:val="001A67C7"/>
    <w:rsid w:val="001A69CF"/>
    <w:rsid w:val="001A73A0"/>
    <w:rsid w:val="001A73CA"/>
    <w:rsid w:val="001A76A8"/>
    <w:rsid w:val="001A7982"/>
    <w:rsid w:val="001A7A39"/>
    <w:rsid w:val="001A7C95"/>
    <w:rsid w:val="001A7D31"/>
    <w:rsid w:val="001A7D52"/>
    <w:rsid w:val="001B0113"/>
    <w:rsid w:val="001B03E5"/>
    <w:rsid w:val="001B0BD1"/>
    <w:rsid w:val="001B0EDE"/>
    <w:rsid w:val="001B1294"/>
    <w:rsid w:val="001B13A1"/>
    <w:rsid w:val="001B13F6"/>
    <w:rsid w:val="001B1443"/>
    <w:rsid w:val="001B1475"/>
    <w:rsid w:val="001B1540"/>
    <w:rsid w:val="001B1B0E"/>
    <w:rsid w:val="001B225D"/>
    <w:rsid w:val="001B2807"/>
    <w:rsid w:val="001B2CEE"/>
    <w:rsid w:val="001B3999"/>
    <w:rsid w:val="001B3FD8"/>
    <w:rsid w:val="001B4075"/>
    <w:rsid w:val="001B42B8"/>
    <w:rsid w:val="001B43C8"/>
    <w:rsid w:val="001B4645"/>
    <w:rsid w:val="001B46C7"/>
    <w:rsid w:val="001B4800"/>
    <w:rsid w:val="001B4DEA"/>
    <w:rsid w:val="001B4E28"/>
    <w:rsid w:val="001B5231"/>
    <w:rsid w:val="001B56A7"/>
    <w:rsid w:val="001B57EA"/>
    <w:rsid w:val="001B59E0"/>
    <w:rsid w:val="001B5B70"/>
    <w:rsid w:val="001B5C8F"/>
    <w:rsid w:val="001B612B"/>
    <w:rsid w:val="001B6452"/>
    <w:rsid w:val="001B658E"/>
    <w:rsid w:val="001B7552"/>
    <w:rsid w:val="001B77E9"/>
    <w:rsid w:val="001B7F7F"/>
    <w:rsid w:val="001C044F"/>
    <w:rsid w:val="001C08BD"/>
    <w:rsid w:val="001C09F6"/>
    <w:rsid w:val="001C11BE"/>
    <w:rsid w:val="001C1442"/>
    <w:rsid w:val="001C1A66"/>
    <w:rsid w:val="001C20F4"/>
    <w:rsid w:val="001C2A9E"/>
    <w:rsid w:val="001C33D5"/>
    <w:rsid w:val="001C356C"/>
    <w:rsid w:val="001C368E"/>
    <w:rsid w:val="001C3830"/>
    <w:rsid w:val="001C39B1"/>
    <w:rsid w:val="001C3D54"/>
    <w:rsid w:val="001C404A"/>
    <w:rsid w:val="001C4464"/>
    <w:rsid w:val="001C49FD"/>
    <w:rsid w:val="001C5495"/>
    <w:rsid w:val="001C58E3"/>
    <w:rsid w:val="001C6008"/>
    <w:rsid w:val="001C6270"/>
    <w:rsid w:val="001C6276"/>
    <w:rsid w:val="001C6837"/>
    <w:rsid w:val="001C6AE1"/>
    <w:rsid w:val="001C6B2B"/>
    <w:rsid w:val="001C6FD0"/>
    <w:rsid w:val="001C76FD"/>
    <w:rsid w:val="001C7D5C"/>
    <w:rsid w:val="001D007D"/>
    <w:rsid w:val="001D09A2"/>
    <w:rsid w:val="001D1467"/>
    <w:rsid w:val="001D146F"/>
    <w:rsid w:val="001D16F9"/>
    <w:rsid w:val="001D1FD3"/>
    <w:rsid w:val="001D2DB7"/>
    <w:rsid w:val="001D333E"/>
    <w:rsid w:val="001D44B2"/>
    <w:rsid w:val="001D48CF"/>
    <w:rsid w:val="001D57B3"/>
    <w:rsid w:val="001D58A1"/>
    <w:rsid w:val="001D6B8A"/>
    <w:rsid w:val="001D6F2A"/>
    <w:rsid w:val="001D72D8"/>
    <w:rsid w:val="001D78A4"/>
    <w:rsid w:val="001D79C9"/>
    <w:rsid w:val="001D7A75"/>
    <w:rsid w:val="001D7B35"/>
    <w:rsid w:val="001E066C"/>
    <w:rsid w:val="001E0FA0"/>
    <w:rsid w:val="001E1CB1"/>
    <w:rsid w:val="001E1EB7"/>
    <w:rsid w:val="001E2B11"/>
    <w:rsid w:val="001E2E90"/>
    <w:rsid w:val="001E3193"/>
    <w:rsid w:val="001E31BF"/>
    <w:rsid w:val="001E31C9"/>
    <w:rsid w:val="001E3772"/>
    <w:rsid w:val="001E392A"/>
    <w:rsid w:val="001E39FF"/>
    <w:rsid w:val="001E3C49"/>
    <w:rsid w:val="001E3E3B"/>
    <w:rsid w:val="001E3E75"/>
    <w:rsid w:val="001E3F46"/>
    <w:rsid w:val="001E412D"/>
    <w:rsid w:val="001E440A"/>
    <w:rsid w:val="001E4453"/>
    <w:rsid w:val="001E4695"/>
    <w:rsid w:val="001E4827"/>
    <w:rsid w:val="001E4B50"/>
    <w:rsid w:val="001E4C60"/>
    <w:rsid w:val="001E4EC3"/>
    <w:rsid w:val="001E5396"/>
    <w:rsid w:val="001E5526"/>
    <w:rsid w:val="001E560C"/>
    <w:rsid w:val="001E5654"/>
    <w:rsid w:val="001E6F6B"/>
    <w:rsid w:val="001E764D"/>
    <w:rsid w:val="001E7864"/>
    <w:rsid w:val="001E7A4E"/>
    <w:rsid w:val="001F0342"/>
    <w:rsid w:val="001F04F9"/>
    <w:rsid w:val="001F06EF"/>
    <w:rsid w:val="001F08EE"/>
    <w:rsid w:val="001F0B29"/>
    <w:rsid w:val="001F0C36"/>
    <w:rsid w:val="001F11E8"/>
    <w:rsid w:val="001F1552"/>
    <w:rsid w:val="001F1BFC"/>
    <w:rsid w:val="001F1D5C"/>
    <w:rsid w:val="001F2CDF"/>
    <w:rsid w:val="001F31A9"/>
    <w:rsid w:val="001F3358"/>
    <w:rsid w:val="001F4056"/>
    <w:rsid w:val="001F429D"/>
    <w:rsid w:val="001F441E"/>
    <w:rsid w:val="001F473A"/>
    <w:rsid w:val="001F4D1A"/>
    <w:rsid w:val="001F5291"/>
    <w:rsid w:val="001F53B8"/>
    <w:rsid w:val="001F577B"/>
    <w:rsid w:val="001F6070"/>
    <w:rsid w:val="001F664D"/>
    <w:rsid w:val="001F6EB1"/>
    <w:rsid w:val="001F749C"/>
    <w:rsid w:val="001F74F5"/>
    <w:rsid w:val="001F7ADD"/>
    <w:rsid w:val="001F7C27"/>
    <w:rsid w:val="002007B2"/>
    <w:rsid w:val="00200DA5"/>
    <w:rsid w:val="0020137F"/>
    <w:rsid w:val="002014AF"/>
    <w:rsid w:val="00201609"/>
    <w:rsid w:val="00201B1E"/>
    <w:rsid w:val="00202158"/>
    <w:rsid w:val="002022B4"/>
    <w:rsid w:val="00202516"/>
    <w:rsid w:val="00202580"/>
    <w:rsid w:val="00202FD4"/>
    <w:rsid w:val="00203519"/>
    <w:rsid w:val="002036C4"/>
    <w:rsid w:val="0020372B"/>
    <w:rsid w:val="00203A05"/>
    <w:rsid w:val="00203C39"/>
    <w:rsid w:val="00203E1B"/>
    <w:rsid w:val="002040BE"/>
    <w:rsid w:val="00204409"/>
    <w:rsid w:val="0020460D"/>
    <w:rsid w:val="00204835"/>
    <w:rsid w:val="00204A77"/>
    <w:rsid w:val="00204B75"/>
    <w:rsid w:val="00204D39"/>
    <w:rsid w:val="00205202"/>
    <w:rsid w:val="0020572F"/>
    <w:rsid w:val="002059FE"/>
    <w:rsid w:val="002064D0"/>
    <w:rsid w:val="0020670E"/>
    <w:rsid w:val="00206BCE"/>
    <w:rsid w:val="00206D7C"/>
    <w:rsid w:val="00206F0C"/>
    <w:rsid w:val="0020749D"/>
    <w:rsid w:val="0020793B"/>
    <w:rsid w:val="00207EA6"/>
    <w:rsid w:val="00207F8D"/>
    <w:rsid w:val="0021124A"/>
    <w:rsid w:val="002115F1"/>
    <w:rsid w:val="00211A33"/>
    <w:rsid w:val="00211B08"/>
    <w:rsid w:val="00211E70"/>
    <w:rsid w:val="00211FEF"/>
    <w:rsid w:val="00212383"/>
    <w:rsid w:val="00212570"/>
    <w:rsid w:val="00212729"/>
    <w:rsid w:val="00212812"/>
    <w:rsid w:val="00212F83"/>
    <w:rsid w:val="002130CD"/>
    <w:rsid w:val="002139E3"/>
    <w:rsid w:val="00214D77"/>
    <w:rsid w:val="00214E8B"/>
    <w:rsid w:val="00215801"/>
    <w:rsid w:val="00215827"/>
    <w:rsid w:val="00215B51"/>
    <w:rsid w:val="00215B84"/>
    <w:rsid w:val="00215E32"/>
    <w:rsid w:val="00216606"/>
    <w:rsid w:val="00216820"/>
    <w:rsid w:val="002170B2"/>
    <w:rsid w:val="0021741F"/>
    <w:rsid w:val="00217870"/>
    <w:rsid w:val="00217E71"/>
    <w:rsid w:val="00217F06"/>
    <w:rsid w:val="002201D7"/>
    <w:rsid w:val="0022115A"/>
    <w:rsid w:val="002211E7"/>
    <w:rsid w:val="002214A3"/>
    <w:rsid w:val="00222263"/>
    <w:rsid w:val="00222305"/>
    <w:rsid w:val="00222C87"/>
    <w:rsid w:val="0022322A"/>
    <w:rsid w:val="00223238"/>
    <w:rsid w:val="00223274"/>
    <w:rsid w:val="00223A91"/>
    <w:rsid w:val="00223B14"/>
    <w:rsid w:val="00223BF3"/>
    <w:rsid w:val="00224390"/>
    <w:rsid w:val="002243A4"/>
    <w:rsid w:val="00224862"/>
    <w:rsid w:val="002249C6"/>
    <w:rsid w:val="00224AA7"/>
    <w:rsid w:val="00224D36"/>
    <w:rsid w:val="00224E5D"/>
    <w:rsid w:val="002254E9"/>
    <w:rsid w:val="00225A33"/>
    <w:rsid w:val="00225C20"/>
    <w:rsid w:val="002261DC"/>
    <w:rsid w:val="002265BE"/>
    <w:rsid w:val="00226BA5"/>
    <w:rsid w:val="00226F14"/>
    <w:rsid w:val="0022706A"/>
    <w:rsid w:val="0022787F"/>
    <w:rsid w:val="00227A82"/>
    <w:rsid w:val="00227AAF"/>
    <w:rsid w:val="00227F20"/>
    <w:rsid w:val="00230365"/>
    <w:rsid w:val="002313A7"/>
    <w:rsid w:val="00231A01"/>
    <w:rsid w:val="00232A2D"/>
    <w:rsid w:val="00232BAE"/>
    <w:rsid w:val="0023343A"/>
    <w:rsid w:val="00233918"/>
    <w:rsid w:val="00233AF7"/>
    <w:rsid w:val="00233B69"/>
    <w:rsid w:val="002344A1"/>
    <w:rsid w:val="00234EAB"/>
    <w:rsid w:val="00235223"/>
    <w:rsid w:val="00235992"/>
    <w:rsid w:val="00236ACA"/>
    <w:rsid w:val="00236B8C"/>
    <w:rsid w:val="00237D71"/>
    <w:rsid w:val="00237F97"/>
    <w:rsid w:val="002402A1"/>
    <w:rsid w:val="0024078C"/>
    <w:rsid w:val="00240B48"/>
    <w:rsid w:val="00241205"/>
    <w:rsid w:val="0024147E"/>
    <w:rsid w:val="00241B7F"/>
    <w:rsid w:val="00241BF3"/>
    <w:rsid w:val="00241FF3"/>
    <w:rsid w:val="0024204B"/>
    <w:rsid w:val="0024215A"/>
    <w:rsid w:val="00242646"/>
    <w:rsid w:val="00242654"/>
    <w:rsid w:val="00242802"/>
    <w:rsid w:val="002430DD"/>
    <w:rsid w:val="002433DA"/>
    <w:rsid w:val="0024385D"/>
    <w:rsid w:val="00243B26"/>
    <w:rsid w:val="00244142"/>
    <w:rsid w:val="00244D23"/>
    <w:rsid w:val="00244FA5"/>
    <w:rsid w:val="00245A6C"/>
    <w:rsid w:val="00245F83"/>
    <w:rsid w:val="00246173"/>
    <w:rsid w:val="00246E47"/>
    <w:rsid w:val="0025146F"/>
    <w:rsid w:val="00251523"/>
    <w:rsid w:val="00251C78"/>
    <w:rsid w:val="00251D47"/>
    <w:rsid w:val="00252696"/>
    <w:rsid w:val="002526DD"/>
    <w:rsid w:val="00252D13"/>
    <w:rsid w:val="00253364"/>
    <w:rsid w:val="00253F4D"/>
    <w:rsid w:val="00253F87"/>
    <w:rsid w:val="0025461C"/>
    <w:rsid w:val="0025481F"/>
    <w:rsid w:val="00254934"/>
    <w:rsid w:val="00254E3E"/>
    <w:rsid w:val="002554A7"/>
    <w:rsid w:val="002557AD"/>
    <w:rsid w:val="00255B95"/>
    <w:rsid w:val="002565C6"/>
    <w:rsid w:val="0025663B"/>
    <w:rsid w:val="00256926"/>
    <w:rsid w:val="00257420"/>
    <w:rsid w:val="0025756A"/>
    <w:rsid w:val="002577CB"/>
    <w:rsid w:val="00257A31"/>
    <w:rsid w:val="00257DD2"/>
    <w:rsid w:val="002601D8"/>
    <w:rsid w:val="00260BB2"/>
    <w:rsid w:val="00260F46"/>
    <w:rsid w:val="002610D9"/>
    <w:rsid w:val="0026112D"/>
    <w:rsid w:val="00261624"/>
    <w:rsid w:val="00261A42"/>
    <w:rsid w:val="00261C7B"/>
    <w:rsid w:val="00261C8D"/>
    <w:rsid w:val="00261D82"/>
    <w:rsid w:val="002624BC"/>
    <w:rsid w:val="00262541"/>
    <w:rsid w:val="002628A9"/>
    <w:rsid w:val="00262E7E"/>
    <w:rsid w:val="00263623"/>
    <w:rsid w:val="00263B94"/>
    <w:rsid w:val="00263E9A"/>
    <w:rsid w:val="00263F5D"/>
    <w:rsid w:val="00265652"/>
    <w:rsid w:val="00267C52"/>
    <w:rsid w:val="00267CC4"/>
    <w:rsid w:val="00267E90"/>
    <w:rsid w:val="002704EF"/>
    <w:rsid w:val="00270E77"/>
    <w:rsid w:val="0027157D"/>
    <w:rsid w:val="00271C79"/>
    <w:rsid w:val="00271EC2"/>
    <w:rsid w:val="00272A88"/>
    <w:rsid w:val="002730DF"/>
    <w:rsid w:val="00273A66"/>
    <w:rsid w:val="00273C20"/>
    <w:rsid w:val="00274057"/>
    <w:rsid w:val="00274550"/>
    <w:rsid w:val="00274723"/>
    <w:rsid w:val="0027489C"/>
    <w:rsid w:val="0027574A"/>
    <w:rsid w:val="00275DCC"/>
    <w:rsid w:val="00276037"/>
    <w:rsid w:val="0027690B"/>
    <w:rsid w:val="00276C72"/>
    <w:rsid w:val="00276C7E"/>
    <w:rsid w:val="00276D40"/>
    <w:rsid w:val="00277568"/>
    <w:rsid w:val="0028059A"/>
    <w:rsid w:val="00280B81"/>
    <w:rsid w:val="0028150A"/>
    <w:rsid w:val="0028165A"/>
    <w:rsid w:val="002818DA"/>
    <w:rsid w:val="00281E4D"/>
    <w:rsid w:val="0028253C"/>
    <w:rsid w:val="002826C3"/>
    <w:rsid w:val="00282F94"/>
    <w:rsid w:val="00283131"/>
    <w:rsid w:val="002831B0"/>
    <w:rsid w:val="002838CC"/>
    <w:rsid w:val="002839BC"/>
    <w:rsid w:val="00283C5F"/>
    <w:rsid w:val="00284121"/>
    <w:rsid w:val="002841B3"/>
    <w:rsid w:val="00284406"/>
    <w:rsid w:val="00284413"/>
    <w:rsid w:val="002847C2"/>
    <w:rsid w:val="00284954"/>
    <w:rsid w:val="00284B56"/>
    <w:rsid w:val="00284EB7"/>
    <w:rsid w:val="002850B3"/>
    <w:rsid w:val="002858BB"/>
    <w:rsid w:val="00286525"/>
    <w:rsid w:val="00286DC0"/>
    <w:rsid w:val="00286E62"/>
    <w:rsid w:val="00287CAB"/>
    <w:rsid w:val="002902FB"/>
    <w:rsid w:val="00290859"/>
    <w:rsid w:val="00290F43"/>
    <w:rsid w:val="00290FA6"/>
    <w:rsid w:val="00291C46"/>
    <w:rsid w:val="0029203D"/>
    <w:rsid w:val="00292173"/>
    <w:rsid w:val="00292703"/>
    <w:rsid w:val="002927CE"/>
    <w:rsid w:val="00292F04"/>
    <w:rsid w:val="0029316F"/>
    <w:rsid w:val="00293613"/>
    <w:rsid w:val="00293847"/>
    <w:rsid w:val="002940BC"/>
    <w:rsid w:val="00294143"/>
    <w:rsid w:val="00294A53"/>
    <w:rsid w:val="00294A7C"/>
    <w:rsid w:val="00294CB7"/>
    <w:rsid w:val="00294EAA"/>
    <w:rsid w:val="00295C23"/>
    <w:rsid w:val="00296D07"/>
    <w:rsid w:val="00297D15"/>
    <w:rsid w:val="002A0273"/>
    <w:rsid w:val="002A046A"/>
    <w:rsid w:val="002A0D91"/>
    <w:rsid w:val="002A1886"/>
    <w:rsid w:val="002A1AEB"/>
    <w:rsid w:val="002A1BCA"/>
    <w:rsid w:val="002A1FB7"/>
    <w:rsid w:val="002A23D9"/>
    <w:rsid w:val="002A2C38"/>
    <w:rsid w:val="002A3026"/>
    <w:rsid w:val="002A3891"/>
    <w:rsid w:val="002A3CD4"/>
    <w:rsid w:val="002A4827"/>
    <w:rsid w:val="002A4A99"/>
    <w:rsid w:val="002A4AB4"/>
    <w:rsid w:val="002A4DE1"/>
    <w:rsid w:val="002A4FD5"/>
    <w:rsid w:val="002A5161"/>
    <w:rsid w:val="002A55F5"/>
    <w:rsid w:val="002A56B0"/>
    <w:rsid w:val="002A57F3"/>
    <w:rsid w:val="002A5858"/>
    <w:rsid w:val="002A5904"/>
    <w:rsid w:val="002A5AAC"/>
    <w:rsid w:val="002A5EB5"/>
    <w:rsid w:val="002A5EB8"/>
    <w:rsid w:val="002A600A"/>
    <w:rsid w:val="002A65E5"/>
    <w:rsid w:val="002A67A5"/>
    <w:rsid w:val="002A680C"/>
    <w:rsid w:val="002A6D5E"/>
    <w:rsid w:val="002A7840"/>
    <w:rsid w:val="002A7EE9"/>
    <w:rsid w:val="002B032B"/>
    <w:rsid w:val="002B04C8"/>
    <w:rsid w:val="002B090A"/>
    <w:rsid w:val="002B0CD1"/>
    <w:rsid w:val="002B0F13"/>
    <w:rsid w:val="002B13ED"/>
    <w:rsid w:val="002B14EB"/>
    <w:rsid w:val="002B1725"/>
    <w:rsid w:val="002B2701"/>
    <w:rsid w:val="002B27E8"/>
    <w:rsid w:val="002B2B33"/>
    <w:rsid w:val="002B2FC2"/>
    <w:rsid w:val="002B3614"/>
    <w:rsid w:val="002B38AA"/>
    <w:rsid w:val="002B3E48"/>
    <w:rsid w:val="002B4802"/>
    <w:rsid w:val="002B4CB6"/>
    <w:rsid w:val="002B50FD"/>
    <w:rsid w:val="002B5504"/>
    <w:rsid w:val="002B6171"/>
    <w:rsid w:val="002B67C2"/>
    <w:rsid w:val="002B6944"/>
    <w:rsid w:val="002B6DAB"/>
    <w:rsid w:val="002B763E"/>
    <w:rsid w:val="002B7E81"/>
    <w:rsid w:val="002C0409"/>
    <w:rsid w:val="002C0791"/>
    <w:rsid w:val="002C0D00"/>
    <w:rsid w:val="002C1223"/>
    <w:rsid w:val="002C1895"/>
    <w:rsid w:val="002C1D00"/>
    <w:rsid w:val="002C2CFE"/>
    <w:rsid w:val="002C32E3"/>
    <w:rsid w:val="002C3353"/>
    <w:rsid w:val="002C3AA4"/>
    <w:rsid w:val="002C3BEC"/>
    <w:rsid w:val="002C3CC2"/>
    <w:rsid w:val="002C3E9B"/>
    <w:rsid w:val="002C3F7D"/>
    <w:rsid w:val="002C40F9"/>
    <w:rsid w:val="002C422A"/>
    <w:rsid w:val="002C4647"/>
    <w:rsid w:val="002C47F3"/>
    <w:rsid w:val="002C4B5D"/>
    <w:rsid w:val="002C522B"/>
    <w:rsid w:val="002C55D1"/>
    <w:rsid w:val="002C58D0"/>
    <w:rsid w:val="002C64DD"/>
    <w:rsid w:val="002C7CC6"/>
    <w:rsid w:val="002D0C1B"/>
    <w:rsid w:val="002D1061"/>
    <w:rsid w:val="002D15B6"/>
    <w:rsid w:val="002D15F1"/>
    <w:rsid w:val="002D1AAD"/>
    <w:rsid w:val="002D1E5C"/>
    <w:rsid w:val="002D22F1"/>
    <w:rsid w:val="002D2626"/>
    <w:rsid w:val="002D2765"/>
    <w:rsid w:val="002D2A4E"/>
    <w:rsid w:val="002D320D"/>
    <w:rsid w:val="002D3265"/>
    <w:rsid w:val="002D34BF"/>
    <w:rsid w:val="002D3D71"/>
    <w:rsid w:val="002D3E8B"/>
    <w:rsid w:val="002D47FA"/>
    <w:rsid w:val="002D5179"/>
    <w:rsid w:val="002D528C"/>
    <w:rsid w:val="002D532B"/>
    <w:rsid w:val="002D5974"/>
    <w:rsid w:val="002D5A1A"/>
    <w:rsid w:val="002D5BC2"/>
    <w:rsid w:val="002D6D40"/>
    <w:rsid w:val="002D7005"/>
    <w:rsid w:val="002D704E"/>
    <w:rsid w:val="002D77C8"/>
    <w:rsid w:val="002E03CA"/>
    <w:rsid w:val="002E0EC7"/>
    <w:rsid w:val="002E1B6F"/>
    <w:rsid w:val="002E2033"/>
    <w:rsid w:val="002E20E1"/>
    <w:rsid w:val="002E224C"/>
    <w:rsid w:val="002E2C6B"/>
    <w:rsid w:val="002E3F25"/>
    <w:rsid w:val="002E4542"/>
    <w:rsid w:val="002E4A8F"/>
    <w:rsid w:val="002E570C"/>
    <w:rsid w:val="002E5725"/>
    <w:rsid w:val="002E59A0"/>
    <w:rsid w:val="002E5F35"/>
    <w:rsid w:val="002E62D6"/>
    <w:rsid w:val="002E62F8"/>
    <w:rsid w:val="002E690B"/>
    <w:rsid w:val="002E73D3"/>
    <w:rsid w:val="002E7C58"/>
    <w:rsid w:val="002F0202"/>
    <w:rsid w:val="002F02AD"/>
    <w:rsid w:val="002F0BFF"/>
    <w:rsid w:val="002F14F7"/>
    <w:rsid w:val="002F2058"/>
    <w:rsid w:val="002F214E"/>
    <w:rsid w:val="002F245F"/>
    <w:rsid w:val="002F2B34"/>
    <w:rsid w:val="002F2C0A"/>
    <w:rsid w:val="002F2F06"/>
    <w:rsid w:val="002F36D7"/>
    <w:rsid w:val="002F384A"/>
    <w:rsid w:val="002F3CE2"/>
    <w:rsid w:val="002F3E07"/>
    <w:rsid w:val="002F4B9B"/>
    <w:rsid w:val="002F4D97"/>
    <w:rsid w:val="002F62D4"/>
    <w:rsid w:val="002F66A5"/>
    <w:rsid w:val="002F6BE9"/>
    <w:rsid w:val="002F7053"/>
    <w:rsid w:val="002F7082"/>
    <w:rsid w:val="002F71BA"/>
    <w:rsid w:val="002F71E2"/>
    <w:rsid w:val="002F7455"/>
    <w:rsid w:val="002F79BB"/>
    <w:rsid w:val="002F7D55"/>
    <w:rsid w:val="00300054"/>
    <w:rsid w:val="0030080D"/>
    <w:rsid w:val="003008BC"/>
    <w:rsid w:val="003012E5"/>
    <w:rsid w:val="00301622"/>
    <w:rsid w:val="00301940"/>
    <w:rsid w:val="00301B3B"/>
    <w:rsid w:val="00302046"/>
    <w:rsid w:val="0030248D"/>
    <w:rsid w:val="0030250B"/>
    <w:rsid w:val="003025B5"/>
    <w:rsid w:val="00302B8B"/>
    <w:rsid w:val="00302CCE"/>
    <w:rsid w:val="0030319E"/>
    <w:rsid w:val="0030337B"/>
    <w:rsid w:val="003035F4"/>
    <w:rsid w:val="0030439C"/>
    <w:rsid w:val="00304A67"/>
    <w:rsid w:val="00305145"/>
    <w:rsid w:val="00305391"/>
    <w:rsid w:val="00305804"/>
    <w:rsid w:val="00305951"/>
    <w:rsid w:val="00305973"/>
    <w:rsid w:val="0030598E"/>
    <w:rsid w:val="003059A9"/>
    <w:rsid w:val="00305B22"/>
    <w:rsid w:val="00305D9D"/>
    <w:rsid w:val="003060F6"/>
    <w:rsid w:val="0030660F"/>
    <w:rsid w:val="00306C91"/>
    <w:rsid w:val="003070F5"/>
    <w:rsid w:val="003072FC"/>
    <w:rsid w:val="003102F7"/>
    <w:rsid w:val="00310A85"/>
    <w:rsid w:val="00310C6E"/>
    <w:rsid w:val="003113F8"/>
    <w:rsid w:val="00311DF7"/>
    <w:rsid w:val="00312049"/>
    <w:rsid w:val="003120DB"/>
    <w:rsid w:val="00312894"/>
    <w:rsid w:val="00312A88"/>
    <w:rsid w:val="00312F26"/>
    <w:rsid w:val="00313549"/>
    <w:rsid w:val="00313904"/>
    <w:rsid w:val="00313A8D"/>
    <w:rsid w:val="00314DA3"/>
    <w:rsid w:val="0031543B"/>
    <w:rsid w:val="00315559"/>
    <w:rsid w:val="00315804"/>
    <w:rsid w:val="00315900"/>
    <w:rsid w:val="00315A57"/>
    <w:rsid w:val="00315D29"/>
    <w:rsid w:val="0031636E"/>
    <w:rsid w:val="0031645B"/>
    <w:rsid w:val="00316B72"/>
    <w:rsid w:val="00316C08"/>
    <w:rsid w:val="003170E5"/>
    <w:rsid w:val="00317111"/>
    <w:rsid w:val="00320398"/>
    <w:rsid w:val="00320568"/>
    <w:rsid w:val="003205FB"/>
    <w:rsid w:val="00320C76"/>
    <w:rsid w:val="00320FA1"/>
    <w:rsid w:val="00321077"/>
    <w:rsid w:val="00321A41"/>
    <w:rsid w:val="00321E70"/>
    <w:rsid w:val="00321FC5"/>
    <w:rsid w:val="0032201E"/>
    <w:rsid w:val="0032227B"/>
    <w:rsid w:val="00322A91"/>
    <w:rsid w:val="00322E58"/>
    <w:rsid w:val="00322F7F"/>
    <w:rsid w:val="0032301E"/>
    <w:rsid w:val="003232AA"/>
    <w:rsid w:val="0032330C"/>
    <w:rsid w:val="00323515"/>
    <w:rsid w:val="00323A6A"/>
    <w:rsid w:val="00324028"/>
    <w:rsid w:val="003243F2"/>
    <w:rsid w:val="003246F5"/>
    <w:rsid w:val="00325812"/>
    <w:rsid w:val="00326490"/>
    <w:rsid w:val="00327058"/>
    <w:rsid w:val="003278FE"/>
    <w:rsid w:val="00327D21"/>
    <w:rsid w:val="00330DB4"/>
    <w:rsid w:val="00330F79"/>
    <w:rsid w:val="003314A9"/>
    <w:rsid w:val="00331580"/>
    <w:rsid w:val="0033166A"/>
    <w:rsid w:val="003320B8"/>
    <w:rsid w:val="00332C62"/>
    <w:rsid w:val="00332CA5"/>
    <w:rsid w:val="00332DDC"/>
    <w:rsid w:val="0033358D"/>
    <w:rsid w:val="00333FEE"/>
    <w:rsid w:val="0033440D"/>
    <w:rsid w:val="003344AF"/>
    <w:rsid w:val="00334DAB"/>
    <w:rsid w:val="003350AA"/>
    <w:rsid w:val="0033542B"/>
    <w:rsid w:val="003355EF"/>
    <w:rsid w:val="00335811"/>
    <w:rsid w:val="003358DC"/>
    <w:rsid w:val="003359C3"/>
    <w:rsid w:val="00336BC6"/>
    <w:rsid w:val="00337638"/>
    <w:rsid w:val="00337B5B"/>
    <w:rsid w:val="00337BEE"/>
    <w:rsid w:val="00340288"/>
    <w:rsid w:val="00340C94"/>
    <w:rsid w:val="00340DA7"/>
    <w:rsid w:val="00341072"/>
    <w:rsid w:val="00341340"/>
    <w:rsid w:val="0034231A"/>
    <w:rsid w:val="003423AE"/>
    <w:rsid w:val="0034265F"/>
    <w:rsid w:val="0034271D"/>
    <w:rsid w:val="003427A1"/>
    <w:rsid w:val="00342B23"/>
    <w:rsid w:val="00343735"/>
    <w:rsid w:val="0034475C"/>
    <w:rsid w:val="00344984"/>
    <w:rsid w:val="00345547"/>
    <w:rsid w:val="00345708"/>
    <w:rsid w:val="0034572B"/>
    <w:rsid w:val="00345754"/>
    <w:rsid w:val="003457E3"/>
    <w:rsid w:val="00345914"/>
    <w:rsid w:val="00345AE4"/>
    <w:rsid w:val="0034603B"/>
    <w:rsid w:val="00346707"/>
    <w:rsid w:val="00346DDC"/>
    <w:rsid w:val="00347169"/>
    <w:rsid w:val="003471B1"/>
    <w:rsid w:val="00347808"/>
    <w:rsid w:val="00347E7A"/>
    <w:rsid w:val="0035000F"/>
    <w:rsid w:val="003508BF"/>
    <w:rsid w:val="00350D5A"/>
    <w:rsid w:val="003520E3"/>
    <w:rsid w:val="00352405"/>
    <w:rsid w:val="0035290C"/>
    <w:rsid w:val="003536AA"/>
    <w:rsid w:val="003536E3"/>
    <w:rsid w:val="003537A2"/>
    <w:rsid w:val="00353B57"/>
    <w:rsid w:val="00353E87"/>
    <w:rsid w:val="003542DA"/>
    <w:rsid w:val="003545C7"/>
    <w:rsid w:val="00354C1E"/>
    <w:rsid w:val="00354E98"/>
    <w:rsid w:val="00354EE4"/>
    <w:rsid w:val="003555DD"/>
    <w:rsid w:val="00355955"/>
    <w:rsid w:val="00355B0F"/>
    <w:rsid w:val="00355CB2"/>
    <w:rsid w:val="00355CF0"/>
    <w:rsid w:val="003564C7"/>
    <w:rsid w:val="00356672"/>
    <w:rsid w:val="00356888"/>
    <w:rsid w:val="0035740F"/>
    <w:rsid w:val="00357798"/>
    <w:rsid w:val="003579C7"/>
    <w:rsid w:val="00357A0D"/>
    <w:rsid w:val="00360054"/>
    <w:rsid w:val="00360735"/>
    <w:rsid w:val="00360764"/>
    <w:rsid w:val="0036091E"/>
    <w:rsid w:val="0036095C"/>
    <w:rsid w:val="00360AF2"/>
    <w:rsid w:val="00360E99"/>
    <w:rsid w:val="003613CE"/>
    <w:rsid w:val="00361582"/>
    <w:rsid w:val="003615CD"/>
    <w:rsid w:val="00361DA7"/>
    <w:rsid w:val="00362040"/>
    <w:rsid w:val="003621AA"/>
    <w:rsid w:val="003622DF"/>
    <w:rsid w:val="00362EFE"/>
    <w:rsid w:val="003633F5"/>
    <w:rsid w:val="0036348B"/>
    <w:rsid w:val="003638E6"/>
    <w:rsid w:val="00364200"/>
    <w:rsid w:val="00364FE1"/>
    <w:rsid w:val="00365045"/>
    <w:rsid w:val="00365092"/>
    <w:rsid w:val="003654D1"/>
    <w:rsid w:val="003656A9"/>
    <w:rsid w:val="003661D9"/>
    <w:rsid w:val="0036651B"/>
    <w:rsid w:val="00366553"/>
    <w:rsid w:val="00366AC6"/>
    <w:rsid w:val="00367367"/>
    <w:rsid w:val="0036791F"/>
    <w:rsid w:val="003679C9"/>
    <w:rsid w:val="00370392"/>
    <w:rsid w:val="00370F3B"/>
    <w:rsid w:val="003715C0"/>
    <w:rsid w:val="003715FE"/>
    <w:rsid w:val="0037175B"/>
    <w:rsid w:val="00371A7F"/>
    <w:rsid w:val="003722EC"/>
    <w:rsid w:val="00372473"/>
    <w:rsid w:val="003727AA"/>
    <w:rsid w:val="00372AE7"/>
    <w:rsid w:val="00372F8F"/>
    <w:rsid w:val="003737C8"/>
    <w:rsid w:val="003739DA"/>
    <w:rsid w:val="00374188"/>
    <w:rsid w:val="003741D6"/>
    <w:rsid w:val="00374362"/>
    <w:rsid w:val="00374382"/>
    <w:rsid w:val="003744D5"/>
    <w:rsid w:val="003749F3"/>
    <w:rsid w:val="00374FE7"/>
    <w:rsid w:val="00375252"/>
    <w:rsid w:val="00375696"/>
    <w:rsid w:val="003757AA"/>
    <w:rsid w:val="00375A55"/>
    <w:rsid w:val="00375D41"/>
    <w:rsid w:val="00376139"/>
    <w:rsid w:val="003767E7"/>
    <w:rsid w:val="00376863"/>
    <w:rsid w:val="00376DFC"/>
    <w:rsid w:val="00376E18"/>
    <w:rsid w:val="00377022"/>
    <w:rsid w:val="0037751D"/>
    <w:rsid w:val="00377C02"/>
    <w:rsid w:val="00380847"/>
    <w:rsid w:val="00381206"/>
    <w:rsid w:val="0038137E"/>
    <w:rsid w:val="0038138F"/>
    <w:rsid w:val="0038183A"/>
    <w:rsid w:val="003818FE"/>
    <w:rsid w:val="003819D4"/>
    <w:rsid w:val="003829CA"/>
    <w:rsid w:val="00382C81"/>
    <w:rsid w:val="00382E5F"/>
    <w:rsid w:val="00383559"/>
    <w:rsid w:val="003838A0"/>
    <w:rsid w:val="00383B9A"/>
    <w:rsid w:val="0038406C"/>
    <w:rsid w:val="00384477"/>
    <w:rsid w:val="0038524A"/>
    <w:rsid w:val="003852CE"/>
    <w:rsid w:val="00385813"/>
    <w:rsid w:val="00385EBE"/>
    <w:rsid w:val="00386060"/>
    <w:rsid w:val="00387469"/>
    <w:rsid w:val="0038774C"/>
    <w:rsid w:val="00387B53"/>
    <w:rsid w:val="0039063B"/>
    <w:rsid w:val="0039087C"/>
    <w:rsid w:val="0039091F"/>
    <w:rsid w:val="00391195"/>
    <w:rsid w:val="003914EF"/>
    <w:rsid w:val="003917BB"/>
    <w:rsid w:val="00391969"/>
    <w:rsid w:val="0039265B"/>
    <w:rsid w:val="003928CC"/>
    <w:rsid w:val="00392AE2"/>
    <w:rsid w:val="00392DC0"/>
    <w:rsid w:val="00392F9E"/>
    <w:rsid w:val="00393F6C"/>
    <w:rsid w:val="0039441F"/>
    <w:rsid w:val="0039498F"/>
    <w:rsid w:val="003951E5"/>
    <w:rsid w:val="003951F8"/>
    <w:rsid w:val="003953CB"/>
    <w:rsid w:val="00395A27"/>
    <w:rsid w:val="00395EAF"/>
    <w:rsid w:val="0039653B"/>
    <w:rsid w:val="00396650"/>
    <w:rsid w:val="0039691E"/>
    <w:rsid w:val="0039694A"/>
    <w:rsid w:val="00397314"/>
    <w:rsid w:val="00397BA3"/>
    <w:rsid w:val="00397FCC"/>
    <w:rsid w:val="003A02CA"/>
    <w:rsid w:val="003A0DA4"/>
    <w:rsid w:val="003A10EB"/>
    <w:rsid w:val="003A1DE5"/>
    <w:rsid w:val="003A1E46"/>
    <w:rsid w:val="003A1FCD"/>
    <w:rsid w:val="003A2764"/>
    <w:rsid w:val="003A2795"/>
    <w:rsid w:val="003A2F0C"/>
    <w:rsid w:val="003A2F26"/>
    <w:rsid w:val="003A2FB5"/>
    <w:rsid w:val="003A342C"/>
    <w:rsid w:val="003A36A3"/>
    <w:rsid w:val="003A485A"/>
    <w:rsid w:val="003A5049"/>
    <w:rsid w:val="003A51D2"/>
    <w:rsid w:val="003A5221"/>
    <w:rsid w:val="003A5946"/>
    <w:rsid w:val="003A5AEB"/>
    <w:rsid w:val="003A5DB4"/>
    <w:rsid w:val="003A6072"/>
    <w:rsid w:val="003A60FC"/>
    <w:rsid w:val="003A6583"/>
    <w:rsid w:val="003A69C9"/>
    <w:rsid w:val="003A6D2E"/>
    <w:rsid w:val="003A72E4"/>
    <w:rsid w:val="003A7A61"/>
    <w:rsid w:val="003B01C2"/>
    <w:rsid w:val="003B0B86"/>
    <w:rsid w:val="003B0D16"/>
    <w:rsid w:val="003B1A34"/>
    <w:rsid w:val="003B2DF1"/>
    <w:rsid w:val="003B34A2"/>
    <w:rsid w:val="003B3A4D"/>
    <w:rsid w:val="003B3D08"/>
    <w:rsid w:val="003B4056"/>
    <w:rsid w:val="003B40A2"/>
    <w:rsid w:val="003B43E0"/>
    <w:rsid w:val="003B5622"/>
    <w:rsid w:val="003B6426"/>
    <w:rsid w:val="003B67C5"/>
    <w:rsid w:val="003B72C7"/>
    <w:rsid w:val="003B7400"/>
    <w:rsid w:val="003B792B"/>
    <w:rsid w:val="003B7DC3"/>
    <w:rsid w:val="003C04D4"/>
    <w:rsid w:val="003C1065"/>
    <w:rsid w:val="003C1211"/>
    <w:rsid w:val="003C1B9E"/>
    <w:rsid w:val="003C1C06"/>
    <w:rsid w:val="003C1E07"/>
    <w:rsid w:val="003C22E0"/>
    <w:rsid w:val="003C2409"/>
    <w:rsid w:val="003C25A2"/>
    <w:rsid w:val="003C276D"/>
    <w:rsid w:val="003C28B0"/>
    <w:rsid w:val="003C2B01"/>
    <w:rsid w:val="003C3879"/>
    <w:rsid w:val="003C3D6B"/>
    <w:rsid w:val="003C3F25"/>
    <w:rsid w:val="003C44BD"/>
    <w:rsid w:val="003C5716"/>
    <w:rsid w:val="003C5763"/>
    <w:rsid w:val="003C60E7"/>
    <w:rsid w:val="003C6969"/>
    <w:rsid w:val="003C6C1A"/>
    <w:rsid w:val="003C6F50"/>
    <w:rsid w:val="003C71D5"/>
    <w:rsid w:val="003C7EA1"/>
    <w:rsid w:val="003D02E3"/>
    <w:rsid w:val="003D0410"/>
    <w:rsid w:val="003D0D78"/>
    <w:rsid w:val="003D115C"/>
    <w:rsid w:val="003D124A"/>
    <w:rsid w:val="003D18DF"/>
    <w:rsid w:val="003D19A6"/>
    <w:rsid w:val="003D24E4"/>
    <w:rsid w:val="003D2E3A"/>
    <w:rsid w:val="003D355B"/>
    <w:rsid w:val="003D35F1"/>
    <w:rsid w:val="003D432D"/>
    <w:rsid w:val="003D4601"/>
    <w:rsid w:val="003D47CF"/>
    <w:rsid w:val="003D5AB7"/>
    <w:rsid w:val="003D7059"/>
    <w:rsid w:val="003D7371"/>
    <w:rsid w:val="003D74D8"/>
    <w:rsid w:val="003D765D"/>
    <w:rsid w:val="003E15E4"/>
    <w:rsid w:val="003E17CE"/>
    <w:rsid w:val="003E2510"/>
    <w:rsid w:val="003E2529"/>
    <w:rsid w:val="003E2BC4"/>
    <w:rsid w:val="003E2EF7"/>
    <w:rsid w:val="003E30B5"/>
    <w:rsid w:val="003E367E"/>
    <w:rsid w:val="003E3805"/>
    <w:rsid w:val="003E3FB8"/>
    <w:rsid w:val="003E42DA"/>
    <w:rsid w:val="003E4889"/>
    <w:rsid w:val="003E515C"/>
    <w:rsid w:val="003E61AE"/>
    <w:rsid w:val="003E625C"/>
    <w:rsid w:val="003E6734"/>
    <w:rsid w:val="003E6930"/>
    <w:rsid w:val="003E6F40"/>
    <w:rsid w:val="003E705D"/>
    <w:rsid w:val="003E72BD"/>
    <w:rsid w:val="003E768F"/>
    <w:rsid w:val="003E7CEF"/>
    <w:rsid w:val="003F03AA"/>
    <w:rsid w:val="003F05C6"/>
    <w:rsid w:val="003F1296"/>
    <w:rsid w:val="003F1B6F"/>
    <w:rsid w:val="003F1BCC"/>
    <w:rsid w:val="003F1D93"/>
    <w:rsid w:val="003F1E9C"/>
    <w:rsid w:val="003F266E"/>
    <w:rsid w:val="003F282A"/>
    <w:rsid w:val="003F31A3"/>
    <w:rsid w:val="003F31BD"/>
    <w:rsid w:val="003F32CA"/>
    <w:rsid w:val="003F3536"/>
    <w:rsid w:val="003F37BD"/>
    <w:rsid w:val="003F3A2A"/>
    <w:rsid w:val="003F3DA4"/>
    <w:rsid w:val="003F4A61"/>
    <w:rsid w:val="003F4F88"/>
    <w:rsid w:val="003F5D94"/>
    <w:rsid w:val="003F5E69"/>
    <w:rsid w:val="003F61B7"/>
    <w:rsid w:val="003F6CBE"/>
    <w:rsid w:val="003F7D98"/>
    <w:rsid w:val="003F7E5C"/>
    <w:rsid w:val="00400796"/>
    <w:rsid w:val="00401088"/>
    <w:rsid w:val="00401851"/>
    <w:rsid w:val="00401951"/>
    <w:rsid w:val="0040222A"/>
    <w:rsid w:val="004022EB"/>
    <w:rsid w:val="0040244C"/>
    <w:rsid w:val="0040267A"/>
    <w:rsid w:val="00402715"/>
    <w:rsid w:val="00402B55"/>
    <w:rsid w:val="00403E98"/>
    <w:rsid w:val="0040403C"/>
    <w:rsid w:val="00404D08"/>
    <w:rsid w:val="00405188"/>
    <w:rsid w:val="00405EDC"/>
    <w:rsid w:val="004061EF"/>
    <w:rsid w:val="004066BE"/>
    <w:rsid w:val="004067DC"/>
    <w:rsid w:val="004068DF"/>
    <w:rsid w:val="0040758F"/>
    <w:rsid w:val="004078D0"/>
    <w:rsid w:val="00407F95"/>
    <w:rsid w:val="0041019A"/>
    <w:rsid w:val="004105C4"/>
    <w:rsid w:val="00410BE7"/>
    <w:rsid w:val="00411A6C"/>
    <w:rsid w:val="0041204B"/>
    <w:rsid w:val="00413045"/>
    <w:rsid w:val="004134CE"/>
    <w:rsid w:val="004135FD"/>
    <w:rsid w:val="0041385B"/>
    <w:rsid w:val="0041386D"/>
    <w:rsid w:val="00413982"/>
    <w:rsid w:val="00413D00"/>
    <w:rsid w:val="00414428"/>
    <w:rsid w:val="00414BA6"/>
    <w:rsid w:val="00414D48"/>
    <w:rsid w:val="004150AB"/>
    <w:rsid w:val="00415737"/>
    <w:rsid w:val="00415B36"/>
    <w:rsid w:val="00415FD5"/>
    <w:rsid w:val="00416667"/>
    <w:rsid w:val="004166A7"/>
    <w:rsid w:val="00416878"/>
    <w:rsid w:val="00416A89"/>
    <w:rsid w:val="00416B9F"/>
    <w:rsid w:val="00417895"/>
    <w:rsid w:val="00420405"/>
    <w:rsid w:val="00420F7E"/>
    <w:rsid w:val="004210B3"/>
    <w:rsid w:val="004213C1"/>
    <w:rsid w:val="00421467"/>
    <w:rsid w:val="0042156C"/>
    <w:rsid w:val="00421C45"/>
    <w:rsid w:val="00421D52"/>
    <w:rsid w:val="00422743"/>
    <w:rsid w:val="00422B8E"/>
    <w:rsid w:val="00422F7E"/>
    <w:rsid w:val="004231B0"/>
    <w:rsid w:val="004233C6"/>
    <w:rsid w:val="004233DC"/>
    <w:rsid w:val="004233F1"/>
    <w:rsid w:val="0042457E"/>
    <w:rsid w:val="00424906"/>
    <w:rsid w:val="00424B86"/>
    <w:rsid w:val="00425DF8"/>
    <w:rsid w:val="00425F7A"/>
    <w:rsid w:val="00426013"/>
    <w:rsid w:val="004268C4"/>
    <w:rsid w:val="00426948"/>
    <w:rsid w:val="00427557"/>
    <w:rsid w:val="00427799"/>
    <w:rsid w:val="00427901"/>
    <w:rsid w:val="00430326"/>
    <w:rsid w:val="004307E8"/>
    <w:rsid w:val="0043110B"/>
    <w:rsid w:val="004313D2"/>
    <w:rsid w:val="00431B8A"/>
    <w:rsid w:val="00431CD9"/>
    <w:rsid w:val="004321E1"/>
    <w:rsid w:val="00432549"/>
    <w:rsid w:val="00432AB2"/>
    <w:rsid w:val="00432FC0"/>
    <w:rsid w:val="004335AB"/>
    <w:rsid w:val="004342DA"/>
    <w:rsid w:val="00434651"/>
    <w:rsid w:val="00434840"/>
    <w:rsid w:val="00434CFD"/>
    <w:rsid w:val="00435A3B"/>
    <w:rsid w:val="00435FF0"/>
    <w:rsid w:val="00436227"/>
    <w:rsid w:val="00436504"/>
    <w:rsid w:val="00436F80"/>
    <w:rsid w:val="00436FB8"/>
    <w:rsid w:val="00436FF6"/>
    <w:rsid w:val="00437159"/>
    <w:rsid w:val="00437732"/>
    <w:rsid w:val="0043796F"/>
    <w:rsid w:val="00437B24"/>
    <w:rsid w:val="00440359"/>
    <w:rsid w:val="004409C9"/>
    <w:rsid w:val="004412A5"/>
    <w:rsid w:val="00441469"/>
    <w:rsid w:val="00441546"/>
    <w:rsid w:val="0044179F"/>
    <w:rsid w:val="004419AB"/>
    <w:rsid w:val="00441E49"/>
    <w:rsid w:val="00441FE6"/>
    <w:rsid w:val="0044215F"/>
    <w:rsid w:val="0044269C"/>
    <w:rsid w:val="00442E00"/>
    <w:rsid w:val="00442FC4"/>
    <w:rsid w:val="0044301A"/>
    <w:rsid w:val="004433ED"/>
    <w:rsid w:val="00443EF8"/>
    <w:rsid w:val="004443F2"/>
    <w:rsid w:val="004447C1"/>
    <w:rsid w:val="00444E5F"/>
    <w:rsid w:val="00444E99"/>
    <w:rsid w:val="004452F2"/>
    <w:rsid w:val="00445886"/>
    <w:rsid w:val="00445DA8"/>
    <w:rsid w:val="00446976"/>
    <w:rsid w:val="004470AD"/>
    <w:rsid w:val="00447706"/>
    <w:rsid w:val="0044798E"/>
    <w:rsid w:val="00450690"/>
    <w:rsid w:val="00450AEC"/>
    <w:rsid w:val="00450DAA"/>
    <w:rsid w:val="00450F62"/>
    <w:rsid w:val="00451497"/>
    <w:rsid w:val="004517D8"/>
    <w:rsid w:val="00451DC9"/>
    <w:rsid w:val="00451DE3"/>
    <w:rsid w:val="00451E4C"/>
    <w:rsid w:val="0045208C"/>
    <w:rsid w:val="004523BD"/>
    <w:rsid w:val="004524F8"/>
    <w:rsid w:val="004525F2"/>
    <w:rsid w:val="004528AD"/>
    <w:rsid w:val="00452902"/>
    <w:rsid w:val="00452BC3"/>
    <w:rsid w:val="00452E51"/>
    <w:rsid w:val="004532A1"/>
    <w:rsid w:val="004533C4"/>
    <w:rsid w:val="004533D8"/>
    <w:rsid w:val="00453998"/>
    <w:rsid w:val="00453AA1"/>
    <w:rsid w:val="00453B00"/>
    <w:rsid w:val="00454630"/>
    <w:rsid w:val="00454CB1"/>
    <w:rsid w:val="00454EBA"/>
    <w:rsid w:val="00455895"/>
    <w:rsid w:val="004562E0"/>
    <w:rsid w:val="00456ECE"/>
    <w:rsid w:val="00457600"/>
    <w:rsid w:val="00457F98"/>
    <w:rsid w:val="00457FBC"/>
    <w:rsid w:val="0046010D"/>
    <w:rsid w:val="00460223"/>
    <w:rsid w:val="00460A89"/>
    <w:rsid w:val="00460F6F"/>
    <w:rsid w:val="004616FD"/>
    <w:rsid w:val="00461E61"/>
    <w:rsid w:val="00462275"/>
    <w:rsid w:val="004626AD"/>
    <w:rsid w:val="004628A3"/>
    <w:rsid w:val="00462AC1"/>
    <w:rsid w:val="00462DB3"/>
    <w:rsid w:val="00462DE0"/>
    <w:rsid w:val="00463308"/>
    <w:rsid w:val="00463426"/>
    <w:rsid w:val="00463D30"/>
    <w:rsid w:val="004651FC"/>
    <w:rsid w:val="004661AA"/>
    <w:rsid w:val="00466306"/>
    <w:rsid w:val="004663AA"/>
    <w:rsid w:val="00466F4A"/>
    <w:rsid w:val="00467706"/>
    <w:rsid w:val="004678F2"/>
    <w:rsid w:val="00467BB5"/>
    <w:rsid w:val="00467CC2"/>
    <w:rsid w:val="00467E18"/>
    <w:rsid w:val="00470444"/>
    <w:rsid w:val="00470A04"/>
    <w:rsid w:val="00470E68"/>
    <w:rsid w:val="00471144"/>
    <w:rsid w:val="004712FF"/>
    <w:rsid w:val="0047168C"/>
    <w:rsid w:val="00471D70"/>
    <w:rsid w:val="0047237A"/>
    <w:rsid w:val="004725D9"/>
    <w:rsid w:val="00472DB2"/>
    <w:rsid w:val="00473486"/>
    <w:rsid w:val="00473828"/>
    <w:rsid w:val="00473B70"/>
    <w:rsid w:val="00473B89"/>
    <w:rsid w:val="00473B9B"/>
    <w:rsid w:val="00474195"/>
    <w:rsid w:val="00474AD2"/>
    <w:rsid w:val="00474E4C"/>
    <w:rsid w:val="0047572F"/>
    <w:rsid w:val="0047608B"/>
    <w:rsid w:val="00476C68"/>
    <w:rsid w:val="00477590"/>
    <w:rsid w:val="00477B54"/>
    <w:rsid w:val="004802F7"/>
    <w:rsid w:val="0048119F"/>
    <w:rsid w:val="00481888"/>
    <w:rsid w:val="00481CC7"/>
    <w:rsid w:val="00481E7E"/>
    <w:rsid w:val="00482268"/>
    <w:rsid w:val="0048257A"/>
    <w:rsid w:val="0048259F"/>
    <w:rsid w:val="004825BE"/>
    <w:rsid w:val="0048266C"/>
    <w:rsid w:val="0048370B"/>
    <w:rsid w:val="004839DD"/>
    <w:rsid w:val="00483F31"/>
    <w:rsid w:val="004845AE"/>
    <w:rsid w:val="00485882"/>
    <w:rsid w:val="004859C5"/>
    <w:rsid w:val="00485BB5"/>
    <w:rsid w:val="004864EF"/>
    <w:rsid w:val="0048756F"/>
    <w:rsid w:val="00487ADC"/>
    <w:rsid w:val="00487B2F"/>
    <w:rsid w:val="00490222"/>
    <w:rsid w:val="00490872"/>
    <w:rsid w:val="0049095F"/>
    <w:rsid w:val="00490BE3"/>
    <w:rsid w:val="00490DC0"/>
    <w:rsid w:val="0049131B"/>
    <w:rsid w:val="00491F6F"/>
    <w:rsid w:val="00492250"/>
    <w:rsid w:val="00492EFB"/>
    <w:rsid w:val="00493AC6"/>
    <w:rsid w:val="00494297"/>
    <w:rsid w:val="004944BC"/>
    <w:rsid w:val="00494816"/>
    <w:rsid w:val="00495839"/>
    <w:rsid w:val="00495CE0"/>
    <w:rsid w:val="00495FF7"/>
    <w:rsid w:val="004961AA"/>
    <w:rsid w:val="00496CCF"/>
    <w:rsid w:val="004972F4"/>
    <w:rsid w:val="00497411"/>
    <w:rsid w:val="004974AA"/>
    <w:rsid w:val="00497732"/>
    <w:rsid w:val="00497F10"/>
    <w:rsid w:val="004A027E"/>
    <w:rsid w:val="004A0B7C"/>
    <w:rsid w:val="004A1152"/>
    <w:rsid w:val="004A11F3"/>
    <w:rsid w:val="004A1854"/>
    <w:rsid w:val="004A1C71"/>
    <w:rsid w:val="004A2747"/>
    <w:rsid w:val="004A2AE8"/>
    <w:rsid w:val="004A2DCC"/>
    <w:rsid w:val="004A2FC0"/>
    <w:rsid w:val="004A312D"/>
    <w:rsid w:val="004A35A9"/>
    <w:rsid w:val="004A3B6A"/>
    <w:rsid w:val="004A421C"/>
    <w:rsid w:val="004A43EF"/>
    <w:rsid w:val="004A4977"/>
    <w:rsid w:val="004A498C"/>
    <w:rsid w:val="004A4DAA"/>
    <w:rsid w:val="004A5A40"/>
    <w:rsid w:val="004A63C1"/>
    <w:rsid w:val="004A68D3"/>
    <w:rsid w:val="004A6D97"/>
    <w:rsid w:val="004A6DBE"/>
    <w:rsid w:val="004A7192"/>
    <w:rsid w:val="004B036D"/>
    <w:rsid w:val="004B0654"/>
    <w:rsid w:val="004B097C"/>
    <w:rsid w:val="004B0D3B"/>
    <w:rsid w:val="004B1798"/>
    <w:rsid w:val="004B1AC2"/>
    <w:rsid w:val="004B2378"/>
    <w:rsid w:val="004B28C6"/>
    <w:rsid w:val="004B2B7A"/>
    <w:rsid w:val="004B3435"/>
    <w:rsid w:val="004B35AD"/>
    <w:rsid w:val="004B4333"/>
    <w:rsid w:val="004B4761"/>
    <w:rsid w:val="004B4DB6"/>
    <w:rsid w:val="004B51DD"/>
    <w:rsid w:val="004B5362"/>
    <w:rsid w:val="004B5954"/>
    <w:rsid w:val="004B6645"/>
    <w:rsid w:val="004B6AFD"/>
    <w:rsid w:val="004B70C5"/>
    <w:rsid w:val="004B73BB"/>
    <w:rsid w:val="004B79F0"/>
    <w:rsid w:val="004B7A6B"/>
    <w:rsid w:val="004B7B30"/>
    <w:rsid w:val="004C00D2"/>
    <w:rsid w:val="004C045B"/>
    <w:rsid w:val="004C0592"/>
    <w:rsid w:val="004C0630"/>
    <w:rsid w:val="004C1928"/>
    <w:rsid w:val="004C19EC"/>
    <w:rsid w:val="004C2726"/>
    <w:rsid w:val="004C295A"/>
    <w:rsid w:val="004C2BC8"/>
    <w:rsid w:val="004C30E5"/>
    <w:rsid w:val="004C37AB"/>
    <w:rsid w:val="004C385F"/>
    <w:rsid w:val="004C3D71"/>
    <w:rsid w:val="004C3E67"/>
    <w:rsid w:val="004C3F99"/>
    <w:rsid w:val="004C4539"/>
    <w:rsid w:val="004C45B6"/>
    <w:rsid w:val="004C566E"/>
    <w:rsid w:val="004C57F3"/>
    <w:rsid w:val="004C5CB3"/>
    <w:rsid w:val="004C6109"/>
    <w:rsid w:val="004C64CE"/>
    <w:rsid w:val="004C672D"/>
    <w:rsid w:val="004C76B7"/>
    <w:rsid w:val="004C7A6C"/>
    <w:rsid w:val="004D0139"/>
    <w:rsid w:val="004D01E3"/>
    <w:rsid w:val="004D0B46"/>
    <w:rsid w:val="004D1089"/>
    <w:rsid w:val="004D17F1"/>
    <w:rsid w:val="004D1D1D"/>
    <w:rsid w:val="004D2745"/>
    <w:rsid w:val="004D2C43"/>
    <w:rsid w:val="004D32E8"/>
    <w:rsid w:val="004D3C7C"/>
    <w:rsid w:val="004D3D37"/>
    <w:rsid w:val="004D4FF9"/>
    <w:rsid w:val="004D5199"/>
    <w:rsid w:val="004D52C3"/>
    <w:rsid w:val="004D53E2"/>
    <w:rsid w:val="004D564A"/>
    <w:rsid w:val="004D5B05"/>
    <w:rsid w:val="004D5FDC"/>
    <w:rsid w:val="004D6D8B"/>
    <w:rsid w:val="004D6DAF"/>
    <w:rsid w:val="004D738D"/>
    <w:rsid w:val="004D78D1"/>
    <w:rsid w:val="004D7E50"/>
    <w:rsid w:val="004D7F88"/>
    <w:rsid w:val="004E0348"/>
    <w:rsid w:val="004E0C2F"/>
    <w:rsid w:val="004E13F3"/>
    <w:rsid w:val="004E1A78"/>
    <w:rsid w:val="004E1F36"/>
    <w:rsid w:val="004E2222"/>
    <w:rsid w:val="004E2453"/>
    <w:rsid w:val="004E26F9"/>
    <w:rsid w:val="004E35B3"/>
    <w:rsid w:val="004E3D81"/>
    <w:rsid w:val="004E41A5"/>
    <w:rsid w:val="004E44AD"/>
    <w:rsid w:val="004E470A"/>
    <w:rsid w:val="004E47F4"/>
    <w:rsid w:val="004E49AA"/>
    <w:rsid w:val="004E4B79"/>
    <w:rsid w:val="004E59C2"/>
    <w:rsid w:val="004E5A07"/>
    <w:rsid w:val="004E5BA6"/>
    <w:rsid w:val="004E5FD7"/>
    <w:rsid w:val="004E6230"/>
    <w:rsid w:val="004E6270"/>
    <w:rsid w:val="004E6666"/>
    <w:rsid w:val="004E6C81"/>
    <w:rsid w:val="004E7135"/>
    <w:rsid w:val="004E7508"/>
    <w:rsid w:val="004E7721"/>
    <w:rsid w:val="004E7CC2"/>
    <w:rsid w:val="004F0277"/>
    <w:rsid w:val="004F0C5D"/>
    <w:rsid w:val="004F0EAB"/>
    <w:rsid w:val="004F20BC"/>
    <w:rsid w:val="004F2546"/>
    <w:rsid w:val="004F26DE"/>
    <w:rsid w:val="004F3BDA"/>
    <w:rsid w:val="004F40BE"/>
    <w:rsid w:val="004F46D1"/>
    <w:rsid w:val="004F4DF1"/>
    <w:rsid w:val="004F5D9E"/>
    <w:rsid w:val="004F5E45"/>
    <w:rsid w:val="004F63DC"/>
    <w:rsid w:val="004F64D7"/>
    <w:rsid w:val="004F694A"/>
    <w:rsid w:val="004F6953"/>
    <w:rsid w:val="004F6A81"/>
    <w:rsid w:val="004F77B2"/>
    <w:rsid w:val="004F7DE1"/>
    <w:rsid w:val="00500069"/>
    <w:rsid w:val="005000F7"/>
    <w:rsid w:val="005003D4"/>
    <w:rsid w:val="005003D9"/>
    <w:rsid w:val="005005FE"/>
    <w:rsid w:val="005016FE"/>
    <w:rsid w:val="00502104"/>
    <w:rsid w:val="00502A35"/>
    <w:rsid w:val="00504231"/>
    <w:rsid w:val="00504548"/>
    <w:rsid w:val="00504FFA"/>
    <w:rsid w:val="00505528"/>
    <w:rsid w:val="00505655"/>
    <w:rsid w:val="00505917"/>
    <w:rsid w:val="0050710D"/>
    <w:rsid w:val="005078AF"/>
    <w:rsid w:val="00507B0D"/>
    <w:rsid w:val="0051019B"/>
    <w:rsid w:val="00510A43"/>
    <w:rsid w:val="00511443"/>
    <w:rsid w:val="00511891"/>
    <w:rsid w:val="00512108"/>
    <w:rsid w:val="0051249E"/>
    <w:rsid w:val="0051250A"/>
    <w:rsid w:val="00513131"/>
    <w:rsid w:val="00513169"/>
    <w:rsid w:val="005133B0"/>
    <w:rsid w:val="00513895"/>
    <w:rsid w:val="005140D0"/>
    <w:rsid w:val="0051436F"/>
    <w:rsid w:val="00514A0C"/>
    <w:rsid w:val="00514BCC"/>
    <w:rsid w:val="00514CF4"/>
    <w:rsid w:val="00515309"/>
    <w:rsid w:val="00515B83"/>
    <w:rsid w:val="00515B92"/>
    <w:rsid w:val="00516003"/>
    <w:rsid w:val="005163B5"/>
    <w:rsid w:val="00516497"/>
    <w:rsid w:val="00516946"/>
    <w:rsid w:val="00516BEB"/>
    <w:rsid w:val="0051773C"/>
    <w:rsid w:val="00517803"/>
    <w:rsid w:val="00517A12"/>
    <w:rsid w:val="0052018C"/>
    <w:rsid w:val="005227BF"/>
    <w:rsid w:val="00522AD4"/>
    <w:rsid w:val="00522D7F"/>
    <w:rsid w:val="00522FF2"/>
    <w:rsid w:val="00523E3C"/>
    <w:rsid w:val="00524303"/>
    <w:rsid w:val="00524BF4"/>
    <w:rsid w:val="00524D08"/>
    <w:rsid w:val="00524E23"/>
    <w:rsid w:val="00525351"/>
    <w:rsid w:val="00525A91"/>
    <w:rsid w:val="0052635B"/>
    <w:rsid w:val="00526CA7"/>
    <w:rsid w:val="00527120"/>
    <w:rsid w:val="005271E5"/>
    <w:rsid w:val="00527354"/>
    <w:rsid w:val="005273DF"/>
    <w:rsid w:val="005275E0"/>
    <w:rsid w:val="00527D15"/>
    <w:rsid w:val="00530561"/>
    <w:rsid w:val="005305F3"/>
    <w:rsid w:val="005307EF"/>
    <w:rsid w:val="005318FC"/>
    <w:rsid w:val="00532EBA"/>
    <w:rsid w:val="005346A5"/>
    <w:rsid w:val="00535053"/>
    <w:rsid w:val="005350EE"/>
    <w:rsid w:val="005361E8"/>
    <w:rsid w:val="00536D5D"/>
    <w:rsid w:val="00537028"/>
    <w:rsid w:val="00537097"/>
    <w:rsid w:val="00537E87"/>
    <w:rsid w:val="00537E8C"/>
    <w:rsid w:val="0054069B"/>
    <w:rsid w:val="00541000"/>
    <w:rsid w:val="0054156D"/>
    <w:rsid w:val="00542BD5"/>
    <w:rsid w:val="00542DB6"/>
    <w:rsid w:val="0054342F"/>
    <w:rsid w:val="00543712"/>
    <w:rsid w:val="00543B1A"/>
    <w:rsid w:val="005442F9"/>
    <w:rsid w:val="005446BA"/>
    <w:rsid w:val="00544769"/>
    <w:rsid w:val="00544D25"/>
    <w:rsid w:val="00544EAA"/>
    <w:rsid w:val="005455F2"/>
    <w:rsid w:val="005459DE"/>
    <w:rsid w:val="00545A11"/>
    <w:rsid w:val="005465C3"/>
    <w:rsid w:val="0054704F"/>
    <w:rsid w:val="005473E0"/>
    <w:rsid w:val="005477A9"/>
    <w:rsid w:val="00547B93"/>
    <w:rsid w:val="00547BC3"/>
    <w:rsid w:val="00547D5D"/>
    <w:rsid w:val="005515D9"/>
    <w:rsid w:val="0055171C"/>
    <w:rsid w:val="00551C13"/>
    <w:rsid w:val="00552A07"/>
    <w:rsid w:val="00552A8D"/>
    <w:rsid w:val="0055331B"/>
    <w:rsid w:val="005534A0"/>
    <w:rsid w:val="00554213"/>
    <w:rsid w:val="0055486E"/>
    <w:rsid w:val="00554904"/>
    <w:rsid w:val="00554E5D"/>
    <w:rsid w:val="00555390"/>
    <w:rsid w:val="0055595C"/>
    <w:rsid w:val="00555AB1"/>
    <w:rsid w:val="00555B67"/>
    <w:rsid w:val="005561D4"/>
    <w:rsid w:val="0055666D"/>
    <w:rsid w:val="00557DB2"/>
    <w:rsid w:val="005604C2"/>
    <w:rsid w:val="00560EF6"/>
    <w:rsid w:val="00561108"/>
    <w:rsid w:val="00561FC0"/>
    <w:rsid w:val="005625A4"/>
    <w:rsid w:val="00562DC9"/>
    <w:rsid w:val="00563197"/>
    <w:rsid w:val="005637FD"/>
    <w:rsid w:val="00563AE3"/>
    <w:rsid w:val="00564021"/>
    <w:rsid w:val="0056468E"/>
    <w:rsid w:val="00564A42"/>
    <w:rsid w:val="00564A6F"/>
    <w:rsid w:val="0056525E"/>
    <w:rsid w:val="00565CCB"/>
    <w:rsid w:val="00566064"/>
    <w:rsid w:val="005668AB"/>
    <w:rsid w:val="0056690F"/>
    <w:rsid w:val="00566C4C"/>
    <w:rsid w:val="005672EB"/>
    <w:rsid w:val="00567388"/>
    <w:rsid w:val="0056757A"/>
    <w:rsid w:val="00567DD7"/>
    <w:rsid w:val="00567E9B"/>
    <w:rsid w:val="005712F4"/>
    <w:rsid w:val="00571484"/>
    <w:rsid w:val="005719E9"/>
    <w:rsid w:val="00571E97"/>
    <w:rsid w:val="00572035"/>
    <w:rsid w:val="0057235F"/>
    <w:rsid w:val="005724C8"/>
    <w:rsid w:val="00572EA5"/>
    <w:rsid w:val="00573B41"/>
    <w:rsid w:val="00574056"/>
    <w:rsid w:val="005746C2"/>
    <w:rsid w:val="00574871"/>
    <w:rsid w:val="00574A60"/>
    <w:rsid w:val="00574D9B"/>
    <w:rsid w:val="00577372"/>
    <w:rsid w:val="00577675"/>
    <w:rsid w:val="005779F6"/>
    <w:rsid w:val="00577BD2"/>
    <w:rsid w:val="00577DE9"/>
    <w:rsid w:val="00580C22"/>
    <w:rsid w:val="005811AA"/>
    <w:rsid w:val="005812F6"/>
    <w:rsid w:val="00581A72"/>
    <w:rsid w:val="00581FBD"/>
    <w:rsid w:val="005823F5"/>
    <w:rsid w:val="0058272E"/>
    <w:rsid w:val="005828BB"/>
    <w:rsid w:val="00582977"/>
    <w:rsid w:val="00582A2A"/>
    <w:rsid w:val="00582BCB"/>
    <w:rsid w:val="00582CA3"/>
    <w:rsid w:val="00583160"/>
    <w:rsid w:val="005831C0"/>
    <w:rsid w:val="0058414D"/>
    <w:rsid w:val="005845AE"/>
    <w:rsid w:val="005845F8"/>
    <w:rsid w:val="00584AF5"/>
    <w:rsid w:val="00585485"/>
    <w:rsid w:val="0058672F"/>
    <w:rsid w:val="005870E9"/>
    <w:rsid w:val="0059022D"/>
    <w:rsid w:val="005917C6"/>
    <w:rsid w:val="00592556"/>
    <w:rsid w:val="005927CC"/>
    <w:rsid w:val="00592D88"/>
    <w:rsid w:val="00592D9E"/>
    <w:rsid w:val="00592DB8"/>
    <w:rsid w:val="005938B9"/>
    <w:rsid w:val="005938DC"/>
    <w:rsid w:val="00594B6A"/>
    <w:rsid w:val="00595144"/>
    <w:rsid w:val="005954B5"/>
    <w:rsid w:val="00596492"/>
    <w:rsid w:val="0059658A"/>
    <w:rsid w:val="00597146"/>
    <w:rsid w:val="0059721C"/>
    <w:rsid w:val="005974AC"/>
    <w:rsid w:val="0059758C"/>
    <w:rsid w:val="005979D0"/>
    <w:rsid w:val="005A06C8"/>
    <w:rsid w:val="005A0B2E"/>
    <w:rsid w:val="005A105B"/>
    <w:rsid w:val="005A11F7"/>
    <w:rsid w:val="005A1ECC"/>
    <w:rsid w:val="005A22E4"/>
    <w:rsid w:val="005A29B8"/>
    <w:rsid w:val="005A2BB9"/>
    <w:rsid w:val="005A32DC"/>
    <w:rsid w:val="005A3FB0"/>
    <w:rsid w:val="005A4225"/>
    <w:rsid w:val="005A4A4E"/>
    <w:rsid w:val="005A4BD5"/>
    <w:rsid w:val="005A4CF9"/>
    <w:rsid w:val="005A5228"/>
    <w:rsid w:val="005A53CA"/>
    <w:rsid w:val="005A5451"/>
    <w:rsid w:val="005A58A7"/>
    <w:rsid w:val="005A66F4"/>
    <w:rsid w:val="005A6B8B"/>
    <w:rsid w:val="005A75A7"/>
    <w:rsid w:val="005A7813"/>
    <w:rsid w:val="005A7955"/>
    <w:rsid w:val="005A7FCA"/>
    <w:rsid w:val="005B0140"/>
    <w:rsid w:val="005B02ED"/>
    <w:rsid w:val="005B1767"/>
    <w:rsid w:val="005B1BEB"/>
    <w:rsid w:val="005B2552"/>
    <w:rsid w:val="005B2FDD"/>
    <w:rsid w:val="005B3906"/>
    <w:rsid w:val="005B3C22"/>
    <w:rsid w:val="005B416A"/>
    <w:rsid w:val="005B48DF"/>
    <w:rsid w:val="005B4FF1"/>
    <w:rsid w:val="005B511E"/>
    <w:rsid w:val="005B538A"/>
    <w:rsid w:val="005B54BC"/>
    <w:rsid w:val="005B5702"/>
    <w:rsid w:val="005B638B"/>
    <w:rsid w:val="005B640D"/>
    <w:rsid w:val="005B7C24"/>
    <w:rsid w:val="005C0300"/>
    <w:rsid w:val="005C036C"/>
    <w:rsid w:val="005C059F"/>
    <w:rsid w:val="005C0744"/>
    <w:rsid w:val="005C0A70"/>
    <w:rsid w:val="005C0B9C"/>
    <w:rsid w:val="005C16D7"/>
    <w:rsid w:val="005C1CB9"/>
    <w:rsid w:val="005C2540"/>
    <w:rsid w:val="005C2BCC"/>
    <w:rsid w:val="005C2DCA"/>
    <w:rsid w:val="005C2EEA"/>
    <w:rsid w:val="005C3600"/>
    <w:rsid w:val="005C3F61"/>
    <w:rsid w:val="005C4B67"/>
    <w:rsid w:val="005C554B"/>
    <w:rsid w:val="005C55B0"/>
    <w:rsid w:val="005C5883"/>
    <w:rsid w:val="005C58CF"/>
    <w:rsid w:val="005C64E1"/>
    <w:rsid w:val="005C6D04"/>
    <w:rsid w:val="005C7299"/>
    <w:rsid w:val="005C77D3"/>
    <w:rsid w:val="005D014B"/>
    <w:rsid w:val="005D039A"/>
    <w:rsid w:val="005D03CC"/>
    <w:rsid w:val="005D0A35"/>
    <w:rsid w:val="005D0BAD"/>
    <w:rsid w:val="005D0BB7"/>
    <w:rsid w:val="005D0CC2"/>
    <w:rsid w:val="005D0D42"/>
    <w:rsid w:val="005D0D9A"/>
    <w:rsid w:val="005D11CC"/>
    <w:rsid w:val="005D19A4"/>
    <w:rsid w:val="005D1C6A"/>
    <w:rsid w:val="005D1F35"/>
    <w:rsid w:val="005D319F"/>
    <w:rsid w:val="005D3296"/>
    <w:rsid w:val="005D3529"/>
    <w:rsid w:val="005D4C96"/>
    <w:rsid w:val="005D51CB"/>
    <w:rsid w:val="005D52F0"/>
    <w:rsid w:val="005D55AF"/>
    <w:rsid w:val="005D5670"/>
    <w:rsid w:val="005D5F40"/>
    <w:rsid w:val="005D5FC5"/>
    <w:rsid w:val="005D60BF"/>
    <w:rsid w:val="005D64BE"/>
    <w:rsid w:val="005D6BD4"/>
    <w:rsid w:val="005D6D71"/>
    <w:rsid w:val="005D70E5"/>
    <w:rsid w:val="005D7BBD"/>
    <w:rsid w:val="005D7DA5"/>
    <w:rsid w:val="005D7F46"/>
    <w:rsid w:val="005D7F97"/>
    <w:rsid w:val="005E125C"/>
    <w:rsid w:val="005E12DB"/>
    <w:rsid w:val="005E1B56"/>
    <w:rsid w:val="005E1C68"/>
    <w:rsid w:val="005E1CAC"/>
    <w:rsid w:val="005E1D8A"/>
    <w:rsid w:val="005E24D5"/>
    <w:rsid w:val="005E2ECC"/>
    <w:rsid w:val="005E305E"/>
    <w:rsid w:val="005E3203"/>
    <w:rsid w:val="005E34BF"/>
    <w:rsid w:val="005E3CB8"/>
    <w:rsid w:val="005E3D70"/>
    <w:rsid w:val="005E4442"/>
    <w:rsid w:val="005E4838"/>
    <w:rsid w:val="005E7214"/>
    <w:rsid w:val="005E75C9"/>
    <w:rsid w:val="005F036A"/>
    <w:rsid w:val="005F0816"/>
    <w:rsid w:val="005F0CC2"/>
    <w:rsid w:val="005F1083"/>
    <w:rsid w:val="005F1A38"/>
    <w:rsid w:val="005F1AC2"/>
    <w:rsid w:val="005F1E84"/>
    <w:rsid w:val="005F1E9A"/>
    <w:rsid w:val="005F288B"/>
    <w:rsid w:val="005F28EB"/>
    <w:rsid w:val="005F3830"/>
    <w:rsid w:val="005F423B"/>
    <w:rsid w:val="005F460C"/>
    <w:rsid w:val="005F4749"/>
    <w:rsid w:val="005F4CA6"/>
    <w:rsid w:val="005F54C8"/>
    <w:rsid w:val="005F55DD"/>
    <w:rsid w:val="005F5A0E"/>
    <w:rsid w:val="005F5B30"/>
    <w:rsid w:val="005F5F56"/>
    <w:rsid w:val="005F62DE"/>
    <w:rsid w:val="005F63AA"/>
    <w:rsid w:val="005F676A"/>
    <w:rsid w:val="005F7228"/>
    <w:rsid w:val="005F7752"/>
    <w:rsid w:val="005F794E"/>
    <w:rsid w:val="005F7F8A"/>
    <w:rsid w:val="006004A8"/>
    <w:rsid w:val="00600A73"/>
    <w:rsid w:val="00600D8E"/>
    <w:rsid w:val="006010C2"/>
    <w:rsid w:val="006010E0"/>
    <w:rsid w:val="006019D8"/>
    <w:rsid w:val="006020DC"/>
    <w:rsid w:val="00602335"/>
    <w:rsid w:val="006027C7"/>
    <w:rsid w:val="00602971"/>
    <w:rsid w:val="00602A76"/>
    <w:rsid w:val="00602F16"/>
    <w:rsid w:val="00602F21"/>
    <w:rsid w:val="0060313F"/>
    <w:rsid w:val="0060321F"/>
    <w:rsid w:val="006039D4"/>
    <w:rsid w:val="00604AC5"/>
    <w:rsid w:val="00604C68"/>
    <w:rsid w:val="006053D6"/>
    <w:rsid w:val="00605E63"/>
    <w:rsid w:val="006067C3"/>
    <w:rsid w:val="00606850"/>
    <w:rsid w:val="00606E7F"/>
    <w:rsid w:val="00607E9A"/>
    <w:rsid w:val="0061009B"/>
    <w:rsid w:val="00610360"/>
    <w:rsid w:val="00610871"/>
    <w:rsid w:val="006111A2"/>
    <w:rsid w:val="00611E66"/>
    <w:rsid w:val="00612BBE"/>
    <w:rsid w:val="00612E8C"/>
    <w:rsid w:val="006137AD"/>
    <w:rsid w:val="00613C0D"/>
    <w:rsid w:val="00613C93"/>
    <w:rsid w:val="00613DBE"/>
    <w:rsid w:val="0061435E"/>
    <w:rsid w:val="006145C3"/>
    <w:rsid w:val="00614A6B"/>
    <w:rsid w:val="00614D2C"/>
    <w:rsid w:val="00615749"/>
    <w:rsid w:val="006157B8"/>
    <w:rsid w:val="006158D4"/>
    <w:rsid w:val="00616DC7"/>
    <w:rsid w:val="006178DF"/>
    <w:rsid w:val="00617B42"/>
    <w:rsid w:val="0062139E"/>
    <w:rsid w:val="00621487"/>
    <w:rsid w:val="00621E11"/>
    <w:rsid w:val="00621EBC"/>
    <w:rsid w:val="00621EF3"/>
    <w:rsid w:val="00622658"/>
    <w:rsid w:val="0062272A"/>
    <w:rsid w:val="00622A4D"/>
    <w:rsid w:val="006230A6"/>
    <w:rsid w:val="0062381C"/>
    <w:rsid w:val="00623BA4"/>
    <w:rsid w:val="00623FCF"/>
    <w:rsid w:val="00623FD2"/>
    <w:rsid w:val="00624341"/>
    <w:rsid w:val="00624BA5"/>
    <w:rsid w:val="00624BB5"/>
    <w:rsid w:val="00625788"/>
    <w:rsid w:val="00625F34"/>
    <w:rsid w:val="00626150"/>
    <w:rsid w:val="0062642F"/>
    <w:rsid w:val="0062682D"/>
    <w:rsid w:val="00626A15"/>
    <w:rsid w:val="00626AAF"/>
    <w:rsid w:val="006278A5"/>
    <w:rsid w:val="00627D9A"/>
    <w:rsid w:val="00630489"/>
    <w:rsid w:val="0063060A"/>
    <w:rsid w:val="00630978"/>
    <w:rsid w:val="00630B84"/>
    <w:rsid w:val="00630BCC"/>
    <w:rsid w:val="00630EC4"/>
    <w:rsid w:val="0063124B"/>
    <w:rsid w:val="006320EC"/>
    <w:rsid w:val="006339A4"/>
    <w:rsid w:val="00633A4D"/>
    <w:rsid w:val="00633A78"/>
    <w:rsid w:val="00633AB2"/>
    <w:rsid w:val="0063412E"/>
    <w:rsid w:val="006341DF"/>
    <w:rsid w:val="006346C2"/>
    <w:rsid w:val="006347E9"/>
    <w:rsid w:val="0063494E"/>
    <w:rsid w:val="00634978"/>
    <w:rsid w:val="00634E7D"/>
    <w:rsid w:val="00634F8D"/>
    <w:rsid w:val="0063503F"/>
    <w:rsid w:val="0063555E"/>
    <w:rsid w:val="0063565A"/>
    <w:rsid w:val="00635868"/>
    <w:rsid w:val="006365C6"/>
    <w:rsid w:val="00636CB2"/>
    <w:rsid w:val="00636F71"/>
    <w:rsid w:val="00637028"/>
    <w:rsid w:val="00637439"/>
    <w:rsid w:val="00637BD6"/>
    <w:rsid w:val="006404F2"/>
    <w:rsid w:val="00640777"/>
    <w:rsid w:val="00640C47"/>
    <w:rsid w:val="00640D69"/>
    <w:rsid w:val="006410A4"/>
    <w:rsid w:val="006410B7"/>
    <w:rsid w:val="0064189D"/>
    <w:rsid w:val="00641ACB"/>
    <w:rsid w:val="0064285B"/>
    <w:rsid w:val="00643443"/>
    <w:rsid w:val="006436FA"/>
    <w:rsid w:val="00644311"/>
    <w:rsid w:val="00644451"/>
    <w:rsid w:val="00644897"/>
    <w:rsid w:val="00644B76"/>
    <w:rsid w:val="00644CEF"/>
    <w:rsid w:val="00645442"/>
    <w:rsid w:val="00645794"/>
    <w:rsid w:val="00645A43"/>
    <w:rsid w:val="00645B00"/>
    <w:rsid w:val="00645BCA"/>
    <w:rsid w:val="0064626C"/>
    <w:rsid w:val="00646B00"/>
    <w:rsid w:val="00646BAA"/>
    <w:rsid w:val="006471C4"/>
    <w:rsid w:val="006472F3"/>
    <w:rsid w:val="0064737F"/>
    <w:rsid w:val="00647485"/>
    <w:rsid w:val="0065043F"/>
    <w:rsid w:val="00650594"/>
    <w:rsid w:val="006506E1"/>
    <w:rsid w:val="00650F86"/>
    <w:rsid w:val="0065140C"/>
    <w:rsid w:val="006516EB"/>
    <w:rsid w:val="00651CAC"/>
    <w:rsid w:val="006522E6"/>
    <w:rsid w:val="00652405"/>
    <w:rsid w:val="006535B6"/>
    <w:rsid w:val="0065438A"/>
    <w:rsid w:val="00654E30"/>
    <w:rsid w:val="0065572C"/>
    <w:rsid w:val="00655832"/>
    <w:rsid w:val="006558CB"/>
    <w:rsid w:val="00655E36"/>
    <w:rsid w:val="0065633D"/>
    <w:rsid w:val="006565C2"/>
    <w:rsid w:val="00656FAB"/>
    <w:rsid w:val="0065708B"/>
    <w:rsid w:val="00657097"/>
    <w:rsid w:val="00657458"/>
    <w:rsid w:val="00657516"/>
    <w:rsid w:val="00657586"/>
    <w:rsid w:val="00657658"/>
    <w:rsid w:val="006579AB"/>
    <w:rsid w:val="00660141"/>
    <w:rsid w:val="006602ED"/>
    <w:rsid w:val="00660886"/>
    <w:rsid w:val="006608E0"/>
    <w:rsid w:val="00660B83"/>
    <w:rsid w:val="00660ED9"/>
    <w:rsid w:val="00661004"/>
    <w:rsid w:val="00661251"/>
    <w:rsid w:val="0066205A"/>
    <w:rsid w:val="006620A7"/>
    <w:rsid w:val="00662709"/>
    <w:rsid w:val="0066368D"/>
    <w:rsid w:val="00663724"/>
    <w:rsid w:val="00663EC3"/>
    <w:rsid w:val="00663FAF"/>
    <w:rsid w:val="00664144"/>
    <w:rsid w:val="006647C7"/>
    <w:rsid w:val="00664913"/>
    <w:rsid w:val="00664E7E"/>
    <w:rsid w:val="00665726"/>
    <w:rsid w:val="00665A7F"/>
    <w:rsid w:val="00665C05"/>
    <w:rsid w:val="006660C3"/>
    <w:rsid w:val="0066624B"/>
    <w:rsid w:val="00666336"/>
    <w:rsid w:val="00666636"/>
    <w:rsid w:val="00666863"/>
    <w:rsid w:val="00666A35"/>
    <w:rsid w:val="006675D4"/>
    <w:rsid w:val="00667C09"/>
    <w:rsid w:val="00667CF8"/>
    <w:rsid w:val="00667E6B"/>
    <w:rsid w:val="006702E9"/>
    <w:rsid w:val="00670429"/>
    <w:rsid w:val="006704AC"/>
    <w:rsid w:val="00670E4F"/>
    <w:rsid w:val="00671755"/>
    <w:rsid w:val="00671AC7"/>
    <w:rsid w:val="00671D66"/>
    <w:rsid w:val="00672460"/>
    <w:rsid w:val="00672B17"/>
    <w:rsid w:val="00673028"/>
    <w:rsid w:val="00673BC3"/>
    <w:rsid w:val="006740CC"/>
    <w:rsid w:val="006742B5"/>
    <w:rsid w:val="00674333"/>
    <w:rsid w:val="00674A15"/>
    <w:rsid w:val="006750F5"/>
    <w:rsid w:val="006750FB"/>
    <w:rsid w:val="00675F05"/>
    <w:rsid w:val="00677188"/>
    <w:rsid w:val="00677420"/>
    <w:rsid w:val="00677495"/>
    <w:rsid w:val="00677680"/>
    <w:rsid w:val="00680820"/>
    <w:rsid w:val="00680B69"/>
    <w:rsid w:val="00680CC2"/>
    <w:rsid w:val="006811A1"/>
    <w:rsid w:val="0068162A"/>
    <w:rsid w:val="00681A4D"/>
    <w:rsid w:val="00682441"/>
    <w:rsid w:val="00682587"/>
    <w:rsid w:val="0068260F"/>
    <w:rsid w:val="00682E84"/>
    <w:rsid w:val="00682FBE"/>
    <w:rsid w:val="00683CB0"/>
    <w:rsid w:val="00683CB8"/>
    <w:rsid w:val="0068443F"/>
    <w:rsid w:val="00684869"/>
    <w:rsid w:val="00684C5B"/>
    <w:rsid w:val="006850F7"/>
    <w:rsid w:val="006852F5"/>
    <w:rsid w:val="0068563F"/>
    <w:rsid w:val="00686941"/>
    <w:rsid w:val="00687566"/>
    <w:rsid w:val="00687B21"/>
    <w:rsid w:val="00687C26"/>
    <w:rsid w:val="00690320"/>
    <w:rsid w:val="00690DA9"/>
    <w:rsid w:val="00691A98"/>
    <w:rsid w:val="00692018"/>
    <w:rsid w:val="00692BF4"/>
    <w:rsid w:val="00693A17"/>
    <w:rsid w:val="00693C0E"/>
    <w:rsid w:val="00694263"/>
    <w:rsid w:val="0069448C"/>
    <w:rsid w:val="00695561"/>
    <w:rsid w:val="00695B5C"/>
    <w:rsid w:val="00696064"/>
    <w:rsid w:val="00696A2B"/>
    <w:rsid w:val="00696EA1"/>
    <w:rsid w:val="00697467"/>
    <w:rsid w:val="00697520"/>
    <w:rsid w:val="006978DF"/>
    <w:rsid w:val="006A02A5"/>
    <w:rsid w:val="006A06F2"/>
    <w:rsid w:val="006A091F"/>
    <w:rsid w:val="006A0A04"/>
    <w:rsid w:val="006A13D7"/>
    <w:rsid w:val="006A1409"/>
    <w:rsid w:val="006A1536"/>
    <w:rsid w:val="006A16C6"/>
    <w:rsid w:val="006A1DF6"/>
    <w:rsid w:val="006A1FA9"/>
    <w:rsid w:val="006A2270"/>
    <w:rsid w:val="006A2F7A"/>
    <w:rsid w:val="006A313E"/>
    <w:rsid w:val="006A3511"/>
    <w:rsid w:val="006A370D"/>
    <w:rsid w:val="006A37DF"/>
    <w:rsid w:val="006A442E"/>
    <w:rsid w:val="006A44E6"/>
    <w:rsid w:val="006A4789"/>
    <w:rsid w:val="006A4921"/>
    <w:rsid w:val="006A4AAA"/>
    <w:rsid w:val="006A4F95"/>
    <w:rsid w:val="006A52A9"/>
    <w:rsid w:val="006A56FB"/>
    <w:rsid w:val="006A5792"/>
    <w:rsid w:val="006A5C18"/>
    <w:rsid w:val="006A5F39"/>
    <w:rsid w:val="006A5FFE"/>
    <w:rsid w:val="006A6199"/>
    <w:rsid w:val="006A68B2"/>
    <w:rsid w:val="006A6987"/>
    <w:rsid w:val="006A7068"/>
    <w:rsid w:val="006A708A"/>
    <w:rsid w:val="006A7125"/>
    <w:rsid w:val="006A7463"/>
    <w:rsid w:val="006B02D2"/>
    <w:rsid w:val="006B1139"/>
    <w:rsid w:val="006B14A0"/>
    <w:rsid w:val="006B1A18"/>
    <w:rsid w:val="006B28F1"/>
    <w:rsid w:val="006B2A4E"/>
    <w:rsid w:val="006B2B3A"/>
    <w:rsid w:val="006B30A2"/>
    <w:rsid w:val="006B3411"/>
    <w:rsid w:val="006B36A0"/>
    <w:rsid w:val="006B3FEE"/>
    <w:rsid w:val="006B403E"/>
    <w:rsid w:val="006B404E"/>
    <w:rsid w:val="006B49C8"/>
    <w:rsid w:val="006B53BB"/>
    <w:rsid w:val="006B5728"/>
    <w:rsid w:val="006B5CD4"/>
    <w:rsid w:val="006B5CF7"/>
    <w:rsid w:val="006B5D00"/>
    <w:rsid w:val="006B5F68"/>
    <w:rsid w:val="006B61BE"/>
    <w:rsid w:val="006B62FE"/>
    <w:rsid w:val="006B630E"/>
    <w:rsid w:val="006B6353"/>
    <w:rsid w:val="006B64A4"/>
    <w:rsid w:val="006B7A6A"/>
    <w:rsid w:val="006B7B6C"/>
    <w:rsid w:val="006C00CF"/>
    <w:rsid w:val="006C0236"/>
    <w:rsid w:val="006C0519"/>
    <w:rsid w:val="006C0796"/>
    <w:rsid w:val="006C0A14"/>
    <w:rsid w:val="006C0AE8"/>
    <w:rsid w:val="006C0E73"/>
    <w:rsid w:val="006C0FF2"/>
    <w:rsid w:val="006C11B4"/>
    <w:rsid w:val="006C1CA2"/>
    <w:rsid w:val="006C2B09"/>
    <w:rsid w:val="006C2D18"/>
    <w:rsid w:val="006C307D"/>
    <w:rsid w:val="006C318B"/>
    <w:rsid w:val="006C3992"/>
    <w:rsid w:val="006C3D79"/>
    <w:rsid w:val="006C3F59"/>
    <w:rsid w:val="006C45A6"/>
    <w:rsid w:val="006C45C0"/>
    <w:rsid w:val="006C4825"/>
    <w:rsid w:val="006C4915"/>
    <w:rsid w:val="006C4AD1"/>
    <w:rsid w:val="006C4AF4"/>
    <w:rsid w:val="006C4FE6"/>
    <w:rsid w:val="006C51C5"/>
    <w:rsid w:val="006C5548"/>
    <w:rsid w:val="006C5D81"/>
    <w:rsid w:val="006C5F9D"/>
    <w:rsid w:val="006C632F"/>
    <w:rsid w:val="006C6498"/>
    <w:rsid w:val="006C64FD"/>
    <w:rsid w:val="006C6588"/>
    <w:rsid w:val="006C65B6"/>
    <w:rsid w:val="006C67EC"/>
    <w:rsid w:val="006C77E9"/>
    <w:rsid w:val="006C787E"/>
    <w:rsid w:val="006C7D54"/>
    <w:rsid w:val="006D00D3"/>
    <w:rsid w:val="006D0B54"/>
    <w:rsid w:val="006D122A"/>
    <w:rsid w:val="006D162C"/>
    <w:rsid w:val="006D17E9"/>
    <w:rsid w:val="006D181B"/>
    <w:rsid w:val="006D1B4B"/>
    <w:rsid w:val="006D1F17"/>
    <w:rsid w:val="006D2736"/>
    <w:rsid w:val="006D2904"/>
    <w:rsid w:val="006D2BE8"/>
    <w:rsid w:val="006D2FF1"/>
    <w:rsid w:val="006D313A"/>
    <w:rsid w:val="006D3222"/>
    <w:rsid w:val="006D3746"/>
    <w:rsid w:val="006D37B8"/>
    <w:rsid w:val="006D3972"/>
    <w:rsid w:val="006D398D"/>
    <w:rsid w:val="006D3D3E"/>
    <w:rsid w:val="006D52D0"/>
    <w:rsid w:val="006D57F8"/>
    <w:rsid w:val="006D5BBE"/>
    <w:rsid w:val="006D5FCE"/>
    <w:rsid w:val="006D67D6"/>
    <w:rsid w:val="006D6A1A"/>
    <w:rsid w:val="006D6A4F"/>
    <w:rsid w:val="006D7272"/>
    <w:rsid w:val="006D7AFF"/>
    <w:rsid w:val="006E14D7"/>
    <w:rsid w:val="006E163A"/>
    <w:rsid w:val="006E1817"/>
    <w:rsid w:val="006E19EB"/>
    <w:rsid w:val="006E1B8A"/>
    <w:rsid w:val="006E29B0"/>
    <w:rsid w:val="006E2B32"/>
    <w:rsid w:val="006E34F6"/>
    <w:rsid w:val="006E3F27"/>
    <w:rsid w:val="006E3FF0"/>
    <w:rsid w:val="006E4980"/>
    <w:rsid w:val="006E49F1"/>
    <w:rsid w:val="006E4BAD"/>
    <w:rsid w:val="006E5324"/>
    <w:rsid w:val="006E555C"/>
    <w:rsid w:val="006E56E4"/>
    <w:rsid w:val="006E57A1"/>
    <w:rsid w:val="006E583C"/>
    <w:rsid w:val="006E5FE3"/>
    <w:rsid w:val="006E644A"/>
    <w:rsid w:val="006E656B"/>
    <w:rsid w:val="006E6843"/>
    <w:rsid w:val="006E6A2F"/>
    <w:rsid w:val="006E6B76"/>
    <w:rsid w:val="006E77D2"/>
    <w:rsid w:val="006E7800"/>
    <w:rsid w:val="006E7955"/>
    <w:rsid w:val="006E7E4D"/>
    <w:rsid w:val="006F00AA"/>
    <w:rsid w:val="006F07E5"/>
    <w:rsid w:val="006F0A77"/>
    <w:rsid w:val="006F0DA5"/>
    <w:rsid w:val="006F17F0"/>
    <w:rsid w:val="006F251A"/>
    <w:rsid w:val="006F280D"/>
    <w:rsid w:val="006F289F"/>
    <w:rsid w:val="006F2A76"/>
    <w:rsid w:val="006F2BDD"/>
    <w:rsid w:val="006F326D"/>
    <w:rsid w:val="006F33E5"/>
    <w:rsid w:val="006F3DF6"/>
    <w:rsid w:val="006F4C57"/>
    <w:rsid w:val="006F5061"/>
    <w:rsid w:val="006F524C"/>
    <w:rsid w:val="006F5F02"/>
    <w:rsid w:val="006F625A"/>
    <w:rsid w:val="006F6E32"/>
    <w:rsid w:val="006F7217"/>
    <w:rsid w:val="006F76AC"/>
    <w:rsid w:val="006F7AC8"/>
    <w:rsid w:val="006F7E82"/>
    <w:rsid w:val="00700133"/>
    <w:rsid w:val="00700276"/>
    <w:rsid w:val="00700651"/>
    <w:rsid w:val="0070150E"/>
    <w:rsid w:val="00701AE9"/>
    <w:rsid w:val="00702059"/>
    <w:rsid w:val="00702372"/>
    <w:rsid w:val="00702B12"/>
    <w:rsid w:val="00702D4C"/>
    <w:rsid w:val="00702E47"/>
    <w:rsid w:val="007034BE"/>
    <w:rsid w:val="007034F1"/>
    <w:rsid w:val="007039E9"/>
    <w:rsid w:val="007039F8"/>
    <w:rsid w:val="00703BC3"/>
    <w:rsid w:val="0070444B"/>
    <w:rsid w:val="00704A71"/>
    <w:rsid w:val="00704EA1"/>
    <w:rsid w:val="00705851"/>
    <w:rsid w:val="00706C4E"/>
    <w:rsid w:val="00706C9B"/>
    <w:rsid w:val="00706F81"/>
    <w:rsid w:val="0070701E"/>
    <w:rsid w:val="00707159"/>
    <w:rsid w:val="007071E8"/>
    <w:rsid w:val="007073E0"/>
    <w:rsid w:val="00707831"/>
    <w:rsid w:val="00707BE4"/>
    <w:rsid w:val="00707DFE"/>
    <w:rsid w:val="00707E10"/>
    <w:rsid w:val="00707EFC"/>
    <w:rsid w:val="0071038A"/>
    <w:rsid w:val="00710517"/>
    <w:rsid w:val="0071075E"/>
    <w:rsid w:val="00710B6F"/>
    <w:rsid w:val="00711342"/>
    <w:rsid w:val="007113EC"/>
    <w:rsid w:val="00711AE5"/>
    <w:rsid w:val="00711BB3"/>
    <w:rsid w:val="00712014"/>
    <w:rsid w:val="007135E2"/>
    <w:rsid w:val="00713965"/>
    <w:rsid w:val="007139CD"/>
    <w:rsid w:val="00713C0F"/>
    <w:rsid w:val="00713E36"/>
    <w:rsid w:val="00714A1A"/>
    <w:rsid w:val="00714D94"/>
    <w:rsid w:val="0071598B"/>
    <w:rsid w:val="00715B17"/>
    <w:rsid w:val="007161D0"/>
    <w:rsid w:val="0071652D"/>
    <w:rsid w:val="00717802"/>
    <w:rsid w:val="00717E3D"/>
    <w:rsid w:val="0072012E"/>
    <w:rsid w:val="007206E8"/>
    <w:rsid w:val="0072179C"/>
    <w:rsid w:val="00721AB8"/>
    <w:rsid w:val="00721C92"/>
    <w:rsid w:val="00721F26"/>
    <w:rsid w:val="00721FC6"/>
    <w:rsid w:val="00722034"/>
    <w:rsid w:val="00722053"/>
    <w:rsid w:val="00722212"/>
    <w:rsid w:val="007222A1"/>
    <w:rsid w:val="007227E2"/>
    <w:rsid w:val="00722B64"/>
    <w:rsid w:val="00722F8E"/>
    <w:rsid w:val="00723390"/>
    <w:rsid w:val="0072375B"/>
    <w:rsid w:val="007245D3"/>
    <w:rsid w:val="00724F48"/>
    <w:rsid w:val="00724FEE"/>
    <w:rsid w:val="007256A3"/>
    <w:rsid w:val="007263E5"/>
    <w:rsid w:val="00726761"/>
    <w:rsid w:val="007269DC"/>
    <w:rsid w:val="00726C59"/>
    <w:rsid w:val="00726CA4"/>
    <w:rsid w:val="0072700E"/>
    <w:rsid w:val="00727601"/>
    <w:rsid w:val="007277C9"/>
    <w:rsid w:val="00727A2C"/>
    <w:rsid w:val="00727E7A"/>
    <w:rsid w:val="00730513"/>
    <w:rsid w:val="0073095A"/>
    <w:rsid w:val="00730A90"/>
    <w:rsid w:val="0073137F"/>
    <w:rsid w:val="00731478"/>
    <w:rsid w:val="00731588"/>
    <w:rsid w:val="0073321F"/>
    <w:rsid w:val="007334DD"/>
    <w:rsid w:val="0073368B"/>
    <w:rsid w:val="00733AE9"/>
    <w:rsid w:val="00733D54"/>
    <w:rsid w:val="00733DC6"/>
    <w:rsid w:val="00734963"/>
    <w:rsid w:val="00734AEB"/>
    <w:rsid w:val="00734C1F"/>
    <w:rsid w:val="00734F79"/>
    <w:rsid w:val="0073582D"/>
    <w:rsid w:val="00735C6B"/>
    <w:rsid w:val="00735F1F"/>
    <w:rsid w:val="00736AB9"/>
    <w:rsid w:val="00736CCA"/>
    <w:rsid w:val="007370BE"/>
    <w:rsid w:val="007370FC"/>
    <w:rsid w:val="00737BB8"/>
    <w:rsid w:val="00737EB7"/>
    <w:rsid w:val="00740496"/>
    <w:rsid w:val="0074062A"/>
    <w:rsid w:val="007407C1"/>
    <w:rsid w:val="00740A85"/>
    <w:rsid w:val="00740CCC"/>
    <w:rsid w:val="007411FD"/>
    <w:rsid w:val="007416EB"/>
    <w:rsid w:val="00741ADB"/>
    <w:rsid w:val="00741FD9"/>
    <w:rsid w:val="00742A3A"/>
    <w:rsid w:val="00742EFD"/>
    <w:rsid w:val="0074305B"/>
    <w:rsid w:val="007431E8"/>
    <w:rsid w:val="007432E2"/>
    <w:rsid w:val="007447A1"/>
    <w:rsid w:val="00744BE6"/>
    <w:rsid w:val="00744DA7"/>
    <w:rsid w:val="0074505C"/>
    <w:rsid w:val="00745189"/>
    <w:rsid w:val="007452E1"/>
    <w:rsid w:val="0074557D"/>
    <w:rsid w:val="0074559F"/>
    <w:rsid w:val="00746BD4"/>
    <w:rsid w:val="00746BFE"/>
    <w:rsid w:val="00746C6F"/>
    <w:rsid w:val="00746D15"/>
    <w:rsid w:val="0074739A"/>
    <w:rsid w:val="0074760F"/>
    <w:rsid w:val="00747968"/>
    <w:rsid w:val="007506B2"/>
    <w:rsid w:val="00750B88"/>
    <w:rsid w:val="00750D11"/>
    <w:rsid w:val="00751BC5"/>
    <w:rsid w:val="007529D4"/>
    <w:rsid w:val="00752DF9"/>
    <w:rsid w:val="00753291"/>
    <w:rsid w:val="00753A48"/>
    <w:rsid w:val="0075412C"/>
    <w:rsid w:val="007543EA"/>
    <w:rsid w:val="0075471B"/>
    <w:rsid w:val="00755FC8"/>
    <w:rsid w:val="007561CD"/>
    <w:rsid w:val="00756558"/>
    <w:rsid w:val="00756842"/>
    <w:rsid w:val="00756C09"/>
    <w:rsid w:val="00756C57"/>
    <w:rsid w:val="00756DC0"/>
    <w:rsid w:val="007571CA"/>
    <w:rsid w:val="007574AE"/>
    <w:rsid w:val="007601AA"/>
    <w:rsid w:val="00760528"/>
    <w:rsid w:val="0076070A"/>
    <w:rsid w:val="00760E56"/>
    <w:rsid w:val="00761141"/>
    <w:rsid w:val="007612B2"/>
    <w:rsid w:val="00761700"/>
    <w:rsid w:val="00762911"/>
    <w:rsid w:val="00762A80"/>
    <w:rsid w:val="007635A1"/>
    <w:rsid w:val="00763651"/>
    <w:rsid w:val="00764072"/>
    <w:rsid w:val="007643B3"/>
    <w:rsid w:val="007644D5"/>
    <w:rsid w:val="0076489C"/>
    <w:rsid w:val="00764D80"/>
    <w:rsid w:val="00764DB5"/>
    <w:rsid w:val="00765297"/>
    <w:rsid w:val="00765B81"/>
    <w:rsid w:val="00765DFE"/>
    <w:rsid w:val="00765EA9"/>
    <w:rsid w:val="0076689C"/>
    <w:rsid w:val="00766B0A"/>
    <w:rsid w:val="00767682"/>
    <w:rsid w:val="007677EF"/>
    <w:rsid w:val="00767A1D"/>
    <w:rsid w:val="00767A9E"/>
    <w:rsid w:val="00767E7C"/>
    <w:rsid w:val="007708AF"/>
    <w:rsid w:val="007709C7"/>
    <w:rsid w:val="007712FB"/>
    <w:rsid w:val="00771BEA"/>
    <w:rsid w:val="00771C0C"/>
    <w:rsid w:val="00771D7E"/>
    <w:rsid w:val="00771D7F"/>
    <w:rsid w:val="00771F66"/>
    <w:rsid w:val="00772C66"/>
    <w:rsid w:val="00772D2D"/>
    <w:rsid w:val="00773460"/>
    <w:rsid w:val="00773E18"/>
    <w:rsid w:val="00773F52"/>
    <w:rsid w:val="00774056"/>
    <w:rsid w:val="00774149"/>
    <w:rsid w:val="00774724"/>
    <w:rsid w:val="00774737"/>
    <w:rsid w:val="007749BE"/>
    <w:rsid w:val="00774F5D"/>
    <w:rsid w:val="00775A88"/>
    <w:rsid w:val="007761EF"/>
    <w:rsid w:val="00776B1C"/>
    <w:rsid w:val="00777022"/>
    <w:rsid w:val="00777994"/>
    <w:rsid w:val="00777C9E"/>
    <w:rsid w:val="00777F18"/>
    <w:rsid w:val="00780228"/>
    <w:rsid w:val="0078045A"/>
    <w:rsid w:val="00780478"/>
    <w:rsid w:val="007807BD"/>
    <w:rsid w:val="007808E3"/>
    <w:rsid w:val="00781657"/>
    <w:rsid w:val="0078219A"/>
    <w:rsid w:val="00782BC2"/>
    <w:rsid w:val="00782CEF"/>
    <w:rsid w:val="00783095"/>
    <w:rsid w:val="00783447"/>
    <w:rsid w:val="007835F4"/>
    <w:rsid w:val="0078452D"/>
    <w:rsid w:val="007845AA"/>
    <w:rsid w:val="00784890"/>
    <w:rsid w:val="00784E60"/>
    <w:rsid w:val="007851AD"/>
    <w:rsid w:val="00785404"/>
    <w:rsid w:val="007855DE"/>
    <w:rsid w:val="00785698"/>
    <w:rsid w:val="00785910"/>
    <w:rsid w:val="00785F6D"/>
    <w:rsid w:val="0078642D"/>
    <w:rsid w:val="0078755B"/>
    <w:rsid w:val="00787AF3"/>
    <w:rsid w:val="00787B81"/>
    <w:rsid w:val="00787ED6"/>
    <w:rsid w:val="00790354"/>
    <w:rsid w:val="007905E0"/>
    <w:rsid w:val="00790C3C"/>
    <w:rsid w:val="00790E8D"/>
    <w:rsid w:val="00791A2F"/>
    <w:rsid w:val="0079263B"/>
    <w:rsid w:val="00792759"/>
    <w:rsid w:val="007930F5"/>
    <w:rsid w:val="00793285"/>
    <w:rsid w:val="0079362A"/>
    <w:rsid w:val="007937DE"/>
    <w:rsid w:val="00793E3A"/>
    <w:rsid w:val="007942CE"/>
    <w:rsid w:val="007951A2"/>
    <w:rsid w:val="00795A5E"/>
    <w:rsid w:val="0079712C"/>
    <w:rsid w:val="0079738F"/>
    <w:rsid w:val="007973F9"/>
    <w:rsid w:val="007974E0"/>
    <w:rsid w:val="0079771E"/>
    <w:rsid w:val="00797B9A"/>
    <w:rsid w:val="00797C38"/>
    <w:rsid w:val="00797C9F"/>
    <w:rsid w:val="007A0777"/>
    <w:rsid w:val="007A126F"/>
    <w:rsid w:val="007A19C8"/>
    <w:rsid w:val="007A1CB3"/>
    <w:rsid w:val="007A1FC8"/>
    <w:rsid w:val="007A2B2B"/>
    <w:rsid w:val="007A2B34"/>
    <w:rsid w:val="007A2CF6"/>
    <w:rsid w:val="007A2EBA"/>
    <w:rsid w:val="007A3928"/>
    <w:rsid w:val="007A3AED"/>
    <w:rsid w:val="007A421F"/>
    <w:rsid w:val="007A43A9"/>
    <w:rsid w:val="007A43D5"/>
    <w:rsid w:val="007A4979"/>
    <w:rsid w:val="007A4F96"/>
    <w:rsid w:val="007A55BF"/>
    <w:rsid w:val="007A57CB"/>
    <w:rsid w:val="007A71F1"/>
    <w:rsid w:val="007A73CE"/>
    <w:rsid w:val="007A73E9"/>
    <w:rsid w:val="007A757C"/>
    <w:rsid w:val="007A75A4"/>
    <w:rsid w:val="007A75B9"/>
    <w:rsid w:val="007A777F"/>
    <w:rsid w:val="007A792B"/>
    <w:rsid w:val="007A7AE5"/>
    <w:rsid w:val="007A7CAF"/>
    <w:rsid w:val="007B0224"/>
    <w:rsid w:val="007B0252"/>
    <w:rsid w:val="007B0A15"/>
    <w:rsid w:val="007B1349"/>
    <w:rsid w:val="007B1403"/>
    <w:rsid w:val="007B1722"/>
    <w:rsid w:val="007B1A6E"/>
    <w:rsid w:val="007B1FD9"/>
    <w:rsid w:val="007B27AD"/>
    <w:rsid w:val="007B2965"/>
    <w:rsid w:val="007B395D"/>
    <w:rsid w:val="007B3C10"/>
    <w:rsid w:val="007B3DF2"/>
    <w:rsid w:val="007B3EC6"/>
    <w:rsid w:val="007B42C1"/>
    <w:rsid w:val="007B472C"/>
    <w:rsid w:val="007B4868"/>
    <w:rsid w:val="007B59C7"/>
    <w:rsid w:val="007B5FF1"/>
    <w:rsid w:val="007B65C7"/>
    <w:rsid w:val="007B6CCC"/>
    <w:rsid w:val="007B7578"/>
    <w:rsid w:val="007B7D44"/>
    <w:rsid w:val="007C018B"/>
    <w:rsid w:val="007C0298"/>
    <w:rsid w:val="007C0C0B"/>
    <w:rsid w:val="007C1007"/>
    <w:rsid w:val="007C11C9"/>
    <w:rsid w:val="007C1826"/>
    <w:rsid w:val="007C1CAE"/>
    <w:rsid w:val="007C206E"/>
    <w:rsid w:val="007C21BB"/>
    <w:rsid w:val="007C25F6"/>
    <w:rsid w:val="007C28E3"/>
    <w:rsid w:val="007C2AF1"/>
    <w:rsid w:val="007C31CB"/>
    <w:rsid w:val="007C3AA6"/>
    <w:rsid w:val="007C4313"/>
    <w:rsid w:val="007C439E"/>
    <w:rsid w:val="007C497D"/>
    <w:rsid w:val="007C498C"/>
    <w:rsid w:val="007C4B1D"/>
    <w:rsid w:val="007C4E31"/>
    <w:rsid w:val="007C56EE"/>
    <w:rsid w:val="007C5E06"/>
    <w:rsid w:val="007C6BE6"/>
    <w:rsid w:val="007C6D05"/>
    <w:rsid w:val="007C7FCF"/>
    <w:rsid w:val="007D0601"/>
    <w:rsid w:val="007D0CF7"/>
    <w:rsid w:val="007D17AE"/>
    <w:rsid w:val="007D1897"/>
    <w:rsid w:val="007D1C62"/>
    <w:rsid w:val="007D201E"/>
    <w:rsid w:val="007D23F6"/>
    <w:rsid w:val="007D28E3"/>
    <w:rsid w:val="007D2E66"/>
    <w:rsid w:val="007D30FB"/>
    <w:rsid w:val="007D3A15"/>
    <w:rsid w:val="007D40EA"/>
    <w:rsid w:val="007D441E"/>
    <w:rsid w:val="007D497C"/>
    <w:rsid w:val="007D4A5F"/>
    <w:rsid w:val="007D5286"/>
    <w:rsid w:val="007D5416"/>
    <w:rsid w:val="007D5A4F"/>
    <w:rsid w:val="007D5D13"/>
    <w:rsid w:val="007D5EBD"/>
    <w:rsid w:val="007D60D4"/>
    <w:rsid w:val="007D62E0"/>
    <w:rsid w:val="007D6DD1"/>
    <w:rsid w:val="007D72C8"/>
    <w:rsid w:val="007D743D"/>
    <w:rsid w:val="007D7A1F"/>
    <w:rsid w:val="007D7F24"/>
    <w:rsid w:val="007E0204"/>
    <w:rsid w:val="007E036D"/>
    <w:rsid w:val="007E0AA3"/>
    <w:rsid w:val="007E0C22"/>
    <w:rsid w:val="007E0D01"/>
    <w:rsid w:val="007E0F6E"/>
    <w:rsid w:val="007E1053"/>
    <w:rsid w:val="007E16E4"/>
    <w:rsid w:val="007E17FA"/>
    <w:rsid w:val="007E19DB"/>
    <w:rsid w:val="007E22EB"/>
    <w:rsid w:val="007E2A0E"/>
    <w:rsid w:val="007E2B14"/>
    <w:rsid w:val="007E34BA"/>
    <w:rsid w:val="007E359E"/>
    <w:rsid w:val="007E3947"/>
    <w:rsid w:val="007E4260"/>
    <w:rsid w:val="007E448C"/>
    <w:rsid w:val="007E4694"/>
    <w:rsid w:val="007E482E"/>
    <w:rsid w:val="007E4C7F"/>
    <w:rsid w:val="007E4F9F"/>
    <w:rsid w:val="007E53A5"/>
    <w:rsid w:val="007E6DF5"/>
    <w:rsid w:val="007E6EE9"/>
    <w:rsid w:val="007E7581"/>
    <w:rsid w:val="007E7658"/>
    <w:rsid w:val="007E786C"/>
    <w:rsid w:val="007E7B34"/>
    <w:rsid w:val="007F0070"/>
    <w:rsid w:val="007F061E"/>
    <w:rsid w:val="007F11A6"/>
    <w:rsid w:val="007F1A47"/>
    <w:rsid w:val="007F1DE2"/>
    <w:rsid w:val="007F1FF7"/>
    <w:rsid w:val="007F20E6"/>
    <w:rsid w:val="007F2105"/>
    <w:rsid w:val="007F2621"/>
    <w:rsid w:val="007F2771"/>
    <w:rsid w:val="007F2E97"/>
    <w:rsid w:val="007F3143"/>
    <w:rsid w:val="007F33FA"/>
    <w:rsid w:val="007F392A"/>
    <w:rsid w:val="007F3E9D"/>
    <w:rsid w:val="007F4066"/>
    <w:rsid w:val="007F42BE"/>
    <w:rsid w:val="007F42EF"/>
    <w:rsid w:val="007F4316"/>
    <w:rsid w:val="007F4706"/>
    <w:rsid w:val="007F5265"/>
    <w:rsid w:val="007F58C5"/>
    <w:rsid w:val="007F5A91"/>
    <w:rsid w:val="007F5AE2"/>
    <w:rsid w:val="007F658E"/>
    <w:rsid w:val="007F665A"/>
    <w:rsid w:val="007F67EC"/>
    <w:rsid w:val="007F67F3"/>
    <w:rsid w:val="007F6B19"/>
    <w:rsid w:val="007F7181"/>
    <w:rsid w:val="007F7317"/>
    <w:rsid w:val="007F766F"/>
    <w:rsid w:val="007F7A1B"/>
    <w:rsid w:val="007F7F4A"/>
    <w:rsid w:val="008002C8"/>
    <w:rsid w:val="00800E11"/>
    <w:rsid w:val="0080116D"/>
    <w:rsid w:val="008013F3"/>
    <w:rsid w:val="008016B1"/>
    <w:rsid w:val="008017FB"/>
    <w:rsid w:val="00801C14"/>
    <w:rsid w:val="00801E51"/>
    <w:rsid w:val="00801E73"/>
    <w:rsid w:val="0080222B"/>
    <w:rsid w:val="008022D4"/>
    <w:rsid w:val="0080284E"/>
    <w:rsid w:val="00802FCF"/>
    <w:rsid w:val="00803193"/>
    <w:rsid w:val="00803AA4"/>
    <w:rsid w:val="00803C56"/>
    <w:rsid w:val="00803D00"/>
    <w:rsid w:val="00803DD3"/>
    <w:rsid w:val="00804049"/>
    <w:rsid w:val="008043C9"/>
    <w:rsid w:val="0080446F"/>
    <w:rsid w:val="00804AE3"/>
    <w:rsid w:val="00804C34"/>
    <w:rsid w:val="008055C0"/>
    <w:rsid w:val="00806D51"/>
    <w:rsid w:val="008076A3"/>
    <w:rsid w:val="00807812"/>
    <w:rsid w:val="00807CF5"/>
    <w:rsid w:val="00807F67"/>
    <w:rsid w:val="00810166"/>
    <w:rsid w:val="0081024E"/>
    <w:rsid w:val="008107C8"/>
    <w:rsid w:val="00811091"/>
    <w:rsid w:val="00811457"/>
    <w:rsid w:val="008115AA"/>
    <w:rsid w:val="00811B8F"/>
    <w:rsid w:val="00811EA7"/>
    <w:rsid w:val="00812153"/>
    <w:rsid w:val="008123F0"/>
    <w:rsid w:val="008133DF"/>
    <w:rsid w:val="00813475"/>
    <w:rsid w:val="00813812"/>
    <w:rsid w:val="008142A1"/>
    <w:rsid w:val="008146CC"/>
    <w:rsid w:val="00814C4D"/>
    <w:rsid w:val="00814CD0"/>
    <w:rsid w:val="00814DE5"/>
    <w:rsid w:val="00814F57"/>
    <w:rsid w:val="008155A5"/>
    <w:rsid w:val="00816475"/>
    <w:rsid w:val="00816D02"/>
    <w:rsid w:val="008170F8"/>
    <w:rsid w:val="0081718B"/>
    <w:rsid w:val="00817262"/>
    <w:rsid w:val="008175A1"/>
    <w:rsid w:val="00817BCE"/>
    <w:rsid w:val="008201A0"/>
    <w:rsid w:val="00820587"/>
    <w:rsid w:val="00821209"/>
    <w:rsid w:val="0082167B"/>
    <w:rsid w:val="00821760"/>
    <w:rsid w:val="0082247B"/>
    <w:rsid w:val="00822530"/>
    <w:rsid w:val="00822E6A"/>
    <w:rsid w:val="00823179"/>
    <w:rsid w:val="008231EF"/>
    <w:rsid w:val="0082352A"/>
    <w:rsid w:val="008236C4"/>
    <w:rsid w:val="00823B7C"/>
    <w:rsid w:val="00823FA2"/>
    <w:rsid w:val="0082477D"/>
    <w:rsid w:val="00824805"/>
    <w:rsid w:val="00824B3F"/>
    <w:rsid w:val="00824F1B"/>
    <w:rsid w:val="008251D6"/>
    <w:rsid w:val="00825273"/>
    <w:rsid w:val="00825909"/>
    <w:rsid w:val="00825F4D"/>
    <w:rsid w:val="00826163"/>
    <w:rsid w:val="0082657F"/>
    <w:rsid w:val="00826B73"/>
    <w:rsid w:val="0082794B"/>
    <w:rsid w:val="00830142"/>
    <w:rsid w:val="0083037D"/>
    <w:rsid w:val="00830CD5"/>
    <w:rsid w:val="00831713"/>
    <w:rsid w:val="00831CE3"/>
    <w:rsid w:val="008326B4"/>
    <w:rsid w:val="008326E0"/>
    <w:rsid w:val="008327AC"/>
    <w:rsid w:val="00832C3A"/>
    <w:rsid w:val="00832C57"/>
    <w:rsid w:val="00832C61"/>
    <w:rsid w:val="00832E67"/>
    <w:rsid w:val="0083317C"/>
    <w:rsid w:val="0083394E"/>
    <w:rsid w:val="0083475A"/>
    <w:rsid w:val="0083488B"/>
    <w:rsid w:val="00834E2A"/>
    <w:rsid w:val="00835496"/>
    <w:rsid w:val="00835A31"/>
    <w:rsid w:val="00835AFC"/>
    <w:rsid w:val="0083601C"/>
    <w:rsid w:val="00836023"/>
    <w:rsid w:val="00836914"/>
    <w:rsid w:val="00836C9E"/>
    <w:rsid w:val="00836E92"/>
    <w:rsid w:val="00836F76"/>
    <w:rsid w:val="008371E5"/>
    <w:rsid w:val="008376BC"/>
    <w:rsid w:val="00837AB4"/>
    <w:rsid w:val="00840279"/>
    <w:rsid w:val="008408EA"/>
    <w:rsid w:val="00841866"/>
    <w:rsid w:val="008418CD"/>
    <w:rsid w:val="00842078"/>
    <w:rsid w:val="008420E5"/>
    <w:rsid w:val="00842DF7"/>
    <w:rsid w:val="00842FB4"/>
    <w:rsid w:val="00842FE6"/>
    <w:rsid w:val="008439B4"/>
    <w:rsid w:val="00843AE0"/>
    <w:rsid w:val="00843C3E"/>
    <w:rsid w:val="0084429F"/>
    <w:rsid w:val="00844E76"/>
    <w:rsid w:val="00845777"/>
    <w:rsid w:val="008457D3"/>
    <w:rsid w:val="00845CC4"/>
    <w:rsid w:val="00846496"/>
    <w:rsid w:val="00846DF9"/>
    <w:rsid w:val="00847277"/>
    <w:rsid w:val="0085009A"/>
    <w:rsid w:val="00850168"/>
    <w:rsid w:val="008501C5"/>
    <w:rsid w:val="008515A3"/>
    <w:rsid w:val="00851D17"/>
    <w:rsid w:val="00851E75"/>
    <w:rsid w:val="00851F06"/>
    <w:rsid w:val="00852302"/>
    <w:rsid w:val="008529D9"/>
    <w:rsid w:val="00852C1D"/>
    <w:rsid w:val="00852D05"/>
    <w:rsid w:val="00852E0D"/>
    <w:rsid w:val="00853126"/>
    <w:rsid w:val="008531E6"/>
    <w:rsid w:val="008535E9"/>
    <w:rsid w:val="008546E5"/>
    <w:rsid w:val="00854A60"/>
    <w:rsid w:val="00854ACB"/>
    <w:rsid w:val="00854ACF"/>
    <w:rsid w:val="00855D45"/>
    <w:rsid w:val="00855DB4"/>
    <w:rsid w:val="00856107"/>
    <w:rsid w:val="008566C8"/>
    <w:rsid w:val="008567B4"/>
    <w:rsid w:val="00856CFD"/>
    <w:rsid w:val="00856EEA"/>
    <w:rsid w:val="0085733C"/>
    <w:rsid w:val="0085738D"/>
    <w:rsid w:val="008573EE"/>
    <w:rsid w:val="00857D43"/>
    <w:rsid w:val="00857D69"/>
    <w:rsid w:val="00857FCF"/>
    <w:rsid w:val="008607CF"/>
    <w:rsid w:val="00860E1B"/>
    <w:rsid w:val="00860E54"/>
    <w:rsid w:val="008611C2"/>
    <w:rsid w:val="0086130D"/>
    <w:rsid w:val="008613F7"/>
    <w:rsid w:val="00861B16"/>
    <w:rsid w:val="00861B7D"/>
    <w:rsid w:val="00861E77"/>
    <w:rsid w:val="0086218A"/>
    <w:rsid w:val="00862734"/>
    <w:rsid w:val="008628D4"/>
    <w:rsid w:val="00862A0B"/>
    <w:rsid w:val="00862E42"/>
    <w:rsid w:val="0086304F"/>
    <w:rsid w:val="008630AE"/>
    <w:rsid w:val="008631AC"/>
    <w:rsid w:val="0086382E"/>
    <w:rsid w:val="00863986"/>
    <w:rsid w:val="00863B22"/>
    <w:rsid w:val="00863FF8"/>
    <w:rsid w:val="0086450E"/>
    <w:rsid w:val="008648CF"/>
    <w:rsid w:val="008649A7"/>
    <w:rsid w:val="00864D85"/>
    <w:rsid w:val="00864DFD"/>
    <w:rsid w:val="00864EE2"/>
    <w:rsid w:val="008650BD"/>
    <w:rsid w:val="00865683"/>
    <w:rsid w:val="00865F19"/>
    <w:rsid w:val="00865F89"/>
    <w:rsid w:val="00866423"/>
    <w:rsid w:val="0086679B"/>
    <w:rsid w:val="0086687F"/>
    <w:rsid w:val="0086710D"/>
    <w:rsid w:val="00867509"/>
    <w:rsid w:val="008704E0"/>
    <w:rsid w:val="00870DED"/>
    <w:rsid w:val="00870F0B"/>
    <w:rsid w:val="00871AF3"/>
    <w:rsid w:val="00872283"/>
    <w:rsid w:val="008724E2"/>
    <w:rsid w:val="00872DC5"/>
    <w:rsid w:val="00872F68"/>
    <w:rsid w:val="00872FCC"/>
    <w:rsid w:val="00873550"/>
    <w:rsid w:val="00873639"/>
    <w:rsid w:val="00873703"/>
    <w:rsid w:val="00873CC5"/>
    <w:rsid w:val="0087433C"/>
    <w:rsid w:val="00874DEE"/>
    <w:rsid w:val="00874FDD"/>
    <w:rsid w:val="008754E9"/>
    <w:rsid w:val="008759DD"/>
    <w:rsid w:val="00875DCE"/>
    <w:rsid w:val="00876B35"/>
    <w:rsid w:val="008779F3"/>
    <w:rsid w:val="00880801"/>
    <w:rsid w:val="00880B79"/>
    <w:rsid w:val="00880CA4"/>
    <w:rsid w:val="008813F9"/>
    <w:rsid w:val="00881552"/>
    <w:rsid w:val="00881881"/>
    <w:rsid w:val="00881CA3"/>
    <w:rsid w:val="00882360"/>
    <w:rsid w:val="0088276C"/>
    <w:rsid w:val="008829DE"/>
    <w:rsid w:val="008834C1"/>
    <w:rsid w:val="00883C5D"/>
    <w:rsid w:val="00883CA3"/>
    <w:rsid w:val="00883CA6"/>
    <w:rsid w:val="008842A3"/>
    <w:rsid w:val="00885141"/>
    <w:rsid w:val="00885DF8"/>
    <w:rsid w:val="008861E5"/>
    <w:rsid w:val="0088643F"/>
    <w:rsid w:val="008868C5"/>
    <w:rsid w:val="00886AF0"/>
    <w:rsid w:val="00886D3B"/>
    <w:rsid w:val="00887495"/>
    <w:rsid w:val="008879C0"/>
    <w:rsid w:val="00891837"/>
    <w:rsid w:val="00891EB9"/>
    <w:rsid w:val="00891F3C"/>
    <w:rsid w:val="00892AAF"/>
    <w:rsid w:val="00893113"/>
    <w:rsid w:val="008932E2"/>
    <w:rsid w:val="0089358D"/>
    <w:rsid w:val="0089378A"/>
    <w:rsid w:val="00893A9E"/>
    <w:rsid w:val="00893AA8"/>
    <w:rsid w:val="00893AB0"/>
    <w:rsid w:val="00893C5E"/>
    <w:rsid w:val="00893DDC"/>
    <w:rsid w:val="00893EC4"/>
    <w:rsid w:val="00893FC1"/>
    <w:rsid w:val="0089497E"/>
    <w:rsid w:val="00894AE2"/>
    <w:rsid w:val="00894B84"/>
    <w:rsid w:val="00894BA9"/>
    <w:rsid w:val="00894C8B"/>
    <w:rsid w:val="00896558"/>
    <w:rsid w:val="0089660F"/>
    <w:rsid w:val="008969F6"/>
    <w:rsid w:val="00896FB5"/>
    <w:rsid w:val="00897305"/>
    <w:rsid w:val="0089735D"/>
    <w:rsid w:val="00897435"/>
    <w:rsid w:val="008A00E2"/>
    <w:rsid w:val="008A0123"/>
    <w:rsid w:val="008A0833"/>
    <w:rsid w:val="008A0C0A"/>
    <w:rsid w:val="008A12B9"/>
    <w:rsid w:val="008A1CB8"/>
    <w:rsid w:val="008A2EE8"/>
    <w:rsid w:val="008A37F4"/>
    <w:rsid w:val="008A3A03"/>
    <w:rsid w:val="008A3CB6"/>
    <w:rsid w:val="008A3F9E"/>
    <w:rsid w:val="008A45CE"/>
    <w:rsid w:val="008A462B"/>
    <w:rsid w:val="008A4BE0"/>
    <w:rsid w:val="008A5938"/>
    <w:rsid w:val="008A5DB7"/>
    <w:rsid w:val="008A6065"/>
    <w:rsid w:val="008A62C7"/>
    <w:rsid w:val="008A6549"/>
    <w:rsid w:val="008A65C4"/>
    <w:rsid w:val="008A66B7"/>
    <w:rsid w:val="008A6799"/>
    <w:rsid w:val="008A6F53"/>
    <w:rsid w:val="008A72F0"/>
    <w:rsid w:val="008A742D"/>
    <w:rsid w:val="008A7637"/>
    <w:rsid w:val="008A7E37"/>
    <w:rsid w:val="008B016F"/>
    <w:rsid w:val="008B0173"/>
    <w:rsid w:val="008B059A"/>
    <w:rsid w:val="008B0CE3"/>
    <w:rsid w:val="008B0FF1"/>
    <w:rsid w:val="008B1080"/>
    <w:rsid w:val="008B12BF"/>
    <w:rsid w:val="008B13CD"/>
    <w:rsid w:val="008B1739"/>
    <w:rsid w:val="008B1793"/>
    <w:rsid w:val="008B17A7"/>
    <w:rsid w:val="008B23B4"/>
    <w:rsid w:val="008B2B8F"/>
    <w:rsid w:val="008B3442"/>
    <w:rsid w:val="008B39DE"/>
    <w:rsid w:val="008B402C"/>
    <w:rsid w:val="008B404D"/>
    <w:rsid w:val="008B4335"/>
    <w:rsid w:val="008B44B5"/>
    <w:rsid w:val="008B4B39"/>
    <w:rsid w:val="008B4C0D"/>
    <w:rsid w:val="008B50A4"/>
    <w:rsid w:val="008B54FB"/>
    <w:rsid w:val="008B5D36"/>
    <w:rsid w:val="008B6121"/>
    <w:rsid w:val="008B67FC"/>
    <w:rsid w:val="008B681D"/>
    <w:rsid w:val="008B6AA5"/>
    <w:rsid w:val="008B6B7A"/>
    <w:rsid w:val="008B7069"/>
    <w:rsid w:val="008B7211"/>
    <w:rsid w:val="008B7D75"/>
    <w:rsid w:val="008C00D6"/>
    <w:rsid w:val="008C045A"/>
    <w:rsid w:val="008C0BCE"/>
    <w:rsid w:val="008C0D2F"/>
    <w:rsid w:val="008C1002"/>
    <w:rsid w:val="008C11B8"/>
    <w:rsid w:val="008C1252"/>
    <w:rsid w:val="008C205C"/>
    <w:rsid w:val="008C287F"/>
    <w:rsid w:val="008C2A3E"/>
    <w:rsid w:val="008C2BFD"/>
    <w:rsid w:val="008C2E3D"/>
    <w:rsid w:val="008C346F"/>
    <w:rsid w:val="008C36B4"/>
    <w:rsid w:val="008C3743"/>
    <w:rsid w:val="008C3767"/>
    <w:rsid w:val="008C3873"/>
    <w:rsid w:val="008C394E"/>
    <w:rsid w:val="008C3ABE"/>
    <w:rsid w:val="008C3AE5"/>
    <w:rsid w:val="008C3CEF"/>
    <w:rsid w:val="008C3EE8"/>
    <w:rsid w:val="008C4751"/>
    <w:rsid w:val="008C4953"/>
    <w:rsid w:val="008C5656"/>
    <w:rsid w:val="008C5702"/>
    <w:rsid w:val="008C6094"/>
    <w:rsid w:val="008C6826"/>
    <w:rsid w:val="008C6AB7"/>
    <w:rsid w:val="008C70D2"/>
    <w:rsid w:val="008C72DE"/>
    <w:rsid w:val="008C7452"/>
    <w:rsid w:val="008C781E"/>
    <w:rsid w:val="008C7B9B"/>
    <w:rsid w:val="008C7D37"/>
    <w:rsid w:val="008C7FFD"/>
    <w:rsid w:val="008D0427"/>
    <w:rsid w:val="008D059A"/>
    <w:rsid w:val="008D0AA9"/>
    <w:rsid w:val="008D0B89"/>
    <w:rsid w:val="008D0C5C"/>
    <w:rsid w:val="008D0D83"/>
    <w:rsid w:val="008D154F"/>
    <w:rsid w:val="008D16D6"/>
    <w:rsid w:val="008D21C0"/>
    <w:rsid w:val="008D2642"/>
    <w:rsid w:val="008D29BA"/>
    <w:rsid w:val="008D3283"/>
    <w:rsid w:val="008D347A"/>
    <w:rsid w:val="008D462F"/>
    <w:rsid w:val="008D4718"/>
    <w:rsid w:val="008D4A59"/>
    <w:rsid w:val="008D6836"/>
    <w:rsid w:val="008D774F"/>
    <w:rsid w:val="008D780D"/>
    <w:rsid w:val="008D7DFE"/>
    <w:rsid w:val="008E0665"/>
    <w:rsid w:val="008E09CF"/>
    <w:rsid w:val="008E09E6"/>
    <w:rsid w:val="008E0D9A"/>
    <w:rsid w:val="008E14A2"/>
    <w:rsid w:val="008E2216"/>
    <w:rsid w:val="008E22B7"/>
    <w:rsid w:val="008E26C7"/>
    <w:rsid w:val="008E283F"/>
    <w:rsid w:val="008E2840"/>
    <w:rsid w:val="008E2CA6"/>
    <w:rsid w:val="008E3028"/>
    <w:rsid w:val="008E3256"/>
    <w:rsid w:val="008E3660"/>
    <w:rsid w:val="008E3821"/>
    <w:rsid w:val="008E3A26"/>
    <w:rsid w:val="008E4D53"/>
    <w:rsid w:val="008E5A57"/>
    <w:rsid w:val="008E5AA2"/>
    <w:rsid w:val="008E5E81"/>
    <w:rsid w:val="008E6050"/>
    <w:rsid w:val="008E632C"/>
    <w:rsid w:val="008E6E8D"/>
    <w:rsid w:val="008E75CE"/>
    <w:rsid w:val="008E7A1A"/>
    <w:rsid w:val="008E7A85"/>
    <w:rsid w:val="008F01A1"/>
    <w:rsid w:val="008F042E"/>
    <w:rsid w:val="008F079C"/>
    <w:rsid w:val="008F083A"/>
    <w:rsid w:val="008F0857"/>
    <w:rsid w:val="008F164B"/>
    <w:rsid w:val="008F16B5"/>
    <w:rsid w:val="008F198B"/>
    <w:rsid w:val="008F1CC0"/>
    <w:rsid w:val="008F1CC9"/>
    <w:rsid w:val="008F2226"/>
    <w:rsid w:val="008F2440"/>
    <w:rsid w:val="008F3144"/>
    <w:rsid w:val="008F31CB"/>
    <w:rsid w:val="008F34C2"/>
    <w:rsid w:val="008F379D"/>
    <w:rsid w:val="008F3819"/>
    <w:rsid w:val="008F39DE"/>
    <w:rsid w:val="008F3C77"/>
    <w:rsid w:val="008F4088"/>
    <w:rsid w:val="008F4184"/>
    <w:rsid w:val="008F426A"/>
    <w:rsid w:val="008F43E1"/>
    <w:rsid w:val="008F4411"/>
    <w:rsid w:val="008F45D1"/>
    <w:rsid w:val="008F4E6E"/>
    <w:rsid w:val="008F506C"/>
    <w:rsid w:val="008F5A46"/>
    <w:rsid w:val="008F6521"/>
    <w:rsid w:val="008F67F9"/>
    <w:rsid w:val="008F7020"/>
    <w:rsid w:val="008F70C4"/>
    <w:rsid w:val="008F7390"/>
    <w:rsid w:val="008F73C8"/>
    <w:rsid w:val="008F76A5"/>
    <w:rsid w:val="008F7DCC"/>
    <w:rsid w:val="00900273"/>
    <w:rsid w:val="009013BF"/>
    <w:rsid w:val="00901587"/>
    <w:rsid w:val="00902053"/>
    <w:rsid w:val="00902393"/>
    <w:rsid w:val="00902737"/>
    <w:rsid w:val="00902760"/>
    <w:rsid w:val="009029B9"/>
    <w:rsid w:val="0090353B"/>
    <w:rsid w:val="00903667"/>
    <w:rsid w:val="00903883"/>
    <w:rsid w:val="009039B3"/>
    <w:rsid w:val="00903B34"/>
    <w:rsid w:val="00903CA2"/>
    <w:rsid w:val="00904909"/>
    <w:rsid w:val="00904BB4"/>
    <w:rsid w:val="00904CE2"/>
    <w:rsid w:val="00905A3C"/>
    <w:rsid w:val="00905DAB"/>
    <w:rsid w:val="009064AE"/>
    <w:rsid w:val="00906710"/>
    <w:rsid w:val="0090696E"/>
    <w:rsid w:val="00906CB9"/>
    <w:rsid w:val="009078C8"/>
    <w:rsid w:val="00907B50"/>
    <w:rsid w:val="00907EB8"/>
    <w:rsid w:val="00907F7C"/>
    <w:rsid w:val="00907F9D"/>
    <w:rsid w:val="009113EF"/>
    <w:rsid w:val="00911674"/>
    <w:rsid w:val="0091187A"/>
    <w:rsid w:val="00911C2F"/>
    <w:rsid w:val="00911CDD"/>
    <w:rsid w:val="00912819"/>
    <w:rsid w:val="00913321"/>
    <w:rsid w:val="00913767"/>
    <w:rsid w:val="00913A09"/>
    <w:rsid w:val="00913E5E"/>
    <w:rsid w:val="00913FF2"/>
    <w:rsid w:val="0091401E"/>
    <w:rsid w:val="0091466D"/>
    <w:rsid w:val="0091507D"/>
    <w:rsid w:val="00915982"/>
    <w:rsid w:val="00915B95"/>
    <w:rsid w:val="00915F5F"/>
    <w:rsid w:val="0091620E"/>
    <w:rsid w:val="0091658B"/>
    <w:rsid w:val="00916C4D"/>
    <w:rsid w:val="00916DCD"/>
    <w:rsid w:val="009174A8"/>
    <w:rsid w:val="00917BD9"/>
    <w:rsid w:val="00920092"/>
    <w:rsid w:val="009202D4"/>
    <w:rsid w:val="009206FD"/>
    <w:rsid w:val="009208FF"/>
    <w:rsid w:val="00920AF4"/>
    <w:rsid w:val="00921AFF"/>
    <w:rsid w:val="00922840"/>
    <w:rsid w:val="00922989"/>
    <w:rsid w:val="00922ACF"/>
    <w:rsid w:val="00922E78"/>
    <w:rsid w:val="00922E7B"/>
    <w:rsid w:val="00922EA4"/>
    <w:rsid w:val="00922F09"/>
    <w:rsid w:val="0092319E"/>
    <w:rsid w:val="0092386E"/>
    <w:rsid w:val="009242C5"/>
    <w:rsid w:val="009244C2"/>
    <w:rsid w:val="00924D5C"/>
    <w:rsid w:val="00924E6B"/>
    <w:rsid w:val="009254B7"/>
    <w:rsid w:val="00925571"/>
    <w:rsid w:val="00925780"/>
    <w:rsid w:val="009259EA"/>
    <w:rsid w:val="00925CBE"/>
    <w:rsid w:val="00926953"/>
    <w:rsid w:val="009269BE"/>
    <w:rsid w:val="00926B0D"/>
    <w:rsid w:val="00926F43"/>
    <w:rsid w:val="009278D1"/>
    <w:rsid w:val="009305D8"/>
    <w:rsid w:val="009314AB"/>
    <w:rsid w:val="00931C5B"/>
    <w:rsid w:val="00931C81"/>
    <w:rsid w:val="00931EA5"/>
    <w:rsid w:val="00932294"/>
    <w:rsid w:val="00932A80"/>
    <w:rsid w:val="00933A33"/>
    <w:rsid w:val="009342A9"/>
    <w:rsid w:val="00934C1C"/>
    <w:rsid w:val="009351C1"/>
    <w:rsid w:val="009353D8"/>
    <w:rsid w:val="00935919"/>
    <w:rsid w:val="00935B3D"/>
    <w:rsid w:val="00935FBF"/>
    <w:rsid w:val="00936402"/>
    <w:rsid w:val="00936425"/>
    <w:rsid w:val="00936A97"/>
    <w:rsid w:val="009371FB"/>
    <w:rsid w:val="00937401"/>
    <w:rsid w:val="00937DE1"/>
    <w:rsid w:val="00937E69"/>
    <w:rsid w:val="00940BC5"/>
    <w:rsid w:val="00940C55"/>
    <w:rsid w:val="009412BA"/>
    <w:rsid w:val="0094134E"/>
    <w:rsid w:val="00941882"/>
    <w:rsid w:val="00941EE2"/>
    <w:rsid w:val="00942077"/>
    <w:rsid w:val="009424AF"/>
    <w:rsid w:val="00942EFA"/>
    <w:rsid w:val="0094337C"/>
    <w:rsid w:val="0094340B"/>
    <w:rsid w:val="00943B12"/>
    <w:rsid w:val="00943F7E"/>
    <w:rsid w:val="00944589"/>
    <w:rsid w:val="00944B23"/>
    <w:rsid w:val="00944C64"/>
    <w:rsid w:val="00945ED2"/>
    <w:rsid w:val="0094642A"/>
    <w:rsid w:val="00946EDB"/>
    <w:rsid w:val="009472A6"/>
    <w:rsid w:val="0094760F"/>
    <w:rsid w:val="00947AC1"/>
    <w:rsid w:val="009500B4"/>
    <w:rsid w:val="009508B6"/>
    <w:rsid w:val="0095093D"/>
    <w:rsid w:val="00950972"/>
    <w:rsid w:val="00950A3D"/>
    <w:rsid w:val="009516C1"/>
    <w:rsid w:val="00951BD7"/>
    <w:rsid w:val="0095201A"/>
    <w:rsid w:val="009520D9"/>
    <w:rsid w:val="00952F90"/>
    <w:rsid w:val="00953706"/>
    <w:rsid w:val="009537A7"/>
    <w:rsid w:val="0095396F"/>
    <w:rsid w:val="009551F6"/>
    <w:rsid w:val="009552EA"/>
    <w:rsid w:val="009553CC"/>
    <w:rsid w:val="009559AE"/>
    <w:rsid w:val="0095665F"/>
    <w:rsid w:val="00956784"/>
    <w:rsid w:val="00957B92"/>
    <w:rsid w:val="00960064"/>
    <w:rsid w:val="0096023D"/>
    <w:rsid w:val="0096177F"/>
    <w:rsid w:val="009619A1"/>
    <w:rsid w:val="00961A54"/>
    <w:rsid w:val="00961C96"/>
    <w:rsid w:val="00962896"/>
    <w:rsid w:val="00962E72"/>
    <w:rsid w:val="00962E9D"/>
    <w:rsid w:val="00963765"/>
    <w:rsid w:val="009643D4"/>
    <w:rsid w:val="00964AF3"/>
    <w:rsid w:val="00965C72"/>
    <w:rsid w:val="0096664F"/>
    <w:rsid w:val="00967264"/>
    <w:rsid w:val="00967BEB"/>
    <w:rsid w:val="00967C4F"/>
    <w:rsid w:val="0097023F"/>
    <w:rsid w:val="00970998"/>
    <w:rsid w:val="00970AF1"/>
    <w:rsid w:val="009712BA"/>
    <w:rsid w:val="0097136A"/>
    <w:rsid w:val="009713A6"/>
    <w:rsid w:val="009734ED"/>
    <w:rsid w:val="0097361B"/>
    <w:rsid w:val="00973A73"/>
    <w:rsid w:val="00974355"/>
    <w:rsid w:val="00975D2C"/>
    <w:rsid w:val="00975DC5"/>
    <w:rsid w:val="009768C6"/>
    <w:rsid w:val="00976D3D"/>
    <w:rsid w:val="009772DC"/>
    <w:rsid w:val="0097785A"/>
    <w:rsid w:val="00977A63"/>
    <w:rsid w:val="00980274"/>
    <w:rsid w:val="00980610"/>
    <w:rsid w:val="009807ED"/>
    <w:rsid w:val="00980D1B"/>
    <w:rsid w:val="00981706"/>
    <w:rsid w:val="00981C43"/>
    <w:rsid w:val="00981E38"/>
    <w:rsid w:val="009825FE"/>
    <w:rsid w:val="009827A7"/>
    <w:rsid w:val="00982CF6"/>
    <w:rsid w:val="0098332F"/>
    <w:rsid w:val="009836CE"/>
    <w:rsid w:val="0098515D"/>
    <w:rsid w:val="00985172"/>
    <w:rsid w:val="0098592D"/>
    <w:rsid w:val="00985DDA"/>
    <w:rsid w:val="00986221"/>
    <w:rsid w:val="0098669F"/>
    <w:rsid w:val="00986B6B"/>
    <w:rsid w:val="009875F6"/>
    <w:rsid w:val="009877D9"/>
    <w:rsid w:val="00987946"/>
    <w:rsid w:val="00987AA0"/>
    <w:rsid w:val="0099024D"/>
    <w:rsid w:val="009906C9"/>
    <w:rsid w:val="00990A76"/>
    <w:rsid w:val="00990BDB"/>
    <w:rsid w:val="00990E9E"/>
    <w:rsid w:val="0099179A"/>
    <w:rsid w:val="00991863"/>
    <w:rsid w:val="00991FEE"/>
    <w:rsid w:val="009923C9"/>
    <w:rsid w:val="00992D1F"/>
    <w:rsid w:val="00992D7B"/>
    <w:rsid w:val="00992FB8"/>
    <w:rsid w:val="009933DC"/>
    <w:rsid w:val="009934B2"/>
    <w:rsid w:val="009935C9"/>
    <w:rsid w:val="00993777"/>
    <w:rsid w:val="00993A0F"/>
    <w:rsid w:val="00994750"/>
    <w:rsid w:val="009959DA"/>
    <w:rsid w:val="009959E3"/>
    <w:rsid w:val="00995B70"/>
    <w:rsid w:val="00995F10"/>
    <w:rsid w:val="00996114"/>
    <w:rsid w:val="00996281"/>
    <w:rsid w:val="009967FB"/>
    <w:rsid w:val="009969EF"/>
    <w:rsid w:val="00996B44"/>
    <w:rsid w:val="00997913"/>
    <w:rsid w:val="00997B98"/>
    <w:rsid w:val="009A008A"/>
    <w:rsid w:val="009A00C9"/>
    <w:rsid w:val="009A03BE"/>
    <w:rsid w:val="009A0904"/>
    <w:rsid w:val="009A0F67"/>
    <w:rsid w:val="009A1277"/>
    <w:rsid w:val="009A1397"/>
    <w:rsid w:val="009A1A49"/>
    <w:rsid w:val="009A209B"/>
    <w:rsid w:val="009A2542"/>
    <w:rsid w:val="009A2BAC"/>
    <w:rsid w:val="009A2FF2"/>
    <w:rsid w:val="009A32B4"/>
    <w:rsid w:val="009A364B"/>
    <w:rsid w:val="009A40EC"/>
    <w:rsid w:val="009A4869"/>
    <w:rsid w:val="009A4A4C"/>
    <w:rsid w:val="009A4C43"/>
    <w:rsid w:val="009A4CBF"/>
    <w:rsid w:val="009A51D9"/>
    <w:rsid w:val="009A5B12"/>
    <w:rsid w:val="009A5C42"/>
    <w:rsid w:val="009A5F65"/>
    <w:rsid w:val="009A6298"/>
    <w:rsid w:val="009A65C1"/>
    <w:rsid w:val="009A68E0"/>
    <w:rsid w:val="009A7CAF"/>
    <w:rsid w:val="009A7EF5"/>
    <w:rsid w:val="009B0199"/>
    <w:rsid w:val="009B0434"/>
    <w:rsid w:val="009B04EB"/>
    <w:rsid w:val="009B0579"/>
    <w:rsid w:val="009B0582"/>
    <w:rsid w:val="009B11D1"/>
    <w:rsid w:val="009B1F41"/>
    <w:rsid w:val="009B2599"/>
    <w:rsid w:val="009B2FF9"/>
    <w:rsid w:val="009B3098"/>
    <w:rsid w:val="009B3A50"/>
    <w:rsid w:val="009B41D2"/>
    <w:rsid w:val="009B47A1"/>
    <w:rsid w:val="009B48EB"/>
    <w:rsid w:val="009B60A5"/>
    <w:rsid w:val="009B63DA"/>
    <w:rsid w:val="009B6DD6"/>
    <w:rsid w:val="009B78EE"/>
    <w:rsid w:val="009B7C1D"/>
    <w:rsid w:val="009C05A5"/>
    <w:rsid w:val="009C07D1"/>
    <w:rsid w:val="009C0F4C"/>
    <w:rsid w:val="009C1524"/>
    <w:rsid w:val="009C15C8"/>
    <w:rsid w:val="009C1E46"/>
    <w:rsid w:val="009C20E3"/>
    <w:rsid w:val="009C2188"/>
    <w:rsid w:val="009C21EA"/>
    <w:rsid w:val="009C222E"/>
    <w:rsid w:val="009C273C"/>
    <w:rsid w:val="009C2771"/>
    <w:rsid w:val="009C2AE4"/>
    <w:rsid w:val="009C3474"/>
    <w:rsid w:val="009C3710"/>
    <w:rsid w:val="009C3EF3"/>
    <w:rsid w:val="009C4058"/>
    <w:rsid w:val="009C47A7"/>
    <w:rsid w:val="009C4E40"/>
    <w:rsid w:val="009C568C"/>
    <w:rsid w:val="009C5CA1"/>
    <w:rsid w:val="009C5D04"/>
    <w:rsid w:val="009C5F2E"/>
    <w:rsid w:val="009C602D"/>
    <w:rsid w:val="009C611E"/>
    <w:rsid w:val="009C6791"/>
    <w:rsid w:val="009C6A81"/>
    <w:rsid w:val="009C6E0A"/>
    <w:rsid w:val="009C77E5"/>
    <w:rsid w:val="009C7A4E"/>
    <w:rsid w:val="009C7CED"/>
    <w:rsid w:val="009C7D30"/>
    <w:rsid w:val="009D0004"/>
    <w:rsid w:val="009D0578"/>
    <w:rsid w:val="009D0ACC"/>
    <w:rsid w:val="009D1A07"/>
    <w:rsid w:val="009D1BE5"/>
    <w:rsid w:val="009D1FCB"/>
    <w:rsid w:val="009D2035"/>
    <w:rsid w:val="009D354F"/>
    <w:rsid w:val="009D35EA"/>
    <w:rsid w:val="009D4520"/>
    <w:rsid w:val="009D456C"/>
    <w:rsid w:val="009D4849"/>
    <w:rsid w:val="009D4D86"/>
    <w:rsid w:val="009D557D"/>
    <w:rsid w:val="009D5752"/>
    <w:rsid w:val="009D67B3"/>
    <w:rsid w:val="009D71AB"/>
    <w:rsid w:val="009D7BCB"/>
    <w:rsid w:val="009E0C6F"/>
    <w:rsid w:val="009E0CA0"/>
    <w:rsid w:val="009E0E57"/>
    <w:rsid w:val="009E1392"/>
    <w:rsid w:val="009E1631"/>
    <w:rsid w:val="009E1D7F"/>
    <w:rsid w:val="009E1EF8"/>
    <w:rsid w:val="009E2A00"/>
    <w:rsid w:val="009E2F12"/>
    <w:rsid w:val="009E418D"/>
    <w:rsid w:val="009E490C"/>
    <w:rsid w:val="009E4B79"/>
    <w:rsid w:val="009E4BDD"/>
    <w:rsid w:val="009E5444"/>
    <w:rsid w:val="009E563C"/>
    <w:rsid w:val="009E70B0"/>
    <w:rsid w:val="009E7114"/>
    <w:rsid w:val="009E73A9"/>
    <w:rsid w:val="009E7512"/>
    <w:rsid w:val="009E75DF"/>
    <w:rsid w:val="009E7A1B"/>
    <w:rsid w:val="009F02A1"/>
    <w:rsid w:val="009F05D6"/>
    <w:rsid w:val="009F0731"/>
    <w:rsid w:val="009F0889"/>
    <w:rsid w:val="009F0CB9"/>
    <w:rsid w:val="009F10BC"/>
    <w:rsid w:val="009F143F"/>
    <w:rsid w:val="009F1C83"/>
    <w:rsid w:val="009F23F8"/>
    <w:rsid w:val="009F2606"/>
    <w:rsid w:val="009F2B88"/>
    <w:rsid w:val="009F2BBB"/>
    <w:rsid w:val="009F3014"/>
    <w:rsid w:val="009F3109"/>
    <w:rsid w:val="009F3209"/>
    <w:rsid w:val="009F36FB"/>
    <w:rsid w:val="009F3763"/>
    <w:rsid w:val="009F3D0B"/>
    <w:rsid w:val="009F45DB"/>
    <w:rsid w:val="009F4BA9"/>
    <w:rsid w:val="009F4DB3"/>
    <w:rsid w:val="009F5605"/>
    <w:rsid w:val="009F5641"/>
    <w:rsid w:val="009F5AAC"/>
    <w:rsid w:val="009F5DC9"/>
    <w:rsid w:val="009F5EA0"/>
    <w:rsid w:val="009F5FF3"/>
    <w:rsid w:val="009F6104"/>
    <w:rsid w:val="009F6335"/>
    <w:rsid w:val="009F662B"/>
    <w:rsid w:val="009F67DF"/>
    <w:rsid w:val="009F6ABD"/>
    <w:rsid w:val="009F7B75"/>
    <w:rsid w:val="009F7E9E"/>
    <w:rsid w:val="009F7FFB"/>
    <w:rsid w:val="00A00604"/>
    <w:rsid w:val="00A00848"/>
    <w:rsid w:val="00A0085F"/>
    <w:rsid w:val="00A0143F"/>
    <w:rsid w:val="00A01842"/>
    <w:rsid w:val="00A01A22"/>
    <w:rsid w:val="00A01DEA"/>
    <w:rsid w:val="00A01FD3"/>
    <w:rsid w:val="00A02C7B"/>
    <w:rsid w:val="00A031CE"/>
    <w:rsid w:val="00A0374C"/>
    <w:rsid w:val="00A03B73"/>
    <w:rsid w:val="00A03B95"/>
    <w:rsid w:val="00A03CD4"/>
    <w:rsid w:val="00A03D90"/>
    <w:rsid w:val="00A03E68"/>
    <w:rsid w:val="00A04420"/>
    <w:rsid w:val="00A0452D"/>
    <w:rsid w:val="00A053EC"/>
    <w:rsid w:val="00A05411"/>
    <w:rsid w:val="00A05687"/>
    <w:rsid w:val="00A0568C"/>
    <w:rsid w:val="00A059F9"/>
    <w:rsid w:val="00A05C99"/>
    <w:rsid w:val="00A069FD"/>
    <w:rsid w:val="00A07195"/>
    <w:rsid w:val="00A10FC1"/>
    <w:rsid w:val="00A1166E"/>
    <w:rsid w:val="00A11747"/>
    <w:rsid w:val="00A123D5"/>
    <w:rsid w:val="00A12A30"/>
    <w:rsid w:val="00A12B0B"/>
    <w:rsid w:val="00A12DBB"/>
    <w:rsid w:val="00A12EF3"/>
    <w:rsid w:val="00A13C56"/>
    <w:rsid w:val="00A1434E"/>
    <w:rsid w:val="00A145E7"/>
    <w:rsid w:val="00A155E1"/>
    <w:rsid w:val="00A1668C"/>
    <w:rsid w:val="00A169EC"/>
    <w:rsid w:val="00A16A78"/>
    <w:rsid w:val="00A16B78"/>
    <w:rsid w:val="00A17AF3"/>
    <w:rsid w:val="00A17DBA"/>
    <w:rsid w:val="00A20268"/>
    <w:rsid w:val="00A2036A"/>
    <w:rsid w:val="00A20A86"/>
    <w:rsid w:val="00A20FF5"/>
    <w:rsid w:val="00A21075"/>
    <w:rsid w:val="00A2126C"/>
    <w:rsid w:val="00A2152E"/>
    <w:rsid w:val="00A21572"/>
    <w:rsid w:val="00A218C4"/>
    <w:rsid w:val="00A21A5A"/>
    <w:rsid w:val="00A21DFC"/>
    <w:rsid w:val="00A21EC7"/>
    <w:rsid w:val="00A22BDA"/>
    <w:rsid w:val="00A230F5"/>
    <w:rsid w:val="00A23285"/>
    <w:rsid w:val="00A23ACE"/>
    <w:rsid w:val="00A24755"/>
    <w:rsid w:val="00A251C2"/>
    <w:rsid w:val="00A2576E"/>
    <w:rsid w:val="00A25C29"/>
    <w:rsid w:val="00A25D25"/>
    <w:rsid w:val="00A25FC2"/>
    <w:rsid w:val="00A26EAE"/>
    <w:rsid w:val="00A26F7A"/>
    <w:rsid w:val="00A27C4D"/>
    <w:rsid w:val="00A27C92"/>
    <w:rsid w:val="00A30374"/>
    <w:rsid w:val="00A30881"/>
    <w:rsid w:val="00A3089C"/>
    <w:rsid w:val="00A30B29"/>
    <w:rsid w:val="00A30B5A"/>
    <w:rsid w:val="00A30C2B"/>
    <w:rsid w:val="00A31217"/>
    <w:rsid w:val="00A31383"/>
    <w:rsid w:val="00A31535"/>
    <w:rsid w:val="00A3216C"/>
    <w:rsid w:val="00A32A26"/>
    <w:rsid w:val="00A33060"/>
    <w:rsid w:val="00A334D4"/>
    <w:rsid w:val="00A3360D"/>
    <w:rsid w:val="00A33D17"/>
    <w:rsid w:val="00A34BE5"/>
    <w:rsid w:val="00A34BEE"/>
    <w:rsid w:val="00A34F5C"/>
    <w:rsid w:val="00A34F7E"/>
    <w:rsid w:val="00A354AF"/>
    <w:rsid w:val="00A362F4"/>
    <w:rsid w:val="00A36477"/>
    <w:rsid w:val="00A36B14"/>
    <w:rsid w:val="00A3723C"/>
    <w:rsid w:val="00A372BC"/>
    <w:rsid w:val="00A372D1"/>
    <w:rsid w:val="00A404B3"/>
    <w:rsid w:val="00A414B2"/>
    <w:rsid w:val="00A4190E"/>
    <w:rsid w:val="00A41B9E"/>
    <w:rsid w:val="00A42645"/>
    <w:rsid w:val="00A4273A"/>
    <w:rsid w:val="00A42944"/>
    <w:rsid w:val="00A42C16"/>
    <w:rsid w:val="00A42C4C"/>
    <w:rsid w:val="00A42DD1"/>
    <w:rsid w:val="00A43429"/>
    <w:rsid w:val="00A44777"/>
    <w:rsid w:val="00A45368"/>
    <w:rsid w:val="00A45842"/>
    <w:rsid w:val="00A45A71"/>
    <w:rsid w:val="00A45DAA"/>
    <w:rsid w:val="00A45FF1"/>
    <w:rsid w:val="00A46051"/>
    <w:rsid w:val="00A47057"/>
    <w:rsid w:val="00A472BB"/>
    <w:rsid w:val="00A4736D"/>
    <w:rsid w:val="00A475E0"/>
    <w:rsid w:val="00A47F82"/>
    <w:rsid w:val="00A509C5"/>
    <w:rsid w:val="00A517CC"/>
    <w:rsid w:val="00A520C1"/>
    <w:rsid w:val="00A5250F"/>
    <w:rsid w:val="00A52862"/>
    <w:rsid w:val="00A52B39"/>
    <w:rsid w:val="00A53226"/>
    <w:rsid w:val="00A53552"/>
    <w:rsid w:val="00A538DD"/>
    <w:rsid w:val="00A539FD"/>
    <w:rsid w:val="00A543D3"/>
    <w:rsid w:val="00A54D39"/>
    <w:rsid w:val="00A54EC5"/>
    <w:rsid w:val="00A556C3"/>
    <w:rsid w:val="00A5573D"/>
    <w:rsid w:val="00A559DE"/>
    <w:rsid w:val="00A55E7C"/>
    <w:rsid w:val="00A55FBB"/>
    <w:rsid w:val="00A5632C"/>
    <w:rsid w:val="00A56717"/>
    <w:rsid w:val="00A56D1E"/>
    <w:rsid w:val="00A57D9B"/>
    <w:rsid w:val="00A601CE"/>
    <w:rsid w:val="00A60282"/>
    <w:rsid w:val="00A60697"/>
    <w:rsid w:val="00A608DE"/>
    <w:rsid w:val="00A610D5"/>
    <w:rsid w:val="00A61AD1"/>
    <w:rsid w:val="00A61F6E"/>
    <w:rsid w:val="00A628C9"/>
    <w:rsid w:val="00A62C70"/>
    <w:rsid w:val="00A62D6B"/>
    <w:rsid w:val="00A62E07"/>
    <w:rsid w:val="00A63324"/>
    <w:rsid w:val="00A64776"/>
    <w:rsid w:val="00A64951"/>
    <w:rsid w:val="00A64B27"/>
    <w:rsid w:val="00A64BCF"/>
    <w:rsid w:val="00A65164"/>
    <w:rsid w:val="00A652AC"/>
    <w:rsid w:val="00A65351"/>
    <w:rsid w:val="00A656B8"/>
    <w:rsid w:val="00A662E0"/>
    <w:rsid w:val="00A6645E"/>
    <w:rsid w:val="00A665D1"/>
    <w:rsid w:val="00A668B2"/>
    <w:rsid w:val="00A66950"/>
    <w:rsid w:val="00A67030"/>
    <w:rsid w:val="00A67180"/>
    <w:rsid w:val="00A676B7"/>
    <w:rsid w:val="00A70835"/>
    <w:rsid w:val="00A708ED"/>
    <w:rsid w:val="00A70F2C"/>
    <w:rsid w:val="00A711CA"/>
    <w:rsid w:val="00A71F0C"/>
    <w:rsid w:val="00A72124"/>
    <w:rsid w:val="00A7221E"/>
    <w:rsid w:val="00A723AB"/>
    <w:rsid w:val="00A72775"/>
    <w:rsid w:val="00A72D64"/>
    <w:rsid w:val="00A73583"/>
    <w:rsid w:val="00A736AB"/>
    <w:rsid w:val="00A73724"/>
    <w:rsid w:val="00A7373A"/>
    <w:rsid w:val="00A737A9"/>
    <w:rsid w:val="00A73934"/>
    <w:rsid w:val="00A73D5C"/>
    <w:rsid w:val="00A73D8F"/>
    <w:rsid w:val="00A74094"/>
    <w:rsid w:val="00A7409F"/>
    <w:rsid w:val="00A74209"/>
    <w:rsid w:val="00A748AF"/>
    <w:rsid w:val="00A748C3"/>
    <w:rsid w:val="00A75219"/>
    <w:rsid w:val="00A758F7"/>
    <w:rsid w:val="00A75FC4"/>
    <w:rsid w:val="00A767B1"/>
    <w:rsid w:val="00A76D97"/>
    <w:rsid w:val="00A775AE"/>
    <w:rsid w:val="00A77900"/>
    <w:rsid w:val="00A80555"/>
    <w:rsid w:val="00A80CC2"/>
    <w:rsid w:val="00A81BBE"/>
    <w:rsid w:val="00A82183"/>
    <w:rsid w:val="00A822C5"/>
    <w:rsid w:val="00A8273E"/>
    <w:rsid w:val="00A827AC"/>
    <w:rsid w:val="00A82F2F"/>
    <w:rsid w:val="00A82FE1"/>
    <w:rsid w:val="00A83473"/>
    <w:rsid w:val="00A83BCF"/>
    <w:rsid w:val="00A840D5"/>
    <w:rsid w:val="00A84101"/>
    <w:rsid w:val="00A84D29"/>
    <w:rsid w:val="00A859E2"/>
    <w:rsid w:val="00A86068"/>
    <w:rsid w:val="00A86195"/>
    <w:rsid w:val="00A867CC"/>
    <w:rsid w:val="00A86E19"/>
    <w:rsid w:val="00A87083"/>
    <w:rsid w:val="00A87733"/>
    <w:rsid w:val="00A87946"/>
    <w:rsid w:val="00A913BA"/>
    <w:rsid w:val="00A91493"/>
    <w:rsid w:val="00A914C3"/>
    <w:rsid w:val="00A9173A"/>
    <w:rsid w:val="00A91A44"/>
    <w:rsid w:val="00A91BB3"/>
    <w:rsid w:val="00A92D49"/>
    <w:rsid w:val="00A92DD4"/>
    <w:rsid w:val="00A93256"/>
    <w:rsid w:val="00A93332"/>
    <w:rsid w:val="00A933C5"/>
    <w:rsid w:val="00A933F3"/>
    <w:rsid w:val="00A93600"/>
    <w:rsid w:val="00A93683"/>
    <w:rsid w:val="00A936C5"/>
    <w:rsid w:val="00A94F5E"/>
    <w:rsid w:val="00A95484"/>
    <w:rsid w:val="00A9589A"/>
    <w:rsid w:val="00A9599C"/>
    <w:rsid w:val="00A95CA7"/>
    <w:rsid w:val="00A95ED9"/>
    <w:rsid w:val="00A960B0"/>
    <w:rsid w:val="00A96222"/>
    <w:rsid w:val="00A96236"/>
    <w:rsid w:val="00A96446"/>
    <w:rsid w:val="00A9668E"/>
    <w:rsid w:val="00A96897"/>
    <w:rsid w:val="00A969D4"/>
    <w:rsid w:val="00A96A69"/>
    <w:rsid w:val="00A96B57"/>
    <w:rsid w:val="00A97122"/>
    <w:rsid w:val="00A97238"/>
    <w:rsid w:val="00AA0432"/>
    <w:rsid w:val="00AA04DB"/>
    <w:rsid w:val="00AA06AE"/>
    <w:rsid w:val="00AA0876"/>
    <w:rsid w:val="00AA08C6"/>
    <w:rsid w:val="00AA0C10"/>
    <w:rsid w:val="00AA1240"/>
    <w:rsid w:val="00AA14FA"/>
    <w:rsid w:val="00AA1AB2"/>
    <w:rsid w:val="00AA1E5E"/>
    <w:rsid w:val="00AA328E"/>
    <w:rsid w:val="00AA39FC"/>
    <w:rsid w:val="00AA3A61"/>
    <w:rsid w:val="00AA3B21"/>
    <w:rsid w:val="00AA3D79"/>
    <w:rsid w:val="00AA51EC"/>
    <w:rsid w:val="00AA5672"/>
    <w:rsid w:val="00AA5910"/>
    <w:rsid w:val="00AA5B6A"/>
    <w:rsid w:val="00AA6421"/>
    <w:rsid w:val="00AA6728"/>
    <w:rsid w:val="00AA67D6"/>
    <w:rsid w:val="00AA6A3E"/>
    <w:rsid w:val="00AA7A4B"/>
    <w:rsid w:val="00AA7D63"/>
    <w:rsid w:val="00AB00AE"/>
    <w:rsid w:val="00AB0F2C"/>
    <w:rsid w:val="00AB155E"/>
    <w:rsid w:val="00AB2BFB"/>
    <w:rsid w:val="00AB2DAC"/>
    <w:rsid w:val="00AB33BA"/>
    <w:rsid w:val="00AB4535"/>
    <w:rsid w:val="00AB479E"/>
    <w:rsid w:val="00AB489F"/>
    <w:rsid w:val="00AB4FBC"/>
    <w:rsid w:val="00AB53C3"/>
    <w:rsid w:val="00AB5FF9"/>
    <w:rsid w:val="00AB625A"/>
    <w:rsid w:val="00AB64D8"/>
    <w:rsid w:val="00AB7642"/>
    <w:rsid w:val="00AB764D"/>
    <w:rsid w:val="00AB7C09"/>
    <w:rsid w:val="00AB7D9B"/>
    <w:rsid w:val="00AB7F47"/>
    <w:rsid w:val="00AC03A8"/>
    <w:rsid w:val="00AC04C3"/>
    <w:rsid w:val="00AC08CD"/>
    <w:rsid w:val="00AC0E91"/>
    <w:rsid w:val="00AC15BB"/>
    <w:rsid w:val="00AC1D3D"/>
    <w:rsid w:val="00AC3109"/>
    <w:rsid w:val="00AC325D"/>
    <w:rsid w:val="00AC3876"/>
    <w:rsid w:val="00AC3BCA"/>
    <w:rsid w:val="00AC415D"/>
    <w:rsid w:val="00AC447C"/>
    <w:rsid w:val="00AC457C"/>
    <w:rsid w:val="00AC498C"/>
    <w:rsid w:val="00AC4ACC"/>
    <w:rsid w:val="00AC4B8B"/>
    <w:rsid w:val="00AC4E6E"/>
    <w:rsid w:val="00AC6900"/>
    <w:rsid w:val="00AC69A5"/>
    <w:rsid w:val="00AC6DC6"/>
    <w:rsid w:val="00AC710C"/>
    <w:rsid w:val="00AC75A1"/>
    <w:rsid w:val="00AD0105"/>
    <w:rsid w:val="00AD01FD"/>
    <w:rsid w:val="00AD04A7"/>
    <w:rsid w:val="00AD135D"/>
    <w:rsid w:val="00AD1E34"/>
    <w:rsid w:val="00AD1E5D"/>
    <w:rsid w:val="00AD209F"/>
    <w:rsid w:val="00AD2BBB"/>
    <w:rsid w:val="00AD3006"/>
    <w:rsid w:val="00AD31AE"/>
    <w:rsid w:val="00AD3A0E"/>
    <w:rsid w:val="00AD47BA"/>
    <w:rsid w:val="00AD50DD"/>
    <w:rsid w:val="00AD5256"/>
    <w:rsid w:val="00AD622D"/>
    <w:rsid w:val="00AD6833"/>
    <w:rsid w:val="00AD6E73"/>
    <w:rsid w:val="00AD70C2"/>
    <w:rsid w:val="00AD7743"/>
    <w:rsid w:val="00AE008E"/>
    <w:rsid w:val="00AE079D"/>
    <w:rsid w:val="00AE0DC1"/>
    <w:rsid w:val="00AE0F08"/>
    <w:rsid w:val="00AE29D2"/>
    <w:rsid w:val="00AE3429"/>
    <w:rsid w:val="00AE39D8"/>
    <w:rsid w:val="00AE3E14"/>
    <w:rsid w:val="00AE491E"/>
    <w:rsid w:val="00AE5009"/>
    <w:rsid w:val="00AE55DB"/>
    <w:rsid w:val="00AE5848"/>
    <w:rsid w:val="00AE66DC"/>
    <w:rsid w:val="00AE6B02"/>
    <w:rsid w:val="00AE71A6"/>
    <w:rsid w:val="00AE722E"/>
    <w:rsid w:val="00AE7B5E"/>
    <w:rsid w:val="00AF0413"/>
    <w:rsid w:val="00AF04D3"/>
    <w:rsid w:val="00AF05C3"/>
    <w:rsid w:val="00AF07ED"/>
    <w:rsid w:val="00AF0984"/>
    <w:rsid w:val="00AF0E85"/>
    <w:rsid w:val="00AF166F"/>
    <w:rsid w:val="00AF1CD3"/>
    <w:rsid w:val="00AF249C"/>
    <w:rsid w:val="00AF24EA"/>
    <w:rsid w:val="00AF2A7D"/>
    <w:rsid w:val="00AF2F1E"/>
    <w:rsid w:val="00AF3142"/>
    <w:rsid w:val="00AF3159"/>
    <w:rsid w:val="00AF3432"/>
    <w:rsid w:val="00AF46A5"/>
    <w:rsid w:val="00AF4BD6"/>
    <w:rsid w:val="00AF4D0E"/>
    <w:rsid w:val="00AF4FFF"/>
    <w:rsid w:val="00AF506E"/>
    <w:rsid w:val="00AF50CA"/>
    <w:rsid w:val="00AF53CC"/>
    <w:rsid w:val="00AF5579"/>
    <w:rsid w:val="00AF5637"/>
    <w:rsid w:val="00AF5950"/>
    <w:rsid w:val="00AF5CBE"/>
    <w:rsid w:val="00AF6206"/>
    <w:rsid w:val="00AF63AB"/>
    <w:rsid w:val="00AF688A"/>
    <w:rsid w:val="00AF699B"/>
    <w:rsid w:val="00AF73AA"/>
    <w:rsid w:val="00AF753D"/>
    <w:rsid w:val="00AF7E18"/>
    <w:rsid w:val="00B001A1"/>
    <w:rsid w:val="00B00F6D"/>
    <w:rsid w:val="00B00FD0"/>
    <w:rsid w:val="00B01054"/>
    <w:rsid w:val="00B0166E"/>
    <w:rsid w:val="00B01705"/>
    <w:rsid w:val="00B02334"/>
    <w:rsid w:val="00B027AF"/>
    <w:rsid w:val="00B029B4"/>
    <w:rsid w:val="00B02B06"/>
    <w:rsid w:val="00B02D3F"/>
    <w:rsid w:val="00B039A3"/>
    <w:rsid w:val="00B03D1E"/>
    <w:rsid w:val="00B03D30"/>
    <w:rsid w:val="00B03DCA"/>
    <w:rsid w:val="00B03FAA"/>
    <w:rsid w:val="00B0415C"/>
    <w:rsid w:val="00B04203"/>
    <w:rsid w:val="00B04801"/>
    <w:rsid w:val="00B0529D"/>
    <w:rsid w:val="00B05400"/>
    <w:rsid w:val="00B059E6"/>
    <w:rsid w:val="00B05D06"/>
    <w:rsid w:val="00B06180"/>
    <w:rsid w:val="00B0657C"/>
    <w:rsid w:val="00B06926"/>
    <w:rsid w:val="00B06A1C"/>
    <w:rsid w:val="00B07134"/>
    <w:rsid w:val="00B07172"/>
    <w:rsid w:val="00B07CBA"/>
    <w:rsid w:val="00B07F64"/>
    <w:rsid w:val="00B105EF"/>
    <w:rsid w:val="00B10A5B"/>
    <w:rsid w:val="00B10E11"/>
    <w:rsid w:val="00B11D82"/>
    <w:rsid w:val="00B12139"/>
    <w:rsid w:val="00B1255D"/>
    <w:rsid w:val="00B13479"/>
    <w:rsid w:val="00B138F1"/>
    <w:rsid w:val="00B13FE5"/>
    <w:rsid w:val="00B14608"/>
    <w:rsid w:val="00B1570F"/>
    <w:rsid w:val="00B1576F"/>
    <w:rsid w:val="00B15C71"/>
    <w:rsid w:val="00B15C97"/>
    <w:rsid w:val="00B15EF6"/>
    <w:rsid w:val="00B160B0"/>
    <w:rsid w:val="00B1628E"/>
    <w:rsid w:val="00B1632D"/>
    <w:rsid w:val="00B16635"/>
    <w:rsid w:val="00B168B5"/>
    <w:rsid w:val="00B16DCB"/>
    <w:rsid w:val="00B171BB"/>
    <w:rsid w:val="00B17C3D"/>
    <w:rsid w:val="00B2005C"/>
    <w:rsid w:val="00B20278"/>
    <w:rsid w:val="00B20623"/>
    <w:rsid w:val="00B2088E"/>
    <w:rsid w:val="00B20A3E"/>
    <w:rsid w:val="00B20B54"/>
    <w:rsid w:val="00B217C5"/>
    <w:rsid w:val="00B21A24"/>
    <w:rsid w:val="00B21AF9"/>
    <w:rsid w:val="00B22663"/>
    <w:rsid w:val="00B22E11"/>
    <w:rsid w:val="00B232FA"/>
    <w:rsid w:val="00B2370A"/>
    <w:rsid w:val="00B2373B"/>
    <w:rsid w:val="00B23BC4"/>
    <w:rsid w:val="00B243DD"/>
    <w:rsid w:val="00B24629"/>
    <w:rsid w:val="00B24772"/>
    <w:rsid w:val="00B24B4C"/>
    <w:rsid w:val="00B24D3A"/>
    <w:rsid w:val="00B24E07"/>
    <w:rsid w:val="00B2583F"/>
    <w:rsid w:val="00B25EE6"/>
    <w:rsid w:val="00B2616C"/>
    <w:rsid w:val="00B26707"/>
    <w:rsid w:val="00B267BB"/>
    <w:rsid w:val="00B26B0B"/>
    <w:rsid w:val="00B26C70"/>
    <w:rsid w:val="00B26E5F"/>
    <w:rsid w:val="00B27151"/>
    <w:rsid w:val="00B27259"/>
    <w:rsid w:val="00B272FA"/>
    <w:rsid w:val="00B27A87"/>
    <w:rsid w:val="00B27B82"/>
    <w:rsid w:val="00B27E94"/>
    <w:rsid w:val="00B310F7"/>
    <w:rsid w:val="00B315D1"/>
    <w:rsid w:val="00B31826"/>
    <w:rsid w:val="00B31E30"/>
    <w:rsid w:val="00B32659"/>
    <w:rsid w:val="00B328B7"/>
    <w:rsid w:val="00B32CA8"/>
    <w:rsid w:val="00B32DEC"/>
    <w:rsid w:val="00B33A69"/>
    <w:rsid w:val="00B33BED"/>
    <w:rsid w:val="00B33D18"/>
    <w:rsid w:val="00B34326"/>
    <w:rsid w:val="00B34CAA"/>
    <w:rsid w:val="00B350EF"/>
    <w:rsid w:val="00B35232"/>
    <w:rsid w:val="00B353BF"/>
    <w:rsid w:val="00B35A46"/>
    <w:rsid w:val="00B35DBF"/>
    <w:rsid w:val="00B36465"/>
    <w:rsid w:val="00B36772"/>
    <w:rsid w:val="00B36C71"/>
    <w:rsid w:val="00B37019"/>
    <w:rsid w:val="00B37279"/>
    <w:rsid w:val="00B405C5"/>
    <w:rsid w:val="00B408A8"/>
    <w:rsid w:val="00B40A97"/>
    <w:rsid w:val="00B40D2A"/>
    <w:rsid w:val="00B411B4"/>
    <w:rsid w:val="00B41411"/>
    <w:rsid w:val="00B41412"/>
    <w:rsid w:val="00B41458"/>
    <w:rsid w:val="00B4177F"/>
    <w:rsid w:val="00B41ABA"/>
    <w:rsid w:val="00B41BA8"/>
    <w:rsid w:val="00B426C7"/>
    <w:rsid w:val="00B42B8B"/>
    <w:rsid w:val="00B43347"/>
    <w:rsid w:val="00B43560"/>
    <w:rsid w:val="00B43B70"/>
    <w:rsid w:val="00B43EB6"/>
    <w:rsid w:val="00B44349"/>
    <w:rsid w:val="00B443AA"/>
    <w:rsid w:val="00B45A9D"/>
    <w:rsid w:val="00B45EC7"/>
    <w:rsid w:val="00B45EFD"/>
    <w:rsid w:val="00B45F83"/>
    <w:rsid w:val="00B46064"/>
    <w:rsid w:val="00B46936"/>
    <w:rsid w:val="00B46D8B"/>
    <w:rsid w:val="00B47298"/>
    <w:rsid w:val="00B474EB"/>
    <w:rsid w:val="00B476AD"/>
    <w:rsid w:val="00B47BA8"/>
    <w:rsid w:val="00B47CF1"/>
    <w:rsid w:val="00B47CF8"/>
    <w:rsid w:val="00B47D0F"/>
    <w:rsid w:val="00B47D10"/>
    <w:rsid w:val="00B50154"/>
    <w:rsid w:val="00B504BD"/>
    <w:rsid w:val="00B504CC"/>
    <w:rsid w:val="00B50795"/>
    <w:rsid w:val="00B50BA6"/>
    <w:rsid w:val="00B50D21"/>
    <w:rsid w:val="00B50D2E"/>
    <w:rsid w:val="00B50E09"/>
    <w:rsid w:val="00B50F43"/>
    <w:rsid w:val="00B5139C"/>
    <w:rsid w:val="00B515EE"/>
    <w:rsid w:val="00B51B56"/>
    <w:rsid w:val="00B52238"/>
    <w:rsid w:val="00B52745"/>
    <w:rsid w:val="00B52759"/>
    <w:rsid w:val="00B52C7D"/>
    <w:rsid w:val="00B53021"/>
    <w:rsid w:val="00B5310E"/>
    <w:rsid w:val="00B532FA"/>
    <w:rsid w:val="00B53687"/>
    <w:rsid w:val="00B5413F"/>
    <w:rsid w:val="00B54409"/>
    <w:rsid w:val="00B54430"/>
    <w:rsid w:val="00B553D9"/>
    <w:rsid w:val="00B559CE"/>
    <w:rsid w:val="00B55A84"/>
    <w:rsid w:val="00B565C1"/>
    <w:rsid w:val="00B56BE7"/>
    <w:rsid w:val="00B56C3D"/>
    <w:rsid w:val="00B57F6C"/>
    <w:rsid w:val="00B60208"/>
    <w:rsid w:val="00B60D47"/>
    <w:rsid w:val="00B60D70"/>
    <w:rsid w:val="00B60DF6"/>
    <w:rsid w:val="00B61A12"/>
    <w:rsid w:val="00B61BF1"/>
    <w:rsid w:val="00B62347"/>
    <w:rsid w:val="00B62866"/>
    <w:rsid w:val="00B62D50"/>
    <w:rsid w:val="00B62D71"/>
    <w:rsid w:val="00B62FDF"/>
    <w:rsid w:val="00B635C9"/>
    <w:rsid w:val="00B635CB"/>
    <w:rsid w:val="00B636EC"/>
    <w:rsid w:val="00B64088"/>
    <w:rsid w:val="00B64359"/>
    <w:rsid w:val="00B64543"/>
    <w:rsid w:val="00B64689"/>
    <w:rsid w:val="00B64CDE"/>
    <w:rsid w:val="00B650CD"/>
    <w:rsid w:val="00B65709"/>
    <w:rsid w:val="00B65715"/>
    <w:rsid w:val="00B65823"/>
    <w:rsid w:val="00B65F4D"/>
    <w:rsid w:val="00B660C3"/>
    <w:rsid w:val="00B66EAC"/>
    <w:rsid w:val="00B70064"/>
    <w:rsid w:val="00B70468"/>
    <w:rsid w:val="00B70D96"/>
    <w:rsid w:val="00B70E4E"/>
    <w:rsid w:val="00B716DD"/>
    <w:rsid w:val="00B7232E"/>
    <w:rsid w:val="00B723B2"/>
    <w:rsid w:val="00B72729"/>
    <w:rsid w:val="00B72786"/>
    <w:rsid w:val="00B727F5"/>
    <w:rsid w:val="00B72835"/>
    <w:rsid w:val="00B7293A"/>
    <w:rsid w:val="00B729E6"/>
    <w:rsid w:val="00B72B99"/>
    <w:rsid w:val="00B72E76"/>
    <w:rsid w:val="00B740F0"/>
    <w:rsid w:val="00B74C6C"/>
    <w:rsid w:val="00B74DE8"/>
    <w:rsid w:val="00B75023"/>
    <w:rsid w:val="00B750BF"/>
    <w:rsid w:val="00B7538D"/>
    <w:rsid w:val="00B7567C"/>
    <w:rsid w:val="00B757AE"/>
    <w:rsid w:val="00B7585B"/>
    <w:rsid w:val="00B75CD5"/>
    <w:rsid w:val="00B766D0"/>
    <w:rsid w:val="00B76B0F"/>
    <w:rsid w:val="00B77682"/>
    <w:rsid w:val="00B779FC"/>
    <w:rsid w:val="00B77D21"/>
    <w:rsid w:val="00B77E34"/>
    <w:rsid w:val="00B80508"/>
    <w:rsid w:val="00B8056D"/>
    <w:rsid w:val="00B80E1A"/>
    <w:rsid w:val="00B80EB4"/>
    <w:rsid w:val="00B8178A"/>
    <w:rsid w:val="00B8178D"/>
    <w:rsid w:val="00B81CE3"/>
    <w:rsid w:val="00B81F93"/>
    <w:rsid w:val="00B82001"/>
    <w:rsid w:val="00B82A0E"/>
    <w:rsid w:val="00B83329"/>
    <w:rsid w:val="00B839F7"/>
    <w:rsid w:val="00B83EEB"/>
    <w:rsid w:val="00B83FFB"/>
    <w:rsid w:val="00B842EF"/>
    <w:rsid w:val="00B852B8"/>
    <w:rsid w:val="00B8593E"/>
    <w:rsid w:val="00B85ADD"/>
    <w:rsid w:val="00B85BD9"/>
    <w:rsid w:val="00B86B00"/>
    <w:rsid w:val="00B86DC2"/>
    <w:rsid w:val="00B86DD0"/>
    <w:rsid w:val="00B86E28"/>
    <w:rsid w:val="00B86F26"/>
    <w:rsid w:val="00B8723C"/>
    <w:rsid w:val="00B87241"/>
    <w:rsid w:val="00B87371"/>
    <w:rsid w:val="00B878E9"/>
    <w:rsid w:val="00B87F1A"/>
    <w:rsid w:val="00B87F3D"/>
    <w:rsid w:val="00B90052"/>
    <w:rsid w:val="00B9057D"/>
    <w:rsid w:val="00B9063F"/>
    <w:rsid w:val="00B90F0E"/>
    <w:rsid w:val="00B91111"/>
    <w:rsid w:val="00B92317"/>
    <w:rsid w:val="00B92655"/>
    <w:rsid w:val="00B92982"/>
    <w:rsid w:val="00B92A07"/>
    <w:rsid w:val="00B933E4"/>
    <w:rsid w:val="00B93651"/>
    <w:rsid w:val="00B93C52"/>
    <w:rsid w:val="00B9499B"/>
    <w:rsid w:val="00B954F9"/>
    <w:rsid w:val="00B95CE8"/>
    <w:rsid w:val="00B96067"/>
    <w:rsid w:val="00B965AB"/>
    <w:rsid w:val="00B96737"/>
    <w:rsid w:val="00B97159"/>
    <w:rsid w:val="00B97246"/>
    <w:rsid w:val="00B977C4"/>
    <w:rsid w:val="00BA0101"/>
    <w:rsid w:val="00BA015C"/>
    <w:rsid w:val="00BA0885"/>
    <w:rsid w:val="00BA0E76"/>
    <w:rsid w:val="00BA0F46"/>
    <w:rsid w:val="00BA130B"/>
    <w:rsid w:val="00BA1C9B"/>
    <w:rsid w:val="00BA26B9"/>
    <w:rsid w:val="00BA33FA"/>
    <w:rsid w:val="00BA340C"/>
    <w:rsid w:val="00BA3FA1"/>
    <w:rsid w:val="00BA3FAA"/>
    <w:rsid w:val="00BA3FF4"/>
    <w:rsid w:val="00BA5362"/>
    <w:rsid w:val="00BA5ADD"/>
    <w:rsid w:val="00BA666C"/>
    <w:rsid w:val="00BA6AF9"/>
    <w:rsid w:val="00BA6CC4"/>
    <w:rsid w:val="00BA7983"/>
    <w:rsid w:val="00BA7C1A"/>
    <w:rsid w:val="00BA7D15"/>
    <w:rsid w:val="00BB0471"/>
    <w:rsid w:val="00BB049B"/>
    <w:rsid w:val="00BB07A0"/>
    <w:rsid w:val="00BB0A3A"/>
    <w:rsid w:val="00BB0A68"/>
    <w:rsid w:val="00BB154B"/>
    <w:rsid w:val="00BB1580"/>
    <w:rsid w:val="00BB15DC"/>
    <w:rsid w:val="00BB2637"/>
    <w:rsid w:val="00BB2964"/>
    <w:rsid w:val="00BB2AF0"/>
    <w:rsid w:val="00BB3295"/>
    <w:rsid w:val="00BB331F"/>
    <w:rsid w:val="00BB34C6"/>
    <w:rsid w:val="00BB36CC"/>
    <w:rsid w:val="00BB3A2E"/>
    <w:rsid w:val="00BB476E"/>
    <w:rsid w:val="00BB564E"/>
    <w:rsid w:val="00BB576C"/>
    <w:rsid w:val="00BB57E3"/>
    <w:rsid w:val="00BB580B"/>
    <w:rsid w:val="00BB58DD"/>
    <w:rsid w:val="00BB5C70"/>
    <w:rsid w:val="00BB613F"/>
    <w:rsid w:val="00BB6706"/>
    <w:rsid w:val="00BB696A"/>
    <w:rsid w:val="00BC0321"/>
    <w:rsid w:val="00BC07BF"/>
    <w:rsid w:val="00BC0F26"/>
    <w:rsid w:val="00BC128E"/>
    <w:rsid w:val="00BC180F"/>
    <w:rsid w:val="00BC218F"/>
    <w:rsid w:val="00BC2241"/>
    <w:rsid w:val="00BC24ED"/>
    <w:rsid w:val="00BC28FC"/>
    <w:rsid w:val="00BC2B24"/>
    <w:rsid w:val="00BC35D0"/>
    <w:rsid w:val="00BC4944"/>
    <w:rsid w:val="00BC4AC7"/>
    <w:rsid w:val="00BC5077"/>
    <w:rsid w:val="00BC59A7"/>
    <w:rsid w:val="00BC6475"/>
    <w:rsid w:val="00BC6BEA"/>
    <w:rsid w:val="00BC6D62"/>
    <w:rsid w:val="00BC7350"/>
    <w:rsid w:val="00BC76C7"/>
    <w:rsid w:val="00BC79C6"/>
    <w:rsid w:val="00BC79FB"/>
    <w:rsid w:val="00BC7F6B"/>
    <w:rsid w:val="00BD05B2"/>
    <w:rsid w:val="00BD05C4"/>
    <w:rsid w:val="00BD2048"/>
    <w:rsid w:val="00BD2552"/>
    <w:rsid w:val="00BD2679"/>
    <w:rsid w:val="00BD27A3"/>
    <w:rsid w:val="00BD3024"/>
    <w:rsid w:val="00BD30C0"/>
    <w:rsid w:val="00BD3297"/>
    <w:rsid w:val="00BD4006"/>
    <w:rsid w:val="00BD408D"/>
    <w:rsid w:val="00BD454D"/>
    <w:rsid w:val="00BD4C4E"/>
    <w:rsid w:val="00BD52E3"/>
    <w:rsid w:val="00BD5B3D"/>
    <w:rsid w:val="00BD5CFE"/>
    <w:rsid w:val="00BD66BB"/>
    <w:rsid w:val="00BD6807"/>
    <w:rsid w:val="00BD6D91"/>
    <w:rsid w:val="00BD73E4"/>
    <w:rsid w:val="00BD7673"/>
    <w:rsid w:val="00BD77BF"/>
    <w:rsid w:val="00BD786A"/>
    <w:rsid w:val="00BD7BBD"/>
    <w:rsid w:val="00BE0681"/>
    <w:rsid w:val="00BE1378"/>
    <w:rsid w:val="00BE13DC"/>
    <w:rsid w:val="00BE14E8"/>
    <w:rsid w:val="00BE1EBF"/>
    <w:rsid w:val="00BE235B"/>
    <w:rsid w:val="00BE3714"/>
    <w:rsid w:val="00BE3957"/>
    <w:rsid w:val="00BE3BA5"/>
    <w:rsid w:val="00BE5087"/>
    <w:rsid w:val="00BE50D0"/>
    <w:rsid w:val="00BE5687"/>
    <w:rsid w:val="00BE59C5"/>
    <w:rsid w:val="00BE5D1C"/>
    <w:rsid w:val="00BE5EF5"/>
    <w:rsid w:val="00BE6803"/>
    <w:rsid w:val="00BE68CB"/>
    <w:rsid w:val="00BE6D42"/>
    <w:rsid w:val="00BE716C"/>
    <w:rsid w:val="00BE7273"/>
    <w:rsid w:val="00BE7303"/>
    <w:rsid w:val="00BE7794"/>
    <w:rsid w:val="00BE7DA7"/>
    <w:rsid w:val="00BE7E79"/>
    <w:rsid w:val="00BF0258"/>
    <w:rsid w:val="00BF03EE"/>
    <w:rsid w:val="00BF0BC6"/>
    <w:rsid w:val="00BF1089"/>
    <w:rsid w:val="00BF1A50"/>
    <w:rsid w:val="00BF2BDA"/>
    <w:rsid w:val="00BF31DF"/>
    <w:rsid w:val="00BF3773"/>
    <w:rsid w:val="00BF3DA5"/>
    <w:rsid w:val="00BF425D"/>
    <w:rsid w:val="00BF435A"/>
    <w:rsid w:val="00BF4BCE"/>
    <w:rsid w:val="00BF4CA9"/>
    <w:rsid w:val="00BF5845"/>
    <w:rsid w:val="00BF5891"/>
    <w:rsid w:val="00BF5CCF"/>
    <w:rsid w:val="00BF61AC"/>
    <w:rsid w:val="00BF63AF"/>
    <w:rsid w:val="00BF68B3"/>
    <w:rsid w:val="00BF6AFE"/>
    <w:rsid w:val="00BF6C22"/>
    <w:rsid w:val="00BF6EA6"/>
    <w:rsid w:val="00BF6F6A"/>
    <w:rsid w:val="00BF6FE5"/>
    <w:rsid w:val="00BF71CB"/>
    <w:rsid w:val="00BF73B4"/>
    <w:rsid w:val="00BF7AE2"/>
    <w:rsid w:val="00BF7CEF"/>
    <w:rsid w:val="00C001BF"/>
    <w:rsid w:val="00C002ED"/>
    <w:rsid w:val="00C00D07"/>
    <w:rsid w:val="00C01844"/>
    <w:rsid w:val="00C01F18"/>
    <w:rsid w:val="00C02093"/>
    <w:rsid w:val="00C020B3"/>
    <w:rsid w:val="00C0256D"/>
    <w:rsid w:val="00C02601"/>
    <w:rsid w:val="00C0318E"/>
    <w:rsid w:val="00C036E7"/>
    <w:rsid w:val="00C0416E"/>
    <w:rsid w:val="00C043E5"/>
    <w:rsid w:val="00C0470D"/>
    <w:rsid w:val="00C05297"/>
    <w:rsid w:val="00C05B11"/>
    <w:rsid w:val="00C05DFE"/>
    <w:rsid w:val="00C061A5"/>
    <w:rsid w:val="00C06630"/>
    <w:rsid w:val="00C0676A"/>
    <w:rsid w:val="00C0697F"/>
    <w:rsid w:val="00C06B3F"/>
    <w:rsid w:val="00C07A50"/>
    <w:rsid w:val="00C10677"/>
    <w:rsid w:val="00C10A8D"/>
    <w:rsid w:val="00C112A8"/>
    <w:rsid w:val="00C1134F"/>
    <w:rsid w:val="00C11479"/>
    <w:rsid w:val="00C11AFE"/>
    <w:rsid w:val="00C12477"/>
    <w:rsid w:val="00C12599"/>
    <w:rsid w:val="00C125CA"/>
    <w:rsid w:val="00C128A5"/>
    <w:rsid w:val="00C130C1"/>
    <w:rsid w:val="00C131E5"/>
    <w:rsid w:val="00C143C8"/>
    <w:rsid w:val="00C1476C"/>
    <w:rsid w:val="00C148E3"/>
    <w:rsid w:val="00C14D53"/>
    <w:rsid w:val="00C1536B"/>
    <w:rsid w:val="00C153CD"/>
    <w:rsid w:val="00C1573E"/>
    <w:rsid w:val="00C15A10"/>
    <w:rsid w:val="00C15DD0"/>
    <w:rsid w:val="00C169EB"/>
    <w:rsid w:val="00C16D36"/>
    <w:rsid w:val="00C17066"/>
    <w:rsid w:val="00C207B8"/>
    <w:rsid w:val="00C209B9"/>
    <w:rsid w:val="00C20B86"/>
    <w:rsid w:val="00C20C50"/>
    <w:rsid w:val="00C20D23"/>
    <w:rsid w:val="00C21A89"/>
    <w:rsid w:val="00C22044"/>
    <w:rsid w:val="00C224D0"/>
    <w:rsid w:val="00C22A16"/>
    <w:rsid w:val="00C22AB9"/>
    <w:rsid w:val="00C22BEB"/>
    <w:rsid w:val="00C22F1B"/>
    <w:rsid w:val="00C2320F"/>
    <w:rsid w:val="00C2406B"/>
    <w:rsid w:val="00C24275"/>
    <w:rsid w:val="00C24B78"/>
    <w:rsid w:val="00C24FEF"/>
    <w:rsid w:val="00C2545A"/>
    <w:rsid w:val="00C257D7"/>
    <w:rsid w:val="00C25D94"/>
    <w:rsid w:val="00C2642F"/>
    <w:rsid w:val="00C266E9"/>
    <w:rsid w:val="00C26A60"/>
    <w:rsid w:val="00C26CC4"/>
    <w:rsid w:val="00C26D4E"/>
    <w:rsid w:val="00C26DE6"/>
    <w:rsid w:val="00C27FA3"/>
    <w:rsid w:val="00C30187"/>
    <w:rsid w:val="00C302C0"/>
    <w:rsid w:val="00C30334"/>
    <w:rsid w:val="00C30998"/>
    <w:rsid w:val="00C30B6C"/>
    <w:rsid w:val="00C30CBE"/>
    <w:rsid w:val="00C30CCC"/>
    <w:rsid w:val="00C30D72"/>
    <w:rsid w:val="00C31248"/>
    <w:rsid w:val="00C31BE2"/>
    <w:rsid w:val="00C31CFA"/>
    <w:rsid w:val="00C31F6D"/>
    <w:rsid w:val="00C32C11"/>
    <w:rsid w:val="00C3308E"/>
    <w:rsid w:val="00C335DF"/>
    <w:rsid w:val="00C3388A"/>
    <w:rsid w:val="00C339FD"/>
    <w:rsid w:val="00C33F7A"/>
    <w:rsid w:val="00C33FAA"/>
    <w:rsid w:val="00C34301"/>
    <w:rsid w:val="00C34513"/>
    <w:rsid w:val="00C345FD"/>
    <w:rsid w:val="00C34E7C"/>
    <w:rsid w:val="00C350F7"/>
    <w:rsid w:val="00C352FE"/>
    <w:rsid w:val="00C35525"/>
    <w:rsid w:val="00C35627"/>
    <w:rsid w:val="00C36424"/>
    <w:rsid w:val="00C36A31"/>
    <w:rsid w:val="00C36BC2"/>
    <w:rsid w:val="00C36E07"/>
    <w:rsid w:val="00C375A2"/>
    <w:rsid w:val="00C37977"/>
    <w:rsid w:val="00C37C93"/>
    <w:rsid w:val="00C40043"/>
    <w:rsid w:val="00C404CE"/>
    <w:rsid w:val="00C4059A"/>
    <w:rsid w:val="00C40ACB"/>
    <w:rsid w:val="00C40B07"/>
    <w:rsid w:val="00C40E93"/>
    <w:rsid w:val="00C40EB6"/>
    <w:rsid w:val="00C410B5"/>
    <w:rsid w:val="00C411E9"/>
    <w:rsid w:val="00C41443"/>
    <w:rsid w:val="00C41536"/>
    <w:rsid w:val="00C41C48"/>
    <w:rsid w:val="00C41CC9"/>
    <w:rsid w:val="00C424E9"/>
    <w:rsid w:val="00C42ACD"/>
    <w:rsid w:val="00C42E15"/>
    <w:rsid w:val="00C42E29"/>
    <w:rsid w:val="00C4300B"/>
    <w:rsid w:val="00C43018"/>
    <w:rsid w:val="00C43448"/>
    <w:rsid w:val="00C4347A"/>
    <w:rsid w:val="00C440B4"/>
    <w:rsid w:val="00C44627"/>
    <w:rsid w:val="00C448F7"/>
    <w:rsid w:val="00C44AAF"/>
    <w:rsid w:val="00C44C50"/>
    <w:rsid w:val="00C44D53"/>
    <w:rsid w:val="00C44E42"/>
    <w:rsid w:val="00C450D7"/>
    <w:rsid w:val="00C452DE"/>
    <w:rsid w:val="00C454CE"/>
    <w:rsid w:val="00C45B64"/>
    <w:rsid w:val="00C46E68"/>
    <w:rsid w:val="00C472E7"/>
    <w:rsid w:val="00C47612"/>
    <w:rsid w:val="00C47B31"/>
    <w:rsid w:val="00C47BB9"/>
    <w:rsid w:val="00C47CBF"/>
    <w:rsid w:val="00C517F4"/>
    <w:rsid w:val="00C51C9C"/>
    <w:rsid w:val="00C51F07"/>
    <w:rsid w:val="00C53077"/>
    <w:rsid w:val="00C534B0"/>
    <w:rsid w:val="00C53683"/>
    <w:rsid w:val="00C53783"/>
    <w:rsid w:val="00C53888"/>
    <w:rsid w:val="00C538BF"/>
    <w:rsid w:val="00C53CC2"/>
    <w:rsid w:val="00C54A20"/>
    <w:rsid w:val="00C54FF6"/>
    <w:rsid w:val="00C55609"/>
    <w:rsid w:val="00C55830"/>
    <w:rsid w:val="00C5653F"/>
    <w:rsid w:val="00C56DDF"/>
    <w:rsid w:val="00C5701D"/>
    <w:rsid w:val="00C5741F"/>
    <w:rsid w:val="00C57E91"/>
    <w:rsid w:val="00C61119"/>
    <w:rsid w:val="00C61288"/>
    <w:rsid w:val="00C61483"/>
    <w:rsid w:val="00C619A4"/>
    <w:rsid w:val="00C61DDD"/>
    <w:rsid w:val="00C620BB"/>
    <w:rsid w:val="00C625B8"/>
    <w:rsid w:val="00C626D0"/>
    <w:rsid w:val="00C62E8B"/>
    <w:rsid w:val="00C63744"/>
    <w:rsid w:val="00C6388A"/>
    <w:rsid w:val="00C638A2"/>
    <w:rsid w:val="00C63934"/>
    <w:rsid w:val="00C63C0F"/>
    <w:rsid w:val="00C63C27"/>
    <w:rsid w:val="00C63DD1"/>
    <w:rsid w:val="00C64287"/>
    <w:rsid w:val="00C65314"/>
    <w:rsid w:val="00C65644"/>
    <w:rsid w:val="00C65E13"/>
    <w:rsid w:val="00C660B6"/>
    <w:rsid w:val="00C665CB"/>
    <w:rsid w:val="00C67028"/>
    <w:rsid w:val="00C67071"/>
    <w:rsid w:val="00C6763F"/>
    <w:rsid w:val="00C67939"/>
    <w:rsid w:val="00C70245"/>
    <w:rsid w:val="00C704FB"/>
    <w:rsid w:val="00C70619"/>
    <w:rsid w:val="00C7067D"/>
    <w:rsid w:val="00C70AA4"/>
    <w:rsid w:val="00C71713"/>
    <w:rsid w:val="00C71C14"/>
    <w:rsid w:val="00C72BEF"/>
    <w:rsid w:val="00C74B66"/>
    <w:rsid w:val="00C75860"/>
    <w:rsid w:val="00C763A4"/>
    <w:rsid w:val="00C76414"/>
    <w:rsid w:val="00C76563"/>
    <w:rsid w:val="00C76782"/>
    <w:rsid w:val="00C76FA5"/>
    <w:rsid w:val="00C76FB1"/>
    <w:rsid w:val="00C77299"/>
    <w:rsid w:val="00C773F8"/>
    <w:rsid w:val="00C77703"/>
    <w:rsid w:val="00C77B66"/>
    <w:rsid w:val="00C77DB3"/>
    <w:rsid w:val="00C80098"/>
    <w:rsid w:val="00C804DC"/>
    <w:rsid w:val="00C8126D"/>
    <w:rsid w:val="00C8143B"/>
    <w:rsid w:val="00C81C16"/>
    <w:rsid w:val="00C8203B"/>
    <w:rsid w:val="00C824F0"/>
    <w:rsid w:val="00C8273E"/>
    <w:rsid w:val="00C82C91"/>
    <w:rsid w:val="00C833AD"/>
    <w:rsid w:val="00C834EF"/>
    <w:rsid w:val="00C83A72"/>
    <w:rsid w:val="00C83CF3"/>
    <w:rsid w:val="00C841BB"/>
    <w:rsid w:val="00C85AC2"/>
    <w:rsid w:val="00C85B58"/>
    <w:rsid w:val="00C85ED3"/>
    <w:rsid w:val="00C8607D"/>
    <w:rsid w:val="00C8652E"/>
    <w:rsid w:val="00C86771"/>
    <w:rsid w:val="00C8677A"/>
    <w:rsid w:val="00C86A69"/>
    <w:rsid w:val="00C870E4"/>
    <w:rsid w:val="00C91117"/>
    <w:rsid w:val="00C911B6"/>
    <w:rsid w:val="00C91803"/>
    <w:rsid w:val="00C91962"/>
    <w:rsid w:val="00C91A74"/>
    <w:rsid w:val="00C91E24"/>
    <w:rsid w:val="00C9227E"/>
    <w:rsid w:val="00C925DE"/>
    <w:rsid w:val="00C927B6"/>
    <w:rsid w:val="00C9280D"/>
    <w:rsid w:val="00C92B55"/>
    <w:rsid w:val="00C92B65"/>
    <w:rsid w:val="00C92D66"/>
    <w:rsid w:val="00C9396D"/>
    <w:rsid w:val="00C93E81"/>
    <w:rsid w:val="00C94121"/>
    <w:rsid w:val="00C951DC"/>
    <w:rsid w:val="00C952A8"/>
    <w:rsid w:val="00C955C4"/>
    <w:rsid w:val="00C95664"/>
    <w:rsid w:val="00C95BD2"/>
    <w:rsid w:val="00C95E6F"/>
    <w:rsid w:val="00C96FCF"/>
    <w:rsid w:val="00C97057"/>
    <w:rsid w:val="00C971BE"/>
    <w:rsid w:val="00C9770B"/>
    <w:rsid w:val="00C977D6"/>
    <w:rsid w:val="00C97B58"/>
    <w:rsid w:val="00C97C3D"/>
    <w:rsid w:val="00CA0068"/>
    <w:rsid w:val="00CA0138"/>
    <w:rsid w:val="00CA0AA3"/>
    <w:rsid w:val="00CA14FB"/>
    <w:rsid w:val="00CA1758"/>
    <w:rsid w:val="00CA19E5"/>
    <w:rsid w:val="00CA30BB"/>
    <w:rsid w:val="00CA3549"/>
    <w:rsid w:val="00CA368E"/>
    <w:rsid w:val="00CA3F09"/>
    <w:rsid w:val="00CA3FBF"/>
    <w:rsid w:val="00CA4013"/>
    <w:rsid w:val="00CA405C"/>
    <w:rsid w:val="00CA4692"/>
    <w:rsid w:val="00CA48C1"/>
    <w:rsid w:val="00CA5B0E"/>
    <w:rsid w:val="00CA5D93"/>
    <w:rsid w:val="00CA652F"/>
    <w:rsid w:val="00CA6AC4"/>
    <w:rsid w:val="00CA6F76"/>
    <w:rsid w:val="00CA7502"/>
    <w:rsid w:val="00CA7767"/>
    <w:rsid w:val="00CA7A9F"/>
    <w:rsid w:val="00CA7BD4"/>
    <w:rsid w:val="00CA7CBB"/>
    <w:rsid w:val="00CA7E33"/>
    <w:rsid w:val="00CB0165"/>
    <w:rsid w:val="00CB0542"/>
    <w:rsid w:val="00CB060E"/>
    <w:rsid w:val="00CB06E1"/>
    <w:rsid w:val="00CB07FC"/>
    <w:rsid w:val="00CB0972"/>
    <w:rsid w:val="00CB0D79"/>
    <w:rsid w:val="00CB0F8A"/>
    <w:rsid w:val="00CB1B0B"/>
    <w:rsid w:val="00CB1DEA"/>
    <w:rsid w:val="00CB23AB"/>
    <w:rsid w:val="00CB23D2"/>
    <w:rsid w:val="00CB28B9"/>
    <w:rsid w:val="00CB2F5B"/>
    <w:rsid w:val="00CB3A01"/>
    <w:rsid w:val="00CB3A2E"/>
    <w:rsid w:val="00CB3BD2"/>
    <w:rsid w:val="00CB3C9A"/>
    <w:rsid w:val="00CB3D5E"/>
    <w:rsid w:val="00CB3D80"/>
    <w:rsid w:val="00CB41D8"/>
    <w:rsid w:val="00CB4235"/>
    <w:rsid w:val="00CB4251"/>
    <w:rsid w:val="00CB43F7"/>
    <w:rsid w:val="00CB4502"/>
    <w:rsid w:val="00CB48ED"/>
    <w:rsid w:val="00CB5309"/>
    <w:rsid w:val="00CB55E0"/>
    <w:rsid w:val="00CB56DD"/>
    <w:rsid w:val="00CB5CFA"/>
    <w:rsid w:val="00CB5D89"/>
    <w:rsid w:val="00CB5DBE"/>
    <w:rsid w:val="00CB62ED"/>
    <w:rsid w:val="00CC0458"/>
    <w:rsid w:val="00CC0B73"/>
    <w:rsid w:val="00CC0FF1"/>
    <w:rsid w:val="00CC1765"/>
    <w:rsid w:val="00CC1D96"/>
    <w:rsid w:val="00CC21C4"/>
    <w:rsid w:val="00CC2527"/>
    <w:rsid w:val="00CC25B1"/>
    <w:rsid w:val="00CC29E3"/>
    <w:rsid w:val="00CC314E"/>
    <w:rsid w:val="00CC360D"/>
    <w:rsid w:val="00CC38F6"/>
    <w:rsid w:val="00CC3AF0"/>
    <w:rsid w:val="00CC4098"/>
    <w:rsid w:val="00CC4AD7"/>
    <w:rsid w:val="00CC5124"/>
    <w:rsid w:val="00CC5448"/>
    <w:rsid w:val="00CC57AA"/>
    <w:rsid w:val="00CC5CDD"/>
    <w:rsid w:val="00CC6100"/>
    <w:rsid w:val="00CC6255"/>
    <w:rsid w:val="00CC6458"/>
    <w:rsid w:val="00CC64F7"/>
    <w:rsid w:val="00CC67B0"/>
    <w:rsid w:val="00CC6BD3"/>
    <w:rsid w:val="00CC6BF8"/>
    <w:rsid w:val="00CC6F00"/>
    <w:rsid w:val="00CC772E"/>
    <w:rsid w:val="00CC7A70"/>
    <w:rsid w:val="00CC7BF2"/>
    <w:rsid w:val="00CC7D98"/>
    <w:rsid w:val="00CC7E7E"/>
    <w:rsid w:val="00CC7F60"/>
    <w:rsid w:val="00CD05C8"/>
    <w:rsid w:val="00CD08FB"/>
    <w:rsid w:val="00CD0A5F"/>
    <w:rsid w:val="00CD0D43"/>
    <w:rsid w:val="00CD0EE5"/>
    <w:rsid w:val="00CD102B"/>
    <w:rsid w:val="00CD16DC"/>
    <w:rsid w:val="00CD17D1"/>
    <w:rsid w:val="00CD183D"/>
    <w:rsid w:val="00CD214D"/>
    <w:rsid w:val="00CD2587"/>
    <w:rsid w:val="00CD2592"/>
    <w:rsid w:val="00CD279E"/>
    <w:rsid w:val="00CD27DA"/>
    <w:rsid w:val="00CD2D44"/>
    <w:rsid w:val="00CD340E"/>
    <w:rsid w:val="00CD3E47"/>
    <w:rsid w:val="00CD475F"/>
    <w:rsid w:val="00CD52DC"/>
    <w:rsid w:val="00CD58A6"/>
    <w:rsid w:val="00CD623A"/>
    <w:rsid w:val="00CD6920"/>
    <w:rsid w:val="00CD6D4C"/>
    <w:rsid w:val="00CD71CE"/>
    <w:rsid w:val="00CD7A00"/>
    <w:rsid w:val="00CE01B8"/>
    <w:rsid w:val="00CE07E9"/>
    <w:rsid w:val="00CE111B"/>
    <w:rsid w:val="00CE1579"/>
    <w:rsid w:val="00CE1BF1"/>
    <w:rsid w:val="00CE1CFD"/>
    <w:rsid w:val="00CE1DD6"/>
    <w:rsid w:val="00CE2770"/>
    <w:rsid w:val="00CE2F23"/>
    <w:rsid w:val="00CE31F0"/>
    <w:rsid w:val="00CE338F"/>
    <w:rsid w:val="00CE3533"/>
    <w:rsid w:val="00CE36EA"/>
    <w:rsid w:val="00CE37B2"/>
    <w:rsid w:val="00CE3B1D"/>
    <w:rsid w:val="00CE40BA"/>
    <w:rsid w:val="00CE421B"/>
    <w:rsid w:val="00CE53BA"/>
    <w:rsid w:val="00CE57ED"/>
    <w:rsid w:val="00CE5811"/>
    <w:rsid w:val="00CE58EE"/>
    <w:rsid w:val="00CE5AE0"/>
    <w:rsid w:val="00CE6738"/>
    <w:rsid w:val="00CE6BDF"/>
    <w:rsid w:val="00CE76E7"/>
    <w:rsid w:val="00CF04A6"/>
    <w:rsid w:val="00CF0749"/>
    <w:rsid w:val="00CF0E41"/>
    <w:rsid w:val="00CF0F5D"/>
    <w:rsid w:val="00CF186D"/>
    <w:rsid w:val="00CF1DF5"/>
    <w:rsid w:val="00CF2113"/>
    <w:rsid w:val="00CF255F"/>
    <w:rsid w:val="00CF2A99"/>
    <w:rsid w:val="00CF3588"/>
    <w:rsid w:val="00CF39CC"/>
    <w:rsid w:val="00CF3CC2"/>
    <w:rsid w:val="00CF402E"/>
    <w:rsid w:val="00CF41BA"/>
    <w:rsid w:val="00CF459B"/>
    <w:rsid w:val="00CF5214"/>
    <w:rsid w:val="00CF58D4"/>
    <w:rsid w:val="00CF591E"/>
    <w:rsid w:val="00CF592B"/>
    <w:rsid w:val="00CF6C04"/>
    <w:rsid w:val="00CF6F53"/>
    <w:rsid w:val="00CF71A6"/>
    <w:rsid w:val="00CF7711"/>
    <w:rsid w:val="00CF78AC"/>
    <w:rsid w:val="00CF7BC9"/>
    <w:rsid w:val="00CF7CBC"/>
    <w:rsid w:val="00CF7F59"/>
    <w:rsid w:val="00D0061E"/>
    <w:rsid w:val="00D00F69"/>
    <w:rsid w:val="00D0101B"/>
    <w:rsid w:val="00D01A74"/>
    <w:rsid w:val="00D01DD8"/>
    <w:rsid w:val="00D02095"/>
    <w:rsid w:val="00D0246E"/>
    <w:rsid w:val="00D02CAB"/>
    <w:rsid w:val="00D03AF6"/>
    <w:rsid w:val="00D03FEE"/>
    <w:rsid w:val="00D0500B"/>
    <w:rsid w:val="00D059B1"/>
    <w:rsid w:val="00D05A29"/>
    <w:rsid w:val="00D05D9F"/>
    <w:rsid w:val="00D06552"/>
    <w:rsid w:val="00D070C2"/>
    <w:rsid w:val="00D0793A"/>
    <w:rsid w:val="00D07992"/>
    <w:rsid w:val="00D103E9"/>
    <w:rsid w:val="00D11313"/>
    <w:rsid w:val="00D11D03"/>
    <w:rsid w:val="00D120D8"/>
    <w:rsid w:val="00D124D1"/>
    <w:rsid w:val="00D1316F"/>
    <w:rsid w:val="00D13C30"/>
    <w:rsid w:val="00D13FE1"/>
    <w:rsid w:val="00D140F6"/>
    <w:rsid w:val="00D145B0"/>
    <w:rsid w:val="00D1469D"/>
    <w:rsid w:val="00D149B7"/>
    <w:rsid w:val="00D14B82"/>
    <w:rsid w:val="00D14BA0"/>
    <w:rsid w:val="00D14FD5"/>
    <w:rsid w:val="00D1519D"/>
    <w:rsid w:val="00D15655"/>
    <w:rsid w:val="00D15A5B"/>
    <w:rsid w:val="00D15BD7"/>
    <w:rsid w:val="00D15FB8"/>
    <w:rsid w:val="00D1602C"/>
    <w:rsid w:val="00D16B36"/>
    <w:rsid w:val="00D16B78"/>
    <w:rsid w:val="00D17402"/>
    <w:rsid w:val="00D20B26"/>
    <w:rsid w:val="00D20D76"/>
    <w:rsid w:val="00D21C01"/>
    <w:rsid w:val="00D22A26"/>
    <w:rsid w:val="00D2308C"/>
    <w:rsid w:val="00D2350D"/>
    <w:rsid w:val="00D236C0"/>
    <w:rsid w:val="00D23704"/>
    <w:rsid w:val="00D23C0B"/>
    <w:rsid w:val="00D23E25"/>
    <w:rsid w:val="00D252E5"/>
    <w:rsid w:val="00D253A5"/>
    <w:rsid w:val="00D254CA"/>
    <w:rsid w:val="00D25CDD"/>
    <w:rsid w:val="00D2637D"/>
    <w:rsid w:val="00D26DEE"/>
    <w:rsid w:val="00D30352"/>
    <w:rsid w:val="00D30A4C"/>
    <w:rsid w:val="00D30E1B"/>
    <w:rsid w:val="00D31F66"/>
    <w:rsid w:val="00D328AB"/>
    <w:rsid w:val="00D32994"/>
    <w:rsid w:val="00D32D6E"/>
    <w:rsid w:val="00D32EC5"/>
    <w:rsid w:val="00D33014"/>
    <w:rsid w:val="00D3315D"/>
    <w:rsid w:val="00D331D4"/>
    <w:rsid w:val="00D33336"/>
    <w:rsid w:val="00D335AE"/>
    <w:rsid w:val="00D33CB2"/>
    <w:rsid w:val="00D3489F"/>
    <w:rsid w:val="00D34A99"/>
    <w:rsid w:val="00D3556F"/>
    <w:rsid w:val="00D35B30"/>
    <w:rsid w:val="00D35CAF"/>
    <w:rsid w:val="00D3637D"/>
    <w:rsid w:val="00D36677"/>
    <w:rsid w:val="00D37633"/>
    <w:rsid w:val="00D378F5"/>
    <w:rsid w:val="00D37970"/>
    <w:rsid w:val="00D37B8E"/>
    <w:rsid w:val="00D404B8"/>
    <w:rsid w:val="00D409DA"/>
    <w:rsid w:val="00D40DB2"/>
    <w:rsid w:val="00D41144"/>
    <w:rsid w:val="00D4122F"/>
    <w:rsid w:val="00D41CDC"/>
    <w:rsid w:val="00D42119"/>
    <w:rsid w:val="00D422BF"/>
    <w:rsid w:val="00D4249B"/>
    <w:rsid w:val="00D42C12"/>
    <w:rsid w:val="00D42F56"/>
    <w:rsid w:val="00D442A9"/>
    <w:rsid w:val="00D454F7"/>
    <w:rsid w:val="00D45AD6"/>
    <w:rsid w:val="00D45E14"/>
    <w:rsid w:val="00D45F95"/>
    <w:rsid w:val="00D46056"/>
    <w:rsid w:val="00D46331"/>
    <w:rsid w:val="00D463E0"/>
    <w:rsid w:val="00D46DA5"/>
    <w:rsid w:val="00D46E6B"/>
    <w:rsid w:val="00D478E0"/>
    <w:rsid w:val="00D47A1D"/>
    <w:rsid w:val="00D510C1"/>
    <w:rsid w:val="00D5118D"/>
    <w:rsid w:val="00D516AC"/>
    <w:rsid w:val="00D52E17"/>
    <w:rsid w:val="00D5305C"/>
    <w:rsid w:val="00D53141"/>
    <w:rsid w:val="00D53215"/>
    <w:rsid w:val="00D53245"/>
    <w:rsid w:val="00D53778"/>
    <w:rsid w:val="00D5390E"/>
    <w:rsid w:val="00D5464C"/>
    <w:rsid w:val="00D546A6"/>
    <w:rsid w:val="00D54813"/>
    <w:rsid w:val="00D5547E"/>
    <w:rsid w:val="00D5699F"/>
    <w:rsid w:val="00D56A09"/>
    <w:rsid w:val="00D57941"/>
    <w:rsid w:val="00D57A14"/>
    <w:rsid w:val="00D57FF1"/>
    <w:rsid w:val="00D602F6"/>
    <w:rsid w:val="00D60620"/>
    <w:rsid w:val="00D60794"/>
    <w:rsid w:val="00D60B86"/>
    <w:rsid w:val="00D60C95"/>
    <w:rsid w:val="00D6162C"/>
    <w:rsid w:val="00D623E3"/>
    <w:rsid w:val="00D625F4"/>
    <w:rsid w:val="00D628CF"/>
    <w:rsid w:val="00D63124"/>
    <w:rsid w:val="00D63D69"/>
    <w:rsid w:val="00D63D7F"/>
    <w:rsid w:val="00D63FBE"/>
    <w:rsid w:val="00D6405A"/>
    <w:rsid w:val="00D6459A"/>
    <w:rsid w:val="00D64DB9"/>
    <w:rsid w:val="00D64E6D"/>
    <w:rsid w:val="00D65656"/>
    <w:rsid w:val="00D65C65"/>
    <w:rsid w:val="00D65FF7"/>
    <w:rsid w:val="00D66348"/>
    <w:rsid w:val="00D66648"/>
    <w:rsid w:val="00D670E1"/>
    <w:rsid w:val="00D67383"/>
    <w:rsid w:val="00D6779A"/>
    <w:rsid w:val="00D67A20"/>
    <w:rsid w:val="00D70338"/>
    <w:rsid w:val="00D70731"/>
    <w:rsid w:val="00D71800"/>
    <w:rsid w:val="00D71BCE"/>
    <w:rsid w:val="00D71BE6"/>
    <w:rsid w:val="00D72564"/>
    <w:rsid w:val="00D729FD"/>
    <w:rsid w:val="00D72D52"/>
    <w:rsid w:val="00D72F89"/>
    <w:rsid w:val="00D72FCC"/>
    <w:rsid w:val="00D74649"/>
    <w:rsid w:val="00D74848"/>
    <w:rsid w:val="00D74C80"/>
    <w:rsid w:val="00D754F1"/>
    <w:rsid w:val="00D76C8A"/>
    <w:rsid w:val="00D76F91"/>
    <w:rsid w:val="00D7701A"/>
    <w:rsid w:val="00D7703C"/>
    <w:rsid w:val="00D7774E"/>
    <w:rsid w:val="00D778C1"/>
    <w:rsid w:val="00D80255"/>
    <w:rsid w:val="00D812EB"/>
    <w:rsid w:val="00D8168C"/>
    <w:rsid w:val="00D8178A"/>
    <w:rsid w:val="00D81B19"/>
    <w:rsid w:val="00D81C7E"/>
    <w:rsid w:val="00D8218E"/>
    <w:rsid w:val="00D82291"/>
    <w:rsid w:val="00D82546"/>
    <w:rsid w:val="00D8262D"/>
    <w:rsid w:val="00D82B97"/>
    <w:rsid w:val="00D82BC3"/>
    <w:rsid w:val="00D83142"/>
    <w:rsid w:val="00D834D4"/>
    <w:rsid w:val="00D83570"/>
    <w:rsid w:val="00D844D3"/>
    <w:rsid w:val="00D84593"/>
    <w:rsid w:val="00D84BB3"/>
    <w:rsid w:val="00D84CD4"/>
    <w:rsid w:val="00D853EF"/>
    <w:rsid w:val="00D8578B"/>
    <w:rsid w:val="00D85D73"/>
    <w:rsid w:val="00D85E1E"/>
    <w:rsid w:val="00D867C9"/>
    <w:rsid w:val="00D90426"/>
    <w:rsid w:val="00D90F4D"/>
    <w:rsid w:val="00D91165"/>
    <w:rsid w:val="00D91452"/>
    <w:rsid w:val="00D91FFA"/>
    <w:rsid w:val="00D92920"/>
    <w:rsid w:val="00D92C1F"/>
    <w:rsid w:val="00D93F85"/>
    <w:rsid w:val="00D94308"/>
    <w:rsid w:val="00D9503A"/>
    <w:rsid w:val="00D9536D"/>
    <w:rsid w:val="00D95BB8"/>
    <w:rsid w:val="00D95CE3"/>
    <w:rsid w:val="00D96397"/>
    <w:rsid w:val="00D9719B"/>
    <w:rsid w:val="00D972D2"/>
    <w:rsid w:val="00D9746E"/>
    <w:rsid w:val="00D97703"/>
    <w:rsid w:val="00D979D5"/>
    <w:rsid w:val="00D97BB0"/>
    <w:rsid w:val="00DA02C7"/>
    <w:rsid w:val="00DA0563"/>
    <w:rsid w:val="00DA0592"/>
    <w:rsid w:val="00DA0753"/>
    <w:rsid w:val="00DA0857"/>
    <w:rsid w:val="00DA0B1D"/>
    <w:rsid w:val="00DA137F"/>
    <w:rsid w:val="00DA1A72"/>
    <w:rsid w:val="00DA1B9C"/>
    <w:rsid w:val="00DA204A"/>
    <w:rsid w:val="00DA21B9"/>
    <w:rsid w:val="00DA226B"/>
    <w:rsid w:val="00DA23FB"/>
    <w:rsid w:val="00DA2455"/>
    <w:rsid w:val="00DA3949"/>
    <w:rsid w:val="00DA3A51"/>
    <w:rsid w:val="00DA3AC7"/>
    <w:rsid w:val="00DA3B57"/>
    <w:rsid w:val="00DA3B5C"/>
    <w:rsid w:val="00DA3D2B"/>
    <w:rsid w:val="00DA4127"/>
    <w:rsid w:val="00DA4611"/>
    <w:rsid w:val="00DA52A0"/>
    <w:rsid w:val="00DA5866"/>
    <w:rsid w:val="00DA645C"/>
    <w:rsid w:val="00DA65C9"/>
    <w:rsid w:val="00DA66DA"/>
    <w:rsid w:val="00DA71C4"/>
    <w:rsid w:val="00DA71DC"/>
    <w:rsid w:val="00DA7541"/>
    <w:rsid w:val="00DA7DBD"/>
    <w:rsid w:val="00DB0292"/>
    <w:rsid w:val="00DB02BE"/>
    <w:rsid w:val="00DB0739"/>
    <w:rsid w:val="00DB0871"/>
    <w:rsid w:val="00DB0918"/>
    <w:rsid w:val="00DB0C68"/>
    <w:rsid w:val="00DB112A"/>
    <w:rsid w:val="00DB1178"/>
    <w:rsid w:val="00DB1610"/>
    <w:rsid w:val="00DB1E22"/>
    <w:rsid w:val="00DB1EC7"/>
    <w:rsid w:val="00DB2066"/>
    <w:rsid w:val="00DB218E"/>
    <w:rsid w:val="00DB264F"/>
    <w:rsid w:val="00DB2656"/>
    <w:rsid w:val="00DB3481"/>
    <w:rsid w:val="00DB3D9D"/>
    <w:rsid w:val="00DB459E"/>
    <w:rsid w:val="00DB4D04"/>
    <w:rsid w:val="00DB4F7A"/>
    <w:rsid w:val="00DB4FA6"/>
    <w:rsid w:val="00DB502A"/>
    <w:rsid w:val="00DB52CD"/>
    <w:rsid w:val="00DB55D4"/>
    <w:rsid w:val="00DB5AEB"/>
    <w:rsid w:val="00DB5E0E"/>
    <w:rsid w:val="00DB657D"/>
    <w:rsid w:val="00DB69E5"/>
    <w:rsid w:val="00DB6AB5"/>
    <w:rsid w:val="00DB6C46"/>
    <w:rsid w:val="00DB6DA3"/>
    <w:rsid w:val="00DB6EA5"/>
    <w:rsid w:val="00DB6F96"/>
    <w:rsid w:val="00DB7B0E"/>
    <w:rsid w:val="00DC0017"/>
    <w:rsid w:val="00DC09B2"/>
    <w:rsid w:val="00DC0B0F"/>
    <w:rsid w:val="00DC1315"/>
    <w:rsid w:val="00DC1757"/>
    <w:rsid w:val="00DC1912"/>
    <w:rsid w:val="00DC1CD0"/>
    <w:rsid w:val="00DC208A"/>
    <w:rsid w:val="00DC2342"/>
    <w:rsid w:val="00DC2B7F"/>
    <w:rsid w:val="00DC327A"/>
    <w:rsid w:val="00DC33F6"/>
    <w:rsid w:val="00DC35BC"/>
    <w:rsid w:val="00DC3954"/>
    <w:rsid w:val="00DC39B9"/>
    <w:rsid w:val="00DC4879"/>
    <w:rsid w:val="00DC4898"/>
    <w:rsid w:val="00DC5A26"/>
    <w:rsid w:val="00DC5AA9"/>
    <w:rsid w:val="00DC5ACF"/>
    <w:rsid w:val="00DC643A"/>
    <w:rsid w:val="00DC6C7A"/>
    <w:rsid w:val="00DC6DC0"/>
    <w:rsid w:val="00DC6FC7"/>
    <w:rsid w:val="00DD00BB"/>
    <w:rsid w:val="00DD054E"/>
    <w:rsid w:val="00DD08A8"/>
    <w:rsid w:val="00DD0B7F"/>
    <w:rsid w:val="00DD1089"/>
    <w:rsid w:val="00DD1308"/>
    <w:rsid w:val="00DD14D9"/>
    <w:rsid w:val="00DD1528"/>
    <w:rsid w:val="00DD1612"/>
    <w:rsid w:val="00DD1B3A"/>
    <w:rsid w:val="00DD1FB1"/>
    <w:rsid w:val="00DD2DCC"/>
    <w:rsid w:val="00DD3340"/>
    <w:rsid w:val="00DD3611"/>
    <w:rsid w:val="00DD377C"/>
    <w:rsid w:val="00DD3E53"/>
    <w:rsid w:val="00DD52B7"/>
    <w:rsid w:val="00DD62B1"/>
    <w:rsid w:val="00DD6558"/>
    <w:rsid w:val="00DD67B5"/>
    <w:rsid w:val="00DD6E95"/>
    <w:rsid w:val="00DD7679"/>
    <w:rsid w:val="00DD7762"/>
    <w:rsid w:val="00DD7A06"/>
    <w:rsid w:val="00DD7E4B"/>
    <w:rsid w:val="00DE00C0"/>
    <w:rsid w:val="00DE00DD"/>
    <w:rsid w:val="00DE0D03"/>
    <w:rsid w:val="00DE0E1B"/>
    <w:rsid w:val="00DE1609"/>
    <w:rsid w:val="00DE186F"/>
    <w:rsid w:val="00DE239D"/>
    <w:rsid w:val="00DE2403"/>
    <w:rsid w:val="00DE297A"/>
    <w:rsid w:val="00DE398F"/>
    <w:rsid w:val="00DE3ACD"/>
    <w:rsid w:val="00DE3B0F"/>
    <w:rsid w:val="00DE49CF"/>
    <w:rsid w:val="00DE4A40"/>
    <w:rsid w:val="00DE4D51"/>
    <w:rsid w:val="00DE516E"/>
    <w:rsid w:val="00DE521E"/>
    <w:rsid w:val="00DE557A"/>
    <w:rsid w:val="00DE62FA"/>
    <w:rsid w:val="00DE63DF"/>
    <w:rsid w:val="00DE6A47"/>
    <w:rsid w:val="00DE745A"/>
    <w:rsid w:val="00DE7740"/>
    <w:rsid w:val="00DE789C"/>
    <w:rsid w:val="00DE79D6"/>
    <w:rsid w:val="00DF0554"/>
    <w:rsid w:val="00DF057D"/>
    <w:rsid w:val="00DF070C"/>
    <w:rsid w:val="00DF0BBC"/>
    <w:rsid w:val="00DF1744"/>
    <w:rsid w:val="00DF1DDE"/>
    <w:rsid w:val="00DF1ECC"/>
    <w:rsid w:val="00DF2B2B"/>
    <w:rsid w:val="00DF32FB"/>
    <w:rsid w:val="00DF35E7"/>
    <w:rsid w:val="00DF38BB"/>
    <w:rsid w:val="00DF4AC5"/>
    <w:rsid w:val="00DF531F"/>
    <w:rsid w:val="00DF77CB"/>
    <w:rsid w:val="00DF77FB"/>
    <w:rsid w:val="00E00C57"/>
    <w:rsid w:val="00E01061"/>
    <w:rsid w:val="00E01201"/>
    <w:rsid w:val="00E01EC6"/>
    <w:rsid w:val="00E02067"/>
    <w:rsid w:val="00E02104"/>
    <w:rsid w:val="00E02BA1"/>
    <w:rsid w:val="00E03917"/>
    <w:rsid w:val="00E03A79"/>
    <w:rsid w:val="00E03D63"/>
    <w:rsid w:val="00E03F14"/>
    <w:rsid w:val="00E043B8"/>
    <w:rsid w:val="00E04B0B"/>
    <w:rsid w:val="00E04BE5"/>
    <w:rsid w:val="00E04C8E"/>
    <w:rsid w:val="00E0539C"/>
    <w:rsid w:val="00E056F7"/>
    <w:rsid w:val="00E0577E"/>
    <w:rsid w:val="00E06101"/>
    <w:rsid w:val="00E063EE"/>
    <w:rsid w:val="00E06CAE"/>
    <w:rsid w:val="00E06FAD"/>
    <w:rsid w:val="00E0708C"/>
    <w:rsid w:val="00E07398"/>
    <w:rsid w:val="00E0767F"/>
    <w:rsid w:val="00E07B75"/>
    <w:rsid w:val="00E07CA8"/>
    <w:rsid w:val="00E07E9C"/>
    <w:rsid w:val="00E1062C"/>
    <w:rsid w:val="00E106D1"/>
    <w:rsid w:val="00E1075E"/>
    <w:rsid w:val="00E10C58"/>
    <w:rsid w:val="00E11660"/>
    <w:rsid w:val="00E11E23"/>
    <w:rsid w:val="00E12306"/>
    <w:rsid w:val="00E12474"/>
    <w:rsid w:val="00E1267B"/>
    <w:rsid w:val="00E12733"/>
    <w:rsid w:val="00E13E86"/>
    <w:rsid w:val="00E14234"/>
    <w:rsid w:val="00E148C6"/>
    <w:rsid w:val="00E1509F"/>
    <w:rsid w:val="00E15318"/>
    <w:rsid w:val="00E1593E"/>
    <w:rsid w:val="00E15CC6"/>
    <w:rsid w:val="00E15F08"/>
    <w:rsid w:val="00E1631A"/>
    <w:rsid w:val="00E166BB"/>
    <w:rsid w:val="00E1676A"/>
    <w:rsid w:val="00E1697D"/>
    <w:rsid w:val="00E16ADF"/>
    <w:rsid w:val="00E1752D"/>
    <w:rsid w:val="00E179BE"/>
    <w:rsid w:val="00E17C0A"/>
    <w:rsid w:val="00E20521"/>
    <w:rsid w:val="00E2053A"/>
    <w:rsid w:val="00E20813"/>
    <w:rsid w:val="00E21158"/>
    <w:rsid w:val="00E21428"/>
    <w:rsid w:val="00E2168D"/>
    <w:rsid w:val="00E2183F"/>
    <w:rsid w:val="00E21D26"/>
    <w:rsid w:val="00E2252A"/>
    <w:rsid w:val="00E230EE"/>
    <w:rsid w:val="00E23D48"/>
    <w:rsid w:val="00E246F0"/>
    <w:rsid w:val="00E2486F"/>
    <w:rsid w:val="00E24C42"/>
    <w:rsid w:val="00E25092"/>
    <w:rsid w:val="00E2513C"/>
    <w:rsid w:val="00E259FE"/>
    <w:rsid w:val="00E25AFB"/>
    <w:rsid w:val="00E25BBF"/>
    <w:rsid w:val="00E25D98"/>
    <w:rsid w:val="00E25DC6"/>
    <w:rsid w:val="00E268CB"/>
    <w:rsid w:val="00E270DB"/>
    <w:rsid w:val="00E27452"/>
    <w:rsid w:val="00E27F16"/>
    <w:rsid w:val="00E30886"/>
    <w:rsid w:val="00E30B84"/>
    <w:rsid w:val="00E31FBF"/>
    <w:rsid w:val="00E32051"/>
    <w:rsid w:val="00E3255E"/>
    <w:rsid w:val="00E3264E"/>
    <w:rsid w:val="00E328FC"/>
    <w:rsid w:val="00E32F1C"/>
    <w:rsid w:val="00E33270"/>
    <w:rsid w:val="00E3330B"/>
    <w:rsid w:val="00E3357A"/>
    <w:rsid w:val="00E34368"/>
    <w:rsid w:val="00E34790"/>
    <w:rsid w:val="00E34B09"/>
    <w:rsid w:val="00E357D9"/>
    <w:rsid w:val="00E3583F"/>
    <w:rsid w:val="00E36144"/>
    <w:rsid w:val="00E36301"/>
    <w:rsid w:val="00E36435"/>
    <w:rsid w:val="00E36AA8"/>
    <w:rsid w:val="00E36BC8"/>
    <w:rsid w:val="00E37511"/>
    <w:rsid w:val="00E377C2"/>
    <w:rsid w:val="00E37C72"/>
    <w:rsid w:val="00E40AA2"/>
    <w:rsid w:val="00E41BE4"/>
    <w:rsid w:val="00E42385"/>
    <w:rsid w:val="00E42955"/>
    <w:rsid w:val="00E42C94"/>
    <w:rsid w:val="00E43359"/>
    <w:rsid w:val="00E442CC"/>
    <w:rsid w:val="00E44620"/>
    <w:rsid w:val="00E44D70"/>
    <w:rsid w:val="00E45625"/>
    <w:rsid w:val="00E457B8"/>
    <w:rsid w:val="00E466C1"/>
    <w:rsid w:val="00E4670D"/>
    <w:rsid w:val="00E46E0B"/>
    <w:rsid w:val="00E46EB5"/>
    <w:rsid w:val="00E470D2"/>
    <w:rsid w:val="00E47CF5"/>
    <w:rsid w:val="00E50089"/>
    <w:rsid w:val="00E503CA"/>
    <w:rsid w:val="00E503F6"/>
    <w:rsid w:val="00E51443"/>
    <w:rsid w:val="00E51594"/>
    <w:rsid w:val="00E524D8"/>
    <w:rsid w:val="00E53354"/>
    <w:rsid w:val="00E538DD"/>
    <w:rsid w:val="00E5430F"/>
    <w:rsid w:val="00E54313"/>
    <w:rsid w:val="00E54577"/>
    <w:rsid w:val="00E5457A"/>
    <w:rsid w:val="00E54FF6"/>
    <w:rsid w:val="00E5560E"/>
    <w:rsid w:val="00E55F58"/>
    <w:rsid w:val="00E56BED"/>
    <w:rsid w:val="00E56F91"/>
    <w:rsid w:val="00E57076"/>
    <w:rsid w:val="00E574B4"/>
    <w:rsid w:val="00E577D2"/>
    <w:rsid w:val="00E57E4D"/>
    <w:rsid w:val="00E60180"/>
    <w:rsid w:val="00E60715"/>
    <w:rsid w:val="00E60D16"/>
    <w:rsid w:val="00E60EA9"/>
    <w:rsid w:val="00E60F23"/>
    <w:rsid w:val="00E6114A"/>
    <w:rsid w:val="00E61F78"/>
    <w:rsid w:val="00E623AF"/>
    <w:rsid w:val="00E62595"/>
    <w:rsid w:val="00E62DC9"/>
    <w:rsid w:val="00E6377C"/>
    <w:rsid w:val="00E637DB"/>
    <w:rsid w:val="00E63882"/>
    <w:rsid w:val="00E642E1"/>
    <w:rsid w:val="00E64463"/>
    <w:rsid w:val="00E64626"/>
    <w:rsid w:val="00E6467C"/>
    <w:rsid w:val="00E64DD7"/>
    <w:rsid w:val="00E66374"/>
    <w:rsid w:val="00E667B0"/>
    <w:rsid w:val="00E6734C"/>
    <w:rsid w:val="00E67F85"/>
    <w:rsid w:val="00E700CF"/>
    <w:rsid w:val="00E7058F"/>
    <w:rsid w:val="00E70600"/>
    <w:rsid w:val="00E70A53"/>
    <w:rsid w:val="00E71A4C"/>
    <w:rsid w:val="00E71CA2"/>
    <w:rsid w:val="00E721A7"/>
    <w:rsid w:val="00E723FB"/>
    <w:rsid w:val="00E732C6"/>
    <w:rsid w:val="00E73341"/>
    <w:rsid w:val="00E733D5"/>
    <w:rsid w:val="00E73548"/>
    <w:rsid w:val="00E73B56"/>
    <w:rsid w:val="00E74041"/>
    <w:rsid w:val="00E74A87"/>
    <w:rsid w:val="00E74B08"/>
    <w:rsid w:val="00E74CD7"/>
    <w:rsid w:val="00E750B8"/>
    <w:rsid w:val="00E754B1"/>
    <w:rsid w:val="00E754C2"/>
    <w:rsid w:val="00E75EAD"/>
    <w:rsid w:val="00E762E2"/>
    <w:rsid w:val="00E772B8"/>
    <w:rsid w:val="00E805C3"/>
    <w:rsid w:val="00E807FF"/>
    <w:rsid w:val="00E80AAA"/>
    <w:rsid w:val="00E80B35"/>
    <w:rsid w:val="00E811A9"/>
    <w:rsid w:val="00E81421"/>
    <w:rsid w:val="00E81968"/>
    <w:rsid w:val="00E81E62"/>
    <w:rsid w:val="00E82243"/>
    <w:rsid w:val="00E82ACA"/>
    <w:rsid w:val="00E830D9"/>
    <w:rsid w:val="00E83163"/>
    <w:rsid w:val="00E83278"/>
    <w:rsid w:val="00E84934"/>
    <w:rsid w:val="00E852F4"/>
    <w:rsid w:val="00E85BD8"/>
    <w:rsid w:val="00E85C9E"/>
    <w:rsid w:val="00E864BF"/>
    <w:rsid w:val="00E867F0"/>
    <w:rsid w:val="00E8702E"/>
    <w:rsid w:val="00E87D7D"/>
    <w:rsid w:val="00E9016F"/>
    <w:rsid w:val="00E90305"/>
    <w:rsid w:val="00E90640"/>
    <w:rsid w:val="00E9138E"/>
    <w:rsid w:val="00E91B67"/>
    <w:rsid w:val="00E91EF7"/>
    <w:rsid w:val="00E9241B"/>
    <w:rsid w:val="00E92CAA"/>
    <w:rsid w:val="00E93495"/>
    <w:rsid w:val="00E939DE"/>
    <w:rsid w:val="00E93F83"/>
    <w:rsid w:val="00E94587"/>
    <w:rsid w:val="00E947BB"/>
    <w:rsid w:val="00E949F3"/>
    <w:rsid w:val="00E958C7"/>
    <w:rsid w:val="00E9592D"/>
    <w:rsid w:val="00E95C17"/>
    <w:rsid w:val="00E95FCB"/>
    <w:rsid w:val="00E96486"/>
    <w:rsid w:val="00E96D1B"/>
    <w:rsid w:val="00E9706A"/>
    <w:rsid w:val="00E9742F"/>
    <w:rsid w:val="00E97E3E"/>
    <w:rsid w:val="00EA0410"/>
    <w:rsid w:val="00EA04B3"/>
    <w:rsid w:val="00EA0977"/>
    <w:rsid w:val="00EA0AA9"/>
    <w:rsid w:val="00EA0AE0"/>
    <w:rsid w:val="00EA0AF0"/>
    <w:rsid w:val="00EA0C62"/>
    <w:rsid w:val="00EA1500"/>
    <w:rsid w:val="00EA217D"/>
    <w:rsid w:val="00EA21E9"/>
    <w:rsid w:val="00EA23AD"/>
    <w:rsid w:val="00EA2D0F"/>
    <w:rsid w:val="00EA2E07"/>
    <w:rsid w:val="00EA2E60"/>
    <w:rsid w:val="00EA3137"/>
    <w:rsid w:val="00EA4DF9"/>
    <w:rsid w:val="00EA515F"/>
    <w:rsid w:val="00EA5404"/>
    <w:rsid w:val="00EA5832"/>
    <w:rsid w:val="00EA5A14"/>
    <w:rsid w:val="00EA5F4E"/>
    <w:rsid w:val="00EA6262"/>
    <w:rsid w:val="00EA62ED"/>
    <w:rsid w:val="00EA6483"/>
    <w:rsid w:val="00EA6733"/>
    <w:rsid w:val="00EA6C90"/>
    <w:rsid w:val="00EA6C98"/>
    <w:rsid w:val="00EA730C"/>
    <w:rsid w:val="00EA74FE"/>
    <w:rsid w:val="00EA751A"/>
    <w:rsid w:val="00EA796D"/>
    <w:rsid w:val="00EB02E4"/>
    <w:rsid w:val="00EB0549"/>
    <w:rsid w:val="00EB0F31"/>
    <w:rsid w:val="00EB246D"/>
    <w:rsid w:val="00EB24F3"/>
    <w:rsid w:val="00EB278A"/>
    <w:rsid w:val="00EB2B3E"/>
    <w:rsid w:val="00EB2C20"/>
    <w:rsid w:val="00EB2C7D"/>
    <w:rsid w:val="00EB2DFA"/>
    <w:rsid w:val="00EB3897"/>
    <w:rsid w:val="00EB3EE2"/>
    <w:rsid w:val="00EB4D41"/>
    <w:rsid w:val="00EB5116"/>
    <w:rsid w:val="00EB5327"/>
    <w:rsid w:val="00EB59A6"/>
    <w:rsid w:val="00EB5C4B"/>
    <w:rsid w:val="00EB6050"/>
    <w:rsid w:val="00EB6746"/>
    <w:rsid w:val="00EB67AC"/>
    <w:rsid w:val="00EB699F"/>
    <w:rsid w:val="00EB759E"/>
    <w:rsid w:val="00EB77B8"/>
    <w:rsid w:val="00EC066D"/>
    <w:rsid w:val="00EC0C40"/>
    <w:rsid w:val="00EC0FF6"/>
    <w:rsid w:val="00EC135E"/>
    <w:rsid w:val="00EC1EE5"/>
    <w:rsid w:val="00EC1F6C"/>
    <w:rsid w:val="00EC2047"/>
    <w:rsid w:val="00EC287A"/>
    <w:rsid w:val="00EC341B"/>
    <w:rsid w:val="00EC3733"/>
    <w:rsid w:val="00EC3BED"/>
    <w:rsid w:val="00EC40AE"/>
    <w:rsid w:val="00EC453D"/>
    <w:rsid w:val="00EC46AD"/>
    <w:rsid w:val="00EC4DEE"/>
    <w:rsid w:val="00EC4EC5"/>
    <w:rsid w:val="00EC5F91"/>
    <w:rsid w:val="00EC5FEF"/>
    <w:rsid w:val="00EC616C"/>
    <w:rsid w:val="00EC6194"/>
    <w:rsid w:val="00EC6450"/>
    <w:rsid w:val="00EC6D1A"/>
    <w:rsid w:val="00EC70FF"/>
    <w:rsid w:val="00EC71DD"/>
    <w:rsid w:val="00EC7732"/>
    <w:rsid w:val="00EC7904"/>
    <w:rsid w:val="00EC79B6"/>
    <w:rsid w:val="00EC7F2B"/>
    <w:rsid w:val="00EC7FB0"/>
    <w:rsid w:val="00ED02ED"/>
    <w:rsid w:val="00ED13A1"/>
    <w:rsid w:val="00ED14B8"/>
    <w:rsid w:val="00ED18D2"/>
    <w:rsid w:val="00ED194B"/>
    <w:rsid w:val="00ED248B"/>
    <w:rsid w:val="00ED26A4"/>
    <w:rsid w:val="00ED2C9A"/>
    <w:rsid w:val="00ED326B"/>
    <w:rsid w:val="00ED3AD1"/>
    <w:rsid w:val="00ED3B06"/>
    <w:rsid w:val="00ED3CA3"/>
    <w:rsid w:val="00ED3F41"/>
    <w:rsid w:val="00ED44DA"/>
    <w:rsid w:val="00ED4507"/>
    <w:rsid w:val="00ED4746"/>
    <w:rsid w:val="00ED48A9"/>
    <w:rsid w:val="00ED4D36"/>
    <w:rsid w:val="00ED4DF7"/>
    <w:rsid w:val="00ED5BA7"/>
    <w:rsid w:val="00ED5E9C"/>
    <w:rsid w:val="00ED61C5"/>
    <w:rsid w:val="00ED69F0"/>
    <w:rsid w:val="00ED6D2F"/>
    <w:rsid w:val="00ED6EAF"/>
    <w:rsid w:val="00ED6F1C"/>
    <w:rsid w:val="00ED722F"/>
    <w:rsid w:val="00ED7D5A"/>
    <w:rsid w:val="00ED7F2A"/>
    <w:rsid w:val="00EE0CB9"/>
    <w:rsid w:val="00EE16B0"/>
    <w:rsid w:val="00EE1A4F"/>
    <w:rsid w:val="00EE2FFD"/>
    <w:rsid w:val="00EE3001"/>
    <w:rsid w:val="00EE331A"/>
    <w:rsid w:val="00EE3AE2"/>
    <w:rsid w:val="00EE3CF6"/>
    <w:rsid w:val="00EE3E57"/>
    <w:rsid w:val="00EE42FD"/>
    <w:rsid w:val="00EE4318"/>
    <w:rsid w:val="00EE4BB2"/>
    <w:rsid w:val="00EE4BC4"/>
    <w:rsid w:val="00EE4EB1"/>
    <w:rsid w:val="00EE4FCE"/>
    <w:rsid w:val="00EE69E7"/>
    <w:rsid w:val="00EE702D"/>
    <w:rsid w:val="00EE70DA"/>
    <w:rsid w:val="00EE73F7"/>
    <w:rsid w:val="00EE7770"/>
    <w:rsid w:val="00EE7875"/>
    <w:rsid w:val="00EF047D"/>
    <w:rsid w:val="00EF0D4C"/>
    <w:rsid w:val="00EF0EE8"/>
    <w:rsid w:val="00EF0F34"/>
    <w:rsid w:val="00EF16D1"/>
    <w:rsid w:val="00EF1C71"/>
    <w:rsid w:val="00EF1CCB"/>
    <w:rsid w:val="00EF2588"/>
    <w:rsid w:val="00EF2A57"/>
    <w:rsid w:val="00EF2EB0"/>
    <w:rsid w:val="00EF3DDE"/>
    <w:rsid w:val="00EF42EB"/>
    <w:rsid w:val="00EF4712"/>
    <w:rsid w:val="00EF4D07"/>
    <w:rsid w:val="00EF4DE2"/>
    <w:rsid w:val="00EF5494"/>
    <w:rsid w:val="00EF5D88"/>
    <w:rsid w:val="00EF67CB"/>
    <w:rsid w:val="00EF6E2E"/>
    <w:rsid w:val="00EF7C63"/>
    <w:rsid w:val="00EF7DD9"/>
    <w:rsid w:val="00F002FD"/>
    <w:rsid w:val="00F0072D"/>
    <w:rsid w:val="00F0083B"/>
    <w:rsid w:val="00F00A90"/>
    <w:rsid w:val="00F00C62"/>
    <w:rsid w:val="00F00DFA"/>
    <w:rsid w:val="00F0117A"/>
    <w:rsid w:val="00F016E2"/>
    <w:rsid w:val="00F01D95"/>
    <w:rsid w:val="00F02070"/>
    <w:rsid w:val="00F02BE3"/>
    <w:rsid w:val="00F03286"/>
    <w:rsid w:val="00F0345D"/>
    <w:rsid w:val="00F03655"/>
    <w:rsid w:val="00F038B5"/>
    <w:rsid w:val="00F03B04"/>
    <w:rsid w:val="00F03B9A"/>
    <w:rsid w:val="00F03BFB"/>
    <w:rsid w:val="00F03ECE"/>
    <w:rsid w:val="00F0429D"/>
    <w:rsid w:val="00F048BE"/>
    <w:rsid w:val="00F049AD"/>
    <w:rsid w:val="00F04BA7"/>
    <w:rsid w:val="00F04D20"/>
    <w:rsid w:val="00F052B9"/>
    <w:rsid w:val="00F05C7E"/>
    <w:rsid w:val="00F0725F"/>
    <w:rsid w:val="00F07D75"/>
    <w:rsid w:val="00F103E2"/>
    <w:rsid w:val="00F10C76"/>
    <w:rsid w:val="00F11C7D"/>
    <w:rsid w:val="00F123AC"/>
    <w:rsid w:val="00F12421"/>
    <w:rsid w:val="00F12478"/>
    <w:rsid w:val="00F12541"/>
    <w:rsid w:val="00F12809"/>
    <w:rsid w:val="00F12AAF"/>
    <w:rsid w:val="00F12BCE"/>
    <w:rsid w:val="00F12C04"/>
    <w:rsid w:val="00F12D2B"/>
    <w:rsid w:val="00F13028"/>
    <w:rsid w:val="00F13468"/>
    <w:rsid w:val="00F136AB"/>
    <w:rsid w:val="00F13A47"/>
    <w:rsid w:val="00F1499D"/>
    <w:rsid w:val="00F14AE5"/>
    <w:rsid w:val="00F15C6C"/>
    <w:rsid w:val="00F16660"/>
    <w:rsid w:val="00F16679"/>
    <w:rsid w:val="00F167E5"/>
    <w:rsid w:val="00F17363"/>
    <w:rsid w:val="00F17647"/>
    <w:rsid w:val="00F177AE"/>
    <w:rsid w:val="00F17A4C"/>
    <w:rsid w:val="00F17B88"/>
    <w:rsid w:val="00F17C54"/>
    <w:rsid w:val="00F17F30"/>
    <w:rsid w:val="00F20529"/>
    <w:rsid w:val="00F208F5"/>
    <w:rsid w:val="00F20C7E"/>
    <w:rsid w:val="00F21307"/>
    <w:rsid w:val="00F213A9"/>
    <w:rsid w:val="00F214BE"/>
    <w:rsid w:val="00F21A68"/>
    <w:rsid w:val="00F21C77"/>
    <w:rsid w:val="00F21ED4"/>
    <w:rsid w:val="00F2233E"/>
    <w:rsid w:val="00F225F6"/>
    <w:rsid w:val="00F2263B"/>
    <w:rsid w:val="00F22ED0"/>
    <w:rsid w:val="00F23063"/>
    <w:rsid w:val="00F24181"/>
    <w:rsid w:val="00F24380"/>
    <w:rsid w:val="00F24556"/>
    <w:rsid w:val="00F24AD7"/>
    <w:rsid w:val="00F24DF7"/>
    <w:rsid w:val="00F25295"/>
    <w:rsid w:val="00F2557F"/>
    <w:rsid w:val="00F257E8"/>
    <w:rsid w:val="00F25A37"/>
    <w:rsid w:val="00F25D1E"/>
    <w:rsid w:val="00F26303"/>
    <w:rsid w:val="00F26902"/>
    <w:rsid w:val="00F26F0B"/>
    <w:rsid w:val="00F274DE"/>
    <w:rsid w:val="00F27B79"/>
    <w:rsid w:val="00F303B2"/>
    <w:rsid w:val="00F3123C"/>
    <w:rsid w:val="00F3123D"/>
    <w:rsid w:val="00F31BA3"/>
    <w:rsid w:val="00F31C72"/>
    <w:rsid w:val="00F32678"/>
    <w:rsid w:val="00F32A0B"/>
    <w:rsid w:val="00F32F02"/>
    <w:rsid w:val="00F332AF"/>
    <w:rsid w:val="00F3355F"/>
    <w:rsid w:val="00F33CCE"/>
    <w:rsid w:val="00F34269"/>
    <w:rsid w:val="00F34C0E"/>
    <w:rsid w:val="00F350D0"/>
    <w:rsid w:val="00F354D1"/>
    <w:rsid w:val="00F35A56"/>
    <w:rsid w:val="00F36009"/>
    <w:rsid w:val="00F360A4"/>
    <w:rsid w:val="00F3615F"/>
    <w:rsid w:val="00F364DF"/>
    <w:rsid w:val="00F367B6"/>
    <w:rsid w:val="00F3710E"/>
    <w:rsid w:val="00F37258"/>
    <w:rsid w:val="00F37283"/>
    <w:rsid w:val="00F37452"/>
    <w:rsid w:val="00F3780F"/>
    <w:rsid w:val="00F37A59"/>
    <w:rsid w:val="00F37B33"/>
    <w:rsid w:val="00F40AA0"/>
    <w:rsid w:val="00F41024"/>
    <w:rsid w:val="00F4110B"/>
    <w:rsid w:val="00F411A2"/>
    <w:rsid w:val="00F415A0"/>
    <w:rsid w:val="00F41A32"/>
    <w:rsid w:val="00F41F42"/>
    <w:rsid w:val="00F42943"/>
    <w:rsid w:val="00F437E8"/>
    <w:rsid w:val="00F43906"/>
    <w:rsid w:val="00F441E6"/>
    <w:rsid w:val="00F44F5F"/>
    <w:rsid w:val="00F451EF"/>
    <w:rsid w:val="00F45497"/>
    <w:rsid w:val="00F461C6"/>
    <w:rsid w:val="00F4665D"/>
    <w:rsid w:val="00F46FE8"/>
    <w:rsid w:val="00F47774"/>
    <w:rsid w:val="00F479F9"/>
    <w:rsid w:val="00F47B1E"/>
    <w:rsid w:val="00F47C17"/>
    <w:rsid w:val="00F47F3A"/>
    <w:rsid w:val="00F511C2"/>
    <w:rsid w:val="00F51600"/>
    <w:rsid w:val="00F51775"/>
    <w:rsid w:val="00F51BB7"/>
    <w:rsid w:val="00F52250"/>
    <w:rsid w:val="00F5229C"/>
    <w:rsid w:val="00F525D1"/>
    <w:rsid w:val="00F52652"/>
    <w:rsid w:val="00F52747"/>
    <w:rsid w:val="00F52945"/>
    <w:rsid w:val="00F52ACA"/>
    <w:rsid w:val="00F5322D"/>
    <w:rsid w:val="00F53771"/>
    <w:rsid w:val="00F537B0"/>
    <w:rsid w:val="00F53BE2"/>
    <w:rsid w:val="00F53EFC"/>
    <w:rsid w:val="00F53F17"/>
    <w:rsid w:val="00F55159"/>
    <w:rsid w:val="00F555BC"/>
    <w:rsid w:val="00F557FD"/>
    <w:rsid w:val="00F56212"/>
    <w:rsid w:val="00F56425"/>
    <w:rsid w:val="00F565F6"/>
    <w:rsid w:val="00F56947"/>
    <w:rsid w:val="00F56CA0"/>
    <w:rsid w:val="00F56CDB"/>
    <w:rsid w:val="00F570AD"/>
    <w:rsid w:val="00F576F6"/>
    <w:rsid w:val="00F57995"/>
    <w:rsid w:val="00F6054E"/>
    <w:rsid w:val="00F607A8"/>
    <w:rsid w:val="00F6138A"/>
    <w:rsid w:val="00F623B1"/>
    <w:rsid w:val="00F625B1"/>
    <w:rsid w:val="00F62A59"/>
    <w:rsid w:val="00F63158"/>
    <w:rsid w:val="00F635E6"/>
    <w:rsid w:val="00F639EE"/>
    <w:rsid w:val="00F64223"/>
    <w:rsid w:val="00F65158"/>
    <w:rsid w:val="00F65AA2"/>
    <w:rsid w:val="00F65F6A"/>
    <w:rsid w:val="00F661EB"/>
    <w:rsid w:val="00F66462"/>
    <w:rsid w:val="00F66522"/>
    <w:rsid w:val="00F6676A"/>
    <w:rsid w:val="00F6678A"/>
    <w:rsid w:val="00F6712C"/>
    <w:rsid w:val="00F6715B"/>
    <w:rsid w:val="00F67673"/>
    <w:rsid w:val="00F67825"/>
    <w:rsid w:val="00F67CB4"/>
    <w:rsid w:val="00F70ED9"/>
    <w:rsid w:val="00F71219"/>
    <w:rsid w:val="00F72506"/>
    <w:rsid w:val="00F72507"/>
    <w:rsid w:val="00F72709"/>
    <w:rsid w:val="00F72FD4"/>
    <w:rsid w:val="00F7388A"/>
    <w:rsid w:val="00F738B4"/>
    <w:rsid w:val="00F739DD"/>
    <w:rsid w:val="00F73ADC"/>
    <w:rsid w:val="00F73EB7"/>
    <w:rsid w:val="00F73EBE"/>
    <w:rsid w:val="00F749C7"/>
    <w:rsid w:val="00F74A6F"/>
    <w:rsid w:val="00F74AC1"/>
    <w:rsid w:val="00F75151"/>
    <w:rsid w:val="00F75385"/>
    <w:rsid w:val="00F7577D"/>
    <w:rsid w:val="00F75876"/>
    <w:rsid w:val="00F75934"/>
    <w:rsid w:val="00F75BD4"/>
    <w:rsid w:val="00F75E1A"/>
    <w:rsid w:val="00F7713F"/>
    <w:rsid w:val="00F776DC"/>
    <w:rsid w:val="00F77AC3"/>
    <w:rsid w:val="00F77DBC"/>
    <w:rsid w:val="00F80105"/>
    <w:rsid w:val="00F808C3"/>
    <w:rsid w:val="00F80EF2"/>
    <w:rsid w:val="00F811C1"/>
    <w:rsid w:val="00F81575"/>
    <w:rsid w:val="00F817C7"/>
    <w:rsid w:val="00F819C7"/>
    <w:rsid w:val="00F81D7F"/>
    <w:rsid w:val="00F81FCF"/>
    <w:rsid w:val="00F821EB"/>
    <w:rsid w:val="00F82913"/>
    <w:rsid w:val="00F8334A"/>
    <w:rsid w:val="00F84B14"/>
    <w:rsid w:val="00F85897"/>
    <w:rsid w:val="00F859FE"/>
    <w:rsid w:val="00F8663E"/>
    <w:rsid w:val="00F867F2"/>
    <w:rsid w:val="00F869C4"/>
    <w:rsid w:val="00F869E8"/>
    <w:rsid w:val="00F86F6A"/>
    <w:rsid w:val="00F87003"/>
    <w:rsid w:val="00F87885"/>
    <w:rsid w:val="00F87DAE"/>
    <w:rsid w:val="00F90475"/>
    <w:rsid w:val="00F90AFB"/>
    <w:rsid w:val="00F90C1E"/>
    <w:rsid w:val="00F91150"/>
    <w:rsid w:val="00F9217C"/>
    <w:rsid w:val="00F925F6"/>
    <w:rsid w:val="00F928FA"/>
    <w:rsid w:val="00F930B3"/>
    <w:rsid w:val="00F93220"/>
    <w:rsid w:val="00F9422C"/>
    <w:rsid w:val="00F943C2"/>
    <w:rsid w:val="00F94C24"/>
    <w:rsid w:val="00F94D45"/>
    <w:rsid w:val="00F94E16"/>
    <w:rsid w:val="00F95316"/>
    <w:rsid w:val="00F9697D"/>
    <w:rsid w:val="00F97372"/>
    <w:rsid w:val="00F97578"/>
    <w:rsid w:val="00F97B77"/>
    <w:rsid w:val="00FA06A3"/>
    <w:rsid w:val="00FA0896"/>
    <w:rsid w:val="00FA10F2"/>
    <w:rsid w:val="00FA2120"/>
    <w:rsid w:val="00FA2191"/>
    <w:rsid w:val="00FA2FC5"/>
    <w:rsid w:val="00FA45FB"/>
    <w:rsid w:val="00FA4670"/>
    <w:rsid w:val="00FA505F"/>
    <w:rsid w:val="00FA50F8"/>
    <w:rsid w:val="00FA513F"/>
    <w:rsid w:val="00FA5769"/>
    <w:rsid w:val="00FA5F19"/>
    <w:rsid w:val="00FA5F8D"/>
    <w:rsid w:val="00FA66CA"/>
    <w:rsid w:val="00FA6DB6"/>
    <w:rsid w:val="00FB0F87"/>
    <w:rsid w:val="00FB0F9B"/>
    <w:rsid w:val="00FB17DD"/>
    <w:rsid w:val="00FB1CBA"/>
    <w:rsid w:val="00FB2897"/>
    <w:rsid w:val="00FB2E92"/>
    <w:rsid w:val="00FB3BF6"/>
    <w:rsid w:val="00FB4796"/>
    <w:rsid w:val="00FB50F3"/>
    <w:rsid w:val="00FB552D"/>
    <w:rsid w:val="00FB5594"/>
    <w:rsid w:val="00FB57A0"/>
    <w:rsid w:val="00FB5D4F"/>
    <w:rsid w:val="00FB637B"/>
    <w:rsid w:val="00FB75C3"/>
    <w:rsid w:val="00FC05AC"/>
    <w:rsid w:val="00FC06A6"/>
    <w:rsid w:val="00FC076D"/>
    <w:rsid w:val="00FC08B3"/>
    <w:rsid w:val="00FC0968"/>
    <w:rsid w:val="00FC09B9"/>
    <w:rsid w:val="00FC24EA"/>
    <w:rsid w:val="00FC2746"/>
    <w:rsid w:val="00FC2BEF"/>
    <w:rsid w:val="00FC3274"/>
    <w:rsid w:val="00FC391C"/>
    <w:rsid w:val="00FC3C57"/>
    <w:rsid w:val="00FC3D1E"/>
    <w:rsid w:val="00FC3E9E"/>
    <w:rsid w:val="00FC3F64"/>
    <w:rsid w:val="00FC5597"/>
    <w:rsid w:val="00FC56E1"/>
    <w:rsid w:val="00FC598A"/>
    <w:rsid w:val="00FC59A7"/>
    <w:rsid w:val="00FC5A0F"/>
    <w:rsid w:val="00FC5DCA"/>
    <w:rsid w:val="00FC5E08"/>
    <w:rsid w:val="00FC63B8"/>
    <w:rsid w:val="00FC64D6"/>
    <w:rsid w:val="00FC6AA2"/>
    <w:rsid w:val="00FC7013"/>
    <w:rsid w:val="00FC715F"/>
    <w:rsid w:val="00FC7A13"/>
    <w:rsid w:val="00FC7CB6"/>
    <w:rsid w:val="00FD0DF6"/>
    <w:rsid w:val="00FD0E13"/>
    <w:rsid w:val="00FD1AB9"/>
    <w:rsid w:val="00FD1D09"/>
    <w:rsid w:val="00FD2286"/>
    <w:rsid w:val="00FD2CEB"/>
    <w:rsid w:val="00FD2FB9"/>
    <w:rsid w:val="00FD325E"/>
    <w:rsid w:val="00FD32AD"/>
    <w:rsid w:val="00FD3D9D"/>
    <w:rsid w:val="00FD46E3"/>
    <w:rsid w:val="00FD4F9F"/>
    <w:rsid w:val="00FD5180"/>
    <w:rsid w:val="00FD5606"/>
    <w:rsid w:val="00FD5A8E"/>
    <w:rsid w:val="00FD5ED7"/>
    <w:rsid w:val="00FD64B7"/>
    <w:rsid w:val="00FD6718"/>
    <w:rsid w:val="00FD67B4"/>
    <w:rsid w:val="00FD689A"/>
    <w:rsid w:val="00FD68C1"/>
    <w:rsid w:val="00FD6DC1"/>
    <w:rsid w:val="00FD6EEF"/>
    <w:rsid w:val="00FD7292"/>
    <w:rsid w:val="00FD7494"/>
    <w:rsid w:val="00FD7495"/>
    <w:rsid w:val="00FE0026"/>
    <w:rsid w:val="00FE0487"/>
    <w:rsid w:val="00FE0AD3"/>
    <w:rsid w:val="00FE0D5F"/>
    <w:rsid w:val="00FE109D"/>
    <w:rsid w:val="00FE1447"/>
    <w:rsid w:val="00FE170E"/>
    <w:rsid w:val="00FE19DB"/>
    <w:rsid w:val="00FE1D34"/>
    <w:rsid w:val="00FE20EF"/>
    <w:rsid w:val="00FE255B"/>
    <w:rsid w:val="00FE2B29"/>
    <w:rsid w:val="00FE2DC7"/>
    <w:rsid w:val="00FE31DC"/>
    <w:rsid w:val="00FE326B"/>
    <w:rsid w:val="00FE437F"/>
    <w:rsid w:val="00FE44B3"/>
    <w:rsid w:val="00FE4A55"/>
    <w:rsid w:val="00FE4E24"/>
    <w:rsid w:val="00FE4EE1"/>
    <w:rsid w:val="00FE51C5"/>
    <w:rsid w:val="00FE59CD"/>
    <w:rsid w:val="00FE61F1"/>
    <w:rsid w:val="00FE6517"/>
    <w:rsid w:val="00FE6ACA"/>
    <w:rsid w:val="00FE6B0A"/>
    <w:rsid w:val="00FE6B59"/>
    <w:rsid w:val="00FE6F4E"/>
    <w:rsid w:val="00FE6FB9"/>
    <w:rsid w:val="00FE70DD"/>
    <w:rsid w:val="00FE72B0"/>
    <w:rsid w:val="00FE73A0"/>
    <w:rsid w:val="00FE76D5"/>
    <w:rsid w:val="00FE7BF3"/>
    <w:rsid w:val="00FE7CBF"/>
    <w:rsid w:val="00FF00EF"/>
    <w:rsid w:val="00FF010A"/>
    <w:rsid w:val="00FF0CBF"/>
    <w:rsid w:val="00FF0EF3"/>
    <w:rsid w:val="00FF15A7"/>
    <w:rsid w:val="00FF2189"/>
    <w:rsid w:val="00FF26FB"/>
    <w:rsid w:val="00FF28BA"/>
    <w:rsid w:val="00FF2F8B"/>
    <w:rsid w:val="00FF3E69"/>
    <w:rsid w:val="00FF4220"/>
    <w:rsid w:val="00FF4A41"/>
    <w:rsid w:val="00FF4B87"/>
    <w:rsid w:val="00FF4EF6"/>
    <w:rsid w:val="00FF505B"/>
    <w:rsid w:val="00FF5330"/>
    <w:rsid w:val="00FF5462"/>
    <w:rsid w:val="00FF5954"/>
    <w:rsid w:val="00FF6457"/>
    <w:rsid w:val="00FF6EBF"/>
    <w:rsid w:val="00FF7467"/>
    <w:rsid w:val="00FF7539"/>
    <w:rsid w:val="00FF7AB3"/>
    <w:rsid w:val="00FF7FDD"/>
    <w:rsid w:val="01CFCE83"/>
    <w:rsid w:val="212F3F70"/>
    <w:rsid w:val="218A6964"/>
    <w:rsid w:val="3097F044"/>
    <w:rsid w:val="59937819"/>
    <w:rsid w:val="5BABC29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7FCE"/>
  <w15:docId w15:val="{45EBFDE2-04CE-486A-9224-000C4B33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1F"/>
  </w:style>
  <w:style w:type="paragraph" w:styleId="Heading1">
    <w:name w:val="heading 1"/>
    <w:basedOn w:val="Normal"/>
    <w:next w:val="Normal"/>
    <w:link w:val="Heading1Char"/>
    <w:uiPriority w:val="9"/>
    <w:qFormat/>
    <w:rsid w:val="007D7A1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D7A1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A1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A1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D7A1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D7A1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D7A1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D7A1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D7A1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character" w:styleId="CommentReference">
    <w:name w:val="annotation reference"/>
    <w:basedOn w:val="DefaultParagraphFont"/>
    <w:uiPriority w:val="99"/>
    <w:semiHidden/>
    <w:unhideWhenUsed/>
    <w:rsid w:val="00066E2E"/>
    <w:rPr>
      <w:sz w:val="16"/>
      <w:szCs w:val="16"/>
    </w:rPr>
  </w:style>
  <w:style w:type="paragraph" w:styleId="CommentText">
    <w:name w:val="annotation text"/>
    <w:basedOn w:val="Normal"/>
    <w:link w:val="CommentTextChar"/>
    <w:uiPriority w:val="99"/>
    <w:unhideWhenUsed/>
    <w:rsid w:val="00066E2E"/>
    <w:pPr>
      <w:spacing w:line="240" w:lineRule="auto"/>
    </w:pPr>
    <w:rPr>
      <w:sz w:val="20"/>
      <w:szCs w:val="20"/>
    </w:rPr>
  </w:style>
  <w:style w:type="character" w:customStyle="1" w:styleId="CommentTextChar">
    <w:name w:val="Comment Text Char"/>
    <w:basedOn w:val="DefaultParagraphFont"/>
    <w:link w:val="CommentText"/>
    <w:uiPriority w:val="99"/>
    <w:rsid w:val="00066E2E"/>
    <w:rPr>
      <w:sz w:val="20"/>
      <w:szCs w:val="20"/>
    </w:rPr>
  </w:style>
  <w:style w:type="paragraph" w:styleId="CommentSubject">
    <w:name w:val="annotation subject"/>
    <w:basedOn w:val="CommentText"/>
    <w:next w:val="CommentText"/>
    <w:link w:val="CommentSubjectChar"/>
    <w:uiPriority w:val="99"/>
    <w:semiHidden/>
    <w:unhideWhenUsed/>
    <w:rsid w:val="00066E2E"/>
    <w:rPr>
      <w:b/>
      <w:bCs/>
    </w:rPr>
  </w:style>
  <w:style w:type="character" w:customStyle="1" w:styleId="CommentSubjectChar">
    <w:name w:val="Comment Subject Char"/>
    <w:basedOn w:val="CommentTextChar"/>
    <w:link w:val="CommentSubject"/>
    <w:uiPriority w:val="99"/>
    <w:semiHidden/>
    <w:rsid w:val="00066E2E"/>
    <w:rPr>
      <w:b/>
      <w:bCs/>
      <w:sz w:val="20"/>
      <w:szCs w:val="20"/>
    </w:rPr>
  </w:style>
  <w:style w:type="character" w:styleId="UnresolvedMention">
    <w:name w:val="Unresolved Mention"/>
    <w:basedOn w:val="DefaultParagraphFont"/>
    <w:uiPriority w:val="99"/>
    <w:semiHidden/>
    <w:unhideWhenUsed/>
    <w:rsid w:val="00190CA4"/>
    <w:rPr>
      <w:color w:val="605E5C"/>
      <w:shd w:val="clear" w:color="auto" w:fill="E1DFDD"/>
    </w:rPr>
  </w:style>
  <w:style w:type="character" w:styleId="FollowedHyperlink">
    <w:name w:val="FollowedHyperlink"/>
    <w:basedOn w:val="DefaultParagraphFont"/>
    <w:uiPriority w:val="99"/>
    <w:semiHidden/>
    <w:unhideWhenUsed/>
    <w:rsid w:val="00190CA4"/>
    <w:rPr>
      <w:color w:val="954F72" w:themeColor="followedHyperlink"/>
      <w:u w:val="single"/>
    </w:rPr>
  </w:style>
  <w:style w:type="character" w:customStyle="1" w:styleId="Heading1Char">
    <w:name w:val="Heading 1 Char"/>
    <w:basedOn w:val="DefaultParagraphFont"/>
    <w:link w:val="Heading1"/>
    <w:uiPriority w:val="9"/>
    <w:rsid w:val="007D7A1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D7A1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5D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5DA8"/>
  </w:style>
  <w:style w:type="paragraph" w:styleId="Footer">
    <w:name w:val="footer"/>
    <w:basedOn w:val="Normal"/>
    <w:link w:val="FooterChar"/>
    <w:uiPriority w:val="99"/>
    <w:unhideWhenUsed/>
    <w:rsid w:val="00445D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5DA8"/>
  </w:style>
  <w:style w:type="paragraph" w:styleId="NormalWeb">
    <w:name w:val="Normal (Web)"/>
    <w:basedOn w:val="Normal"/>
    <w:uiPriority w:val="99"/>
    <w:semiHidden/>
    <w:unhideWhenUsed/>
    <w:rsid w:val="00CF6F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1F"/>
    <w:rPr>
      <w:b/>
      <w:bCs/>
    </w:rPr>
  </w:style>
  <w:style w:type="character" w:styleId="Emphasis">
    <w:name w:val="Emphasis"/>
    <w:basedOn w:val="DefaultParagraphFont"/>
    <w:uiPriority w:val="20"/>
    <w:qFormat/>
    <w:rsid w:val="007D7A1F"/>
    <w:rPr>
      <w:i/>
      <w:iCs/>
    </w:rPr>
  </w:style>
  <w:style w:type="paragraph" w:styleId="TOCHeading">
    <w:name w:val="TOC Heading"/>
    <w:basedOn w:val="Heading1"/>
    <w:next w:val="Normal"/>
    <w:uiPriority w:val="39"/>
    <w:unhideWhenUsed/>
    <w:qFormat/>
    <w:rsid w:val="007D7A1F"/>
    <w:pPr>
      <w:outlineLvl w:val="9"/>
    </w:pPr>
  </w:style>
  <w:style w:type="paragraph" w:styleId="TOC1">
    <w:name w:val="toc 1"/>
    <w:basedOn w:val="Normal"/>
    <w:next w:val="Normal"/>
    <w:autoRedefine/>
    <w:uiPriority w:val="39"/>
    <w:unhideWhenUsed/>
    <w:rsid w:val="00922F09"/>
    <w:pPr>
      <w:spacing w:after="100"/>
    </w:pPr>
  </w:style>
  <w:style w:type="paragraph" w:styleId="TOC2">
    <w:name w:val="toc 2"/>
    <w:basedOn w:val="Normal"/>
    <w:next w:val="Normal"/>
    <w:autoRedefine/>
    <w:uiPriority w:val="39"/>
    <w:unhideWhenUsed/>
    <w:rsid w:val="0024204B"/>
    <w:pPr>
      <w:tabs>
        <w:tab w:val="right" w:leader="dot" w:pos="9062"/>
      </w:tabs>
      <w:spacing w:after="100"/>
      <w:ind w:left="220"/>
    </w:pPr>
  </w:style>
  <w:style w:type="character" w:customStyle="1" w:styleId="Heading4Char">
    <w:name w:val="Heading 4 Char"/>
    <w:basedOn w:val="DefaultParagraphFont"/>
    <w:link w:val="Heading4"/>
    <w:uiPriority w:val="9"/>
    <w:semiHidden/>
    <w:rsid w:val="007D7A1F"/>
    <w:rPr>
      <w:rFonts w:asciiTheme="majorHAnsi" w:eastAsiaTheme="majorEastAsia" w:hAnsiTheme="majorHAnsi" w:cstheme="majorBidi"/>
      <w:color w:val="2F5496" w:themeColor="accent1" w:themeShade="BF"/>
      <w:sz w:val="24"/>
      <w:szCs w:val="24"/>
    </w:rPr>
  </w:style>
  <w:style w:type="paragraph" w:styleId="NoSpacing">
    <w:name w:val="No Spacing"/>
    <w:uiPriority w:val="1"/>
    <w:qFormat/>
    <w:rsid w:val="007D7A1F"/>
    <w:pPr>
      <w:spacing w:after="0" w:line="240" w:lineRule="auto"/>
    </w:pPr>
  </w:style>
  <w:style w:type="paragraph" w:styleId="ListParagraph">
    <w:name w:val="List Paragraph"/>
    <w:basedOn w:val="Normal"/>
    <w:uiPriority w:val="34"/>
    <w:qFormat/>
    <w:rsid w:val="006320EC"/>
    <w:pPr>
      <w:ind w:left="720"/>
      <w:contextualSpacing/>
    </w:pPr>
  </w:style>
  <w:style w:type="paragraph" w:styleId="Revision">
    <w:name w:val="Revision"/>
    <w:hidden/>
    <w:uiPriority w:val="99"/>
    <w:semiHidden/>
    <w:rsid w:val="009A6298"/>
    <w:pPr>
      <w:spacing w:after="0" w:line="240" w:lineRule="auto"/>
    </w:pPr>
  </w:style>
  <w:style w:type="character" w:customStyle="1" w:styleId="Heading3Char">
    <w:name w:val="Heading 3 Char"/>
    <w:basedOn w:val="DefaultParagraphFont"/>
    <w:link w:val="Heading3"/>
    <w:uiPriority w:val="9"/>
    <w:semiHidden/>
    <w:rsid w:val="007D7A1F"/>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7D7A1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D7A1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D7A1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D7A1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D7A1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D7A1F"/>
    <w:pPr>
      <w:spacing w:line="240" w:lineRule="auto"/>
    </w:pPr>
    <w:rPr>
      <w:b/>
      <w:bCs/>
      <w:smallCaps/>
      <w:color w:val="44546A" w:themeColor="text2"/>
    </w:rPr>
  </w:style>
  <w:style w:type="paragraph" w:styleId="Title">
    <w:name w:val="Title"/>
    <w:basedOn w:val="Normal"/>
    <w:next w:val="Normal"/>
    <w:link w:val="TitleChar"/>
    <w:uiPriority w:val="10"/>
    <w:qFormat/>
    <w:rsid w:val="007D7A1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D7A1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D7A1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D7A1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7D7A1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D7A1F"/>
    <w:rPr>
      <w:color w:val="44546A" w:themeColor="text2"/>
      <w:sz w:val="24"/>
      <w:szCs w:val="24"/>
    </w:rPr>
  </w:style>
  <w:style w:type="paragraph" w:styleId="IntenseQuote">
    <w:name w:val="Intense Quote"/>
    <w:basedOn w:val="Normal"/>
    <w:next w:val="Normal"/>
    <w:link w:val="IntenseQuoteChar"/>
    <w:uiPriority w:val="30"/>
    <w:qFormat/>
    <w:rsid w:val="007D7A1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D7A1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D7A1F"/>
    <w:rPr>
      <w:i/>
      <w:iCs/>
      <w:color w:val="595959" w:themeColor="text1" w:themeTint="A6"/>
    </w:rPr>
  </w:style>
  <w:style w:type="character" w:styleId="IntenseEmphasis">
    <w:name w:val="Intense Emphasis"/>
    <w:basedOn w:val="DefaultParagraphFont"/>
    <w:uiPriority w:val="21"/>
    <w:qFormat/>
    <w:rsid w:val="007D7A1F"/>
    <w:rPr>
      <w:b/>
      <w:bCs/>
      <w:i/>
      <w:iCs/>
    </w:rPr>
  </w:style>
  <w:style w:type="character" w:styleId="SubtleReference">
    <w:name w:val="Subtle Reference"/>
    <w:basedOn w:val="DefaultParagraphFont"/>
    <w:uiPriority w:val="31"/>
    <w:qFormat/>
    <w:rsid w:val="007D7A1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D7A1F"/>
    <w:rPr>
      <w:b/>
      <w:bCs/>
      <w:smallCaps/>
      <w:color w:val="44546A" w:themeColor="text2"/>
      <w:u w:val="single"/>
    </w:rPr>
  </w:style>
  <w:style w:type="character" w:styleId="BookTitle">
    <w:name w:val="Book Title"/>
    <w:basedOn w:val="DefaultParagraphFont"/>
    <w:uiPriority w:val="33"/>
    <w:qFormat/>
    <w:rsid w:val="007D7A1F"/>
    <w:rPr>
      <w:b/>
      <w:bCs/>
      <w:smallCaps/>
      <w:spacing w:val="10"/>
    </w:rPr>
  </w:style>
  <w:style w:type="character" w:styleId="Mention">
    <w:name w:val="Mention"/>
    <w:basedOn w:val="DefaultParagraphFont"/>
    <w:uiPriority w:val="99"/>
    <w:unhideWhenUsed/>
    <w:rsid w:val="005A0B2E"/>
    <w:rPr>
      <w:color w:val="2B579A"/>
      <w:shd w:val="clear" w:color="auto" w:fill="E6E6E6"/>
    </w:rPr>
  </w:style>
  <w:style w:type="character" w:customStyle="1" w:styleId="ui-provider">
    <w:name w:val="ui-provider"/>
    <w:basedOn w:val="DefaultParagraphFont"/>
    <w:rsid w:val="0007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304">
      <w:bodyDiv w:val="1"/>
      <w:marLeft w:val="0"/>
      <w:marRight w:val="0"/>
      <w:marTop w:val="0"/>
      <w:marBottom w:val="0"/>
      <w:divBdr>
        <w:top w:val="none" w:sz="0" w:space="0" w:color="auto"/>
        <w:left w:val="none" w:sz="0" w:space="0" w:color="auto"/>
        <w:bottom w:val="none" w:sz="0" w:space="0" w:color="auto"/>
        <w:right w:val="none" w:sz="0" w:space="0" w:color="auto"/>
      </w:divBdr>
    </w:div>
    <w:div w:id="2361526">
      <w:bodyDiv w:val="1"/>
      <w:marLeft w:val="0"/>
      <w:marRight w:val="0"/>
      <w:marTop w:val="0"/>
      <w:marBottom w:val="0"/>
      <w:divBdr>
        <w:top w:val="none" w:sz="0" w:space="0" w:color="auto"/>
        <w:left w:val="none" w:sz="0" w:space="0" w:color="auto"/>
        <w:bottom w:val="none" w:sz="0" w:space="0" w:color="auto"/>
        <w:right w:val="none" w:sz="0" w:space="0" w:color="auto"/>
      </w:divBdr>
    </w:div>
    <w:div w:id="5138435">
      <w:bodyDiv w:val="1"/>
      <w:marLeft w:val="0"/>
      <w:marRight w:val="0"/>
      <w:marTop w:val="0"/>
      <w:marBottom w:val="0"/>
      <w:divBdr>
        <w:top w:val="none" w:sz="0" w:space="0" w:color="auto"/>
        <w:left w:val="none" w:sz="0" w:space="0" w:color="auto"/>
        <w:bottom w:val="none" w:sz="0" w:space="0" w:color="auto"/>
        <w:right w:val="none" w:sz="0" w:space="0" w:color="auto"/>
      </w:divBdr>
    </w:div>
    <w:div w:id="5250406">
      <w:bodyDiv w:val="1"/>
      <w:marLeft w:val="0"/>
      <w:marRight w:val="0"/>
      <w:marTop w:val="0"/>
      <w:marBottom w:val="0"/>
      <w:divBdr>
        <w:top w:val="none" w:sz="0" w:space="0" w:color="auto"/>
        <w:left w:val="none" w:sz="0" w:space="0" w:color="auto"/>
        <w:bottom w:val="none" w:sz="0" w:space="0" w:color="auto"/>
        <w:right w:val="none" w:sz="0" w:space="0" w:color="auto"/>
      </w:divBdr>
    </w:div>
    <w:div w:id="6715920">
      <w:bodyDiv w:val="1"/>
      <w:marLeft w:val="0"/>
      <w:marRight w:val="0"/>
      <w:marTop w:val="0"/>
      <w:marBottom w:val="0"/>
      <w:divBdr>
        <w:top w:val="none" w:sz="0" w:space="0" w:color="auto"/>
        <w:left w:val="none" w:sz="0" w:space="0" w:color="auto"/>
        <w:bottom w:val="none" w:sz="0" w:space="0" w:color="auto"/>
        <w:right w:val="none" w:sz="0" w:space="0" w:color="auto"/>
      </w:divBdr>
    </w:div>
    <w:div w:id="10306138">
      <w:bodyDiv w:val="1"/>
      <w:marLeft w:val="0"/>
      <w:marRight w:val="0"/>
      <w:marTop w:val="0"/>
      <w:marBottom w:val="0"/>
      <w:divBdr>
        <w:top w:val="none" w:sz="0" w:space="0" w:color="auto"/>
        <w:left w:val="none" w:sz="0" w:space="0" w:color="auto"/>
        <w:bottom w:val="none" w:sz="0" w:space="0" w:color="auto"/>
        <w:right w:val="none" w:sz="0" w:space="0" w:color="auto"/>
      </w:divBdr>
    </w:div>
    <w:div w:id="14815994">
      <w:bodyDiv w:val="1"/>
      <w:marLeft w:val="0"/>
      <w:marRight w:val="0"/>
      <w:marTop w:val="0"/>
      <w:marBottom w:val="0"/>
      <w:divBdr>
        <w:top w:val="none" w:sz="0" w:space="0" w:color="auto"/>
        <w:left w:val="none" w:sz="0" w:space="0" w:color="auto"/>
        <w:bottom w:val="none" w:sz="0" w:space="0" w:color="auto"/>
        <w:right w:val="none" w:sz="0" w:space="0" w:color="auto"/>
      </w:divBdr>
    </w:div>
    <w:div w:id="35082128">
      <w:bodyDiv w:val="1"/>
      <w:marLeft w:val="0"/>
      <w:marRight w:val="0"/>
      <w:marTop w:val="0"/>
      <w:marBottom w:val="0"/>
      <w:divBdr>
        <w:top w:val="none" w:sz="0" w:space="0" w:color="auto"/>
        <w:left w:val="none" w:sz="0" w:space="0" w:color="auto"/>
        <w:bottom w:val="none" w:sz="0" w:space="0" w:color="auto"/>
        <w:right w:val="none" w:sz="0" w:space="0" w:color="auto"/>
      </w:divBdr>
    </w:div>
    <w:div w:id="47001324">
      <w:bodyDiv w:val="1"/>
      <w:marLeft w:val="0"/>
      <w:marRight w:val="0"/>
      <w:marTop w:val="0"/>
      <w:marBottom w:val="0"/>
      <w:divBdr>
        <w:top w:val="none" w:sz="0" w:space="0" w:color="auto"/>
        <w:left w:val="none" w:sz="0" w:space="0" w:color="auto"/>
        <w:bottom w:val="none" w:sz="0" w:space="0" w:color="auto"/>
        <w:right w:val="none" w:sz="0" w:space="0" w:color="auto"/>
      </w:divBdr>
    </w:div>
    <w:div w:id="67463873">
      <w:bodyDiv w:val="1"/>
      <w:marLeft w:val="0"/>
      <w:marRight w:val="0"/>
      <w:marTop w:val="0"/>
      <w:marBottom w:val="0"/>
      <w:divBdr>
        <w:top w:val="none" w:sz="0" w:space="0" w:color="auto"/>
        <w:left w:val="none" w:sz="0" w:space="0" w:color="auto"/>
        <w:bottom w:val="none" w:sz="0" w:space="0" w:color="auto"/>
        <w:right w:val="none" w:sz="0" w:space="0" w:color="auto"/>
      </w:divBdr>
    </w:div>
    <w:div w:id="69622918">
      <w:bodyDiv w:val="1"/>
      <w:marLeft w:val="0"/>
      <w:marRight w:val="0"/>
      <w:marTop w:val="0"/>
      <w:marBottom w:val="0"/>
      <w:divBdr>
        <w:top w:val="none" w:sz="0" w:space="0" w:color="auto"/>
        <w:left w:val="none" w:sz="0" w:space="0" w:color="auto"/>
        <w:bottom w:val="none" w:sz="0" w:space="0" w:color="auto"/>
        <w:right w:val="none" w:sz="0" w:space="0" w:color="auto"/>
      </w:divBdr>
    </w:div>
    <w:div w:id="69812731">
      <w:bodyDiv w:val="1"/>
      <w:marLeft w:val="0"/>
      <w:marRight w:val="0"/>
      <w:marTop w:val="0"/>
      <w:marBottom w:val="0"/>
      <w:divBdr>
        <w:top w:val="none" w:sz="0" w:space="0" w:color="auto"/>
        <w:left w:val="none" w:sz="0" w:space="0" w:color="auto"/>
        <w:bottom w:val="none" w:sz="0" w:space="0" w:color="auto"/>
        <w:right w:val="none" w:sz="0" w:space="0" w:color="auto"/>
      </w:divBdr>
    </w:div>
    <w:div w:id="76754323">
      <w:bodyDiv w:val="1"/>
      <w:marLeft w:val="0"/>
      <w:marRight w:val="0"/>
      <w:marTop w:val="0"/>
      <w:marBottom w:val="0"/>
      <w:divBdr>
        <w:top w:val="none" w:sz="0" w:space="0" w:color="auto"/>
        <w:left w:val="none" w:sz="0" w:space="0" w:color="auto"/>
        <w:bottom w:val="none" w:sz="0" w:space="0" w:color="auto"/>
        <w:right w:val="none" w:sz="0" w:space="0" w:color="auto"/>
      </w:divBdr>
    </w:div>
    <w:div w:id="84812223">
      <w:bodyDiv w:val="1"/>
      <w:marLeft w:val="0"/>
      <w:marRight w:val="0"/>
      <w:marTop w:val="0"/>
      <w:marBottom w:val="0"/>
      <w:divBdr>
        <w:top w:val="none" w:sz="0" w:space="0" w:color="auto"/>
        <w:left w:val="none" w:sz="0" w:space="0" w:color="auto"/>
        <w:bottom w:val="none" w:sz="0" w:space="0" w:color="auto"/>
        <w:right w:val="none" w:sz="0" w:space="0" w:color="auto"/>
      </w:divBdr>
    </w:div>
    <w:div w:id="91320724">
      <w:bodyDiv w:val="1"/>
      <w:marLeft w:val="0"/>
      <w:marRight w:val="0"/>
      <w:marTop w:val="0"/>
      <w:marBottom w:val="0"/>
      <w:divBdr>
        <w:top w:val="none" w:sz="0" w:space="0" w:color="auto"/>
        <w:left w:val="none" w:sz="0" w:space="0" w:color="auto"/>
        <w:bottom w:val="none" w:sz="0" w:space="0" w:color="auto"/>
        <w:right w:val="none" w:sz="0" w:space="0" w:color="auto"/>
      </w:divBdr>
    </w:div>
    <w:div w:id="104929239">
      <w:bodyDiv w:val="1"/>
      <w:marLeft w:val="0"/>
      <w:marRight w:val="0"/>
      <w:marTop w:val="0"/>
      <w:marBottom w:val="0"/>
      <w:divBdr>
        <w:top w:val="none" w:sz="0" w:space="0" w:color="auto"/>
        <w:left w:val="none" w:sz="0" w:space="0" w:color="auto"/>
        <w:bottom w:val="none" w:sz="0" w:space="0" w:color="auto"/>
        <w:right w:val="none" w:sz="0" w:space="0" w:color="auto"/>
      </w:divBdr>
    </w:div>
    <w:div w:id="112868314">
      <w:bodyDiv w:val="1"/>
      <w:marLeft w:val="0"/>
      <w:marRight w:val="0"/>
      <w:marTop w:val="0"/>
      <w:marBottom w:val="0"/>
      <w:divBdr>
        <w:top w:val="none" w:sz="0" w:space="0" w:color="auto"/>
        <w:left w:val="none" w:sz="0" w:space="0" w:color="auto"/>
        <w:bottom w:val="none" w:sz="0" w:space="0" w:color="auto"/>
        <w:right w:val="none" w:sz="0" w:space="0" w:color="auto"/>
      </w:divBdr>
    </w:div>
    <w:div w:id="119961960">
      <w:bodyDiv w:val="1"/>
      <w:marLeft w:val="0"/>
      <w:marRight w:val="0"/>
      <w:marTop w:val="0"/>
      <w:marBottom w:val="0"/>
      <w:divBdr>
        <w:top w:val="none" w:sz="0" w:space="0" w:color="auto"/>
        <w:left w:val="none" w:sz="0" w:space="0" w:color="auto"/>
        <w:bottom w:val="none" w:sz="0" w:space="0" w:color="auto"/>
        <w:right w:val="none" w:sz="0" w:space="0" w:color="auto"/>
      </w:divBdr>
    </w:div>
    <w:div w:id="128667549">
      <w:bodyDiv w:val="1"/>
      <w:marLeft w:val="0"/>
      <w:marRight w:val="0"/>
      <w:marTop w:val="0"/>
      <w:marBottom w:val="0"/>
      <w:divBdr>
        <w:top w:val="none" w:sz="0" w:space="0" w:color="auto"/>
        <w:left w:val="none" w:sz="0" w:space="0" w:color="auto"/>
        <w:bottom w:val="none" w:sz="0" w:space="0" w:color="auto"/>
        <w:right w:val="none" w:sz="0" w:space="0" w:color="auto"/>
      </w:divBdr>
    </w:div>
    <w:div w:id="134446566">
      <w:bodyDiv w:val="1"/>
      <w:marLeft w:val="0"/>
      <w:marRight w:val="0"/>
      <w:marTop w:val="0"/>
      <w:marBottom w:val="0"/>
      <w:divBdr>
        <w:top w:val="none" w:sz="0" w:space="0" w:color="auto"/>
        <w:left w:val="none" w:sz="0" w:space="0" w:color="auto"/>
        <w:bottom w:val="none" w:sz="0" w:space="0" w:color="auto"/>
        <w:right w:val="none" w:sz="0" w:space="0" w:color="auto"/>
      </w:divBdr>
    </w:div>
    <w:div w:id="146672287">
      <w:bodyDiv w:val="1"/>
      <w:marLeft w:val="0"/>
      <w:marRight w:val="0"/>
      <w:marTop w:val="0"/>
      <w:marBottom w:val="0"/>
      <w:divBdr>
        <w:top w:val="none" w:sz="0" w:space="0" w:color="auto"/>
        <w:left w:val="none" w:sz="0" w:space="0" w:color="auto"/>
        <w:bottom w:val="none" w:sz="0" w:space="0" w:color="auto"/>
        <w:right w:val="none" w:sz="0" w:space="0" w:color="auto"/>
      </w:divBdr>
    </w:div>
    <w:div w:id="153106365">
      <w:bodyDiv w:val="1"/>
      <w:marLeft w:val="0"/>
      <w:marRight w:val="0"/>
      <w:marTop w:val="0"/>
      <w:marBottom w:val="0"/>
      <w:divBdr>
        <w:top w:val="none" w:sz="0" w:space="0" w:color="auto"/>
        <w:left w:val="none" w:sz="0" w:space="0" w:color="auto"/>
        <w:bottom w:val="none" w:sz="0" w:space="0" w:color="auto"/>
        <w:right w:val="none" w:sz="0" w:space="0" w:color="auto"/>
      </w:divBdr>
    </w:div>
    <w:div w:id="170998496">
      <w:bodyDiv w:val="1"/>
      <w:marLeft w:val="0"/>
      <w:marRight w:val="0"/>
      <w:marTop w:val="0"/>
      <w:marBottom w:val="0"/>
      <w:divBdr>
        <w:top w:val="none" w:sz="0" w:space="0" w:color="auto"/>
        <w:left w:val="none" w:sz="0" w:space="0" w:color="auto"/>
        <w:bottom w:val="none" w:sz="0" w:space="0" w:color="auto"/>
        <w:right w:val="none" w:sz="0" w:space="0" w:color="auto"/>
      </w:divBdr>
    </w:div>
    <w:div w:id="171073385">
      <w:bodyDiv w:val="1"/>
      <w:marLeft w:val="0"/>
      <w:marRight w:val="0"/>
      <w:marTop w:val="0"/>
      <w:marBottom w:val="0"/>
      <w:divBdr>
        <w:top w:val="none" w:sz="0" w:space="0" w:color="auto"/>
        <w:left w:val="none" w:sz="0" w:space="0" w:color="auto"/>
        <w:bottom w:val="none" w:sz="0" w:space="0" w:color="auto"/>
        <w:right w:val="none" w:sz="0" w:space="0" w:color="auto"/>
      </w:divBdr>
    </w:div>
    <w:div w:id="171994011">
      <w:bodyDiv w:val="1"/>
      <w:marLeft w:val="0"/>
      <w:marRight w:val="0"/>
      <w:marTop w:val="0"/>
      <w:marBottom w:val="0"/>
      <w:divBdr>
        <w:top w:val="none" w:sz="0" w:space="0" w:color="auto"/>
        <w:left w:val="none" w:sz="0" w:space="0" w:color="auto"/>
        <w:bottom w:val="none" w:sz="0" w:space="0" w:color="auto"/>
        <w:right w:val="none" w:sz="0" w:space="0" w:color="auto"/>
      </w:divBdr>
    </w:div>
    <w:div w:id="177668630">
      <w:bodyDiv w:val="1"/>
      <w:marLeft w:val="0"/>
      <w:marRight w:val="0"/>
      <w:marTop w:val="0"/>
      <w:marBottom w:val="0"/>
      <w:divBdr>
        <w:top w:val="none" w:sz="0" w:space="0" w:color="auto"/>
        <w:left w:val="none" w:sz="0" w:space="0" w:color="auto"/>
        <w:bottom w:val="none" w:sz="0" w:space="0" w:color="auto"/>
        <w:right w:val="none" w:sz="0" w:space="0" w:color="auto"/>
      </w:divBdr>
    </w:div>
    <w:div w:id="187066134">
      <w:bodyDiv w:val="1"/>
      <w:marLeft w:val="0"/>
      <w:marRight w:val="0"/>
      <w:marTop w:val="0"/>
      <w:marBottom w:val="0"/>
      <w:divBdr>
        <w:top w:val="none" w:sz="0" w:space="0" w:color="auto"/>
        <w:left w:val="none" w:sz="0" w:space="0" w:color="auto"/>
        <w:bottom w:val="none" w:sz="0" w:space="0" w:color="auto"/>
        <w:right w:val="none" w:sz="0" w:space="0" w:color="auto"/>
      </w:divBdr>
    </w:div>
    <w:div w:id="187371389">
      <w:bodyDiv w:val="1"/>
      <w:marLeft w:val="0"/>
      <w:marRight w:val="0"/>
      <w:marTop w:val="0"/>
      <w:marBottom w:val="0"/>
      <w:divBdr>
        <w:top w:val="none" w:sz="0" w:space="0" w:color="auto"/>
        <w:left w:val="none" w:sz="0" w:space="0" w:color="auto"/>
        <w:bottom w:val="none" w:sz="0" w:space="0" w:color="auto"/>
        <w:right w:val="none" w:sz="0" w:space="0" w:color="auto"/>
      </w:divBdr>
    </w:div>
    <w:div w:id="215548806">
      <w:bodyDiv w:val="1"/>
      <w:marLeft w:val="0"/>
      <w:marRight w:val="0"/>
      <w:marTop w:val="0"/>
      <w:marBottom w:val="0"/>
      <w:divBdr>
        <w:top w:val="none" w:sz="0" w:space="0" w:color="auto"/>
        <w:left w:val="none" w:sz="0" w:space="0" w:color="auto"/>
        <w:bottom w:val="none" w:sz="0" w:space="0" w:color="auto"/>
        <w:right w:val="none" w:sz="0" w:space="0" w:color="auto"/>
      </w:divBdr>
    </w:div>
    <w:div w:id="217402322">
      <w:bodyDiv w:val="1"/>
      <w:marLeft w:val="0"/>
      <w:marRight w:val="0"/>
      <w:marTop w:val="0"/>
      <w:marBottom w:val="0"/>
      <w:divBdr>
        <w:top w:val="none" w:sz="0" w:space="0" w:color="auto"/>
        <w:left w:val="none" w:sz="0" w:space="0" w:color="auto"/>
        <w:bottom w:val="none" w:sz="0" w:space="0" w:color="auto"/>
        <w:right w:val="none" w:sz="0" w:space="0" w:color="auto"/>
      </w:divBdr>
    </w:div>
    <w:div w:id="225991761">
      <w:bodyDiv w:val="1"/>
      <w:marLeft w:val="0"/>
      <w:marRight w:val="0"/>
      <w:marTop w:val="0"/>
      <w:marBottom w:val="0"/>
      <w:divBdr>
        <w:top w:val="none" w:sz="0" w:space="0" w:color="auto"/>
        <w:left w:val="none" w:sz="0" w:space="0" w:color="auto"/>
        <w:bottom w:val="none" w:sz="0" w:space="0" w:color="auto"/>
        <w:right w:val="none" w:sz="0" w:space="0" w:color="auto"/>
      </w:divBdr>
    </w:div>
    <w:div w:id="238255171">
      <w:bodyDiv w:val="1"/>
      <w:marLeft w:val="0"/>
      <w:marRight w:val="0"/>
      <w:marTop w:val="0"/>
      <w:marBottom w:val="0"/>
      <w:divBdr>
        <w:top w:val="none" w:sz="0" w:space="0" w:color="auto"/>
        <w:left w:val="none" w:sz="0" w:space="0" w:color="auto"/>
        <w:bottom w:val="none" w:sz="0" w:space="0" w:color="auto"/>
        <w:right w:val="none" w:sz="0" w:space="0" w:color="auto"/>
      </w:divBdr>
    </w:div>
    <w:div w:id="239826342">
      <w:bodyDiv w:val="1"/>
      <w:marLeft w:val="0"/>
      <w:marRight w:val="0"/>
      <w:marTop w:val="0"/>
      <w:marBottom w:val="0"/>
      <w:divBdr>
        <w:top w:val="none" w:sz="0" w:space="0" w:color="auto"/>
        <w:left w:val="none" w:sz="0" w:space="0" w:color="auto"/>
        <w:bottom w:val="none" w:sz="0" w:space="0" w:color="auto"/>
        <w:right w:val="none" w:sz="0" w:space="0" w:color="auto"/>
      </w:divBdr>
    </w:div>
    <w:div w:id="241064915">
      <w:bodyDiv w:val="1"/>
      <w:marLeft w:val="0"/>
      <w:marRight w:val="0"/>
      <w:marTop w:val="0"/>
      <w:marBottom w:val="0"/>
      <w:divBdr>
        <w:top w:val="none" w:sz="0" w:space="0" w:color="auto"/>
        <w:left w:val="none" w:sz="0" w:space="0" w:color="auto"/>
        <w:bottom w:val="none" w:sz="0" w:space="0" w:color="auto"/>
        <w:right w:val="none" w:sz="0" w:space="0" w:color="auto"/>
      </w:divBdr>
    </w:div>
    <w:div w:id="246157088">
      <w:bodyDiv w:val="1"/>
      <w:marLeft w:val="0"/>
      <w:marRight w:val="0"/>
      <w:marTop w:val="0"/>
      <w:marBottom w:val="0"/>
      <w:divBdr>
        <w:top w:val="none" w:sz="0" w:space="0" w:color="auto"/>
        <w:left w:val="none" w:sz="0" w:space="0" w:color="auto"/>
        <w:bottom w:val="none" w:sz="0" w:space="0" w:color="auto"/>
        <w:right w:val="none" w:sz="0" w:space="0" w:color="auto"/>
      </w:divBdr>
    </w:div>
    <w:div w:id="246235204">
      <w:bodyDiv w:val="1"/>
      <w:marLeft w:val="0"/>
      <w:marRight w:val="0"/>
      <w:marTop w:val="0"/>
      <w:marBottom w:val="0"/>
      <w:divBdr>
        <w:top w:val="none" w:sz="0" w:space="0" w:color="auto"/>
        <w:left w:val="none" w:sz="0" w:space="0" w:color="auto"/>
        <w:bottom w:val="none" w:sz="0" w:space="0" w:color="auto"/>
        <w:right w:val="none" w:sz="0" w:space="0" w:color="auto"/>
      </w:divBdr>
    </w:div>
    <w:div w:id="262228157">
      <w:bodyDiv w:val="1"/>
      <w:marLeft w:val="0"/>
      <w:marRight w:val="0"/>
      <w:marTop w:val="0"/>
      <w:marBottom w:val="0"/>
      <w:divBdr>
        <w:top w:val="none" w:sz="0" w:space="0" w:color="auto"/>
        <w:left w:val="none" w:sz="0" w:space="0" w:color="auto"/>
        <w:bottom w:val="none" w:sz="0" w:space="0" w:color="auto"/>
        <w:right w:val="none" w:sz="0" w:space="0" w:color="auto"/>
      </w:divBdr>
    </w:div>
    <w:div w:id="271790040">
      <w:bodyDiv w:val="1"/>
      <w:marLeft w:val="0"/>
      <w:marRight w:val="0"/>
      <w:marTop w:val="0"/>
      <w:marBottom w:val="0"/>
      <w:divBdr>
        <w:top w:val="none" w:sz="0" w:space="0" w:color="auto"/>
        <w:left w:val="none" w:sz="0" w:space="0" w:color="auto"/>
        <w:bottom w:val="none" w:sz="0" w:space="0" w:color="auto"/>
        <w:right w:val="none" w:sz="0" w:space="0" w:color="auto"/>
      </w:divBdr>
    </w:div>
    <w:div w:id="284822673">
      <w:bodyDiv w:val="1"/>
      <w:marLeft w:val="0"/>
      <w:marRight w:val="0"/>
      <w:marTop w:val="0"/>
      <w:marBottom w:val="0"/>
      <w:divBdr>
        <w:top w:val="none" w:sz="0" w:space="0" w:color="auto"/>
        <w:left w:val="none" w:sz="0" w:space="0" w:color="auto"/>
        <w:bottom w:val="none" w:sz="0" w:space="0" w:color="auto"/>
        <w:right w:val="none" w:sz="0" w:space="0" w:color="auto"/>
      </w:divBdr>
    </w:div>
    <w:div w:id="290480943">
      <w:bodyDiv w:val="1"/>
      <w:marLeft w:val="0"/>
      <w:marRight w:val="0"/>
      <w:marTop w:val="0"/>
      <w:marBottom w:val="0"/>
      <w:divBdr>
        <w:top w:val="none" w:sz="0" w:space="0" w:color="auto"/>
        <w:left w:val="none" w:sz="0" w:space="0" w:color="auto"/>
        <w:bottom w:val="none" w:sz="0" w:space="0" w:color="auto"/>
        <w:right w:val="none" w:sz="0" w:space="0" w:color="auto"/>
      </w:divBdr>
    </w:div>
    <w:div w:id="297151601">
      <w:bodyDiv w:val="1"/>
      <w:marLeft w:val="0"/>
      <w:marRight w:val="0"/>
      <w:marTop w:val="0"/>
      <w:marBottom w:val="0"/>
      <w:divBdr>
        <w:top w:val="none" w:sz="0" w:space="0" w:color="auto"/>
        <w:left w:val="none" w:sz="0" w:space="0" w:color="auto"/>
        <w:bottom w:val="none" w:sz="0" w:space="0" w:color="auto"/>
        <w:right w:val="none" w:sz="0" w:space="0" w:color="auto"/>
      </w:divBdr>
    </w:div>
    <w:div w:id="317656596">
      <w:bodyDiv w:val="1"/>
      <w:marLeft w:val="0"/>
      <w:marRight w:val="0"/>
      <w:marTop w:val="0"/>
      <w:marBottom w:val="0"/>
      <w:divBdr>
        <w:top w:val="none" w:sz="0" w:space="0" w:color="auto"/>
        <w:left w:val="none" w:sz="0" w:space="0" w:color="auto"/>
        <w:bottom w:val="none" w:sz="0" w:space="0" w:color="auto"/>
        <w:right w:val="none" w:sz="0" w:space="0" w:color="auto"/>
      </w:divBdr>
    </w:div>
    <w:div w:id="321275166">
      <w:bodyDiv w:val="1"/>
      <w:marLeft w:val="0"/>
      <w:marRight w:val="0"/>
      <w:marTop w:val="0"/>
      <w:marBottom w:val="0"/>
      <w:divBdr>
        <w:top w:val="none" w:sz="0" w:space="0" w:color="auto"/>
        <w:left w:val="none" w:sz="0" w:space="0" w:color="auto"/>
        <w:bottom w:val="none" w:sz="0" w:space="0" w:color="auto"/>
        <w:right w:val="none" w:sz="0" w:space="0" w:color="auto"/>
      </w:divBdr>
    </w:div>
    <w:div w:id="322055144">
      <w:bodyDiv w:val="1"/>
      <w:marLeft w:val="0"/>
      <w:marRight w:val="0"/>
      <w:marTop w:val="0"/>
      <w:marBottom w:val="0"/>
      <w:divBdr>
        <w:top w:val="none" w:sz="0" w:space="0" w:color="auto"/>
        <w:left w:val="none" w:sz="0" w:space="0" w:color="auto"/>
        <w:bottom w:val="none" w:sz="0" w:space="0" w:color="auto"/>
        <w:right w:val="none" w:sz="0" w:space="0" w:color="auto"/>
      </w:divBdr>
    </w:div>
    <w:div w:id="324170594">
      <w:bodyDiv w:val="1"/>
      <w:marLeft w:val="0"/>
      <w:marRight w:val="0"/>
      <w:marTop w:val="0"/>
      <w:marBottom w:val="0"/>
      <w:divBdr>
        <w:top w:val="none" w:sz="0" w:space="0" w:color="auto"/>
        <w:left w:val="none" w:sz="0" w:space="0" w:color="auto"/>
        <w:bottom w:val="none" w:sz="0" w:space="0" w:color="auto"/>
        <w:right w:val="none" w:sz="0" w:space="0" w:color="auto"/>
      </w:divBdr>
    </w:div>
    <w:div w:id="330255454">
      <w:bodyDiv w:val="1"/>
      <w:marLeft w:val="0"/>
      <w:marRight w:val="0"/>
      <w:marTop w:val="0"/>
      <w:marBottom w:val="0"/>
      <w:divBdr>
        <w:top w:val="none" w:sz="0" w:space="0" w:color="auto"/>
        <w:left w:val="none" w:sz="0" w:space="0" w:color="auto"/>
        <w:bottom w:val="none" w:sz="0" w:space="0" w:color="auto"/>
        <w:right w:val="none" w:sz="0" w:space="0" w:color="auto"/>
      </w:divBdr>
    </w:div>
    <w:div w:id="330522455">
      <w:bodyDiv w:val="1"/>
      <w:marLeft w:val="0"/>
      <w:marRight w:val="0"/>
      <w:marTop w:val="0"/>
      <w:marBottom w:val="0"/>
      <w:divBdr>
        <w:top w:val="none" w:sz="0" w:space="0" w:color="auto"/>
        <w:left w:val="none" w:sz="0" w:space="0" w:color="auto"/>
        <w:bottom w:val="none" w:sz="0" w:space="0" w:color="auto"/>
        <w:right w:val="none" w:sz="0" w:space="0" w:color="auto"/>
      </w:divBdr>
    </w:div>
    <w:div w:id="339698103">
      <w:bodyDiv w:val="1"/>
      <w:marLeft w:val="0"/>
      <w:marRight w:val="0"/>
      <w:marTop w:val="0"/>
      <w:marBottom w:val="0"/>
      <w:divBdr>
        <w:top w:val="none" w:sz="0" w:space="0" w:color="auto"/>
        <w:left w:val="none" w:sz="0" w:space="0" w:color="auto"/>
        <w:bottom w:val="none" w:sz="0" w:space="0" w:color="auto"/>
        <w:right w:val="none" w:sz="0" w:space="0" w:color="auto"/>
      </w:divBdr>
    </w:div>
    <w:div w:id="355809932">
      <w:bodyDiv w:val="1"/>
      <w:marLeft w:val="0"/>
      <w:marRight w:val="0"/>
      <w:marTop w:val="0"/>
      <w:marBottom w:val="0"/>
      <w:divBdr>
        <w:top w:val="none" w:sz="0" w:space="0" w:color="auto"/>
        <w:left w:val="none" w:sz="0" w:space="0" w:color="auto"/>
        <w:bottom w:val="none" w:sz="0" w:space="0" w:color="auto"/>
        <w:right w:val="none" w:sz="0" w:space="0" w:color="auto"/>
      </w:divBdr>
    </w:div>
    <w:div w:id="365955942">
      <w:bodyDiv w:val="1"/>
      <w:marLeft w:val="0"/>
      <w:marRight w:val="0"/>
      <w:marTop w:val="0"/>
      <w:marBottom w:val="0"/>
      <w:divBdr>
        <w:top w:val="none" w:sz="0" w:space="0" w:color="auto"/>
        <w:left w:val="none" w:sz="0" w:space="0" w:color="auto"/>
        <w:bottom w:val="none" w:sz="0" w:space="0" w:color="auto"/>
        <w:right w:val="none" w:sz="0" w:space="0" w:color="auto"/>
      </w:divBdr>
    </w:div>
    <w:div w:id="369570133">
      <w:bodyDiv w:val="1"/>
      <w:marLeft w:val="0"/>
      <w:marRight w:val="0"/>
      <w:marTop w:val="0"/>
      <w:marBottom w:val="0"/>
      <w:divBdr>
        <w:top w:val="none" w:sz="0" w:space="0" w:color="auto"/>
        <w:left w:val="none" w:sz="0" w:space="0" w:color="auto"/>
        <w:bottom w:val="none" w:sz="0" w:space="0" w:color="auto"/>
        <w:right w:val="none" w:sz="0" w:space="0" w:color="auto"/>
      </w:divBdr>
    </w:div>
    <w:div w:id="388309639">
      <w:bodyDiv w:val="1"/>
      <w:marLeft w:val="0"/>
      <w:marRight w:val="0"/>
      <w:marTop w:val="0"/>
      <w:marBottom w:val="0"/>
      <w:divBdr>
        <w:top w:val="none" w:sz="0" w:space="0" w:color="auto"/>
        <w:left w:val="none" w:sz="0" w:space="0" w:color="auto"/>
        <w:bottom w:val="none" w:sz="0" w:space="0" w:color="auto"/>
        <w:right w:val="none" w:sz="0" w:space="0" w:color="auto"/>
      </w:divBdr>
    </w:div>
    <w:div w:id="389887784">
      <w:bodyDiv w:val="1"/>
      <w:marLeft w:val="0"/>
      <w:marRight w:val="0"/>
      <w:marTop w:val="0"/>
      <w:marBottom w:val="0"/>
      <w:divBdr>
        <w:top w:val="none" w:sz="0" w:space="0" w:color="auto"/>
        <w:left w:val="none" w:sz="0" w:space="0" w:color="auto"/>
        <w:bottom w:val="none" w:sz="0" w:space="0" w:color="auto"/>
        <w:right w:val="none" w:sz="0" w:space="0" w:color="auto"/>
      </w:divBdr>
    </w:div>
    <w:div w:id="401829214">
      <w:bodyDiv w:val="1"/>
      <w:marLeft w:val="0"/>
      <w:marRight w:val="0"/>
      <w:marTop w:val="0"/>
      <w:marBottom w:val="0"/>
      <w:divBdr>
        <w:top w:val="none" w:sz="0" w:space="0" w:color="auto"/>
        <w:left w:val="none" w:sz="0" w:space="0" w:color="auto"/>
        <w:bottom w:val="none" w:sz="0" w:space="0" w:color="auto"/>
        <w:right w:val="none" w:sz="0" w:space="0" w:color="auto"/>
      </w:divBdr>
    </w:div>
    <w:div w:id="408042089">
      <w:bodyDiv w:val="1"/>
      <w:marLeft w:val="0"/>
      <w:marRight w:val="0"/>
      <w:marTop w:val="0"/>
      <w:marBottom w:val="0"/>
      <w:divBdr>
        <w:top w:val="none" w:sz="0" w:space="0" w:color="auto"/>
        <w:left w:val="none" w:sz="0" w:space="0" w:color="auto"/>
        <w:bottom w:val="none" w:sz="0" w:space="0" w:color="auto"/>
        <w:right w:val="none" w:sz="0" w:space="0" w:color="auto"/>
      </w:divBdr>
    </w:div>
    <w:div w:id="410542898">
      <w:bodyDiv w:val="1"/>
      <w:marLeft w:val="0"/>
      <w:marRight w:val="0"/>
      <w:marTop w:val="0"/>
      <w:marBottom w:val="0"/>
      <w:divBdr>
        <w:top w:val="none" w:sz="0" w:space="0" w:color="auto"/>
        <w:left w:val="none" w:sz="0" w:space="0" w:color="auto"/>
        <w:bottom w:val="none" w:sz="0" w:space="0" w:color="auto"/>
        <w:right w:val="none" w:sz="0" w:space="0" w:color="auto"/>
      </w:divBdr>
    </w:div>
    <w:div w:id="416440304">
      <w:bodyDiv w:val="1"/>
      <w:marLeft w:val="0"/>
      <w:marRight w:val="0"/>
      <w:marTop w:val="0"/>
      <w:marBottom w:val="0"/>
      <w:divBdr>
        <w:top w:val="none" w:sz="0" w:space="0" w:color="auto"/>
        <w:left w:val="none" w:sz="0" w:space="0" w:color="auto"/>
        <w:bottom w:val="none" w:sz="0" w:space="0" w:color="auto"/>
        <w:right w:val="none" w:sz="0" w:space="0" w:color="auto"/>
      </w:divBdr>
    </w:div>
    <w:div w:id="421026867">
      <w:bodyDiv w:val="1"/>
      <w:marLeft w:val="0"/>
      <w:marRight w:val="0"/>
      <w:marTop w:val="0"/>
      <w:marBottom w:val="0"/>
      <w:divBdr>
        <w:top w:val="none" w:sz="0" w:space="0" w:color="auto"/>
        <w:left w:val="none" w:sz="0" w:space="0" w:color="auto"/>
        <w:bottom w:val="none" w:sz="0" w:space="0" w:color="auto"/>
        <w:right w:val="none" w:sz="0" w:space="0" w:color="auto"/>
      </w:divBdr>
    </w:div>
    <w:div w:id="433524636">
      <w:bodyDiv w:val="1"/>
      <w:marLeft w:val="0"/>
      <w:marRight w:val="0"/>
      <w:marTop w:val="0"/>
      <w:marBottom w:val="0"/>
      <w:divBdr>
        <w:top w:val="none" w:sz="0" w:space="0" w:color="auto"/>
        <w:left w:val="none" w:sz="0" w:space="0" w:color="auto"/>
        <w:bottom w:val="none" w:sz="0" w:space="0" w:color="auto"/>
        <w:right w:val="none" w:sz="0" w:space="0" w:color="auto"/>
      </w:divBdr>
    </w:div>
    <w:div w:id="440149121">
      <w:bodyDiv w:val="1"/>
      <w:marLeft w:val="0"/>
      <w:marRight w:val="0"/>
      <w:marTop w:val="0"/>
      <w:marBottom w:val="0"/>
      <w:divBdr>
        <w:top w:val="none" w:sz="0" w:space="0" w:color="auto"/>
        <w:left w:val="none" w:sz="0" w:space="0" w:color="auto"/>
        <w:bottom w:val="none" w:sz="0" w:space="0" w:color="auto"/>
        <w:right w:val="none" w:sz="0" w:space="0" w:color="auto"/>
      </w:divBdr>
    </w:div>
    <w:div w:id="466582268">
      <w:bodyDiv w:val="1"/>
      <w:marLeft w:val="0"/>
      <w:marRight w:val="0"/>
      <w:marTop w:val="0"/>
      <w:marBottom w:val="0"/>
      <w:divBdr>
        <w:top w:val="none" w:sz="0" w:space="0" w:color="auto"/>
        <w:left w:val="none" w:sz="0" w:space="0" w:color="auto"/>
        <w:bottom w:val="none" w:sz="0" w:space="0" w:color="auto"/>
        <w:right w:val="none" w:sz="0" w:space="0" w:color="auto"/>
      </w:divBdr>
    </w:div>
    <w:div w:id="471756274">
      <w:bodyDiv w:val="1"/>
      <w:marLeft w:val="0"/>
      <w:marRight w:val="0"/>
      <w:marTop w:val="0"/>
      <w:marBottom w:val="0"/>
      <w:divBdr>
        <w:top w:val="none" w:sz="0" w:space="0" w:color="auto"/>
        <w:left w:val="none" w:sz="0" w:space="0" w:color="auto"/>
        <w:bottom w:val="none" w:sz="0" w:space="0" w:color="auto"/>
        <w:right w:val="none" w:sz="0" w:space="0" w:color="auto"/>
      </w:divBdr>
    </w:div>
    <w:div w:id="482350474">
      <w:bodyDiv w:val="1"/>
      <w:marLeft w:val="0"/>
      <w:marRight w:val="0"/>
      <w:marTop w:val="0"/>
      <w:marBottom w:val="0"/>
      <w:divBdr>
        <w:top w:val="none" w:sz="0" w:space="0" w:color="auto"/>
        <w:left w:val="none" w:sz="0" w:space="0" w:color="auto"/>
        <w:bottom w:val="none" w:sz="0" w:space="0" w:color="auto"/>
        <w:right w:val="none" w:sz="0" w:space="0" w:color="auto"/>
      </w:divBdr>
    </w:div>
    <w:div w:id="488637937">
      <w:bodyDiv w:val="1"/>
      <w:marLeft w:val="0"/>
      <w:marRight w:val="0"/>
      <w:marTop w:val="0"/>
      <w:marBottom w:val="0"/>
      <w:divBdr>
        <w:top w:val="none" w:sz="0" w:space="0" w:color="auto"/>
        <w:left w:val="none" w:sz="0" w:space="0" w:color="auto"/>
        <w:bottom w:val="none" w:sz="0" w:space="0" w:color="auto"/>
        <w:right w:val="none" w:sz="0" w:space="0" w:color="auto"/>
      </w:divBdr>
    </w:div>
    <w:div w:id="502555123">
      <w:bodyDiv w:val="1"/>
      <w:marLeft w:val="0"/>
      <w:marRight w:val="0"/>
      <w:marTop w:val="0"/>
      <w:marBottom w:val="0"/>
      <w:divBdr>
        <w:top w:val="none" w:sz="0" w:space="0" w:color="auto"/>
        <w:left w:val="none" w:sz="0" w:space="0" w:color="auto"/>
        <w:bottom w:val="none" w:sz="0" w:space="0" w:color="auto"/>
        <w:right w:val="none" w:sz="0" w:space="0" w:color="auto"/>
      </w:divBdr>
    </w:div>
    <w:div w:id="513960538">
      <w:bodyDiv w:val="1"/>
      <w:marLeft w:val="0"/>
      <w:marRight w:val="0"/>
      <w:marTop w:val="0"/>
      <w:marBottom w:val="0"/>
      <w:divBdr>
        <w:top w:val="none" w:sz="0" w:space="0" w:color="auto"/>
        <w:left w:val="none" w:sz="0" w:space="0" w:color="auto"/>
        <w:bottom w:val="none" w:sz="0" w:space="0" w:color="auto"/>
        <w:right w:val="none" w:sz="0" w:space="0" w:color="auto"/>
      </w:divBdr>
    </w:div>
    <w:div w:id="517502204">
      <w:bodyDiv w:val="1"/>
      <w:marLeft w:val="0"/>
      <w:marRight w:val="0"/>
      <w:marTop w:val="0"/>
      <w:marBottom w:val="0"/>
      <w:divBdr>
        <w:top w:val="none" w:sz="0" w:space="0" w:color="auto"/>
        <w:left w:val="none" w:sz="0" w:space="0" w:color="auto"/>
        <w:bottom w:val="none" w:sz="0" w:space="0" w:color="auto"/>
        <w:right w:val="none" w:sz="0" w:space="0" w:color="auto"/>
      </w:divBdr>
    </w:div>
    <w:div w:id="521407448">
      <w:bodyDiv w:val="1"/>
      <w:marLeft w:val="0"/>
      <w:marRight w:val="0"/>
      <w:marTop w:val="0"/>
      <w:marBottom w:val="0"/>
      <w:divBdr>
        <w:top w:val="none" w:sz="0" w:space="0" w:color="auto"/>
        <w:left w:val="none" w:sz="0" w:space="0" w:color="auto"/>
        <w:bottom w:val="none" w:sz="0" w:space="0" w:color="auto"/>
        <w:right w:val="none" w:sz="0" w:space="0" w:color="auto"/>
      </w:divBdr>
    </w:div>
    <w:div w:id="531769866">
      <w:bodyDiv w:val="1"/>
      <w:marLeft w:val="0"/>
      <w:marRight w:val="0"/>
      <w:marTop w:val="0"/>
      <w:marBottom w:val="0"/>
      <w:divBdr>
        <w:top w:val="none" w:sz="0" w:space="0" w:color="auto"/>
        <w:left w:val="none" w:sz="0" w:space="0" w:color="auto"/>
        <w:bottom w:val="none" w:sz="0" w:space="0" w:color="auto"/>
        <w:right w:val="none" w:sz="0" w:space="0" w:color="auto"/>
      </w:divBdr>
    </w:div>
    <w:div w:id="532497600">
      <w:bodyDiv w:val="1"/>
      <w:marLeft w:val="0"/>
      <w:marRight w:val="0"/>
      <w:marTop w:val="0"/>
      <w:marBottom w:val="0"/>
      <w:divBdr>
        <w:top w:val="none" w:sz="0" w:space="0" w:color="auto"/>
        <w:left w:val="none" w:sz="0" w:space="0" w:color="auto"/>
        <w:bottom w:val="none" w:sz="0" w:space="0" w:color="auto"/>
        <w:right w:val="none" w:sz="0" w:space="0" w:color="auto"/>
      </w:divBdr>
    </w:div>
    <w:div w:id="554973536">
      <w:bodyDiv w:val="1"/>
      <w:marLeft w:val="0"/>
      <w:marRight w:val="0"/>
      <w:marTop w:val="0"/>
      <w:marBottom w:val="0"/>
      <w:divBdr>
        <w:top w:val="none" w:sz="0" w:space="0" w:color="auto"/>
        <w:left w:val="none" w:sz="0" w:space="0" w:color="auto"/>
        <w:bottom w:val="none" w:sz="0" w:space="0" w:color="auto"/>
        <w:right w:val="none" w:sz="0" w:space="0" w:color="auto"/>
      </w:divBdr>
    </w:div>
    <w:div w:id="580913804">
      <w:bodyDiv w:val="1"/>
      <w:marLeft w:val="0"/>
      <w:marRight w:val="0"/>
      <w:marTop w:val="0"/>
      <w:marBottom w:val="0"/>
      <w:divBdr>
        <w:top w:val="none" w:sz="0" w:space="0" w:color="auto"/>
        <w:left w:val="none" w:sz="0" w:space="0" w:color="auto"/>
        <w:bottom w:val="none" w:sz="0" w:space="0" w:color="auto"/>
        <w:right w:val="none" w:sz="0" w:space="0" w:color="auto"/>
      </w:divBdr>
    </w:div>
    <w:div w:id="602960011">
      <w:bodyDiv w:val="1"/>
      <w:marLeft w:val="0"/>
      <w:marRight w:val="0"/>
      <w:marTop w:val="0"/>
      <w:marBottom w:val="0"/>
      <w:divBdr>
        <w:top w:val="none" w:sz="0" w:space="0" w:color="auto"/>
        <w:left w:val="none" w:sz="0" w:space="0" w:color="auto"/>
        <w:bottom w:val="none" w:sz="0" w:space="0" w:color="auto"/>
        <w:right w:val="none" w:sz="0" w:space="0" w:color="auto"/>
      </w:divBdr>
    </w:div>
    <w:div w:id="604651370">
      <w:bodyDiv w:val="1"/>
      <w:marLeft w:val="0"/>
      <w:marRight w:val="0"/>
      <w:marTop w:val="0"/>
      <w:marBottom w:val="0"/>
      <w:divBdr>
        <w:top w:val="none" w:sz="0" w:space="0" w:color="auto"/>
        <w:left w:val="none" w:sz="0" w:space="0" w:color="auto"/>
        <w:bottom w:val="none" w:sz="0" w:space="0" w:color="auto"/>
        <w:right w:val="none" w:sz="0" w:space="0" w:color="auto"/>
      </w:divBdr>
    </w:div>
    <w:div w:id="606933143">
      <w:bodyDiv w:val="1"/>
      <w:marLeft w:val="0"/>
      <w:marRight w:val="0"/>
      <w:marTop w:val="0"/>
      <w:marBottom w:val="0"/>
      <w:divBdr>
        <w:top w:val="none" w:sz="0" w:space="0" w:color="auto"/>
        <w:left w:val="none" w:sz="0" w:space="0" w:color="auto"/>
        <w:bottom w:val="none" w:sz="0" w:space="0" w:color="auto"/>
        <w:right w:val="none" w:sz="0" w:space="0" w:color="auto"/>
      </w:divBdr>
    </w:div>
    <w:div w:id="620649993">
      <w:bodyDiv w:val="1"/>
      <w:marLeft w:val="0"/>
      <w:marRight w:val="0"/>
      <w:marTop w:val="0"/>
      <w:marBottom w:val="0"/>
      <w:divBdr>
        <w:top w:val="none" w:sz="0" w:space="0" w:color="auto"/>
        <w:left w:val="none" w:sz="0" w:space="0" w:color="auto"/>
        <w:bottom w:val="none" w:sz="0" w:space="0" w:color="auto"/>
        <w:right w:val="none" w:sz="0" w:space="0" w:color="auto"/>
      </w:divBdr>
    </w:div>
    <w:div w:id="624121138">
      <w:bodyDiv w:val="1"/>
      <w:marLeft w:val="0"/>
      <w:marRight w:val="0"/>
      <w:marTop w:val="0"/>
      <w:marBottom w:val="0"/>
      <w:divBdr>
        <w:top w:val="none" w:sz="0" w:space="0" w:color="auto"/>
        <w:left w:val="none" w:sz="0" w:space="0" w:color="auto"/>
        <w:bottom w:val="none" w:sz="0" w:space="0" w:color="auto"/>
        <w:right w:val="none" w:sz="0" w:space="0" w:color="auto"/>
      </w:divBdr>
    </w:div>
    <w:div w:id="627397277">
      <w:bodyDiv w:val="1"/>
      <w:marLeft w:val="0"/>
      <w:marRight w:val="0"/>
      <w:marTop w:val="0"/>
      <w:marBottom w:val="0"/>
      <w:divBdr>
        <w:top w:val="none" w:sz="0" w:space="0" w:color="auto"/>
        <w:left w:val="none" w:sz="0" w:space="0" w:color="auto"/>
        <w:bottom w:val="none" w:sz="0" w:space="0" w:color="auto"/>
        <w:right w:val="none" w:sz="0" w:space="0" w:color="auto"/>
      </w:divBdr>
    </w:div>
    <w:div w:id="632440028">
      <w:bodyDiv w:val="1"/>
      <w:marLeft w:val="0"/>
      <w:marRight w:val="0"/>
      <w:marTop w:val="0"/>
      <w:marBottom w:val="0"/>
      <w:divBdr>
        <w:top w:val="none" w:sz="0" w:space="0" w:color="auto"/>
        <w:left w:val="none" w:sz="0" w:space="0" w:color="auto"/>
        <w:bottom w:val="none" w:sz="0" w:space="0" w:color="auto"/>
        <w:right w:val="none" w:sz="0" w:space="0" w:color="auto"/>
      </w:divBdr>
    </w:div>
    <w:div w:id="647899138">
      <w:bodyDiv w:val="1"/>
      <w:marLeft w:val="0"/>
      <w:marRight w:val="0"/>
      <w:marTop w:val="0"/>
      <w:marBottom w:val="0"/>
      <w:divBdr>
        <w:top w:val="none" w:sz="0" w:space="0" w:color="auto"/>
        <w:left w:val="none" w:sz="0" w:space="0" w:color="auto"/>
        <w:bottom w:val="none" w:sz="0" w:space="0" w:color="auto"/>
        <w:right w:val="none" w:sz="0" w:space="0" w:color="auto"/>
      </w:divBdr>
    </w:div>
    <w:div w:id="654917772">
      <w:bodyDiv w:val="1"/>
      <w:marLeft w:val="0"/>
      <w:marRight w:val="0"/>
      <w:marTop w:val="0"/>
      <w:marBottom w:val="0"/>
      <w:divBdr>
        <w:top w:val="none" w:sz="0" w:space="0" w:color="auto"/>
        <w:left w:val="none" w:sz="0" w:space="0" w:color="auto"/>
        <w:bottom w:val="none" w:sz="0" w:space="0" w:color="auto"/>
        <w:right w:val="none" w:sz="0" w:space="0" w:color="auto"/>
      </w:divBdr>
    </w:div>
    <w:div w:id="655648191">
      <w:bodyDiv w:val="1"/>
      <w:marLeft w:val="0"/>
      <w:marRight w:val="0"/>
      <w:marTop w:val="0"/>
      <w:marBottom w:val="0"/>
      <w:divBdr>
        <w:top w:val="none" w:sz="0" w:space="0" w:color="auto"/>
        <w:left w:val="none" w:sz="0" w:space="0" w:color="auto"/>
        <w:bottom w:val="none" w:sz="0" w:space="0" w:color="auto"/>
        <w:right w:val="none" w:sz="0" w:space="0" w:color="auto"/>
      </w:divBdr>
    </w:div>
    <w:div w:id="664361652">
      <w:bodyDiv w:val="1"/>
      <w:marLeft w:val="0"/>
      <w:marRight w:val="0"/>
      <w:marTop w:val="0"/>
      <w:marBottom w:val="0"/>
      <w:divBdr>
        <w:top w:val="none" w:sz="0" w:space="0" w:color="auto"/>
        <w:left w:val="none" w:sz="0" w:space="0" w:color="auto"/>
        <w:bottom w:val="none" w:sz="0" w:space="0" w:color="auto"/>
        <w:right w:val="none" w:sz="0" w:space="0" w:color="auto"/>
      </w:divBdr>
    </w:div>
    <w:div w:id="677343458">
      <w:bodyDiv w:val="1"/>
      <w:marLeft w:val="0"/>
      <w:marRight w:val="0"/>
      <w:marTop w:val="0"/>
      <w:marBottom w:val="0"/>
      <w:divBdr>
        <w:top w:val="none" w:sz="0" w:space="0" w:color="auto"/>
        <w:left w:val="none" w:sz="0" w:space="0" w:color="auto"/>
        <w:bottom w:val="none" w:sz="0" w:space="0" w:color="auto"/>
        <w:right w:val="none" w:sz="0" w:space="0" w:color="auto"/>
      </w:divBdr>
    </w:div>
    <w:div w:id="680159848">
      <w:bodyDiv w:val="1"/>
      <w:marLeft w:val="0"/>
      <w:marRight w:val="0"/>
      <w:marTop w:val="0"/>
      <w:marBottom w:val="0"/>
      <w:divBdr>
        <w:top w:val="none" w:sz="0" w:space="0" w:color="auto"/>
        <w:left w:val="none" w:sz="0" w:space="0" w:color="auto"/>
        <w:bottom w:val="none" w:sz="0" w:space="0" w:color="auto"/>
        <w:right w:val="none" w:sz="0" w:space="0" w:color="auto"/>
      </w:divBdr>
    </w:div>
    <w:div w:id="684596178">
      <w:bodyDiv w:val="1"/>
      <w:marLeft w:val="0"/>
      <w:marRight w:val="0"/>
      <w:marTop w:val="0"/>
      <w:marBottom w:val="0"/>
      <w:divBdr>
        <w:top w:val="none" w:sz="0" w:space="0" w:color="auto"/>
        <w:left w:val="none" w:sz="0" w:space="0" w:color="auto"/>
        <w:bottom w:val="none" w:sz="0" w:space="0" w:color="auto"/>
        <w:right w:val="none" w:sz="0" w:space="0" w:color="auto"/>
      </w:divBdr>
    </w:div>
    <w:div w:id="686516720">
      <w:bodyDiv w:val="1"/>
      <w:marLeft w:val="0"/>
      <w:marRight w:val="0"/>
      <w:marTop w:val="0"/>
      <w:marBottom w:val="0"/>
      <w:divBdr>
        <w:top w:val="none" w:sz="0" w:space="0" w:color="auto"/>
        <w:left w:val="none" w:sz="0" w:space="0" w:color="auto"/>
        <w:bottom w:val="none" w:sz="0" w:space="0" w:color="auto"/>
        <w:right w:val="none" w:sz="0" w:space="0" w:color="auto"/>
      </w:divBdr>
    </w:div>
    <w:div w:id="687947319">
      <w:bodyDiv w:val="1"/>
      <w:marLeft w:val="0"/>
      <w:marRight w:val="0"/>
      <w:marTop w:val="0"/>
      <w:marBottom w:val="0"/>
      <w:divBdr>
        <w:top w:val="none" w:sz="0" w:space="0" w:color="auto"/>
        <w:left w:val="none" w:sz="0" w:space="0" w:color="auto"/>
        <w:bottom w:val="none" w:sz="0" w:space="0" w:color="auto"/>
        <w:right w:val="none" w:sz="0" w:space="0" w:color="auto"/>
      </w:divBdr>
    </w:div>
    <w:div w:id="688063607">
      <w:bodyDiv w:val="1"/>
      <w:marLeft w:val="0"/>
      <w:marRight w:val="0"/>
      <w:marTop w:val="0"/>
      <w:marBottom w:val="0"/>
      <w:divBdr>
        <w:top w:val="none" w:sz="0" w:space="0" w:color="auto"/>
        <w:left w:val="none" w:sz="0" w:space="0" w:color="auto"/>
        <w:bottom w:val="none" w:sz="0" w:space="0" w:color="auto"/>
        <w:right w:val="none" w:sz="0" w:space="0" w:color="auto"/>
      </w:divBdr>
    </w:div>
    <w:div w:id="695083543">
      <w:bodyDiv w:val="1"/>
      <w:marLeft w:val="0"/>
      <w:marRight w:val="0"/>
      <w:marTop w:val="0"/>
      <w:marBottom w:val="0"/>
      <w:divBdr>
        <w:top w:val="none" w:sz="0" w:space="0" w:color="auto"/>
        <w:left w:val="none" w:sz="0" w:space="0" w:color="auto"/>
        <w:bottom w:val="none" w:sz="0" w:space="0" w:color="auto"/>
        <w:right w:val="none" w:sz="0" w:space="0" w:color="auto"/>
      </w:divBdr>
    </w:div>
    <w:div w:id="699207560">
      <w:bodyDiv w:val="1"/>
      <w:marLeft w:val="0"/>
      <w:marRight w:val="0"/>
      <w:marTop w:val="0"/>
      <w:marBottom w:val="0"/>
      <w:divBdr>
        <w:top w:val="none" w:sz="0" w:space="0" w:color="auto"/>
        <w:left w:val="none" w:sz="0" w:space="0" w:color="auto"/>
        <w:bottom w:val="none" w:sz="0" w:space="0" w:color="auto"/>
        <w:right w:val="none" w:sz="0" w:space="0" w:color="auto"/>
      </w:divBdr>
    </w:div>
    <w:div w:id="703093065">
      <w:bodyDiv w:val="1"/>
      <w:marLeft w:val="0"/>
      <w:marRight w:val="0"/>
      <w:marTop w:val="0"/>
      <w:marBottom w:val="0"/>
      <w:divBdr>
        <w:top w:val="none" w:sz="0" w:space="0" w:color="auto"/>
        <w:left w:val="none" w:sz="0" w:space="0" w:color="auto"/>
        <w:bottom w:val="none" w:sz="0" w:space="0" w:color="auto"/>
        <w:right w:val="none" w:sz="0" w:space="0" w:color="auto"/>
      </w:divBdr>
    </w:div>
    <w:div w:id="724455126">
      <w:bodyDiv w:val="1"/>
      <w:marLeft w:val="0"/>
      <w:marRight w:val="0"/>
      <w:marTop w:val="0"/>
      <w:marBottom w:val="0"/>
      <w:divBdr>
        <w:top w:val="none" w:sz="0" w:space="0" w:color="auto"/>
        <w:left w:val="none" w:sz="0" w:space="0" w:color="auto"/>
        <w:bottom w:val="none" w:sz="0" w:space="0" w:color="auto"/>
        <w:right w:val="none" w:sz="0" w:space="0" w:color="auto"/>
      </w:divBdr>
    </w:div>
    <w:div w:id="730273471">
      <w:bodyDiv w:val="1"/>
      <w:marLeft w:val="0"/>
      <w:marRight w:val="0"/>
      <w:marTop w:val="0"/>
      <w:marBottom w:val="0"/>
      <w:divBdr>
        <w:top w:val="none" w:sz="0" w:space="0" w:color="auto"/>
        <w:left w:val="none" w:sz="0" w:space="0" w:color="auto"/>
        <w:bottom w:val="none" w:sz="0" w:space="0" w:color="auto"/>
        <w:right w:val="none" w:sz="0" w:space="0" w:color="auto"/>
      </w:divBdr>
    </w:div>
    <w:div w:id="737482572">
      <w:bodyDiv w:val="1"/>
      <w:marLeft w:val="0"/>
      <w:marRight w:val="0"/>
      <w:marTop w:val="0"/>
      <w:marBottom w:val="0"/>
      <w:divBdr>
        <w:top w:val="none" w:sz="0" w:space="0" w:color="auto"/>
        <w:left w:val="none" w:sz="0" w:space="0" w:color="auto"/>
        <w:bottom w:val="none" w:sz="0" w:space="0" w:color="auto"/>
        <w:right w:val="none" w:sz="0" w:space="0" w:color="auto"/>
      </w:divBdr>
    </w:div>
    <w:div w:id="739710977">
      <w:bodyDiv w:val="1"/>
      <w:marLeft w:val="0"/>
      <w:marRight w:val="0"/>
      <w:marTop w:val="0"/>
      <w:marBottom w:val="0"/>
      <w:divBdr>
        <w:top w:val="none" w:sz="0" w:space="0" w:color="auto"/>
        <w:left w:val="none" w:sz="0" w:space="0" w:color="auto"/>
        <w:bottom w:val="none" w:sz="0" w:space="0" w:color="auto"/>
        <w:right w:val="none" w:sz="0" w:space="0" w:color="auto"/>
      </w:divBdr>
    </w:div>
    <w:div w:id="752436895">
      <w:bodyDiv w:val="1"/>
      <w:marLeft w:val="0"/>
      <w:marRight w:val="0"/>
      <w:marTop w:val="0"/>
      <w:marBottom w:val="0"/>
      <w:divBdr>
        <w:top w:val="none" w:sz="0" w:space="0" w:color="auto"/>
        <w:left w:val="none" w:sz="0" w:space="0" w:color="auto"/>
        <w:bottom w:val="none" w:sz="0" w:space="0" w:color="auto"/>
        <w:right w:val="none" w:sz="0" w:space="0" w:color="auto"/>
      </w:divBdr>
    </w:div>
    <w:div w:id="753674198">
      <w:bodyDiv w:val="1"/>
      <w:marLeft w:val="0"/>
      <w:marRight w:val="0"/>
      <w:marTop w:val="0"/>
      <w:marBottom w:val="0"/>
      <w:divBdr>
        <w:top w:val="none" w:sz="0" w:space="0" w:color="auto"/>
        <w:left w:val="none" w:sz="0" w:space="0" w:color="auto"/>
        <w:bottom w:val="none" w:sz="0" w:space="0" w:color="auto"/>
        <w:right w:val="none" w:sz="0" w:space="0" w:color="auto"/>
      </w:divBdr>
    </w:div>
    <w:div w:id="757873538">
      <w:bodyDiv w:val="1"/>
      <w:marLeft w:val="0"/>
      <w:marRight w:val="0"/>
      <w:marTop w:val="0"/>
      <w:marBottom w:val="0"/>
      <w:divBdr>
        <w:top w:val="none" w:sz="0" w:space="0" w:color="auto"/>
        <w:left w:val="none" w:sz="0" w:space="0" w:color="auto"/>
        <w:bottom w:val="none" w:sz="0" w:space="0" w:color="auto"/>
        <w:right w:val="none" w:sz="0" w:space="0" w:color="auto"/>
      </w:divBdr>
    </w:div>
    <w:div w:id="760487166">
      <w:bodyDiv w:val="1"/>
      <w:marLeft w:val="0"/>
      <w:marRight w:val="0"/>
      <w:marTop w:val="0"/>
      <w:marBottom w:val="0"/>
      <w:divBdr>
        <w:top w:val="none" w:sz="0" w:space="0" w:color="auto"/>
        <w:left w:val="none" w:sz="0" w:space="0" w:color="auto"/>
        <w:bottom w:val="none" w:sz="0" w:space="0" w:color="auto"/>
        <w:right w:val="none" w:sz="0" w:space="0" w:color="auto"/>
      </w:divBdr>
    </w:div>
    <w:div w:id="761024750">
      <w:bodyDiv w:val="1"/>
      <w:marLeft w:val="0"/>
      <w:marRight w:val="0"/>
      <w:marTop w:val="0"/>
      <w:marBottom w:val="0"/>
      <w:divBdr>
        <w:top w:val="none" w:sz="0" w:space="0" w:color="auto"/>
        <w:left w:val="none" w:sz="0" w:space="0" w:color="auto"/>
        <w:bottom w:val="none" w:sz="0" w:space="0" w:color="auto"/>
        <w:right w:val="none" w:sz="0" w:space="0" w:color="auto"/>
      </w:divBdr>
    </w:div>
    <w:div w:id="765737426">
      <w:bodyDiv w:val="1"/>
      <w:marLeft w:val="0"/>
      <w:marRight w:val="0"/>
      <w:marTop w:val="0"/>
      <w:marBottom w:val="0"/>
      <w:divBdr>
        <w:top w:val="none" w:sz="0" w:space="0" w:color="auto"/>
        <w:left w:val="none" w:sz="0" w:space="0" w:color="auto"/>
        <w:bottom w:val="none" w:sz="0" w:space="0" w:color="auto"/>
        <w:right w:val="none" w:sz="0" w:space="0" w:color="auto"/>
      </w:divBdr>
    </w:div>
    <w:div w:id="773012723">
      <w:bodyDiv w:val="1"/>
      <w:marLeft w:val="0"/>
      <w:marRight w:val="0"/>
      <w:marTop w:val="0"/>
      <w:marBottom w:val="0"/>
      <w:divBdr>
        <w:top w:val="none" w:sz="0" w:space="0" w:color="auto"/>
        <w:left w:val="none" w:sz="0" w:space="0" w:color="auto"/>
        <w:bottom w:val="none" w:sz="0" w:space="0" w:color="auto"/>
        <w:right w:val="none" w:sz="0" w:space="0" w:color="auto"/>
      </w:divBdr>
    </w:div>
    <w:div w:id="773398573">
      <w:bodyDiv w:val="1"/>
      <w:marLeft w:val="0"/>
      <w:marRight w:val="0"/>
      <w:marTop w:val="0"/>
      <w:marBottom w:val="0"/>
      <w:divBdr>
        <w:top w:val="none" w:sz="0" w:space="0" w:color="auto"/>
        <w:left w:val="none" w:sz="0" w:space="0" w:color="auto"/>
        <w:bottom w:val="none" w:sz="0" w:space="0" w:color="auto"/>
        <w:right w:val="none" w:sz="0" w:space="0" w:color="auto"/>
      </w:divBdr>
    </w:div>
    <w:div w:id="780225776">
      <w:bodyDiv w:val="1"/>
      <w:marLeft w:val="0"/>
      <w:marRight w:val="0"/>
      <w:marTop w:val="0"/>
      <w:marBottom w:val="0"/>
      <w:divBdr>
        <w:top w:val="none" w:sz="0" w:space="0" w:color="auto"/>
        <w:left w:val="none" w:sz="0" w:space="0" w:color="auto"/>
        <w:bottom w:val="none" w:sz="0" w:space="0" w:color="auto"/>
        <w:right w:val="none" w:sz="0" w:space="0" w:color="auto"/>
      </w:divBdr>
    </w:div>
    <w:div w:id="782187608">
      <w:bodyDiv w:val="1"/>
      <w:marLeft w:val="0"/>
      <w:marRight w:val="0"/>
      <w:marTop w:val="0"/>
      <w:marBottom w:val="0"/>
      <w:divBdr>
        <w:top w:val="none" w:sz="0" w:space="0" w:color="auto"/>
        <w:left w:val="none" w:sz="0" w:space="0" w:color="auto"/>
        <w:bottom w:val="none" w:sz="0" w:space="0" w:color="auto"/>
        <w:right w:val="none" w:sz="0" w:space="0" w:color="auto"/>
      </w:divBdr>
    </w:div>
    <w:div w:id="784538562">
      <w:bodyDiv w:val="1"/>
      <w:marLeft w:val="0"/>
      <w:marRight w:val="0"/>
      <w:marTop w:val="0"/>
      <w:marBottom w:val="0"/>
      <w:divBdr>
        <w:top w:val="none" w:sz="0" w:space="0" w:color="auto"/>
        <w:left w:val="none" w:sz="0" w:space="0" w:color="auto"/>
        <w:bottom w:val="none" w:sz="0" w:space="0" w:color="auto"/>
        <w:right w:val="none" w:sz="0" w:space="0" w:color="auto"/>
      </w:divBdr>
    </w:div>
    <w:div w:id="802386688">
      <w:bodyDiv w:val="1"/>
      <w:marLeft w:val="0"/>
      <w:marRight w:val="0"/>
      <w:marTop w:val="0"/>
      <w:marBottom w:val="0"/>
      <w:divBdr>
        <w:top w:val="none" w:sz="0" w:space="0" w:color="auto"/>
        <w:left w:val="none" w:sz="0" w:space="0" w:color="auto"/>
        <w:bottom w:val="none" w:sz="0" w:space="0" w:color="auto"/>
        <w:right w:val="none" w:sz="0" w:space="0" w:color="auto"/>
      </w:divBdr>
    </w:div>
    <w:div w:id="803699014">
      <w:bodyDiv w:val="1"/>
      <w:marLeft w:val="0"/>
      <w:marRight w:val="0"/>
      <w:marTop w:val="0"/>
      <w:marBottom w:val="0"/>
      <w:divBdr>
        <w:top w:val="none" w:sz="0" w:space="0" w:color="auto"/>
        <w:left w:val="none" w:sz="0" w:space="0" w:color="auto"/>
        <w:bottom w:val="none" w:sz="0" w:space="0" w:color="auto"/>
        <w:right w:val="none" w:sz="0" w:space="0" w:color="auto"/>
      </w:divBdr>
    </w:div>
    <w:div w:id="813646435">
      <w:bodyDiv w:val="1"/>
      <w:marLeft w:val="0"/>
      <w:marRight w:val="0"/>
      <w:marTop w:val="0"/>
      <w:marBottom w:val="0"/>
      <w:divBdr>
        <w:top w:val="none" w:sz="0" w:space="0" w:color="auto"/>
        <w:left w:val="none" w:sz="0" w:space="0" w:color="auto"/>
        <w:bottom w:val="none" w:sz="0" w:space="0" w:color="auto"/>
        <w:right w:val="none" w:sz="0" w:space="0" w:color="auto"/>
      </w:divBdr>
    </w:div>
    <w:div w:id="847211545">
      <w:bodyDiv w:val="1"/>
      <w:marLeft w:val="0"/>
      <w:marRight w:val="0"/>
      <w:marTop w:val="0"/>
      <w:marBottom w:val="0"/>
      <w:divBdr>
        <w:top w:val="none" w:sz="0" w:space="0" w:color="auto"/>
        <w:left w:val="none" w:sz="0" w:space="0" w:color="auto"/>
        <w:bottom w:val="none" w:sz="0" w:space="0" w:color="auto"/>
        <w:right w:val="none" w:sz="0" w:space="0" w:color="auto"/>
      </w:divBdr>
    </w:div>
    <w:div w:id="856425015">
      <w:bodyDiv w:val="1"/>
      <w:marLeft w:val="0"/>
      <w:marRight w:val="0"/>
      <w:marTop w:val="0"/>
      <w:marBottom w:val="0"/>
      <w:divBdr>
        <w:top w:val="none" w:sz="0" w:space="0" w:color="auto"/>
        <w:left w:val="none" w:sz="0" w:space="0" w:color="auto"/>
        <w:bottom w:val="none" w:sz="0" w:space="0" w:color="auto"/>
        <w:right w:val="none" w:sz="0" w:space="0" w:color="auto"/>
      </w:divBdr>
    </w:div>
    <w:div w:id="856431275">
      <w:bodyDiv w:val="1"/>
      <w:marLeft w:val="0"/>
      <w:marRight w:val="0"/>
      <w:marTop w:val="0"/>
      <w:marBottom w:val="0"/>
      <w:divBdr>
        <w:top w:val="none" w:sz="0" w:space="0" w:color="auto"/>
        <w:left w:val="none" w:sz="0" w:space="0" w:color="auto"/>
        <w:bottom w:val="none" w:sz="0" w:space="0" w:color="auto"/>
        <w:right w:val="none" w:sz="0" w:space="0" w:color="auto"/>
      </w:divBdr>
    </w:div>
    <w:div w:id="859121514">
      <w:bodyDiv w:val="1"/>
      <w:marLeft w:val="0"/>
      <w:marRight w:val="0"/>
      <w:marTop w:val="0"/>
      <w:marBottom w:val="0"/>
      <w:divBdr>
        <w:top w:val="none" w:sz="0" w:space="0" w:color="auto"/>
        <w:left w:val="none" w:sz="0" w:space="0" w:color="auto"/>
        <w:bottom w:val="none" w:sz="0" w:space="0" w:color="auto"/>
        <w:right w:val="none" w:sz="0" w:space="0" w:color="auto"/>
      </w:divBdr>
    </w:div>
    <w:div w:id="860357168">
      <w:bodyDiv w:val="1"/>
      <w:marLeft w:val="0"/>
      <w:marRight w:val="0"/>
      <w:marTop w:val="0"/>
      <w:marBottom w:val="0"/>
      <w:divBdr>
        <w:top w:val="none" w:sz="0" w:space="0" w:color="auto"/>
        <w:left w:val="none" w:sz="0" w:space="0" w:color="auto"/>
        <w:bottom w:val="none" w:sz="0" w:space="0" w:color="auto"/>
        <w:right w:val="none" w:sz="0" w:space="0" w:color="auto"/>
      </w:divBdr>
    </w:div>
    <w:div w:id="867645310">
      <w:bodyDiv w:val="1"/>
      <w:marLeft w:val="0"/>
      <w:marRight w:val="0"/>
      <w:marTop w:val="0"/>
      <w:marBottom w:val="0"/>
      <w:divBdr>
        <w:top w:val="none" w:sz="0" w:space="0" w:color="auto"/>
        <w:left w:val="none" w:sz="0" w:space="0" w:color="auto"/>
        <w:bottom w:val="none" w:sz="0" w:space="0" w:color="auto"/>
        <w:right w:val="none" w:sz="0" w:space="0" w:color="auto"/>
      </w:divBdr>
    </w:div>
    <w:div w:id="889683347">
      <w:bodyDiv w:val="1"/>
      <w:marLeft w:val="0"/>
      <w:marRight w:val="0"/>
      <w:marTop w:val="0"/>
      <w:marBottom w:val="0"/>
      <w:divBdr>
        <w:top w:val="none" w:sz="0" w:space="0" w:color="auto"/>
        <w:left w:val="none" w:sz="0" w:space="0" w:color="auto"/>
        <w:bottom w:val="none" w:sz="0" w:space="0" w:color="auto"/>
        <w:right w:val="none" w:sz="0" w:space="0" w:color="auto"/>
      </w:divBdr>
    </w:div>
    <w:div w:id="896359106">
      <w:bodyDiv w:val="1"/>
      <w:marLeft w:val="0"/>
      <w:marRight w:val="0"/>
      <w:marTop w:val="0"/>
      <w:marBottom w:val="0"/>
      <w:divBdr>
        <w:top w:val="none" w:sz="0" w:space="0" w:color="auto"/>
        <w:left w:val="none" w:sz="0" w:space="0" w:color="auto"/>
        <w:bottom w:val="none" w:sz="0" w:space="0" w:color="auto"/>
        <w:right w:val="none" w:sz="0" w:space="0" w:color="auto"/>
      </w:divBdr>
    </w:div>
    <w:div w:id="903175990">
      <w:bodyDiv w:val="1"/>
      <w:marLeft w:val="0"/>
      <w:marRight w:val="0"/>
      <w:marTop w:val="0"/>
      <w:marBottom w:val="0"/>
      <w:divBdr>
        <w:top w:val="none" w:sz="0" w:space="0" w:color="auto"/>
        <w:left w:val="none" w:sz="0" w:space="0" w:color="auto"/>
        <w:bottom w:val="none" w:sz="0" w:space="0" w:color="auto"/>
        <w:right w:val="none" w:sz="0" w:space="0" w:color="auto"/>
      </w:divBdr>
    </w:div>
    <w:div w:id="904603112">
      <w:bodyDiv w:val="1"/>
      <w:marLeft w:val="0"/>
      <w:marRight w:val="0"/>
      <w:marTop w:val="0"/>
      <w:marBottom w:val="0"/>
      <w:divBdr>
        <w:top w:val="none" w:sz="0" w:space="0" w:color="auto"/>
        <w:left w:val="none" w:sz="0" w:space="0" w:color="auto"/>
        <w:bottom w:val="none" w:sz="0" w:space="0" w:color="auto"/>
        <w:right w:val="none" w:sz="0" w:space="0" w:color="auto"/>
      </w:divBdr>
      <w:divsChild>
        <w:div w:id="1235236118">
          <w:marLeft w:val="0"/>
          <w:marRight w:val="0"/>
          <w:marTop w:val="0"/>
          <w:marBottom w:val="0"/>
          <w:divBdr>
            <w:top w:val="none" w:sz="0" w:space="0" w:color="auto"/>
            <w:left w:val="none" w:sz="0" w:space="0" w:color="auto"/>
            <w:bottom w:val="none" w:sz="0" w:space="0" w:color="auto"/>
            <w:right w:val="none" w:sz="0" w:space="0" w:color="auto"/>
          </w:divBdr>
          <w:divsChild>
            <w:div w:id="557130553">
              <w:marLeft w:val="0"/>
              <w:marRight w:val="0"/>
              <w:marTop w:val="0"/>
              <w:marBottom w:val="0"/>
              <w:divBdr>
                <w:top w:val="none" w:sz="0" w:space="0" w:color="auto"/>
                <w:left w:val="none" w:sz="0" w:space="0" w:color="auto"/>
                <w:bottom w:val="none" w:sz="0" w:space="0" w:color="auto"/>
                <w:right w:val="none" w:sz="0" w:space="0" w:color="auto"/>
              </w:divBdr>
            </w:div>
            <w:div w:id="911433488">
              <w:marLeft w:val="0"/>
              <w:marRight w:val="0"/>
              <w:marTop w:val="0"/>
              <w:marBottom w:val="0"/>
              <w:divBdr>
                <w:top w:val="none" w:sz="0" w:space="0" w:color="auto"/>
                <w:left w:val="none" w:sz="0" w:space="0" w:color="auto"/>
                <w:bottom w:val="none" w:sz="0" w:space="0" w:color="auto"/>
                <w:right w:val="none" w:sz="0" w:space="0" w:color="auto"/>
              </w:divBdr>
            </w:div>
            <w:div w:id="972642071">
              <w:marLeft w:val="0"/>
              <w:marRight w:val="0"/>
              <w:marTop w:val="0"/>
              <w:marBottom w:val="0"/>
              <w:divBdr>
                <w:top w:val="none" w:sz="0" w:space="0" w:color="auto"/>
                <w:left w:val="none" w:sz="0" w:space="0" w:color="auto"/>
                <w:bottom w:val="none" w:sz="0" w:space="0" w:color="auto"/>
                <w:right w:val="none" w:sz="0" w:space="0" w:color="auto"/>
              </w:divBdr>
            </w:div>
            <w:div w:id="982274813">
              <w:marLeft w:val="0"/>
              <w:marRight w:val="0"/>
              <w:marTop w:val="0"/>
              <w:marBottom w:val="0"/>
              <w:divBdr>
                <w:top w:val="none" w:sz="0" w:space="0" w:color="auto"/>
                <w:left w:val="none" w:sz="0" w:space="0" w:color="auto"/>
                <w:bottom w:val="none" w:sz="0" w:space="0" w:color="auto"/>
                <w:right w:val="none" w:sz="0" w:space="0" w:color="auto"/>
              </w:divBdr>
            </w:div>
            <w:div w:id="1073891698">
              <w:marLeft w:val="0"/>
              <w:marRight w:val="0"/>
              <w:marTop w:val="0"/>
              <w:marBottom w:val="0"/>
              <w:divBdr>
                <w:top w:val="none" w:sz="0" w:space="0" w:color="auto"/>
                <w:left w:val="none" w:sz="0" w:space="0" w:color="auto"/>
                <w:bottom w:val="none" w:sz="0" w:space="0" w:color="auto"/>
                <w:right w:val="none" w:sz="0" w:space="0" w:color="auto"/>
              </w:divBdr>
            </w:div>
            <w:div w:id="1117338112">
              <w:marLeft w:val="0"/>
              <w:marRight w:val="0"/>
              <w:marTop w:val="0"/>
              <w:marBottom w:val="0"/>
              <w:divBdr>
                <w:top w:val="none" w:sz="0" w:space="0" w:color="auto"/>
                <w:left w:val="none" w:sz="0" w:space="0" w:color="auto"/>
                <w:bottom w:val="none" w:sz="0" w:space="0" w:color="auto"/>
                <w:right w:val="none" w:sz="0" w:space="0" w:color="auto"/>
              </w:divBdr>
            </w:div>
            <w:div w:id="1166747720">
              <w:marLeft w:val="0"/>
              <w:marRight w:val="0"/>
              <w:marTop w:val="0"/>
              <w:marBottom w:val="0"/>
              <w:divBdr>
                <w:top w:val="none" w:sz="0" w:space="0" w:color="auto"/>
                <w:left w:val="none" w:sz="0" w:space="0" w:color="auto"/>
                <w:bottom w:val="none" w:sz="0" w:space="0" w:color="auto"/>
                <w:right w:val="none" w:sz="0" w:space="0" w:color="auto"/>
              </w:divBdr>
            </w:div>
            <w:div w:id="1265922655">
              <w:marLeft w:val="0"/>
              <w:marRight w:val="0"/>
              <w:marTop w:val="0"/>
              <w:marBottom w:val="0"/>
              <w:divBdr>
                <w:top w:val="none" w:sz="0" w:space="0" w:color="auto"/>
                <w:left w:val="none" w:sz="0" w:space="0" w:color="auto"/>
                <w:bottom w:val="none" w:sz="0" w:space="0" w:color="auto"/>
                <w:right w:val="none" w:sz="0" w:space="0" w:color="auto"/>
              </w:divBdr>
            </w:div>
            <w:div w:id="1673488793">
              <w:marLeft w:val="0"/>
              <w:marRight w:val="0"/>
              <w:marTop w:val="0"/>
              <w:marBottom w:val="0"/>
              <w:divBdr>
                <w:top w:val="none" w:sz="0" w:space="0" w:color="auto"/>
                <w:left w:val="none" w:sz="0" w:space="0" w:color="auto"/>
                <w:bottom w:val="none" w:sz="0" w:space="0" w:color="auto"/>
                <w:right w:val="none" w:sz="0" w:space="0" w:color="auto"/>
              </w:divBdr>
            </w:div>
            <w:div w:id="1780562705">
              <w:marLeft w:val="0"/>
              <w:marRight w:val="0"/>
              <w:marTop w:val="0"/>
              <w:marBottom w:val="0"/>
              <w:divBdr>
                <w:top w:val="none" w:sz="0" w:space="0" w:color="auto"/>
                <w:left w:val="none" w:sz="0" w:space="0" w:color="auto"/>
                <w:bottom w:val="none" w:sz="0" w:space="0" w:color="auto"/>
                <w:right w:val="none" w:sz="0" w:space="0" w:color="auto"/>
              </w:divBdr>
            </w:div>
            <w:div w:id="21114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4412">
      <w:bodyDiv w:val="1"/>
      <w:marLeft w:val="0"/>
      <w:marRight w:val="0"/>
      <w:marTop w:val="0"/>
      <w:marBottom w:val="0"/>
      <w:divBdr>
        <w:top w:val="none" w:sz="0" w:space="0" w:color="auto"/>
        <w:left w:val="none" w:sz="0" w:space="0" w:color="auto"/>
        <w:bottom w:val="none" w:sz="0" w:space="0" w:color="auto"/>
        <w:right w:val="none" w:sz="0" w:space="0" w:color="auto"/>
      </w:divBdr>
    </w:div>
    <w:div w:id="919867250">
      <w:bodyDiv w:val="1"/>
      <w:marLeft w:val="0"/>
      <w:marRight w:val="0"/>
      <w:marTop w:val="0"/>
      <w:marBottom w:val="0"/>
      <w:divBdr>
        <w:top w:val="none" w:sz="0" w:space="0" w:color="auto"/>
        <w:left w:val="none" w:sz="0" w:space="0" w:color="auto"/>
        <w:bottom w:val="none" w:sz="0" w:space="0" w:color="auto"/>
        <w:right w:val="none" w:sz="0" w:space="0" w:color="auto"/>
      </w:divBdr>
    </w:div>
    <w:div w:id="923303217">
      <w:bodyDiv w:val="1"/>
      <w:marLeft w:val="0"/>
      <w:marRight w:val="0"/>
      <w:marTop w:val="0"/>
      <w:marBottom w:val="0"/>
      <w:divBdr>
        <w:top w:val="none" w:sz="0" w:space="0" w:color="auto"/>
        <w:left w:val="none" w:sz="0" w:space="0" w:color="auto"/>
        <w:bottom w:val="none" w:sz="0" w:space="0" w:color="auto"/>
        <w:right w:val="none" w:sz="0" w:space="0" w:color="auto"/>
      </w:divBdr>
    </w:div>
    <w:div w:id="949703374">
      <w:bodyDiv w:val="1"/>
      <w:marLeft w:val="0"/>
      <w:marRight w:val="0"/>
      <w:marTop w:val="0"/>
      <w:marBottom w:val="0"/>
      <w:divBdr>
        <w:top w:val="none" w:sz="0" w:space="0" w:color="auto"/>
        <w:left w:val="none" w:sz="0" w:space="0" w:color="auto"/>
        <w:bottom w:val="none" w:sz="0" w:space="0" w:color="auto"/>
        <w:right w:val="none" w:sz="0" w:space="0" w:color="auto"/>
      </w:divBdr>
    </w:div>
    <w:div w:id="952828255">
      <w:bodyDiv w:val="1"/>
      <w:marLeft w:val="0"/>
      <w:marRight w:val="0"/>
      <w:marTop w:val="0"/>
      <w:marBottom w:val="0"/>
      <w:divBdr>
        <w:top w:val="none" w:sz="0" w:space="0" w:color="auto"/>
        <w:left w:val="none" w:sz="0" w:space="0" w:color="auto"/>
        <w:bottom w:val="none" w:sz="0" w:space="0" w:color="auto"/>
        <w:right w:val="none" w:sz="0" w:space="0" w:color="auto"/>
      </w:divBdr>
    </w:div>
    <w:div w:id="955988078">
      <w:bodyDiv w:val="1"/>
      <w:marLeft w:val="0"/>
      <w:marRight w:val="0"/>
      <w:marTop w:val="0"/>
      <w:marBottom w:val="0"/>
      <w:divBdr>
        <w:top w:val="none" w:sz="0" w:space="0" w:color="auto"/>
        <w:left w:val="none" w:sz="0" w:space="0" w:color="auto"/>
        <w:bottom w:val="none" w:sz="0" w:space="0" w:color="auto"/>
        <w:right w:val="none" w:sz="0" w:space="0" w:color="auto"/>
      </w:divBdr>
    </w:div>
    <w:div w:id="960502197">
      <w:bodyDiv w:val="1"/>
      <w:marLeft w:val="0"/>
      <w:marRight w:val="0"/>
      <w:marTop w:val="0"/>
      <w:marBottom w:val="0"/>
      <w:divBdr>
        <w:top w:val="none" w:sz="0" w:space="0" w:color="auto"/>
        <w:left w:val="none" w:sz="0" w:space="0" w:color="auto"/>
        <w:bottom w:val="none" w:sz="0" w:space="0" w:color="auto"/>
        <w:right w:val="none" w:sz="0" w:space="0" w:color="auto"/>
      </w:divBdr>
    </w:div>
    <w:div w:id="969702581">
      <w:bodyDiv w:val="1"/>
      <w:marLeft w:val="0"/>
      <w:marRight w:val="0"/>
      <w:marTop w:val="0"/>
      <w:marBottom w:val="0"/>
      <w:divBdr>
        <w:top w:val="none" w:sz="0" w:space="0" w:color="auto"/>
        <w:left w:val="none" w:sz="0" w:space="0" w:color="auto"/>
        <w:bottom w:val="none" w:sz="0" w:space="0" w:color="auto"/>
        <w:right w:val="none" w:sz="0" w:space="0" w:color="auto"/>
      </w:divBdr>
    </w:div>
    <w:div w:id="973832140">
      <w:bodyDiv w:val="1"/>
      <w:marLeft w:val="0"/>
      <w:marRight w:val="0"/>
      <w:marTop w:val="0"/>
      <w:marBottom w:val="0"/>
      <w:divBdr>
        <w:top w:val="none" w:sz="0" w:space="0" w:color="auto"/>
        <w:left w:val="none" w:sz="0" w:space="0" w:color="auto"/>
        <w:bottom w:val="none" w:sz="0" w:space="0" w:color="auto"/>
        <w:right w:val="none" w:sz="0" w:space="0" w:color="auto"/>
      </w:divBdr>
    </w:div>
    <w:div w:id="980766938">
      <w:bodyDiv w:val="1"/>
      <w:marLeft w:val="0"/>
      <w:marRight w:val="0"/>
      <w:marTop w:val="0"/>
      <w:marBottom w:val="0"/>
      <w:divBdr>
        <w:top w:val="none" w:sz="0" w:space="0" w:color="auto"/>
        <w:left w:val="none" w:sz="0" w:space="0" w:color="auto"/>
        <w:bottom w:val="none" w:sz="0" w:space="0" w:color="auto"/>
        <w:right w:val="none" w:sz="0" w:space="0" w:color="auto"/>
      </w:divBdr>
    </w:div>
    <w:div w:id="984310184">
      <w:bodyDiv w:val="1"/>
      <w:marLeft w:val="0"/>
      <w:marRight w:val="0"/>
      <w:marTop w:val="0"/>
      <w:marBottom w:val="0"/>
      <w:divBdr>
        <w:top w:val="none" w:sz="0" w:space="0" w:color="auto"/>
        <w:left w:val="none" w:sz="0" w:space="0" w:color="auto"/>
        <w:bottom w:val="none" w:sz="0" w:space="0" w:color="auto"/>
        <w:right w:val="none" w:sz="0" w:space="0" w:color="auto"/>
      </w:divBdr>
    </w:div>
    <w:div w:id="986009168">
      <w:bodyDiv w:val="1"/>
      <w:marLeft w:val="0"/>
      <w:marRight w:val="0"/>
      <w:marTop w:val="0"/>
      <w:marBottom w:val="0"/>
      <w:divBdr>
        <w:top w:val="none" w:sz="0" w:space="0" w:color="auto"/>
        <w:left w:val="none" w:sz="0" w:space="0" w:color="auto"/>
        <w:bottom w:val="none" w:sz="0" w:space="0" w:color="auto"/>
        <w:right w:val="none" w:sz="0" w:space="0" w:color="auto"/>
      </w:divBdr>
    </w:div>
    <w:div w:id="994795703">
      <w:bodyDiv w:val="1"/>
      <w:marLeft w:val="0"/>
      <w:marRight w:val="0"/>
      <w:marTop w:val="0"/>
      <w:marBottom w:val="0"/>
      <w:divBdr>
        <w:top w:val="none" w:sz="0" w:space="0" w:color="auto"/>
        <w:left w:val="none" w:sz="0" w:space="0" w:color="auto"/>
        <w:bottom w:val="none" w:sz="0" w:space="0" w:color="auto"/>
        <w:right w:val="none" w:sz="0" w:space="0" w:color="auto"/>
      </w:divBdr>
    </w:div>
    <w:div w:id="1003162307">
      <w:bodyDiv w:val="1"/>
      <w:marLeft w:val="0"/>
      <w:marRight w:val="0"/>
      <w:marTop w:val="0"/>
      <w:marBottom w:val="0"/>
      <w:divBdr>
        <w:top w:val="none" w:sz="0" w:space="0" w:color="auto"/>
        <w:left w:val="none" w:sz="0" w:space="0" w:color="auto"/>
        <w:bottom w:val="none" w:sz="0" w:space="0" w:color="auto"/>
        <w:right w:val="none" w:sz="0" w:space="0" w:color="auto"/>
      </w:divBdr>
    </w:div>
    <w:div w:id="1014958721">
      <w:bodyDiv w:val="1"/>
      <w:marLeft w:val="0"/>
      <w:marRight w:val="0"/>
      <w:marTop w:val="0"/>
      <w:marBottom w:val="0"/>
      <w:divBdr>
        <w:top w:val="none" w:sz="0" w:space="0" w:color="auto"/>
        <w:left w:val="none" w:sz="0" w:space="0" w:color="auto"/>
        <w:bottom w:val="none" w:sz="0" w:space="0" w:color="auto"/>
        <w:right w:val="none" w:sz="0" w:space="0" w:color="auto"/>
      </w:divBdr>
    </w:div>
    <w:div w:id="1022974819">
      <w:bodyDiv w:val="1"/>
      <w:marLeft w:val="0"/>
      <w:marRight w:val="0"/>
      <w:marTop w:val="0"/>
      <w:marBottom w:val="0"/>
      <w:divBdr>
        <w:top w:val="none" w:sz="0" w:space="0" w:color="auto"/>
        <w:left w:val="none" w:sz="0" w:space="0" w:color="auto"/>
        <w:bottom w:val="none" w:sz="0" w:space="0" w:color="auto"/>
        <w:right w:val="none" w:sz="0" w:space="0" w:color="auto"/>
      </w:divBdr>
    </w:div>
    <w:div w:id="1029796234">
      <w:bodyDiv w:val="1"/>
      <w:marLeft w:val="0"/>
      <w:marRight w:val="0"/>
      <w:marTop w:val="0"/>
      <w:marBottom w:val="0"/>
      <w:divBdr>
        <w:top w:val="none" w:sz="0" w:space="0" w:color="auto"/>
        <w:left w:val="none" w:sz="0" w:space="0" w:color="auto"/>
        <w:bottom w:val="none" w:sz="0" w:space="0" w:color="auto"/>
        <w:right w:val="none" w:sz="0" w:space="0" w:color="auto"/>
      </w:divBdr>
    </w:div>
    <w:div w:id="1064990192">
      <w:bodyDiv w:val="1"/>
      <w:marLeft w:val="0"/>
      <w:marRight w:val="0"/>
      <w:marTop w:val="0"/>
      <w:marBottom w:val="0"/>
      <w:divBdr>
        <w:top w:val="none" w:sz="0" w:space="0" w:color="auto"/>
        <w:left w:val="none" w:sz="0" w:space="0" w:color="auto"/>
        <w:bottom w:val="none" w:sz="0" w:space="0" w:color="auto"/>
        <w:right w:val="none" w:sz="0" w:space="0" w:color="auto"/>
      </w:divBdr>
    </w:div>
    <w:div w:id="1066338582">
      <w:bodyDiv w:val="1"/>
      <w:marLeft w:val="0"/>
      <w:marRight w:val="0"/>
      <w:marTop w:val="0"/>
      <w:marBottom w:val="0"/>
      <w:divBdr>
        <w:top w:val="none" w:sz="0" w:space="0" w:color="auto"/>
        <w:left w:val="none" w:sz="0" w:space="0" w:color="auto"/>
        <w:bottom w:val="none" w:sz="0" w:space="0" w:color="auto"/>
        <w:right w:val="none" w:sz="0" w:space="0" w:color="auto"/>
      </w:divBdr>
    </w:div>
    <w:div w:id="1066413825">
      <w:bodyDiv w:val="1"/>
      <w:marLeft w:val="0"/>
      <w:marRight w:val="0"/>
      <w:marTop w:val="0"/>
      <w:marBottom w:val="0"/>
      <w:divBdr>
        <w:top w:val="none" w:sz="0" w:space="0" w:color="auto"/>
        <w:left w:val="none" w:sz="0" w:space="0" w:color="auto"/>
        <w:bottom w:val="none" w:sz="0" w:space="0" w:color="auto"/>
        <w:right w:val="none" w:sz="0" w:space="0" w:color="auto"/>
      </w:divBdr>
    </w:div>
    <w:div w:id="1089352777">
      <w:bodyDiv w:val="1"/>
      <w:marLeft w:val="0"/>
      <w:marRight w:val="0"/>
      <w:marTop w:val="0"/>
      <w:marBottom w:val="0"/>
      <w:divBdr>
        <w:top w:val="none" w:sz="0" w:space="0" w:color="auto"/>
        <w:left w:val="none" w:sz="0" w:space="0" w:color="auto"/>
        <w:bottom w:val="none" w:sz="0" w:space="0" w:color="auto"/>
        <w:right w:val="none" w:sz="0" w:space="0" w:color="auto"/>
      </w:divBdr>
    </w:div>
    <w:div w:id="1096291940">
      <w:bodyDiv w:val="1"/>
      <w:marLeft w:val="0"/>
      <w:marRight w:val="0"/>
      <w:marTop w:val="0"/>
      <w:marBottom w:val="0"/>
      <w:divBdr>
        <w:top w:val="none" w:sz="0" w:space="0" w:color="auto"/>
        <w:left w:val="none" w:sz="0" w:space="0" w:color="auto"/>
        <w:bottom w:val="none" w:sz="0" w:space="0" w:color="auto"/>
        <w:right w:val="none" w:sz="0" w:space="0" w:color="auto"/>
      </w:divBdr>
    </w:div>
    <w:div w:id="1101491450">
      <w:bodyDiv w:val="1"/>
      <w:marLeft w:val="0"/>
      <w:marRight w:val="0"/>
      <w:marTop w:val="0"/>
      <w:marBottom w:val="0"/>
      <w:divBdr>
        <w:top w:val="none" w:sz="0" w:space="0" w:color="auto"/>
        <w:left w:val="none" w:sz="0" w:space="0" w:color="auto"/>
        <w:bottom w:val="none" w:sz="0" w:space="0" w:color="auto"/>
        <w:right w:val="none" w:sz="0" w:space="0" w:color="auto"/>
      </w:divBdr>
    </w:div>
    <w:div w:id="1102654148">
      <w:bodyDiv w:val="1"/>
      <w:marLeft w:val="0"/>
      <w:marRight w:val="0"/>
      <w:marTop w:val="0"/>
      <w:marBottom w:val="0"/>
      <w:divBdr>
        <w:top w:val="none" w:sz="0" w:space="0" w:color="auto"/>
        <w:left w:val="none" w:sz="0" w:space="0" w:color="auto"/>
        <w:bottom w:val="none" w:sz="0" w:space="0" w:color="auto"/>
        <w:right w:val="none" w:sz="0" w:space="0" w:color="auto"/>
      </w:divBdr>
    </w:div>
    <w:div w:id="1114204941">
      <w:bodyDiv w:val="1"/>
      <w:marLeft w:val="0"/>
      <w:marRight w:val="0"/>
      <w:marTop w:val="0"/>
      <w:marBottom w:val="0"/>
      <w:divBdr>
        <w:top w:val="none" w:sz="0" w:space="0" w:color="auto"/>
        <w:left w:val="none" w:sz="0" w:space="0" w:color="auto"/>
        <w:bottom w:val="none" w:sz="0" w:space="0" w:color="auto"/>
        <w:right w:val="none" w:sz="0" w:space="0" w:color="auto"/>
      </w:divBdr>
    </w:div>
    <w:div w:id="1128160254">
      <w:bodyDiv w:val="1"/>
      <w:marLeft w:val="0"/>
      <w:marRight w:val="0"/>
      <w:marTop w:val="0"/>
      <w:marBottom w:val="0"/>
      <w:divBdr>
        <w:top w:val="none" w:sz="0" w:space="0" w:color="auto"/>
        <w:left w:val="none" w:sz="0" w:space="0" w:color="auto"/>
        <w:bottom w:val="none" w:sz="0" w:space="0" w:color="auto"/>
        <w:right w:val="none" w:sz="0" w:space="0" w:color="auto"/>
      </w:divBdr>
    </w:div>
    <w:div w:id="1143889048">
      <w:bodyDiv w:val="1"/>
      <w:marLeft w:val="0"/>
      <w:marRight w:val="0"/>
      <w:marTop w:val="0"/>
      <w:marBottom w:val="0"/>
      <w:divBdr>
        <w:top w:val="none" w:sz="0" w:space="0" w:color="auto"/>
        <w:left w:val="none" w:sz="0" w:space="0" w:color="auto"/>
        <w:bottom w:val="none" w:sz="0" w:space="0" w:color="auto"/>
        <w:right w:val="none" w:sz="0" w:space="0" w:color="auto"/>
      </w:divBdr>
    </w:div>
    <w:div w:id="1146967040">
      <w:bodyDiv w:val="1"/>
      <w:marLeft w:val="0"/>
      <w:marRight w:val="0"/>
      <w:marTop w:val="0"/>
      <w:marBottom w:val="0"/>
      <w:divBdr>
        <w:top w:val="none" w:sz="0" w:space="0" w:color="auto"/>
        <w:left w:val="none" w:sz="0" w:space="0" w:color="auto"/>
        <w:bottom w:val="none" w:sz="0" w:space="0" w:color="auto"/>
        <w:right w:val="none" w:sz="0" w:space="0" w:color="auto"/>
      </w:divBdr>
    </w:div>
    <w:div w:id="1150370220">
      <w:bodyDiv w:val="1"/>
      <w:marLeft w:val="0"/>
      <w:marRight w:val="0"/>
      <w:marTop w:val="0"/>
      <w:marBottom w:val="0"/>
      <w:divBdr>
        <w:top w:val="none" w:sz="0" w:space="0" w:color="auto"/>
        <w:left w:val="none" w:sz="0" w:space="0" w:color="auto"/>
        <w:bottom w:val="none" w:sz="0" w:space="0" w:color="auto"/>
        <w:right w:val="none" w:sz="0" w:space="0" w:color="auto"/>
      </w:divBdr>
    </w:div>
    <w:div w:id="1162086580">
      <w:bodyDiv w:val="1"/>
      <w:marLeft w:val="0"/>
      <w:marRight w:val="0"/>
      <w:marTop w:val="0"/>
      <w:marBottom w:val="0"/>
      <w:divBdr>
        <w:top w:val="none" w:sz="0" w:space="0" w:color="auto"/>
        <w:left w:val="none" w:sz="0" w:space="0" w:color="auto"/>
        <w:bottom w:val="none" w:sz="0" w:space="0" w:color="auto"/>
        <w:right w:val="none" w:sz="0" w:space="0" w:color="auto"/>
      </w:divBdr>
    </w:div>
    <w:div w:id="1171410766">
      <w:bodyDiv w:val="1"/>
      <w:marLeft w:val="0"/>
      <w:marRight w:val="0"/>
      <w:marTop w:val="0"/>
      <w:marBottom w:val="0"/>
      <w:divBdr>
        <w:top w:val="none" w:sz="0" w:space="0" w:color="auto"/>
        <w:left w:val="none" w:sz="0" w:space="0" w:color="auto"/>
        <w:bottom w:val="none" w:sz="0" w:space="0" w:color="auto"/>
        <w:right w:val="none" w:sz="0" w:space="0" w:color="auto"/>
      </w:divBdr>
    </w:div>
    <w:div w:id="1187256920">
      <w:bodyDiv w:val="1"/>
      <w:marLeft w:val="0"/>
      <w:marRight w:val="0"/>
      <w:marTop w:val="0"/>
      <w:marBottom w:val="0"/>
      <w:divBdr>
        <w:top w:val="none" w:sz="0" w:space="0" w:color="auto"/>
        <w:left w:val="none" w:sz="0" w:space="0" w:color="auto"/>
        <w:bottom w:val="none" w:sz="0" w:space="0" w:color="auto"/>
        <w:right w:val="none" w:sz="0" w:space="0" w:color="auto"/>
      </w:divBdr>
    </w:div>
    <w:div w:id="1188519195">
      <w:bodyDiv w:val="1"/>
      <w:marLeft w:val="0"/>
      <w:marRight w:val="0"/>
      <w:marTop w:val="0"/>
      <w:marBottom w:val="0"/>
      <w:divBdr>
        <w:top w:val="none" w:sz="0" w:space="0" w:color="auto"/>
        <w:left w:val="none" w:sz="0" w:space="0" w:color="auto"/>
        <w:bottom w:val="none" w:sz="0" w:space="0" w:color="auto"/>
        <w:right w:val="none" w:sz="0" w:space="0" w:color="auto"/>
      </w:divBdr>
    </w:div>
    <w:div w:id="1191722464">
      <w:bodyDiv w:val="1"/>
      <w:marLeft w:val="0"/>
      <w:marRight w:val="0"/>
      <w:marTop w:val="0"/>
      <w:marBottom w:val="0"/>
      <w:divBdr>
        <w:top w:val="none" w:sz="0" w:space="0" w:color="auto"/>
        <w:left w:val="none" w:sz="0" w:space="0" w:color="auto"/>
        <w:bottom w:val="none" w:sz="0" w:space="0" w:color="auto"/>
        <w:right w:val="none" w:sz="0" w:space="0" w:color="auto"/>
      </w:divBdr>
    </w:div>
    <w:div w:id="1192066061">
      <w:bodyDiv w:val="1"/>
      <w:marLeft w:val="0"/>
      <w:marRight w:val="0"/>
      <w:marTop w:val="0"/>
      <w:marBottom w:val="0"/>
      <w:divBdr>
        <w:top w:val="none" w:sz="0" w:space="0" w:color="auto"/>
        <w:left w:val="none" w:sz="0" w:space="0" w:color="auto"/>
        <w:bottom w:val="none" w:sz="0" w:space="0" w:color="auto"/>
        <w:right w:val="none" w:sz="0" w:space="0" w:color="auto"/>
      </w:divBdr>
    </w:div>
    <w:div w:id="1195655163">
      <w:bodyDiv w:val="1"/>
      <w:marLeft w:val="0"/>
      <w:marRight w:val="0"/>
      <w:marTop w:val="0"/>
      <w:marBottom w:val="0"/>
      <w:divBdr>
        <w:top w:val="none" w:sz="0" w:space="0" w:color="auto"/>
        <w:left w:val="none" w:sz="0" w:space="0" w:color="auto"/>
        <w:bottom w:val="none" w:sz="0" w:space="0" w:color="auto"/>
        <w:right w:val="none" w:sz="0" w:space="0" w:color="auto"/>
      </w:divBdr>
    </w:div>
    <w:div w:id="1208760273">
      <w:bodyDiv w:val="1"/>
      <w:marLeft w:val="0"/>
      <w:marRight w:val="0"/>
      <w:marTop w:val="0"/>
      <w:marBottom w:val="0"/>
      <w:divBdr>
        <w:top w:val="none" w:sz="0" w:space="0" w:color="auto"/>
        <w:left w:val="none" w:sz="0" w:space="0" w:color="auto"/>
        <w:bottom w:val="none" w:sz="0" w:space="0" w:color="auto"/>
        <w:right w:val="none" w:sz="0" w:space="0" w:color="auto"/>
      </w:divBdr>
    </w:div>
    <w:div w:id="1215431598">
      <w:bodyDiv w:val="1"/>
      <w:marLeft w:val="0"/>
      <w:marRight w:val="0"/>
      <w:marTop w:val="0"/>
      <w:marBottom w:val="0"/>
      <w:divBdr>
        <w:top w:val="none" w:sz="0" w:space="0" w:color="auto"/>
        <w:left w:val="none" w:sz="0" w:space="0" w:color="auto"/>
        <w:bottom w:val="none" w:sz="0" w:space="0" w:color="auto"/>
        <w:right w:val="none" w:sz="0" w:space="0" w:color="auto"/>
      </w:divBdr>
    </w:div>
    <w:div w:id="1245528765">
      <w:bodyDiv w:val="1"/>
      <w:marLeft w:val="0"/>
      <w:marRight w:val="0"/>
      <w:marTop w:val="0"/>
      <w:marBottom w:val="0"/>
      <w:divBdr>
        <w:top w:val="none" w:sz="0" w:space="0" w:color="auto"/>
        <w:left w:val="none" w:sz="0" w:space="0" w:color="auto"/>
        <w:bottom w:val="none" w:sz="0" w:space="0" w:color="auto"/>
        <w:right w:val="none" w:sz="0" w:space="0" w:color="auto"/>
      </w:divBdr>
    </w:div>
    <w:div w:id="1245646287">
      <w:bodyDiv w:val="1"/>
      <w:marLeft w:val="0"/>
      <w:marRight w:val="0"/>
      <w:marTop w:val="0"/>
      <w:marBottom w:val="0"/>
      <w:divBdr>
        <w:top w:val="none" w:sz="0" w:space="0" w:color="auto"/>
        <w:left w:val="none" w:sz="0" w:space="0" w:color="auto"/>
        <w:bottom w:val="none" w:sz="0" w:space="0" w:color="auto"/>
        <w:right w:val="none" w:sz="0" w:space="0" w:color="auto"/>
      </w:divBdr>
    </w:div>
    <w:div w:id="1249536761">
      <w:bodyDiv w:val="1"/>
      <w:marLeft w:val="0"/>
      <w:marRight w:val="0"/>
      <w:marTop w:val="0"/>
      <w:marBottom w:val="0"/>
      <w:divBdr>
        <w:top w:val="none" w:sz="0" w:space="0" w:color="auto"/>
        <w:left w:val="none" w:sz="0" w:space="0" w:color="auto"/>
        <w:bottom w:val="none" w:sz="0" w:space="0" w:color="auto"/>
        <w:right w:val="none" w:sz="0" w:space="0" w:color="auto"/>
      </w:divBdr>
    </w:div>
    <w:div w:id="1250650894">
      <w:bodyDiv w:val="1"/>
      <w:marLeft w:val="0"/>
      <w:marRight w:val="0"/>
      <w:marTop w:val="0"/>
      <w:marBottom w:val="0"/>
      <w:divBdr>
        <w:top w:val="none" w:sz="0" w:space="0" w:color="auto"/>
        <w:left w:val="none" w:sz="0" w:space="0" w:color="auto"/>
        <w:bottom w:val="none" w:sz="0" w:space="0" w:color="auto"/>
        <w:right w:val="none" w:sz="0" w:space="0" w:color="auto"/>
      </w:divBdr>
    </w:div>
    <w:div w:id="1254362197">
      <w:bodyDiv w:val="1"/>
      <w:marLeft w:val="0"/>
      <w:marRight w:val="0"/>
      <w:marTop w:val="0"/>
      <w:marBottom w:val="0"/>
      <w:divBdr>
        <w:top w:val="none" w:sz="0" w:space="0" w:color="auto"/>
        <w:left w:val="none" w:sz="0" w:space="0" w:color="auto"/>
        <w:bottom w:val="none" w:sz="0" w:space="0" w:color="auto"/>
        <w:right w:val="none" w:sz="0" w:space="0" w:color="auto"/>
      </w:divBdr>
    </w:div>
    <w:div w:id="1260017860">
      <w:bodyDiv w:val="1"/>
      <w:marLeft w:val="0"/>
      <w:marRight w:val="0"/>
      <w:marTop w:val="0"/>
      <w:marBottom w:val="0"/>
      <w:divBdr>
        <w:top w:val="none" w:sz="0" w:space="0" w:color="auto"/>
        <w:left w:val="none" w:sz="0" w:space="0" w:color="auto"/>
        <w:bottom w:val="none" w:sz="0" w:space="0" w:color="auto"/>
        <w:right w:val="none" w:sz="0" w:space="0" w:color="auto"/>
      </w:divBdr>
    </w:div>
    <w:div w:id="1266881275">
      <w:bodyDiv w:val="1"/>
      <w:marLeft w:val="0"/>
      <w:marRight w:val="0"/>
      <w:marTop w:val="0"/>
      <w:marBottom w:val="0"/>
      <w:divBdr>
        <w:top w:val="none" w:sz="0" w:space="0" w:color="auto"/>
        <w:left w:val="none" w:sz="0" w:space="0" w:color="auto"/>
        <w:bottom w:val="none" w:sz="0" w:space="0" w:color="auto"/>
        <w:right w:val="none" w:sz="0" w:space="0" w:color="auto"/>
      </w:divBdr>
    </w:div>
    <w:div w:id="1301838101">
      <w:bodyDiv w:val="1"/>
      <w:marLeft w:val="0"/>
      <w:marRight w:val="0"/>
      <w:marTop w:val="0"/>
      <w:marBottom w:val="0"/>
      <w:divBdr>
        <w:top w:val="none" w:sz="0" w:space="0" w:color="auto"/>
        <w:left w:val="none" w:sz="0" w:space="0" w:color="auto"/>
        <w:bottom w:val="none" w:sz="0" w:space="0" w:color="auto"/>
        <w:right w:val="none" w:sz="0" w:space="0" w:color="auto"/>
      </w:divBdr>
    </w:div>
    <w:div w:id="1314138225">
      <w:bodyDiv w:val="1"/>
      <w:marLeft w:val="0"/>
      <w:marRight w:val="0"/>
      <w:marTop w:val="0"/>
      <w:marBottom w:val="0"/>
      <w:divBdr>
        <w:top w:val="none" w:sz="0" w:space="0" w:color="auto"/>
        <w:left w:val="none" w:sz="0" w:space="0" w:color="auto"/>
        <w:bottom w:val="none" w:sz="0" w:space="0" w:color="auto"/>
        <w:right w:val="none" w:sz="0" w:space="0" w:color="auto"/>
      </w:divBdr>
    </w:div>
    <w:div w:id="1337731981">
      <w:bodyDiv w:val="1"/>
      <w:marLeft w:val="0"/>
      <w:marRight w:val="0"/>
      <w:marTop w:val="0"/>
      <w:marBottom w:val="0"/>
      <w:divBdr>
        <w:top w:val="none" w:sz="0" w:space="0" w:color="auto"/>
        <w:left w:val="none" w:sz="0" w:space="0" w:color="auto"/>
        <w:bottom w:val="none" w:sz="0" w:space="0" w:color="auto"/>
        <w:right w:val="none" w:sz="0" w:space="0" w:color="auto"/>
      </w:divBdr>
    </w:div>
    <w:div w:id="1346515123">
      <w:bodyDiv w:val="1"/>
      <w:marLeft w:val="0"/>
      <w:marRight w:val="0"/>
      <w:marTop w:val="0"/>
      <w:marBottom w:val="0"/>
      <w:divBdr>
        <w:top w:val="none" w:sz="0" w:space="0" w:color="auto"/>
        <w:left w:val="none" w:sz="0" w:space="0" w:color="auto"/>
        <w:bottom w:val="none" w:sz="0" w:space="0" w:color="auto"/>
        <w:right w:val="none" w:sz="0" w:space="0" w:color="auto"/>
      </w:divBdr>
    </w:div>
    <w:div w:id="1368675015">
      <w:bodyDiv w:val="1"/>
      <w:marLeft w:val="0"/>
      <w:marRight w:val="0"/>
      <w:marTop w:val="0"/>
      <w:marBottom w:val="0"/>
      <w:divBdr>
        <w:top w:val="none" w:sz="0" w:space="0" w:color="auto"/>
        <w:left w:val="none" w:sz="0" w:space="0" w:color="auto"/>
        <w:bottom w:val="none" w:sz="0" w:space="0" w:color="auto"/>
        <w:right w:val="none" w:sz="0" w:space="0" w:color="auto"/>
      </w:divBdr>
    </w:div>
    <w:div w:id="1403603959">
      <w:bodyDiv w:val="1"/>
      <w:marLeft w:val="0"/>
      <w:marRight w:val="0"/>
      <w:marTop w:val="0"/>
      <w:marBottom w:val="0"/>
      <w:divBdr>
        <w:top w:val="none" w:sz="0" w:space="0" w:color="auto"/>
        <w:left w:val="none" w:sz="0" w:space="0" w:color="auto"/>
        <w:bottom w:val="none" w:sz="0" w:space="0" w:color="auto"/>
        <w:right w:val="none" w:sz="0" w:space="0" w:color="auto"/>
      </w:divBdr>
    </w:div>
    <w:div w:id="1404449005">
      <w:bodyDiv w:val="1"/>
      <w:marLeft w:val="0"/>
      <w:marRight w:val="0"/>
      <w:marTop w:val="0"/>
      <w:marBottom w:val="0"/>
      <w:divBdr>
        <w:top w:val="none" w:sz="0" w:space="0" w:color="auto"/>
        <w:left w:val="none" w:sz="0" w:space="0" w:color="auto"/>
        <w:bottom w:val="none" w:sz="0" w:space="0" w:color="auto"/>
        <w:right w:val="none" w:sz="0" w:space="0" w:color="auto"/>
      </w:divBdr>
    </w:div>
    <w:div w:id="1409644961">
      <w:bodyDiv w:val="1"/>
      <w:marLeft w:val="0"/>
      <w:marRight w:val="0"/>
      <w:marTop w:val="0"/>
      <w:marBottom w:val="0"/>
      <w:divBdr>
        <w:top w:val="none" w:sz="0" w:space="0" w:color="auto"/>
        <w:left w:val="none" w:sz="0" w:space="0" w:color="auto"/>
        <w:bottom w:val="none" w:sz="0" w:space="0" w:color="auto"/>
        <w:right w:val="none" w:sz="0" w:space="0" w:color="auto"/>
      </w:divBdr>
    </w:div>
    <w:div w:id="1412047165">
      <w:bodyDiv w:val="1"/>
      <w:marLeft w:val="0"/>
      <w:marRight w:val="0"/>
      <w:marTop w:val="0"/>
      <w:marBottom w:val="0"/>
      <w:divBdr>
        <w:top w:val="none" w:sz="0" w:space="0" w:color="auto"/>
        <w:left w:val="none" w:sz="0" w:space="0" w:color="auto"/>
        <w:bottom w:val="none" w:sz="0" w:space="0" w:color="auto"/>
        <w:right w:val="none" w:sz="0" w:space="0" w:color="auto"/>
      </w:divBdr>
    </w:div>
    <w:div w:id="1413894616">
      <w:bodyDiv w:val="1"/>
      <w:marLeft w:val="0"/>
      <w:marRight w:val="0"/>
      <w:marTop w:val="0"/>
      <w:marBottom w:val="0"/>
      <w:divBdr>
        <w:top w:val="none" w:sz="0" w:space="0" w:color="auto"/>
        <w:left w:val="none" w:sz="0" w:space="0" w:color="auto"/>
        <w:bottom w:val="none" w:sz="0" w:space="0" w:color="auto"/>
        <w:right w:val="none" w:sz="0" w:space="0" w:color="auto"/>
      </w:divBdr>
    </w:div>
    <w:div w:id="1414814134">
      <w:bodyDiv w:val="1"/>
      <w:marLeft w:val="0"/>
      <w:marRight w:val="0"/>
      <w:marTop w:val="0"/>
      <w:marBottom w:val="0"/>
      <w:divBdr>
        <w:top w:val="none" w:sz="0" w:space="0" w:color="auto"/>
        <w:left w:val="none" w:sz="0" w:space="0" w:color="auto"/>
        <w:bottom w:val="none" w:sz="0" w:space="0" w:color="auto"/>
        <w:right w:val="none" w:sz="0" w:space="0" w:color="auto"/>
      </w:divBdr>
      <w:divsChild>
        <w:div w:id="1837115512">
          <w:marLeft w:val="0"/>
          <w:marRight w:val="0"/>
          <w:marTop w:val="0"/>
          <w:marBottom w:val="0"/>
          <w:divBdr>
            <w:top w:val="none" w:sz="0" w:space="0" w:color="auto"/>
            <w:left w:val="none" w:sz="0" w:space="0" w:color="auto"/>
            <w:bottom w:val="none" w:sz="0" w:space="0" w:color="auto"/>
            <w:right w:val="none" w:sz="0" w:space="0" w:color="auto"/>
          </w:divBdr>
        </w:div>
      </w:divsChild>
    </w:div>
    <w:div w:id="1420756110">
      <w:bodyDiv w:val="1"/>
      <w:marLeft w:val="0"/>
      <w:marRight w:val="0"/>
      <w:marTop w:val="0"/>
      <w:marBottom w:val="0"/>
      <w:divBdr>
        <w:top w:val="none" w:sz="0" w:space="0" w:color="auto"/>
        <w:left w:val="none" w:sz="0" w:space="0" w:color="auto"/>
        <w:bottom w:val="none" w:sz="0" w:space="0" w:color="auto"/>
        <w:right w:val="none" w:sz="0" w:space="0" w:color="auto"/>
      </w:divBdr>
    </w:div>
    <w:div w:id="1431925420">
      <w:bodyDiv w:val="1"/>
      <w:marLeft w:val="0"/>
      <w:marRight w:val="0"/>
      <w:marTop w:val="0"/>
      <w:marBottom w:val="0"/>
      <w:divBdr>
        <w:top w:val="none" w:sz="0" w:space="0" w:color="auto"/>
        <w:left w:val="none" w:sz="0" w:space="0" w:color="auto"/>
        <w:bottom w:val="none" w:sz="0" w:space="0" w:color="auto"/>
        <w:right w:val="none" w:sz="0" w:space="0" w:color="auto"/>
      </w:divBdr>
    </w:div>
    <w:div w:id="1440835764">
      <w:bodyDiv w:val="1"/>
      <w:marLeft w:val="0"/>
      <w:marRight w:val="0"/>
      <w:marTop w:val="0"/>
      <w:marBottom w:val="0"/>
      <w:divBdr>
        <w:top w:val="none" w:sz="0" w:space="0" w:color="auto"/>
        <w:left w:val="none" w:sz="0" w:space="0" w:color="auto"/>
        <w:bottom w:val="none" w:sz="0" w:space="0" w:color="auto"/>
        <w:right w:val="none" w:sz="0" w:space="0" w:color="auto"/>
      </w:divBdr>
    </w:div>
    <w:div w:id="1441220685">
      <w:bodyDiv w:val="1"/>
      <w:marLeft w:val="0"/>
      <w:marRight w:val="0"/>
      <w:marTop w:val="0"/>
      <w:marBottom w:val="0"/>
      <w:divBdr>
        <w:top w:val="none" w:sz="0" w:space="0" w:color="auto"/>
        <w:left w:val="none" w:sz="0" w:space="0" w:color="auto"/>
        <w:bottom w:val="none" w:sz="0" w:space="0" w:color="auto"/>
        <w:right w:val="none" w:sz="0" w:space="0" w:color="auto"/>
      </w:divBdr>
    </w:div>
    <w:div w:id="1457674297">
      <w:bodyDiv w:val="1"/>
      <w:marLeft w:val="0"/>
      <w:marRight w:val="0"/>
      <w:marTop w:val="0"/>
      <w:marBottom w:val="0"/>
      <w:divBdr>
        <w:top w:val="none" w:sz="0" w:space="0" w:color="auto"/>
        <w:left w:val="none" w:sz="0" w:space="0" w:color="auto"/>
        <w:bottom w:val="none" w:sz="0" w:space="0" w:color="auto"/>
        <w:right w:val="none" w:sz="0" w:space="0" w:color="auto"/>
      </w:divBdr>
    </w:div>
    <w:div w:id="1462843758">
      <w:bodyDiv w:val="1"/>
      <w:marLeft w:val="0"/>
      <w:marRight w:val="0"/>
      <w:marTop w:val="0"/>
      <w:marBottom w:val="0"/>
      <w:divBdr>
        <w:top w:val="none" w:sz="0" w:space="0" w:color="auto"/>
        <w:left w:val="none" w:sz="0" w:space="0" w:color="auto"/>
        <w:bottom w:val="none" w:sz="0" w:space="0" w:color="auto"/>
        <w:right w:val="none" w:sz="0" w:space="0" w:color="auto"/>
      </w:divBdr>
    </w:div>
    <w:div w:id="1467577897">
      <w:bodyDiv w:val="1"/>
      <w:marLeft w:val="0"/>
      <w:marRight w:val="0"/>
      <w:marTop w:val="0"/>
      <w:marBottom w:val="0"/>
      <w:divBdr>
        <w:top w:val="none" w:sz="0" w:space="0" w:color="auto"/>
        <w:left w:val="none" w:sz="0" w:space="0" w:color="auto"/>
        <w:bottom w:val="none" w:sz="0" w:space="0" w:color="auto"/>
        <w:right w:val="none" w:sz="0" w:space="0" w:color="auto"/>
      </w:divBdr>
    </w:div>
    <w:div w:id="1470971984">
      <w:bodyDiv w:val="1"/>
      <w:marLeft w:val="0"/>
      <w:marRight w:val="0"/>
      <w:marTop w:val="0"/>
      <w:marBottom w:val="0"/>
      <w:divBdr>
        <w:top w:val="none" w:sz="0" w:space="0" w:color="auto"/>
        <w:left w:val="none" w:sz="0" w:space="0" w:color="auto"/>
        <w:bottom w:val="none" w:sz="0" w:space="0" w:color="auto"/>
        <w:right w:val="none" w:sz="0" w:space="0" w:color="auto"/>
      </w:divBdr>
    </w:div>
    <w:div w:id="1479302524">
      <w:bodyDiv w:val="1"/>
      <w:marLeft w:val="0"/>
      <w:marRight w:val="0"/>
      <w:marTop w:val="0"/>
      <w:marBottom w:val="0"/>
      <w:divBdr>
        <w:top w:val="none" w:sz="0" w:space="0" w:color="auto"/>
        <w:left w:val="none" w:sz="0" w:space="0" w:color="auto"/>
        <w:bottom w:val="none" w:sz="0" w:space="0" w:color="auto"/>
        <w:right w:val="none" w:sz="0" w:space="0" w:color="auto"/>
      </w:divBdr>
    </w:div>
    <w:div w:id="1504471409">
      <w:bodyDiv w:val="1"/>
      <w:marLeft w:val="0"/>
      <w:marRight w:val="0"/>
      <w:marTop w:val="0"/>
      <w:marBottom w:val="0"/>
      <w:divBdr>
        <w:top w:val="none" w:sz="0" w:space="0" w:color="auto"/>
        <w:left w:val="none" w:sz="0" w:space="0" w:color="auto"/>
        <w:bottom w:val="none" w:sz="0" w:space="0" w:color="auto"/>
        <w:right w:val="none" w:sz="0" w:space="0" w:color="auto"/>
      </w:divBdr>
    </w:div>
    <w:div w:id="1508204092">
      <w:bodyDiv w:val="1"/>
      <w:marLeft w:val="0"/>
      <w:marRight w:val="0"/>
      <w:marTop w:val="0"/>
      <w:marBottom w:val="0"/>
      <w:divBdr>
        <w:top w:val="none" w:sz="0" w:space="0" w:color="auto"/>
        <w:left w:val="none" w:sz="0" w:space="0" w:color="auto"/>
        <w:bottom w:val="none" w:sz="0" w:space="0" w:color="auto"/>
        <w:right w:val="none" w:sz="0" w:space="0" w:color="auto"/>
      </w:divBdr>
    </w:div>
    <w:div w:id="1509296923">
      <w:bodyDiv w:val="1"/>
      <w:marLeft w:val="0"/>
      <w:marRight w:val="0"/>
      <w:marTop w:val="0"/>
      <w:marBottom w:val="0"/>
      <w:divBdr>
        <w:top w:val="none" w:sz="0" w:space="0" w:color="auto"/>
        <w:left w:val="none" w:sz="0" w:space="0" w:color="auto"/>
        <w:bottom w:val="none" w:sz="0" w:space="0" w:color="auto"/>
        <w:right w:val="none" w:sz="0" w:space="0" w:color="auto"/>
      </w:divBdr>
    </w:div>
    <w:div w:id="1516453663">
      <w:bodyDiv w:val="1"/>
      <w:marLeft w:val="0"/>
      <w:marRight w:val="0"/>
      <w:marTop w:val="0"/>
      <w:marBottom w:val="0"/>
      <w:divBdr>
        <w:top w:val="none" w:sz="0" w:space="0" w:color="auto"/>
        <w:left w:val="none" w:sz="0" w:space="0" w:color="auto"/>
        <w:bottom w:val="none" w:sz="0" w:space="0" w:color="auto"/>
        <w:right w:val="none" w:sz="0" w:space="0" w:color="auto"/>
      </w:divBdr>
    </w:div>
    <w:div w:id="1519079472">
      <w:bodyDiv w:val="1"/>
      <w:marLeft w:val="0"/>
      <w:marRight w:val="0"/>
      <w:marTop w:val="0"/>
      <w:marBottom w:val="0"/>
      <w:divBdr>
        <w:top w:val="none" w:sz="0" w:space="0" w:color="auto"/>
        <w:left w:val="none" w:sz="0" w:space="0" w:color="auto"/>
        <w:bottom w:val="none" w:sz="0" w:space="0" w:color="auto"/>
        <w:right w:val="none" w:sz="0" w:space="0" w:color="auto"/>
      </w:divBdr>
    </w:div>
    <w:div w:id="1536192685">
      <w:bodyDiv w:val="1"/>
      <w:marLeft w:val="0"/>
      <w:marRight w:val="0"/>
      <w:marTop w:val="0"/>
      <w:marBottom w:val="0"/>
      <w:divBdr>
        <w:top w:val="none" w:sz="0" w:space="0" w:color="auto"/>
        <w:left w:val="none" w:sz="0" w:space="0" w:color="auto"/>
        <w:bottom w:val="none" w:sz="0" w:space="0" w:color="auto"/>
        <w:right w:val="none" w:sz="0" w:space="0" w:color="auto"/>
      </w:divBdr>
    </w:div>
    <w:div w:id="1538155656">
      <w:bodyDiv w:val="1"/>
      <w:marLeft w:val="0"/>
      <w:marRight w:val="0"/>
      <w:marTop w:val="0"/>
      <w:marBottom w:val="0"/>
      <w:divBdr>
        <w:top w:val="none" w:sz="0" w:space="0" w:color="auto"/>
        <w:left w:val="none" w:sz="0" w:space="0" w:color="auto"/>
        <w:bottom w:val="none" w:sz="0" w:space="0" w:color="auto"/>
        <w:right w:val="none" w:sz="0" w:space="0" w:color="auto"/>
      </w:divBdr>
      <w:divsChild>
        <w:div w:id="1113785761">
          <w:marLeft w:val="0"/>
          <w:marRight w:val="0"/>
          <w:marTop w:val="0"/>
          <w:marBottom w:val="0"/>
          <w:divBdr>
            <w:top w:val="none" w:sz="0" w:space="0" w:color="auto"/>
            <w:left w:val="none" w:sz="0" w:space="0" w:color="auto"/>
            <w:bottom w:val="none" w:sz="0" w:space="0" w:color="auto"/>
            <w:right w:val="none" w:sz="0" w:space="0" w:color="auto"/>
          </w:divBdr>
        </w:div>
      </w:divsChild>
    </w:div>
    <w:div w:id="1543596897">
      <w:bodyDiv w:val="1"/>
      <w:marLeft w:val="0"/>
      <w:marRight w:val="0"/>
      <w:marTop w:val="0"/>
      <w:marBottom w:val="0"/>
      <w:divBdr>
        <w:top w:val="none" w:sz="0" w:space="0" w:color="auto"/>
        <w:left w:val="none" w:sz="0" w:space="0" w:color="auto"/>
        <w:bottom w:val="none" w:sz="0" w:space="0" w:color="auto"/>
        <w:right w:val="none" w:sz="0" w:space="0" w:color="auto"/>
      </w:divBdr>
    </w:div>
    <w:div w:id="1550722606">
      <w:bodyDiv w:val="1"/>
      <w:marLeft w:val="0"/>
      <w:marRight w:val="0"/>
      <w:marTop w:val="0"/>
      <w:marBottom w:val="0"/>
      <w:divBdr>
        <w:top w:val="none" w:sz="0" w:space="0" w:color="auto"/>
        <w:left w:val="none" w:sz="0" w:space="0" w:color="auto"/>
        <w:bottom w:val="none" w:sz="0" w:space="0" w:color="auto"/>
        <w:right w:val="none" w:sz="0" w:space="0" w:color="auto"/>
      </w:divBdr>
    </w:div>
    <w:div w:id="1565069931">
      <w:bodyDiv w:val="1"/>
      <w:marLeft w:val="0"/>
      <w:marRight w:val="0"/>
      <w:marTop w:val="0"/>
      <w:marBottom w:val="0"/>
      <w:divBdr>
        <w:top w:val="none" w:sz="0" w:space="0" w:color="auto"/>
        <w:left w:val="none" w:sz="0" w:space="0" w:color="auto"/>
        <w:bottom w:val="none" w:sz="0" w:space="0" w:color="auto"/>
        <w:right w:val="none" w:sz="0" w:space="0" w:color="auto"/>
      </w:divBdr>
    </w:div>
    <w:div w:id="1567492995">
      <w:bodyDiv w:val="1"/>
      <w:marLeft w:val="0"/>
      <w:marRight w:val="0"/>
      <w:marTop w:val="0"/>
      <w:marBottom w:val="0"/>
      <w:divBdr>
        <w:top w:val="none" w:sz="0" w:space="0" w:color="auto"/>
        <w:left w:val="none" w:sz="0" w:space="0" w:color="auto"/>
        <w:bottom w:val="none" w:sz="0" w:space="0" w:color="auto"/>
        <w:right w:val="none" w:sz="0" w:space="0" w:color="auto"/>
      </w:divBdr>
    </w:div>
    <w:div w:id="1568878538">
      <w:bodyDiv w:val="1"/>
      <w:marLeft w:val="0"/>
      <w:marRight w:val="0"/>
      <w:marTop w:val="0"/>
      <w:marBottom w:val="0"/>
      <w:divBdr>
        <w:top w:val="none" w:sz="0" w:space="0" w:color="auto"/>
        <w:left w:val="none" w:sz="0" w:space="0" w:color="auto"/>
        <w:bottom w:val="none" w:sz="0" w:space="0" w:color="auto"/>
        <w:right w:val="none" w:sz="0" w:space="0" w:color="auto"/>
      </w:divBdr>
    </w:div>
    <w:div w:id="1580091274">
      <w:bodyDiv w:val="1"/>
      <w:marLeft w:val="0"/>
      <w:marRight w:val="0"/>
      <w:marTop w:val="0"/>
      <w:marBottom w:val="0"/>
      <w:divBdr>
        <w:top w:val="none" w:sz="0" w:space="0" w:color="auto"/>
        <w:left w:val="none" w:sz="0" w:space="0" w:color="auto"/>
        <w:bottom w:val="none" w:sz="0" w:space="0" w:color="auto"/>
        <w:right w:val="none" w:sz="0" w:space="0" w:color="auto"/>
      </w:divBdr>
    </w:div>
    <w:div w:id="1584753837">
      <w:bodyDiv w:val="1"/>
      <w:marLeft w:val="0"/>
      <w:marRight w:val="0"/>
      <w:marTop w:val="0"/>
      <w:marBottom w:val="0"/>
      <w:divBdr>
        <w:top w:val="none" w:sz="0" w:space="0" w:color="auto"/>
        <w:left w:val="none" w:sz="0" w:space="0" w:color="auto"/>
        <w:bottom w:val="none" w:sz="0" w:space="0" w:color="auto"/>
        <w:right w:val="none" w:sz="0" w:space="0" w:color="auto"/>
      </w:divBdr>
    </w:div>
    <w:div w:id="1587180861">
      <w:bodyDiv w:val="1"/>
      <w:marLeft w:val="0"/>
      <w:marRight w:val="0"/>
      <w:marTop w:val="0"/>
      <w:marBottom w:val="0"/>
      <w:divBdr>
        <w:top w:val="none" w:sz="0" w:space="0" w:color="auto"/>
        <w:left w:val="none" w:sz="0" w:space="0" w:color="auto"/>
        <w:bottom w:val="none" w:sz="0" w:space="0" w:color="auto"/>
        <w:right w:val="none" w:sz="0" w:space="0" w:color="auto"/>
      </w:divBdr>
    </w:div>
    <w:div w:id="1588148595">
      <w:bodyDiv w:val="1"/>
      <w:marLeft w:val="0"/>
      <w:marRight w:val="0"/>
      <w:marTop w:val="0"/>
      <w:marBottom w:val="0"/>
      <w:divBdr>
        <w:top w:val="none" w:sz="0" w:space="0" w:color="auto"/>
        <w:left w:val="none" w:sz="0" w:space="0" w:color="auto"/>
        <w:bottom w:val="none" w:sz="0" w:space="0" w:color="auto"/>
        <w:right w:val="none" w:sz="0" w:space="0" w:color="auto"/>
      </w:divBdr>
    </w:div>
    <w:div w:id="1600143027">
      <w:bodyDiv w:val="1"/>
      <w:marLeft w:val="0"/>
      <w:marRight w:val="0"/>
      <w:marTop w:val="0"/>
      <w:marBottom w:val="0"/>
      <w:divBdr>
        <w:top w:val="none" w:sz="0" w:space="0" w:color="auto"/>
        <w:left w:val="none" w:sz="0" w:space="0" w:color="auto"/>
        <w:bottom w:val="none" w:sz="0" w:space="0" w:color="auto"/>
        <w:right w:val="none" w:sz="0" w:space="0" w:color="auto"/>
      </w:divBdr>
    </w:div>
    <w:div w:id="1604217319">
      <w:bodyDiv w:val="1"/>
      <w:marLeft w:val="0"/>
      <w:marRight w:val="0"/>
      <w:marTop w:val="0"/>
      <w:marBottom w:val="0"/>
      <w:divBdr>
        <w:top w:val="none" w:sz="0" w:space="0" w:color="auto"/>
        <w:left w:val="none" w:sz="0" w:space="0" w:color="auto"/>
        <w:bottom w:val="none" w:sz="0" w:space="0" w:color="auto"/>
        <w:right w:val="none" w:sz="0" w:space="0" w:color="auto"/>
      </w:divBdr>
    </w:div>
    <w:div w:id="1604412015">
      <w:bodyDiv w:val="1"/>
      <w:marLeft w:val="0"/>
      <w:marRight w:val="0"/>
      <w:marTop w:val="0"/>
      <w:marBottom w:val="0"/>
      <w:divBdr>
        <w:top w:val="none" w:sz="0" w:space="0" w:color="auto"/>
        <w:left w:val="none" w:sz="0" w:space="0" w:color="auto"/>
        <w:bottom w:val="none" w:sz="0" w:space="0" w:color="auto"/>
        <w:right w:val="none" w:sz="0" w:space="0" w:color="auto"/>
      </w:divBdr>
    </w:div>
    <w:div w:id="1609047530">
      <w:bodyDiv w:val="1"/>
      <w:marLeft w:val="0"/>
      <w:marRight w:val="0"/>
      <w:marTop w:val="0"/>
      <w:marBottom w:val="0"/>
      <w:divBdr>
        <w:top w:val="none" w:sz="0" w:space="0" w:color="auto"/>
        <w:left w:val="none" w:sz="0" w:space="0" w:color="auto"/>
        <w:bottom w:val="none" w:sz="0" w:space="0" w:color="auto"/>
        <w:right w:val="none" w:sz="0" w:space="0" w:color="auto"/>
      </w:divBdr>
    </w:div>
    <w:div w:id="1609386174">
      <w:bodyDiv w:val="1"/>
      <w:marLeft w:val="0"/>
      <w:marRight w:val="0"/>
      <w:marTop w:val="0"/>
      <w:marBottom w:val="0"/>
      <w:divBdr>
        <w:top w:val="none" w:sz="0" w:space="0" w:color="auto"/>
        <w:left w:val="none" w:sz="0" w:space="0" w:color="auto"/>
        <w:bottom w:val="none" w:sz="0" w:space="0" w:color="auto"/>
        <w:right w:val="none" w:sz="0" w:space="0" w:color="auto"/>
      </w:divBdr>
    </w:div>
    <w:div w:id="1614247446">
      <w:bodyDiv w:val="1"/>
      <w:marLeft w:val="0"/>
      <w:marRight w:val="0"/>
      <w:marTop w:val="0"/>
      <w:marBottom w:val="0"/>
      <w:divBdr>
        <w:top w:val="none" w:sz="0" w:space="0" w:color="auto"/>
        <w:left w:val="none" w:sz="0" w:space="0" w:color="auto"/>
        <w:bottom w:val="none" w:sz="0" w:space="0" w:color="auto"/>
        <w:right w:val="none" w:sz="0" w:space="0" w:color="auto"/>
      </w:divBdr>
    </w:div>
    <w:div w:id="1614826913">
      <w:bodyDiv w:val="1"/>
      <w:marLeft w:val="0"/>
      <w:marRight w:val="0"/>
      <w:marTop w:val="0"/>
      <w:marBottom w:val="0"/>
      <w:divBdr>
        <w:top w:val="none" w:sz="0" w:space="0" w:color="auto"/>
        <w:left w:val="none" w:sz="0" w:space="0" w:color="auto"/>
        <w:bottom w:val="none" w:sz="0" w:space="0" w:color="auto"/>
        <w:right w:val="none" w:sz="0" w:space="0" w:color="auto"/>
      </w:divBdr>
    </w:div>
    <w:div w:id="1624267612">
      <w:bodyDiv w:val="1"/>
      <w:marLeft w:val="0"/>
      <w:marRight w:val="0"/>
      <w:marTop w:val="0"/>
      <w:marBottom w:val="0"/>
      <w:divBdr>
        <w:top w:val="none" w:sz="0" w:space="0" w:color="auto"/>
        <w:left w:val="none" w:sz="0" w:space="0" w:color="auto"/>
        <w:bottom w:val="none" w:sz="0" w:space="0" w:color="auto"/>
        <w:right w:val="none" w:sz="0" w:space="0" w:color="auto"/>
      </w:divBdr>
    </w:div>
    <w:div w:id="1628970802">
      <w:bodyDiv w:val="1"/>
      <w:marLeft w:val="0"/>
      <w:marRight w:val="0"/>
      <w:marTop w:val="0"/>
      <w:marBottom w:val="0"/>
      <w:divBdr>
        <w:top w:val="none" w:sz="0" w:space="0" w:color="auto"/>
        <w:left w:val="none" w:sz="0" w:space="0" w:color="auto"/>
        <w:bottom w:val="none" w:sz="0" w:space="0" w:color="auto"/>
        <w:right w:val="none" w:sz="0" w:space="0" w:color="auto"/>
      </w:divBdr>
    </w:div>
    <w:div w:id="1640259955">
      <w:bodyDiv w:val="1"/>
      <w:marLeft w:val="0"/>
      <w:marRight w:val="0"/>
      <w:marTop w:val="0"/>
      <w:marBottom w:val="0"/>
      <w:divBdr>
        <w:top w:val="none" w:sz="0" w:space="0" w:color="auto"/>
        <w:left w:val="none" w:sz="0" w:space="0" w:color="auto"/>
        <w:bottom w:val="none" w:sz="0" w:space="0" w:color="auto"/>
        <w:right w:val="none" w:sz="0" w:space="0" w:color="auto"/>
      </w:divBdr>
    </w:div>
    <w:div w:id="1653556736">
      <w:bodyDiv w:val="1"/>
      <w:marLeft w:val="0"/>
      <w:marRight w:val="0"/>
      <w:marTop w:val="0"/>
      <w:marBottom w:val="0"/>
      <w:divBdr>
        <w:top w:val="none" w:sz="0" w:space="0" w:color="auto"/>
        <w:left w:val="none" w:sz="0" w:space="0" w:color="auto"/>
        <w:bottom w:val="none" w:sz="0" w:space="0" w:color="auto"/>
        <w:right w:val="none" w:sz="0" w:space="0" w:color="auto"/>
      </w:divBdr>
    </w:div>
    <w:div w:id="1660886947">
      <w:bodyDiv w:val="1"/>
      <w:marLeft w:val="0"/>
      <w:marRight w:val="0"/>
      <w:marTop w:val="0"/>
      <w:marBottom w:val="0"/>
      <w:divBdr>
        <w:top w:val="none" w:sz="0" w:space="0" w:color="auto"/>
        <w:left w:val="none" w:sz="0" w:space="0" w:color="auto"/>
        <w:bottom w:val="none" w:sz="0" w:space="0" w:color="auto"/>
        <w:right w:val="none" w:sz="0" w:space="0" w:color="auto"/>
      </w:divBdr>
    </w:div>
    <w:div w:id="1676808930">
      <w:bodyDiv w:val="1"/>
      <w:marLeft w:val="0"/>
      <w:marRight w:val="0"/>
      <w:marTop w:val="0"/>
      <w:marBottom w:val="0"/>
      <w:divBdr>
        <w:top w:val="none" w:sz="0" w:space="0" w:color="auto"/>
        <w:left w:val="none" w:sz="0" w:space="0" w:color="auto"/>
        <w:bottom w:val="none" w:sz="0" w:space="0" w:color="auto"/>
        <w:right w:val="none" w:sz="0" w:space="0" w:color="auto"/>
      </w:divBdr>
    </w:div>
    <w:div w:id="1678848743">
      <w:bodyDiv w:val="1"/>
      <w:marLeft w:val="0"/>
      <w:marRight w:val="0"/>
      <w:marTop w:val="0"/>
      <w:marBottom w:val="0"/>
      <w:divBdr>
        <w:top w:val="none" w:sz="0" w:space="0" w:color="auto"/>
        <w:left w:val="none" w:sz="0" w:space="0" w:color="auto"/>
        <w:bottom w:val="none" w:sz="0" w:space="0" w:color="auto"/>
        <w:right w:val="none" w:sz="0" w:space="0" w:color="auto"/>
      </w:divBdr>
    </w:div>
    <w:div w:id="1695575066">
      <w:bodyDiv w:val="1"/>
      <w:marLeft w:val="0"/>
      <w:marRight w:val="0"/>
      <w:marTop w:val="0"/>
      <w:marBottom w:val="0"/>
      <w:divBdr>
        <w:top w:val="none" w:sz="0" w:space="0" w:color="auto"/>
        <w:left w:val="none" w:sz="0" w:space="0" w:color="auto"/>
        <w:bottom w:val="none" w:sz="0" w:space="0" w:color="auto"/>
        <w:right w:val="none" w:sz="0" w:space="0" w:color="auto"/>
      </w:divBdr>
    </w:div>
    <w:div w:id="1698434685">
      <w:bodyDiv w:val="1"/>
      <w:marLeft w:val="0"/>
      <w:marRight w:val="0"/>
      <w:marTop w:val="0"/>
      <w:marBottom w:val="0"/>
      <w:divBdr>
        <w:top w:val="none" w:sz="0" w:space="0" w:color="auto"/>
        <w:left w:val="none" w:sz="0" w:space="0" w:color="auto"/>
        <w:bottom w:val="none" w:sz="0" w:space="0" w:color="auto"/>
        <w:right w:val="none" w:sz="0" w:space="0" w:color="auto"/>
      </w:divBdr>
      <w:divsChild>
        <w:div w:id="1385837737">
          <w:marLeft w:val="0"/>
          <w:marRight w:val="0"/>
          <w:marTop w:val="0"/>
          <w:marBottom w:val="0"/>
          <w:divBdr>
            <w:top w:val="none" w:sz="0" w:space="0" w:color="auto"/>
            <w:left w:val="none" w:sz="0" w:space="0" w:color="auto"/>
            <w:bottom w:val="none" w:sz="0" w:space="0" w:color="auto"/>
            <w:right w:val="none" w:sz="0" w:space="0" w:color="auto"/>
          </w:divBdr>
        </w:div>
      </w:divsChild>
    </w:div>
    <w:div w:id="1708219570">
      <w:bodyDiv w:val="1"/>
      <w:marLeft w:val="0"/>
      <w:marRight w:val="0"/>
      <w:marTop w:val="0"/>
      <w:marBottom w:val="0"/>
      <w:divBdr>
        <w:top w:val="none" w:sz="0" w:space="0" w:color="auto"/>
        <w:left w:val="none" w:sz="0" w:space="0" w:color="auto"/>
        <w:bottom w:val="none" w:sz="0" w:space="0" w:color="auto"/>
        <w:right w:val="none" w:sz="0" w:space="0" w:color="auto"/>
      </w:divBdr>
    </w:div>
    <w:div w:id="1732726832">
      <w:bodyDiv w:val="1"/>
      <w:marLeft w:val="0"/>
      <w:marRight w:val="0"/>
      <w:marTop w:val="0"/>
      <w:marBottom w:val="0"/>
      <w:divBdr>
        <w:top w:val="none" w:sz="0" w:space="0" w:color="auto"/>
        <w:left w:val="none" w:sz="0" w:space="0" w:color="auto"/>
        <w:bottom w:val="none" w:sz="0" w:space="0" w:color="auto"/>
        <w:right w:val="none" w:sz="0" w:space="0" w:color="auto"/>
      </w:divBdr>
    </w:div>
    <w:div w:id="1737699260">
      <w:bodyDiv w:val="1"/>
      <w:marLeft w:val="0"/>
      <w:marRight w:val="0"/>
      <w:marTop w:val="0"/>
      <w:marBottom w:val="0"/>
      <w:divBdr>
        <w:top w:val="none" w:sz="0" w:space="0" w:color="auto"/>
        <w:left w:val="none" w:sz="0" w:space="0" w:color="auto"/>
        <w:bottom w:val="none" w:sz="0" w:space="0" w:color="auto"/>
        <w:right w:val="none" w:sz="0" w:space="0" w:color="auto"/>
      </w:divBdr>
    </w:div>
    <w:div w:id="1741176147">
      <w:bodyDiv w:val="1"/>
      <w:marLeft w:val="0"/>
      <w:marRight w:val="0"/>
      <w:marTop w:val="0"/>
      <w:marBottom w:val="0"/>
      <w:divBdr>
        <w:top w:val="none" w:sz="0" w:space="0" w:color="auto"/>
        <w:left w:val="none" w:sz="0" w:space="0" w:color="auto"/>
        <w:bottom w:val="none" w:sz="0" w:space="0" w:color="auto"/>
        <w:right w:val="none" w:sz="0" w:space="0" w:color="auto"/>
      </w:divBdr>
    </w:div>
    <w:div w:id="1741560270">
      <w:bodyDiv w:val="1"/>
      <w:marLeft w:val="0"/>
      <w:marRight w:val="0"/>
      <w:marTop w:val="0"/>
      <w:marBottom w:val="0"/>
      <w:divBdr>
        <w:top w:val="none" w:sz="0" w:space="0" w:color="auto"/>
        <w:left w:val="none" w:sz="0" w:space="0" w:color="auto"/>
        <w:bottom w:val="none" w:sz="0" w:space="0" w:color="auto"/>
        <w:right w:val="none" w:sz="0" w:space="0" w:color="auto"/>
      </w:divBdr>
    </w:div>
    <w:div w:id="1742558261">
      <w:bodyDiv w:val="1"/>
      <w:marLeft w:val="0"/>
      <w:marRight w:val="0"/>
      <w:marTop w:val="0"/>
      <w:marBottom w:val="0"/>
      <w:divBdr>
        <w:top w:val="none" w:sz="0" w:space="0" w:color="auto"/>
        <w:left w:val="none" w:sz="0" w:space="0" w:color="auto"/>
        <w:bottom w:val="none" w:sz="0" w:space="0" w:color="auto"/>
        <w:right w:val="none" w:sz="0" w:space="0" w:color="auto"/>
      </w:divBdr>
    </w:div>
    <w:div w:id="1753891506">
      <w:bodyDiv w:val="1"/>
      <w:marLeft w:val="0"/>
      <w:marRight w:val="0"/>
      <w:marTop w:val="0"/>
      <w:marBottom w:val="0"/>
      <w:divBdr>
        <w:top w:val="none" w:sz="0" w:space="0" w:color="auto"/>
        <w:left w:val="none" w:sz="0" w:space="0" w:color="auto"/>
        <w:bottom w:val="none" w:sz="0" w:space="0" w:color="auto"/>
        <w:right w:val="none" w:sz="0" w:space="0" w:color="auto"/>
      </w:divBdr>
    </w:div>
    <w:div w:id="1757705487">
      <w:bodyDiv w:val="1"/>
      <w:marLeft w:val="0"/>
      <w:marRight w:val="0"/>
      <w:marTop w:val="0"/>
      <w:marBottom w:val="0"/>
      <w:divBdr>
        <w:top w:val="none" w:sz="0" w:space="0" w:color="auto"/>
        <w:left w:val="none" w:sz="0" w:space="0" w:color="auto"/>
        <w:bottom w:val="none" w:sz="0" w:space="0" w:color="auto"/>
        <w:right w:val="none" w:sz="0" w:space="0" w:color="auto"/>
      </w:divBdr>
    </w:div>
    <w:div w:id="1760057370">
      <w:bodyDiv w:val="1"/>
      <w:marLeft w:val="0"/>
      <w:marRight w:val="0"/>
      <w:marTop w:val="0"/>
      <w:marBottom w:val="0"/>
      <w:divBdr>
        <w:top w:val="none" w:sz="0" w:space="0" w:color="auto"/>
        <w:left w:val="none" w:sz="0" w:space="0" w:color="auto"/>
        <w:bottom w:val="none" w:sz="0" w:space="0" w:color="auto"/>
        <w:right w:val="none" w:sz="0" w:space="0" w:color="auto"/>
      </w:divBdr>
    </w:div>
    <w:div w:id="1763649573">
      <w:bodyDiv w:val="1"/>
      <w:marLeft w:val="0"/>
      <w:marRight w:val="0"/>
      <w:marTop w:val="0"/>
      <w:marBottom w:val="0"/>
      <w:divBdr>
        <w:top w:val="none" w:sz="0" w:space="0" w:color="auto"/>
        <w:left w:val="none" w:sz="0" w:space="0" w:color="auto"/>
        <w:bottom w:val="none" w:sz="0" w:space="0" w:color="auto"/>
        <w:right w:val="none" w:sz="0" w:space="0" w:color="auto"/>
      </w:divBdr>
    </w:div>
    <w:div w:id="1769816024">
      <w:bodyDiv w:val="1"/>
      <w:marLeft w:val="0"/>
      <w:marRight w:val="0"/>
      <w:marTop w:val="0"/>
      <w:marBottom w:val="0"/>
      <w:divBdr>
        <w:top w:val="none" w:sz="0" w:space="0" w:color="auto"/>
        <w:left w:val="none" w:sz="0" w:space="0" w:color="auto"/>
        <w:bottom w:val="none" w:sz="0" w:space="0" w:color="auto"/>
        <w:right w:val="none" w:sz="0" w:space="0" w:color="auto"/>
      </w:divBdr>
    </w:div>
    <w:div w:id="1775780451">
      <w:bodyDiv w:val="1"/>
      <w:marLeft w:val="0"/>
      <w:marRight w:val="0"/>
      <w:marTop w:val="0"/>
      <w:marBottom w:val="0"/>
      <w:divBdr>
        <w:top w:val="none" w:sz="0" w:space="0" w:color="auto"/>
        <w:left w:val="none" w:sz="0" w:space="0" w:color="auto"/>
        <w:bottom w:val="none" w:sz="0" w:space="0" w:color="auto"/>
        <w:right w:val="none" w:sz="0" w:space="0" w:color="auto"/>
      </w:divBdr>
    </w:div>
    <w:div w:id="1776095019">
      <w:bodyDiv w:val="1"/>
      <w:marLeft w:val="0"/>
      <w:marRight w:val="0"/>
      <w:marTop w:val="0"/>
      <w:marBottom w:val="0"/>
      <w:divBdr>
        <w:top w:val="none" w:sz="0" w:space="0" w:color="auto"/>
        <w:left w:val="none" w:sz="0" w:space="0" w:color="auto"/>
        <w:bottom w:val="none" w:sz="0" w:space="0" w:color="auto"/>
        <w:right w:val="none" w:sz="0" w:space="0" w:color="auto"/>
      </w:divBdr>
    </w:div>
    <w:div w:id="1781411424">
      <w:bodyDiv w:val="1"/>
      <w:marLeft w:val="0"/>
      <w:marRight w:val="0"/>
      <w:marTop w:val="0"/>
      <w:marBottom w:val="0"/>
      <w:divBdr>
        <w:top w:val="none" w:sz="0" w:space="0" w:color="auto"/>
        <w:left w:val="none" w:sz="0" w:space="0" w:color="auto"/>
        <w:bottom w:val="none" w:sz="0" w:space="0" w:color="auto"/>
        <w:right w:val="none" w:sz="0" w:space="0" w:color="auto"/>
      </w:divBdr>
    </w:div>
    <w:div w:id="1784153543">
      <w:bodyDiv w:val="1"/>
      <w:marLeft w:val="0"/>
      <w:marRight w:val="0"/>
      <w:marTop w:val="0"/>
      <w:marBottom w:val="0"/>
      <w:divBdr>
        <w:top w:val="none" w:sz="0" w:space="0" w:color="auto"/>
        <w:left w:val="none" w:sz="0" w:space="0" w:color="auto"/>
        <w:bottom w:val="none" w:sz="0" w:space="0" w:color="auto"/>
        <w:right w:val="none" w:sz="0" w:space="0" w:color="auto"/>
      </w:divBdr>
    </w:div>
    <w:div w:id="1788232348">
      <w:bodyDiv w:val="1"/>
      <w:marLeft w:val="0"/>
      <w:marRight w:val="0"/>
      <w:marTop w:val="0"/>
      <w:marBottom w:val="0"/>
      <w:divBdr>
        <w:top w:val="none" w:sz="0" w:space="0" w:color="auto"/>
        <w:left w:val="none" w:sz="0" w:space="0" w:color="auto"/>
        <w:bottom w:val="none" w:sz="0" w:space="0" w:color="auto"/>
        <w:right w:val="none" w:sz="0" w:space="0" w:color="auto"/>
      </w:divBdr>
    </w:div>
    <w:div w:id="1792894717">
      <w:bodyDiv w:val="1"/>
      <w:marLeft w:val="0"/>
      <w:marRight w:val="0"/>
      <w:marTop w:val="0"/>
      <w:marBottom w:val="0"/>
      <w:divBdr>
        <w:top w:val="none" w:sz="0" w:space="0" w:color="auto"/>
        <w:left w:val="none" w:sz="0" w:space="0" w:color="auto"/>
        <w:bottom w:val="none" w:sz="0" w:space="0" w:color="auto"/>
        <w:right w:val="none" w:sz="0" w:space="0" w:color="auto"/>
      </w:divBdr>
    </w:div>
    <w:div w:id="1807816384">
      <w:bodyDiv w:val="1"/>
      <w:marLeft w:val="0"/>
      <w:marRight w:val="0"/>
      <w:marTop w:val="0"/>
      <w:marBottom w:val="0"/>
      <w:divBdr>
        <w:top w:val="none" w:sz="0" w:space="0" w:color="auto"/>
        <w:left w:val="none" w:sz="0" w:space="0" w:color="auto"/>
        <w:bottom w:val="none" w:sz="0" w:space="0" w:color="auto"/>
        <w:right w:val="none" w:sz="0" w:space="0" w:color="auto"/>
      </w:divBdr>
    </w:div>
    <w:div w:id="1814058495">
      <w:bodyDiv w:val="1"/>
      <w:marLeft w:val="0"/>
      <w:marRight w:val="0"/>
      <w:marTop w:val="0"/>
      <w:marBottom w:val="0"/>
      <w:divBdr>
        <w:top w:val="none" w:sz="0" w:space="0" w:color="auto"/>
        <w:left w:val="none" w:sz="0" w:space="0" w:color="auto"/>
        <w:bottom w:val="none" w:sz="0" w:space="0" w:color="auto"/>
        <w:right w:val="none" w:sz="0" w:space="0" w:color="auto"/>
      </w:divBdr>
    </w:div>
    <w:div w:id="1821994039">
      <w:bodyDiv w:val="1"/>
      <w:marLeft w:val="0"/>
      <w:marRight w:val="0"/>
      <w:marTop w:val="0"/>
      <w:marBottom w:val="0"/>
      <w:divBdr>
        <w:top w:val="none" w:sz="0" w:space="0" w:color="auto"/>
        <w:left w:val="none" w:sz="0" w:space="0" w:color="auto"/>
        <w:bottom w:val="none" w:sz="0" w:space="0" w:color="auto"/>
        <w:right w:val="none" w:sz="0" w:space="0" w:color="auto"/>
      </w:divBdr>
    </w:div>
    <w:div w:id="1822965511">
      <w:bodyDiv w:val="1"/>
      <w:marLeft w:val="0"/>
      <w:marRight w:val="0"/>
      <w:marTop w:val="0"/>
      <w:marBottom w:val="0"/>
      <w:divBdr>
        <w:top w:val="none" w:sz="0" w:space="0" w:color="auto"/>
        <w:left w:val="none" w:sz="0" w:space="0" w:color="auto"/>
        <w:bottom w:val="none" w:sz="0" w:space="0" w:color="auto"/>
        <w:right w:val="none" w:sz="0" w:space="0" w:color="auto"/>
      </w:divBdr>
    </w:div>
    <w:div w:id="1834252325">
      <w:bodyDiv w:val="1"/>
      <w:marLeft w:val="0"/>
      <w:marRight w:val="0"/>
      <w:marTop w:val="0"/>
      <w:marBottom w:val="0"/>
      <w:divBdr>
        <w:top w:val="none" w:sz="0" w:space="0" w:color="auto"/>
        <w:left w:val="none" w:sz="0" w:space="0" w:color="auto"/>
        <w:bottom w:val="none" w:sz="0" w:space="0" w:color="auto"/>
        <w:right w:val="none" w:sz="0" w:space="0" w:color="auto"/>
      </w:divBdr>
    </w:div>
    <w:div w:id="1840735906">
      <w:bodyDiv w:val="1"/>
      <w:marLeft w:val="0"/>
      <w:marRight w:val="0"/>
      <w:marTop w:val="0"/>
      <w:marBottom w:val="0"/>
      <w:divBdr>
        <w:top w:val="none" w:sz="0" w:space="0" w:color="auto"/>
        <w:left w:val="none" w:sz="0" w:space="0" w:color="auto"/>
        <w:bottom w:val="none" w:sz="0" w:space="0" w:color="auto"/>
        <w:right w:val="none" w:sz="0" w:space="0" w:color="auto"/>
      </w:divBdr>
    </w:div>
    <w:div w:id="1841314319">
      <w:bodyDiv w:val="1"/>
      <w:marLeft w:val="0"/>
      <w:marRight w:val="0"/>
      <w:marTop w:val="0"/>
      <w:marBottom w:val="0"/>
      <w:divBdr>
        <w:top w:val="none" w:sz="0" w:space="0" w:color="auto"/>
        <w:left w:val="none" w:sz="0" w:space="0" w:color="auto"/>
        <w:bottom w:val="none" w:sz="0" w:space="0" w:color="auto"/>
        <w:right w:val="none" w:sz="0" w:space="0" w:color="auto"/>
      </w:divBdr>
    </w:div>
    <w:div w:id="1844784985">
      <w:bodyDiv w:val="1"/>
      <w:marLeft w:val="0"/>
      <w:marRight w:val="0"/>
      <w:marTop w:val="0"/>
      <w:marBottom w:val="0"/>
      <w:divBdr>
        <w:top w:val="none" w:sz="0" w:space="0" w:color="auto"/>
        <w:left w:val="none" w:sz="0" w:space="0" w:color="auto"/>
        <w:bottom w:val="none" w:sz="0" w:space="0" w:color="auto"/>
        <w:right w:val="none" w:sz="0" w:space="0" w:color="auto"/>
      </w:divBdr>
    </w:div>
    <w:div w:id="1863518063">
      <w:bodyDiv w:val="1"/>
      <w:marLeft w:val="0"/>
      <w:marRight w:val="0"/>
      <w:marTop w:val="0"/>
      <w:marBottom w:val="0"/>
      <w:divBdr>
        <w:top w:val="none" w:sz="0" w:space="0" w:color="auto"/>
        <w:left w:val="none" w:sz="0" w:space="0" w:color="auto"/>
        <w:bottom w:val="none" w:sz="0" w:space="0" w:color="auto"/>
        <w:right w:val="none" w:sz="0" w:space="0" w:color="auto"/>
      </w:divBdr>
    </w:div>
    <w:div w:id="1884172388">
      <w:bodyDiv w:val="1"/>
      <w:marLeft w:val="0"/>
      <w:marRight w:val="0"/>
      <w:marTop w:val="0"/>
      <w:marBottom w:val="0"/>
      <w:divBdr>
        <w:top w:val="none" w:sz="0" w:space="0" w:color="auto"/>
        <w:left w:val="none" w:sz="0" w:space="0" w:color="auto"/>
        <w:bottom w:val="none" w:sz="0" w:space="0" w:color="auto"/>
        <w:right w:val="none" w:sz="0" w:space="0" w:color="auto"/>
      </w:divBdr>
    </w:div>
    <w:div w:id="1886409570">
      <w:bodyDiv w:val="1"/>
      <w:marLeft w:val="0"/>
      <w:marRight w:val="0"/>
      <w:marTop w:val="0"/>
      <w:marBottom w:val="0"/>
      <w:divBdr>
        <w:top w:val="none" w:sz="0" w:space="0" w:color="auto"/>
        <w:left w:val="none" w:sz="0" w:space="0" w:color="auto"/>
        <w:bottom w:val="none" w:sz="0" w:space="0" w:color="auto"/>
        <w:right w:val="none" w:sz="0" w:space="0" w:color="auto"/>
      </w:divBdr>
      <w:divsChild>
        <w:div w:id="687366594">
          <w:marLeft w:val="0"/>
          <w:marRight w:val="0"/>
          <w:marTop w:val="0"/>
          <w:marBottom w:val="0"/>
          <w:divBdr>
            <w:top w:val="none" w:sz="0" w:space="0" w:color="auto"/>
            <w:left w:val="none" w:sz="0" w:space="0" w:color="auto"/>
            <w:bottom w:val="none" w:sz="0" w:space="0" w:color="auto"/>
            <w:right w:val="none" w:sz="0" w:space="0" w:color="auto"/>
          </w:divBdr>
        </w:div>
      </w:divsChild>
    </w:div>
    <w:div w:id="1886915124">
      <w:bodyDiv w:val="1"/>
      <w:marLeft w:val="0"/>
      <w:marRight w:val="0"/>
      <w:marTop w:val="0"/>
      <w:marBottom w:val="0"/>
      <w:divBdr>
        <w:top w:val="none" w:sz="0" w:space="0" w:color="auto"/>
        <w:left w:val="none" w:sz="0" w:space="0" w:color="auto"/>
        <w:bottom w:val="none" w:sz="0" w:space="0" w:color="auto"/>
        <w:right w:val="none" w:sz="0" w:space="0" w:color="auto"/>
      </w:divBdr>
    </w:div>
    <w:div w:id="1887525011">
      <w:bodyDiv w:val="1"/>
      <w:marLeft w:val="0"/>
      <w:marRight w:val="0"/>
      <w:marTop w:val="0"/>
      <w:marBottom w:val="0"/>
      <w:divBdr>
        <w:top w:val="none" w:sz="0" w:space="0" w:color="auto"/>
        <w:left w:val="none" w:sz="0" w:space="0" w:color="auto"/>
        <w:bottom w:val="none" w:sz="0" w:space="0" w:color="auto"/>
        <w:right w:val="none" w:sz="0" w:space="0" w:color="auto"/>
      </w:divBdr>
    </w:div>
    <w:div w:id="1899048393">
      <w:bodyDiv w:val="1"/>
      <w:marLeft w:val="0"/>
      <w:marRight w:val="0"/>
      <w:marTop w:val="0"/>
      <w:marBottom w:val="0"/>
      <w:divBdr>
        <w:top w:val="none" w:sz="0" w:space="0" w:color="auto"/>
        <w:left w:val="none" w:sz="0" w:space="0" w:color="auto"/>
        <w:bottom w:val="none" w:sz="0" w:space="0" w:color="auto"/>
        <w:right w:val="none" w:sz="0" w:space="0" w:color="auto"/>
      </w:divBdr>
    </w:div>
    <w:div w:id="1900556423">
      <w:bodyDiv w:val="1"/>
      <w:marLeft w:val="0"/>
      <w:marRight w:val="0"/>
      <w:marTop w:val="0"/>
      <w:marBottom w:val="0"/>
      <w:divBdr>
        <w:top w:val="none" w:sz="0" w:space="0" w:color="auto"/>
        <w:left w:val="none" w:sz="0" w:space="0" w:color="auto"/>
        <w:bottom w:val="none" w:sz="0" w:space="0" w:color="auto"/>
        <w:right w:val="none" w:sz="0" w:space="0" w:color="auto"/>
      </w:divBdr>
    </w:div>
    <w:div w:id="1911037690">
      <w:bodyDiv w:val="1"/>
      <w:marLeft w:val="0"/>
      <w:marRight w:val="0"/>
      <w:marTop w:val="0"/>
      <w:marBottom w:val="0"/>
      <w:divBdr>
        <w:top w:val="none" w:sz="0" w:space="0" w:color="auto"/>
        <w:left w:val="none" w:sz="0" w:space="0" w:color="auto"/>
        <w:bottom w:val="none" w:sz="0" w:space="0" w:color="auto"/>
        <w:right w:val="none" w:sz="0" w:space="0" w:color="auto"/>
      </w:divBdr>
    </w:div>
    <w:div w:id="1926721977">
      <w:bodyDiv w:val="1"/>
      <w:marLeft w:val="0"/>
      <w:marRight w:val="0"/>
      <w:marTop w:val="0"/>
      <w:marBottom w:val="0"/>
      <w:divBdr>
        <w:top w:val="none" w:sz="0" w:space="0" w:color="auto"/>
        <w:left w:val="none" w:sz="0" w:space="0" w:color="auto"/>
        <w:bottom w:val="none" w:sz="0" w:space="0" w:color="auto"/>
        <w:right w:val="none" w:sz="0" w:space="0" w:color="auto"/>
      </w:divBdr>
    </w:div>
    <w:div w:id="1931888129">
      <w:bodyDiv w:val="1"/>
      <w:marLeft w:val="0"/>
      <w:marRight w:val="0"/>
      <w:marTop w:val="0"/>
      <w:marBottom w:val="0"/>
      <w:divBdr>
        <w:top w:val="none" w:sz="0" w:space="0" w:color="auto"/>
        <w:left w:val="none" w:sz="0" w:space="0" w:color="auto"/>
        <w:bottom w:val="none" w:sz="0" w:space="0" w:color="auto"/>
        <w:right w:val="none" w:sz="0" w:space="0" w:color="auto"/>
      </w:divBdr>
    </w:div>
    <w:div w:id="1950311929">
      <w:bodyDiv w:val="1"/>
      <w:marLeft w:val="0"/>
      <w:marRight w:val="0"/>
      <w:marTop w:val="0"/>
      <w:marBottom w:val="0"/>
      <w:divBdr>
        <w:top w:val="none" w:sz="0" w:space="0" w:color="auto"/>
        <w:left w:val="none" w:sz="0" w:space="0" w:color="auto"/>
        <w:bottom w:val="none" w:sz="0" w:space="0" w:color="auto"/>
        <w:right w:val="none" w:sz="0" w:space="0" w:color="auto"/>
      </w:divBdr>
    </w:div>
    <w:div w:id="1958489842">
      <w:bodyDiv w:val="1"/>
      <w:marLeft w:val="0"/>
      <w:marRight w:val="0"/>
      <w:marTop w:val="0"/>
      <w:marBottom w:val="0"/>
      <w:divBdr>
        <w:top w:val="none" w:sz="0" w:space="0" w:color="auto"/>
        <w:left w:val="none" w:sz="0" w:space="0" w:color="auto"/>
        <w:bottom w:val="none" w:sz="0" w:space="0" w:color="auto"/>
        <w:right w:val="none" w:sz="0" w:space="0" w:color="auto"/>
      </w:divBdr>
    </w:div>
    <w:div w:id="1967589258">
      <w:bodyDiv w:val="1"/>
      <w:marLeft w:val="0"/>
      <w:marRight w:val="0"/>
      <w:marTop w:val="0"/>
      <w:marBottom w:val="0"/>
      <w:divBdr>
        <w:top w:val="none" w:sz="0" w:space="0" w:color="auto"/>
        <w:left w:val="none" w:sz="0" w:space="0" w:color="auto"/>
        <w:bottom w:val="none" w:sz="0" w:space="0" w:color="auto"/>
        <w:right w:val="none" w:sz="0" w:space="0" w:color="auto"/>
      </w:divBdr>
    </w:div>
    <w:div w:id="1970547539">
      <w:bodyDiv w:val="1"/>
      <w:marLeft w:val="0"/>
      <w:marRight w:val="0"/>
      <w:marTop w:val="0"/>
      <w:marBottom w:val="0"/>
      <w:divBdr>
        <w:top w:val="none" w:sz="0" w:space="0" w:color="auto"/>
        <w:left w:val="none" w:sz="0" w:space="0" w:color="auto"/>
        <w:bottom w:val="none" w:sz="0" w:space="0" w:color="auto"/>
        <w:right w:val="none" w:sz="0" w:space="0" w:color="auto"/>
      </w:divBdr>
    </w:div>
    <w:div w:id="1983078999">
      <w:bodyDiv w:val="1"/>
      <w:marLeft w:val="0"/>
      <w:marRight w:val="0"/>
      <w:marTop w:val="0"/>
      <w:marBottom w:val="0"/>
      <w:divBdr>
        <w:top w:val="none" w:sz="0" w:space="0" w:color="auto"/>
        <w:left w:val="none" w:sz="0" w:space="0" w:color="auto"/>
        <w:bottom w:val="none" w:sz="0" w:space="0" w:color="auto"/>
        <w:right w:val="none" w:sz="0" w:space="0" w:color="auto"/>
      </w:divBdr>
    </w:div>
    <w:div w:id="1984692817">
      <w:bodyDiv w:val="1"/>
      <w:marLeft w:val="0"/>
      <w:marRight w:val="0"/>
      <w:marTop w:val="0"/>
      <w:marBottom w:val="0"/>
      <w:divBdr>
        <w:top w:val="none" w:sz="0" w:space="0" w:color="auto"/>
        <w:left w:val="none" w:sz="0" w:space="0" w:color="auto"/>
        <w:bottom w:val="none" w:sz="0" w:space="0" w:color="auto"/>
        <w:right w:val="none" w:sz="0" w:space="0" w:color="auto"/>
      </w:divBdr>
    </w:div>
    <w:div w:id="1985039123">
      <w:bodyDiv w:val="1"/>
      <w:marLeft w:val="0"/>
      <w:marRight w:val="0"/>
      <w:marTop w:val="0"/>
      <w:marBottom w:val="0"/>
      <w:divBdr>
        <w:top w:val="none" w:sz="0" w:space="0" w:color="auto"/>
        <w:left w:val="none" w:sz="0" w:space="0" w:color="auto"/>
        <w:bottom w:val="none" w:sz="0" w:space="0" w:color="auto"/>
        <w:right w:val="none" w:sz="0" w:space="0" w:color="auto"/>
      </w:divBdr>
    </w:div>
    <w:div w:id="1990864522">
      <w:bodyDiv w:val="1"/>
      <w:marLeft w:val="0"/>
      <w:marRight w:val="0"/>
      <w:marTop w:val="0"/>
      <w:marBottom w:val="0"/>
      <w:divBdr>
        <w:top w:val="none" w:sz="0" w:space="0" w:color="auto"/>
        <w:left w:val="none" w:sz="0" w:space="0" w:color="auto"/>
        <w:bottom w:val="none" w:sz="0" w:space="0" w:color="auto"/>
        <w:right w:val="none" w:sz="0" w:space="0" w:color="auto"/>
      </w:divBdr>
    </w:div>
    <w:div w:id="2035180960">
      <w:bodyDiv w:val="1"/>
      <w:marLeft w:val="0"/>
      <w:marRight w:val="0"/>
      <w:marTop w:val="0"/>
      <w:marBottom w:val="0"/>
      <w:divBdr>
        <w:top w:val="none" w:sz="0" w:space="0" w:color="auto"/>
        <w:left w:val="none" w:sz="0" w:space="0" w:color="auto"/>
        <w:bottom w:val="none" w:sz="0" w:space="0" w:color="auto"/>
        <w:right w:val="none" w:sz="0" w:space="0" w:color="auto"/>
      </w:divBdr>
    </w:div>
    <w:div w:id="2045211146">
      <w:bodyDiv w:val="1"/>
      <w:marLeft w:val="0"/>
      <w:marRight w:val="0"/>
      <w:marTop w:val="0"/>
      <w:marBottom w:val="0"/>
      <w:divBdr>
        <w:top w:val="none" w:sz="0" w:space="0" w:color="auto"/>
        <w:left w:val="none" w:sz="0" w:space="0" w:color="auto"/>
        <w:bottom w:val="none" w:sz="0" w:space="0" w:color="auto"/>
        <w:right w:val="none" w:sz="0" w:space="0" w:color="auto"/>
      </w:divBdr>
    </w:div>
    <w:div w:id="2046826047">
      <w:bodyDiv w:val="1"/>
      <w:marLeft w:val="0"/>
      <w:marRight w:val="0"/>
      <w:marTop w:val="0"/>
      <w:marBottom w:val="0"/>
      <w:divBdr>
        <w:top w:val="none" w:sz="0" w:space="0" w:color="auto"/>
        <w:left w:val="none" w:sz="0" w:space="0" w:color="auto"/>
        <w:bottom w:val="none" w:sz="0" w:space="0" w:color="auto"/>
        <w:right w:val="none" w:sz="0" w:space="0" w:color="auto"/>
      </w:divBdr>
    </w:div>
    <w:div w:id="2046831685">
      <w:bodyDiv w:val="1"/>
      <w:marLeft w:val="0"/>
      <w:marRight w:val="0"/>
      <w:marTop w:val="0"/>
      <w:marBottom w:val="0"/>
      <w:divBdr>
        <w:top w:val="none" w:sz="0" w:space="0" w:color="auto"/>
        <w:left w:val="none" w:sz="0" w:space="0" w:color="auto"/>
        <w:bottom w:val="none" w:sz="0" w:space="0" w:color="auto"/>
        <w:right w:val="none" w:sz="0" w:space="0" w:color="auto"/>
      </w:divBdr>
    </w:div>
    <w:div w:id="2047681477">
      <w:bodyDiv w:val="1"/>
      <w:marLeft w:val="0"/>
      <w:marRight w:val="0"/>
      <w:marTop w:val="0"/>
      <w:marBottom w:val="0"/>
      <w:divBdr>
        <w:top w:val="none" w:sz="0" w:space="0" w:color="auto"/>
        <w:left w:val="none" w:sz="0" w:space="0" w:color="auto"/>
        <w:bottom w:val="none" w:sz="0" w:space="0" w:color="auto"/>
        <w:right w:val="none" w:sz="0" w:space="0" w:color="auto"/>
      </w:divBdr>
    </w:div>
    <w:div w:id="2063282722">
      <w:bodyDiv w:val="1"/>
      <w:marLeft w:val="0"/>
      <w:marRight w:val="0"/>
      <w:marTop w:val="0"/>
      <w:marBottom w:val="0"/>
      <w:divBdr>
        <w:top w:val="none" w:sz="0" w:space="0" w:color="auto"/>
        <w:left w:val="none" w:sz="0" w:space="0" w:color="auto"/>
        <w:bottom w:val="none" w:sz="0" w:space="0" w:color="auto"/>
        <w:right w:val="none" w:sz="0" w:space="0" w:color="auto"/>
      </w:divBdr>
    </w:div>
    <w:div w:id="2069066510">
      <w:bodyDiv w:val="1"/>
      <w:marLeft w:val="0"/>
      <w:marRight w:val="0"/>
      <w:marTop w:val="0"/>
      <w:marBottom w:val="0"/>
      <w:divBdr>
        <w:top w:val="none" w:sz="0" w:space="0" w:color="auto"/>
        <w:left w:val="none" w:sz="0" w:space="0" w:color="auto"/>
        <w:bottom w:val="none" w:sz="0" w:space="0" w:color="auto"/>
        <w:right w:val="none" w:sz="0" w:space="0" w:color="auto"/>
      </w:divBdr>
    </w:div>
    <w:div w:id="2069449360">
      <w:bodyDiv w:val="1"/>
      <w:marLeft w:val="0"/>
      <w:marRight w:val="0"/>
      <w:marTop w:val="0"/>
      <w:marBottom w:val="0"/>
      <w:divBdr>
        <w:top w:val="none" w:sz="0" w:space="0" w:color="auto"/>
        <w:left w:val="none" w:sz="0" w:space="0" w:color="auto"/>
        <w:bottom w:val="none" w:sz="0" w:space="0" w:color="auto"/>
        <w:right w:val="none" w:sz="0" w:space="0" w:color="auto"/>
      </w:divBdr>
    </w:div>
    <w:div w:id="2073191214">
      <w:bodyDiv w:val="1"/>
      <w:marLeft w:val="0"/>
      <w:marRight w:val="0"/>
      <w:marTop w:val="0"/>
      <w:marBottom w:val="0"/>
      <w:divBdr>
        <w:top w:val="none" w:sz="0" w:space="0" w:color="auto"/>
        <w:left w:val="none" w:sz="0" w:space="0" w:color="auto"/>
        <w:bottom w:val="none" w:sz="0" w:space="0" w:color="auto"/>
        <w:right w:val="none" w:sz="0" w:space="0" w:color="auto"/>
      </w:divBdr>
    </w:div>
    <w:div w:id="2073388357">
      <w:bodyDiv w:val="1"/>
      <w:marLeft w:val="0"/>
      <w:marRight w:val="0"/>
      <w:marTop w:val="0"/>
      <w:marBottom w:val="0"/>
      <w:divBdr>
        <w:top w:val="none" w:sz="0" w:space="0" w:color="auto"/>
        <w:left w:val="none" w:sz="0" w:space="0" w:color="auto"/>
        <w:bottom w:val="none" w:sz="0" w:space="0" w:color="auto"/>
        <w:right w:val="none" w:sz="0" w:space="0" w:color="auto"/>
      </w:divBdr>
    </w:div>
    <w:div w:id="2079546308">
      <w:bodyDiv w:val="1"/>
      <w:marLeft w:val="0"/>
      <w:marRight w:val="0"/>
      <w:marTop w:val="0"/>
      <w:marBottom w:val="0"/>
      <w:divBdr>
        <w:top w:val="none" w:sz="0" w:space="0" w:color="auto"/>
        <w:left w:val="none" w:sz="0" w:space="0" w:color="auto"/>
        <w:bottom w:val="none" w:sz="0" w:space="0" w:color="auto"/>
        <w:right w:val="none" w:sz="0" w:space="0" w:color="auto"/>
      </w:divBdr>
      <w:divsChild>
        <w:div w:id="105737147">
          <w:marLeft w:val="0"/>
          <w:marRight w:val="0"/>
          <w:marTop w:val="0"/>
          <w:marBottom w:val="0"/>
          <w:divBdr>
            <w:top w:val="none" w:sz="0" w:space="0" w:color="auto"/>
            <w:left w:val="none" w:sz="0" w:space="0" w:color="auto"/>
            <w:bottom w:val="none" w:sz="0" w:space="0" w:color="auto"/>
            <w:right w:val="none" w:sz="0" w:space="0" w:color="auto"/>
          </w:divBdr>
          <w:divsChild>
            <w:div w:id="1969777305">
              <w:marLeft w:val="0"/>
              <w:marRight w:val="0"/>
              <w:marTop w:val="0"/>
              <w:marBottom w:val="225"/>
              <w:divBdr>
                <w:top w:val="none" w:sz="0" w:space="0" w:color="auto"/>
                <w:left w:val="none" w:sz="0" w:space="0" w:color="auto"/>
                <w:bottom w:val="none" w:sz="0" w:space="0" w:color="auto"/>
                <w:right w:val="none" w:sz="0" w:space="0" w:color="auto"/>
              </w:divBdr>
              <w:divsChild>
                <w:div w:id="15410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792">
          <w:marLeft w:val="0"/>
          <w:marRight w:val="0"/>
          <w:marTop w:val="0"/>
          <w:marBottom w:val="0"/>
          <w:divBdr>
            <w:top w:val="none" w:sz="0" w:space="0" w:color="auto"/>
            <w:left w:val="none" w:sz="0" w:space="0" w:color="auto"/>
            <w:bottom w:val="none" w:sz="0" w:space="0" w:color="auto"/>
            <w:right w:val="none" w:sz="0" w:space="0" w:color="auto"/>
          </w:divBdr>
          <w:divsChild>
            <w:div w:id="1395667251">
              <w:marLeft w:val="0"/>
              <w:marRight w:val="0"/>
              <w:marTop w:val="0"/>
              <w:marBottom w:val="225"/>
              <w:divBdr>
                <w:top w:val="none" w:sz="0" w:space="0" w:color="auto"/>
                <w:left w:val="none" w:sz="0" w:space="0" w:color="auto"/>
                <w:bottom w:val="none" w:sz="0" w:space="0" w:color="auto"/>
                <w:right w:val="none" w:sz="0" w:space="0" w:color="auto"/>
              </w:divBdr>
              <w:divsChild>
                <w:div w:id="83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1823">
          <w:marLeft w:val="0"/>
          <w:marRight w:val="0"/>
          <w:marTop w:val="0"/>
          <w:marBottom w:val="0"/>
          <w:divBdr>
            <w:top w:val="none" w:sz="0" w:space="0" w:color="auto"/>
            <w:left w:val="none" w:sz="0" w:space="0" w:color="auto"/>
            <w:bottom w:val="none" w:sz="0" w:space="0" w:color="auto"/>
            <w:right w:val="none" w:sz="0" w:space="0" w:color="auto"/>
          </w:divBdr>
          <w:divsChild>
            <w:div w:id="1984506591">
              <w:marLeft w:val="0"/>
              <w:marRight w:val="0"/>
              <w:marTop w:val="0"/>
              <w:marBottom w:val="225"/>
              <w:divBdr>
                <w:top w:val="none" w:sz="0" w:space="0" w:color="auto"/>
                <w:left w:val="none" w:sz="0" w:space="0" w:color="auto"/>
                <w:bottom w:val="none" w:sz="0" w:space="0" w:color="auto"/>
                <w:right w:val="none" w:sz="0" w:space="0" w:color="auto"/>
              </w:divBdr>
              <w:divsChild>
                <w:div w:id="133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3014">
          <w:marLeft w:val="0"/>
          <w:marRight w:val="0"/>
          <w:marTop w:val="0"/>
          <w:marBottom w:val="0"/>
          <w:divBdr>
            <w:top w:val="none" w:sz="0" w:space="0" w:color="auto"/>
            <w:left w:val="none" w:sz="0" w:space="0" w:color="auto"/>
            <w:bottom w:val="none" w:sz="0" w:space="0" w:color="auto"/>
            <w:right w:val="none" w:sz="0" w:space="0" w:color="auto"/>
          </w:divBdr>
          <w:divsChild>
            <w:div w:id="1898659396">
              <w:marLeft w:val="0"/>
              <w:marRight w:val="0"/>
              <w:marTop w:val="0"/>
              <w:marBottom w:val="225"/>
              <w:divBdr>
                <w:top w:val="none" w:sz="0" w:space="0" w:color="auto"/>
                <w:left w:val="none" w:sz="0" w:space="0" w:color="auto"/>
                <w:bottom w:val="none" w:sz="0" w:space="0" w:color="auto"/>
                <w:right w:val="none" w:sz="0" w:space="0" w:color="auto"/>
              </w:divBdr>
              <w:divsChild>
                <w:div w:id="486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2290">
      <w:bodyDiv w:val="1"/>
      <w:marLeft w:val="0"/>
      <w:marRight w:val="0"/>
      <w:marTop w:val="0"/>
      <w:marBottom w:val="0"/>
      <w:divBdr>
        <w:top w:val="none" w:sz="0" w:space="0" w:color="auto"/>
        <w:left w:val="none" w:sz="0" w:space="0" w:color="auto"/>
        <w:bottom w:val="none" w:sz="0" w:space="0" w:color="auto"/>
        <w:right w:val="none" w:sz="0" w:space="0" w:color="auto"/>
      </w:divBdr>
    </w:div>
    <w:div w:id="2100326353">
      <w:bodyDiv w:val="1"/>
      <w:marLeft w:val="0"/>
      <w:marRight w:val="0"/>
      <w:marTop w:val="0"/>
      <w:marBottom w:val="0"/>
      <w:divBdr>
        <w:top w:val="none" w:sz="0" w:space="0" w:color="auto"/>
        <w:left w:val="none" w:sz="0" w:space="0" w:color="auto"/>
        <w:bottom w:val="none" w:sz="0" w:space="0" w:color="auto"/>
        <w:right w:val="none" w:sz="0" w:space="0" w:color="auto"/>
      </w:divBdr>
    </w:div>
    <w:div w:id="2102986599">
      <w:bodyDiv w:val="1"/>
      <w:marLeft w:val="0"/>
      <w:marRight w:val="0"/>
      <w:marTop w:val="0"/>
      <w:marBottom w:val="0"/>
      <w:divBdr>
        <w:top w:val="none" w:sz="0" w:space="0" w:color="auto"/>
        <w:left w:val="none" w:sz="0" w:space="0" w:color="auto"/>
        <w:bottom w:val="none" w:sz="0" w:space="0" w:color="auto"/>
        <w:right w:val="none" w:sz="0" w:space="0" w:color="auto"/>
      </w:divBdr>
    </w:div>
    <w:div w:id="2119828742">
      <w:bodyDiv w:val="1"/>
      <w:marLeft w:val="0"/>
      <w:marRight w:val="0"/>
      <w:marTop w:val="0"/>
      <w:marBottom w:val="0"/>
      <w:divBdr>
        <w:top w:val="none" w:sz="0" w:space="0" w:color="auto"/>
        <w:left w:val="none" w:sz="0" w:space="0" w:color="auto"/>
        <w:bottom w:val="none" w:sz="0" w:space="0" w:color="auto"/>
        <w:right w:val="none" w:sz="0" w:space="0" w:color="auto"/>
      </w:divBdr>
    </w:div>
    <w:div w:id="2123185243">
      <w:bodyDiv w:val="1"/>
      <w:marLeft w:val="0"/>
      <w:marRight w:val="0"/>
      <w:marTop w:val="0"/>
      <w:marBottom w:val="0"/>
      <w:divBdr>
        <w:top w:val="none" w:sz="0" w:space="0" w:color="auto"/>
        <w:left w:val="none" w:sz="0" w:space="0" w:color="auto"/>
        <w:bottom w:val="none" w:sz="0" w:space="0" w:color="auto"/>
        <w:right w:val="none" w:sz="0" w:space="0" w:color="auto"/>
      </w:divBdr>
    </w:div>
    <w:div w:id="2123643787">
      <w:bodyDiv w:val="1"/>
      <w:marLeft w:val="0"/>
      <w:marRight w:val="0"/>
      <w:marTop w:val="0"/>
      <w:marBottom w:val="0"/>
      <w:divBdr>
        <w:top w:val="none" w:sz="0" w:space="0" w:color="auto"/>
        <w:left w:val="none" w:sz="0" w:space="0" w:color="auto"/>
        <w:bottom w:val="none" w:sz="0" w:space="0" w:color="auto"/>
        <w:right w:val="none" w:sz="0" w:space="0" w:color="auto"/>
      </w:divBdr>
    </w:div>
    <w:div w:id="2126537414">
      <w:bodyDiv w:val="1"/>
      <w:marLeft w:val="0"/>
      <w:marRight w:val="0"/>
      <w:marTop w:val="0"/>
      <w:marBottom w:val="0"/>
      <w:divBdr>
        <w:top w:val="none" w:sz="0" w:space="0" w:color="auto"/>
        <w:left w:val="none" w:sz="0" w:space="0" w:color="auto"/>
        <w:bottom w:val="none" w:sz="0" w:space="0" w:color="auto"/>
        <w:right w:val="none" w:sz="0" w:space="0" w:color="auto"/>
      </w:divBdr>
    </w:div>
    <w:div w:id="2133787511">
      <w:bodyDiv w:val="1"/>
      <w:marLeft w:val="0"/>
      <w:marRight w:val="0"/>
      <w:marTop w:val="0"/>
      <w:marBottom w:val="0"/>
      <w:divBdr>
        <w:top w:val="none" w:sz="0" w:space="0" w:color="auto"/>
        <w:left w:val="none" w:sz="0" w:space="0" w:color="auto"/>
        <w:bottom w:val="none" w:sz="0" w:space="0" w:color="auto"/>
        <w:right w:val="none" w:sz="0" w:space="0" w:color="auto"/>
      </w:divBdr>
      <w:divsChild>
        <w:div w:id="953947201">
          <w:marLeft w:val="0"/>
          <w:marRight w:val="0"/>
          <w:marTop w:val="0"/>
          <w:marBottom w:val="0"/>
          <w:divBdr>
            <w:top w:val="none" w:sz="0" w:space="0" w:color="auto"/>
            <w:left w:val="none" w:sz="0" w:space="0" w:color="auto"/>
            <w:bottom w:val="none" w:sz="0" w:space="0" w:color="auto"/>
            <w:right w:val="none" w:sz="0" w:space="0" w:color="auto"/>
          </w:divBdr>
          <w:divsChild>
            <w:div w:id="1487669543">
              <w:marLeft w:val="0"/>
              <w:marRight w:val="0"/>
              <w:marTop w:val="0"/>
              <w:marBottom w:val="225"/>
              <w:divBdr>
                <w:top w:val="none" w:sz="0" w:space="0" w:color="auto"/>
                <w:left w:val="none" w:sz="0" w:space="0" w:color="auto"/>
                <w:bottom w:val="none" w:sz="0" w:space="0" w:color="auto"/>
                <w:right w:val="none" w:sz="0" w:space="0" w:color="auto"/>
              </w:divBdr>
              <w:divsChild>
                <w:div w:id="16850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5189">
          <w:marLeft w:val="0"/>
          <w:marRight w:val="0"/>
          <w:marTop w:val="0"/>
          <w:marBottom w:val="0"/>
          <w:divBdr>
            <w:top w:val="none" w:sz="0" w:space="0" w:color="auto"/>
            <w:left w:val="none" w:sz="0" w:space="0" w:color="auto"/>
            <w:bottom w:val="none" w:sz="0" w:space="0" w:color="auto"/>
            <w:right w:val="none" w:sz="0" w:space="0" w:color="auto"/>
          </w:divBdr>
          <w:divsChild>
            <w:div w:id="1704086948">
              <w:marLeft w:val="0"/>
              <w:marRight w:val="0"/>
              <w:marTop w:val="0"/>
              <w:marBottom w:val="225"/>
              <w:divBdr>
                <w:top w:val="none" w:sz="0" w:space="0" w:color="auto"/>
                <w:left w:val="none" w:sz="0" w:space="0" w:color="auto"/>
                <w:bottom w:val="none" w:sz="0" w:space="0" w:color="auto"/>
                <w:right w:val="none" w:sz="0" w:space="0" w:color="auto"/>
              </w:divBdr>
              <w:divsChild>
                <w:div w:id="21085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6617">
          <w:marLeft w:val="0"/>
          <w:marRight w:val="0"/>
          <w:marTop w:val="0"/>
          <w:marBottom w:val="0"/>
          <w:divBdr>
            <w:top w:val="none" w:sz="0" w:space="0" w:color="auto"/>
            <w:left w:val="none" w:sz="0" w:space="0" w:color="auto"/>
            <w:bottom w:val="none" w:sz="0" w:space="0" w:color="auto"/>
            <w:right w:val="none" w:sz="0" w:space="0" w:color="auto"/>
          </w:divBdr>
          <w:divsChild>
            <w:div w:id="1998997132">
              <w:marLeft w:val="0"/>
              <w:marRight w:val="0"/>
              <w:marTop w:val="0"/>
              <w:marBottom w:val="225"/>
              <w:divBdr>
                <w:top w:val="none" w:sz="0" w:space="0" w:color="auto"/>
                <w:left w:val="none" w:sz="0" w:space="0" w:color="auto"/>
                <w:bottom w:val="none" w:sz="0" w:space="0" w:color="auto"/>
                <w:right w:val="none" w:sz="0" w:space="0" w:color="auto"/>
              </w:divBdr>
              <w:divsChild>
                <w:div w:id="9800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8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no/sub/eos-notatbasen/notatene/2026/mai/kommisjonsbeslutning-om-tilstrekkelig-beskyttelsesniva-for-personopplysninger-i-brasil/id3163711/" TargetMode="External"/><Relationship Id="rId18" Type="http://schemas.openxmlformats.org/officeDocument/2006/relationships/hyperlink" Target="https://www.regjeringen.no/no/sub/eos-notatbasen/notatene/2024/juni/utfyllende-regler-til-mica-forordningen-ved-a-spesfisere-regler-for-overtredelsesgebyrer-eller-tvangsmulkt-fra-eba-pa-utstedere-av-signifikante-eiendelsbaserte-token-og-e-pengetoken/id3048522/" TargetMode="External"/><Relationship Id="rId26" Type="http://schemas.openxmlformats.org/officeDocument/2006/relationships/hyperlink" Target="https://www.regjeringen.no/no/sub/eos-notatbasen/notatene/2026/mars/forvarer-tilsetningsstoff5/id3155645/" TargetMode="External"/><Relationship Id="rId39" Type="http://schemas.openxmlformats.org/officeDocument/2006/relationships/hyperlink" Target="https://www.regjeringen.no/no/sub/eos-notatbasen/notatene/2024/feb/eurl-matforbedringsmidler/id3053781/" TargetMode="External"/><Relationship Id="rId21" Type="http://schemas.openxmlformats.org/officeDocument/2006/relationships/hyperlink" Target="https://www.regjeringen.no/no/sub/eos-notatbasen/notatene/2026/mars/liste-over-endringer-som-ikke-krever-vurdering/id3159737/" TargetMode="External"/><Relationship Id="rId34" Type="http://schemas.openxmlformats.org/officeDocument/2006/relationships/hyperlink" Target="https://www.regjeringen.no/no/sub/eos-notatbasen/notatene/2026/mars/forvarer-tilsetningsstoff17/id3159147/" TargetMode="External"/><Relationship Id="rId42" Type="http://schemas.openxmlformats.org/officeDocument/2006/relationships/hyperlink" Target="https://www.regjeringen.no/no/sub/eos-notatbasen/notatene/2026/apr/kommisjonsforordning-2026765-provetaking-analyser-og-tolking-av-resultater-ved-offentlig-kontroll-av-plantevernmiddelrester/id3159150/" TargetMode="External"/><Relationship Id="rId47" Type="http://schemas.openxmlformats.org/officeDocument/2006/relationships/hyperlink" Target="https://www.regjeringen.no/no/sub/eos-notatbasen/notatene/2026/mars/biocid-forlengelse-av-utlopsdato-for-basisk-kobberkarbonat-pt-8/id3154398/" TargetMode="External"/><Relationship Id="rId50" Type="http://schemas.openxmlformats.org/officeDocument/2006/relationships/hyperlink" Target="https://www.regjeringen.no/no/sub/eos-notatbasen/notatene/2026/mars/biocid-forlengelse-av-utlopsdato-for-kobberiioksid-pt-8/id3154402/" TargetMode="External"/><Relationship Id="rId55" Type="http://schemas.openxmlformats.org/officeDocument/2006/relationships/hyperlink" Target="https://www.regjeringen.no/no/sub/eos-notatbasen/notatene/2025/mars/seveso-direktivet-om-forebygging-av-kjemikalieulykker-bestemmelser-om-landenes-gjennomforingsrapportering/id3096196/" TargetMode="External"/><Relationship Id="rId63" Type="http://schemas.openxmlformats.org/officeDocument/2006/relationships/hyperlink" Target="https://www.regjeringen.no/no/sub/eos-notatbasen/notatene/2022/juni/felleseuropeiske-regler-om-bakketjenester-ground-handling/id2923885/" TargetMode="External"/><Relationship Id="rId68" Type="http://schemas.openxmlformats.org/officeDocument/2006/relationships/hyperlink" Target="https://www.regjeringen.no/no/sub/eos-notatbasen/notatene/2025/okt/endring-av-forordning-eu-20151998-i-krav-til-adgangskontroll-kjoretoykontroll-sikkerhetsprogram-bruk-av-deteksjonshunder-passasjer-og/id3139148/"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jeringen.no/no/sub/eos-notatbasen/notatene/2026/jan/energimerking-smarttelefoner-og-nettbrett-retting-av-visse-sprakversjoner/id3146403/" TargetMode="External"/><Relationship Id="rId29" Type="http://schemas.openxmlformats.org/officeDocument/2006/relationships/hyperlink" Target="https://www.regjeringen.no/no/sub/eos-notatbasen/notatene/2026/mars/forvarer-tilsetningsstoff12/id31591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rtinget.no/no/Saker-og-publikasjoner/Saker/Sak/?p=107975" TargetMode="External"/><Relationship Id="rId24" Type="http://schemas.openxmlformats.org/officeDocument/2006/relationships/hyperlink" Target="https://www.regjeringen.no/no/sub/eos-notatbasen/notatene/2023/des/endringer-i-vedleggene-til-animaliehygieneforordningen/id3022435/" TargetMode="External"/><Relationship Id="rId32" Type="http://schemas.openxmlformats.org/officeDocument/2006/relationships/hyperlink" Target="https://www.regjeringen.no/no/sub/eos-notatbasen/notatene/2026/mars/forvarer-tilsetningsstoff15/id3159145/" TargetMode="External"/><Relationship Id="rId37" Type="http://schemas.openxmlformats.org/officeDocument/2006/relationships/hyperlink" Target="https://www.regjeringen.no/no/sub/eos-notatbasen/notatene/2026/mars/forvarer-tilsetningsstoff9/id3159138/" TargetMode="External"/><Relationship Id="rId40" Type="http://schemas.openxmlformats.org/officeDocument/2006/relationships/hyperlink" Target="https://www.regjeringen.no/no/sub/eos-notatbasen/notatene/2025/des/okologi-endring-i-positivliste-over-produkter-og-stoffer/id3149860/" TargetMode="External"/><Relationship Id="rId45" Type="http://schemas.openxmlformats.org/officeDocument/2006/relationships/hyperlink" Target="https://www.regjeringen.no/no/sub/eos-notatbasen/notatene/2025/nov/plantevernmidler-endring-av-gjennomforingsforordning-eu-20241487-beskyttende-midler-og-synergister/id3142155/" TargetMode="External"/><Relationship Id="rId53" Type="http://schemas.openxmlformats.org/officeDocument/2006/relationships/hyperlink" Target="https://www.regjeringen.no/no/sub/eos-notatbasen/notatene/2026/mars/biocid-ikke-godkjenning-av-formaldehyd-som-frigjores-fra-reaksjonsproduktene-av-paraformaldehyd-og-2-hydroksypropylamin-forhold-11-pt-6/id3154403/" TargetMode="External"/><Relationship Id="rId58" Type="http://schemas.openxmlformats.org/officeDocument/2006/relationships/hyperlink" Target="https://www.regjeringen.no/no/sub/eos-notatbasen/notatene/2026/feb/skipsgjenvinningsforordningen-endringsbestemmelser-om-sertifikatet-for-fortegnelse-over-farlige-materialer/id3152274/" TargetMode="External"/><Relationship Id="rId66" Type="http://schemas.openxmlformats.org/officeDocument/2006/relationships/hyperlink" Target="https://www.regjeringen.no/no/sub/eos-notatbasen/notatene/2025/juli/forordning-eu-202523-regler-om-tilsyn-med-bakketjenester-pa-lufthavner/id3117407/" TargetMode="External"/><Relationship Id="rId5" Type="http://schemas.openxmlformats.org/officeDocument/2006/relationships/numbering" Target="numbering.xml"/><Relationship Id="rId15" Type="http://schemas.openxmlformats.org/officeDocument/2006/relationships/hyperlink" Target="https://www.regjeringen.no/no/sub/eos-notatbasen/notatene/2022/apr/okodesign-revisjon-av-eksterne-stromkilder-eps/id2953242/" TargetMode="External"/><Relationship Id="rId23" Type="http://schemas.openxmlformats.org/officeDocument/2006/relationships/hyperlink" Target="https://www.regjeringen.no/no/sub/eos-notatbasen/notatene/2026/apr/endring-i-utpeking-av-eu-referanselaboratorier/id3158737/" TargetMode="External"/><Relationship Id="rId28" Type="http://schemas.openxmlformats.org/officeDocument/2006/relationships/hyperlink" Target="https://www.regjeringen.no/no/sub/eos-notatbasen/notatene/2026/mars/forvarer-tilsetningsstoff7/id3155647/" TargetMode="External"/><Relationship Id="rId36" Type="http://schemas.openxmlformats.org/officeDocument/2006/relationships/hyperlink" Target="https://www.regjeringen.no/no/sub/eos-notatbasen/notatene/2026/mars/forvarer-tilsetningsstoff11/id3159141/" TargetMode="External"/><Relationship Id="rId49" Type="http://schemas.openxmlformats.org/officeDocument/2006/relationships/hyperlink" Target="https://www.regjeringen.no/no/sub/eos-notatbasen/notatene/2026/mars/biocid-forlengelse-av-utlopsdato-for-kobberhydroksid-pt-8/id3154401/" TargetMode="External"/><Relationship Id="rId57" Type="http://schemas.openxmlformats.org/officeDocument/2006/relationships/hyperlink" Target="https://www.regjeringen.no/no/sub/eos-notatbasen/notatene/2026/feb/skipsgjenvinningsforordningen-endringsbestemmelser-om-utformingen-av-sertifikat-for-gjenvinningsklart-skip/id3152275/" TargetMode="External"/><Relationship Id="rId61" Type="http://schemas.openxmlformats.org/officeDocument/2006/relationships/hyperlink" Target="https://www.regjeringen.no/no/sub/eos-notatbasen/notatene/2016/mai/forordning-om-endring-i-formularer-og-informasjonsskjemaer/id2503510/" TargetMode="External"/><Relationship Id="rId10" Type="http://schemas.openxmlformats.org/officeDocument/2006/relationships/endnotes" Target="endnotes.xml"/><Relationship Id="rId19" Type="http://schemas.openxmlformats.org/officeDocument/2006/relationships/hyperlink" Target="https://www.regjeringen.no/no/sub/eos-notatbasen/notatene/2026/mars/internasjonale-regnskapsstandarder-endringsbestemmelser-om-ifrs-18/id3155318/" TargetMode="External"/><Relationship Id="rId31" Type="http://schemas.openxmlformats.org/officeDocument/2006/relationships/hyperlink" Target="https://www.regjeringen.no/no/sub/eos-notatbasen/notatene/2026/mars/forvarer-tilsetningsstoff14/id3159144/" TargetMode="External"/><Relationship Id="rId44" Type="http://schemas.openxmlformats.org/officeDocument/2006/relationships/hyperlink" Target="https://www.regjeringen.no/no/sub/eos-notatbasen/notatene/2026/mai/plantevernmiddelrester-mrl-2026876/id3160309/" TargetMode="External"/><Relationship Id="rId52" Type="http://schemas.openxmlformats.org/officeDocument/2006/relationships/hyperlink" Target="https://www.regjeringen.no/no/sub/eos-notatbasen/notatene/2021/feb/reachxviidinitrotoluen/id2836555/" TargetMode="External"/><Relationship Id="rId60" Type="http://schemas.openxmlformats.org/officeDocument/2006/relationships/hyperlink" Target="https://www.regjeringen.no/no/sub/eos-notatbasen/notatene/2023/aug/havnestatskontrolldirektivet-forslag-2023/id2994753/" TargetMode="External"/><Relationship Id="rId65" Type="http://schemas.openxmlformats.org/officeDocument/2006/relationships/hyperlink" Target="https://www.regjeringen.no/no/sub/eos-notatbasen/notatene/2025/juni/forordning-eu-202522-krav-til-informasjonssikkerhet-for-organisasjoner-som-tilbyr-bakketjenester/id31163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no/sub/eos-notatbasen/notatene/2019/okt/okodesign-revisjon-av-husholdningstorketromler/id2680342/" TargetMode="External"/><Relationship Id="rId22" Type="http://schemas.openxmlformats.org/officeDocument/2006/relationships/hyperlink" Target="https://www.regjeringen.no/no/sub/eos-notatbasen/notatene/2025/des/omnibus-ii-kosmetikk-ingredienser/id3149861/" TargetMode="External"/><Relationship Id="rId27" Type="http://schemas.openxmlformats.org/officeDocument/2006/relationships/hyperlink" Target="https://www.regjeringen.no/no/sub/eos-notatbasen/notatene/2026/mars/forvarer-tilsetningsstoff6/id3155646/" TargetMode="External"/><Relationship Id="rId30" Type="http://schemas.openxmlformats.org/officeDocument/2006/relationships/hyperlink" Target="https://www.regjeringen.no/no/sub/eos-notatbasen/notatene/2026/mars/forvarer-tilsetningsstoff13/id3159143/" TargetMode="External"/><Relationship Id="rId35" Type="http://schemas.openxmlformats.org/officeDocument/2006/relationships/hyperlink" Target="https://www.regjeringen.no/no/sub/eos-notatbasen/notatene/2026/mars/forvarer-tilsetningsstoff11/id3159141/" TargetMode="External"/><Relationship Id="rId43" Type="http://schemas.openxmlformats.org/officeDocument/2006/relationships/hyperlink" Target="https://www.regjeringen.no/no/sub/eos-notatbasen/notatene/2026/mai/eos-notat-2026840-mrl-kobber/id3161337/" TargetMode="External"/><Relationship Id="rId48" Type="http://schemas.openxmlformats.org/officeDocument/2006/relationships/hyperlink" Target="https://www.regjeringen.no/no/sub/eos-notatbasen/notatene/2026/mars/biocid-forlengelse-av-utlopsdato-for-alfakloralose-pt-14/id3154400/" TargetMode="External"/><Relationship Id="rId56" Type="http://schemas.openxmlformats.org/officeDocument/2006/relationships/hyperlink" Target="https://www.regjeringen.no/no/sub/eos-notatbasen/notatene/2026/apr/brytere-og-releer-som-det-er-forbudt-a-eksportere-importere-og-produsere-i-eu/id3156858/" TargetMode="External"/><Relationship Id="rId64" Type="http://schemas.openxmlformats.org/officeDocument/2006/relationships/hyperlink" Target="https://www.regjeringen.no/no/sub/eos-notatbasen/notatene/2025/juni/forordning-eu-202521-om-endring-i-flyplassforordningen-mht.-regler-om-bakketjenester/id3116388/"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regjeringen.no/no/sub/eos-notatbasen/notatene/2026/mars/biocid-godkjenning-av-22-dibrom-2-cyanoacetamid-dbnpa-pt-11/id3154399/" TargetMode="External"/><Relationship Id="rId3" Type="http://schemas.openxmlformats.org/officeDocument/2006/relationships/customXml" Target="../customXml/item3.xml"/><Relationship Id="rId12" Type="http://schemas.openxmlformats.org/officeDocument/2006/relationships/hyperlink" Target="https://www.stortinget.no/no/Saker-og-publikasjoner/Saker/Sak/?p=200237" TargetMode="External"/><Relationship Id="rId17" Type="http://schemas.openxmlformats.org/officeDocument/2006/relationships/hyperlink" Target="https://www.regjeringen.no/no/sub/eos-notatbasen/notatene/2026/mai/kapitalkravsforordningen-crr-endringsbestemmelser-om-offentliggjoring-av-opplysninger/id3164378/" TargetMode="External"/><Relationship Id="rId25" Type="http://schemas.openxmlformats.org/officeDocument/2006/relationships/hyperlink" Target="https://www.regjeringen.no/no/sub/eos-notatbasen/notatene/2026/apr/2021808-overgangsregler-og-provetaking/id3161334/" TargetMode="External"/><Relationship Id="rId33" Type="http://schemas.openxmlformats.org/officeDocument/2006/relationships/hyperlink" Target="https://www.regjeringen.no/no/sub/eos-notatbasen/notatene/2026/mars/forvarer-tilsetningsstoff15/id3159145/" TargetMode="External"/><Relationship Id="rId38" Type="http://schemas.openxmlformats.org/officeDocument/2006/relationships/hyperlink" Target="https://www.regjeringen.no/no/sub/eos-notatbasen/notatene/2026/mars/forvarer-tilsetningsstoff8/id3159137/" TargetMode="External"/><Relationship Id="rId46" Type="http://schemas.openxmlformats.org/officeDocument/2006/relationships/hyperlink" Target="https://www.regjeringen.no/no/sub/eos-notatbasen/notatene/2026/apr/plantevernmidler-parafinolje-regodkjenning/id3159148/" TargetMode="External"/><Relationship Id="rId59" Type="http://schemas.openxmlformats.org/officeDocument/2006/relationships/hyperlink" Target="https://www.regjeringen.no/no/sub/eos-notatbasen/notatene/2026/mars/skipsgjenvinningsforordningen-endringer-til-listen-over-godkjente-anlegg-15.-versjon/id3152276/" TargetMode="External"/><Relationship Id="rId67" Type="http://schemas.openxmlformats.org/officeDocument/2006/relationships/hyperlink" Target="https://www.regjeringen.no/no/sub/eos-notatbasen/notatene/2025/juli/forordning-eu-202524-endring-av-forordning-eu-9652012-med-regler-om-bakketjenester/id3116390/" TargetMode="External"/><Relationship Id="rId20" Type="http://schemas.openxmlformats.org/officeDocument/2006/relationships/hyperlink" Target="https://www.regjeringen.no/no/sub/eos-notatbasen/notatene/2025/apr/forordning-om-endring-av-forordningen-om-europeisk-statistikk/id3097220/" TargetMode="External"/><Relationship Id="rId41" Type="http://schemas.openxmlformats.org/officeDocument/2006/relationships/hyperlink" Target="https://www.regjeringen.no/no/sub/eos-notatbasen/notatene/2026/feb/okologi-kriterier-for-etablering-av-hoyrisiko-liste-over-tredjeland-og-produkter/id3155226/" TargetMode="External"/><Relationship Id="rId54" Type="http://schemas.openxmlformats.org/officeDocument/2006/relationships/hyperlink" Target="https://www.regjeringen.no/no/sub/eos-notatbasen/notatene/2026/mars/endring-av-utslippsstandard-for-natriumkarbonat-for-2025/id3157773/" TargetMode="External"/><Relationship Id="rId62" Type="http://schemas.openxmlformats.org/officeDocument/2006/relationships/hyperlink" Target="https://www.regjeringen.no/no/sub/eos-notatbasen/notatene/2021/des/kodifisering-av-yrkessjafordirektivet/id2891385/"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586434A937E4AB38FF5C162D1FCC4" ma:contentTypeVersion="16" ma:contentTypeDescription="Create a new document." ma:contentTypeScope="" ma:versionID="64453b475835f4d47b56a37d58509c46">
  <xsd:schema xmlns:xsd="http://www.w3.org/2001/XMLSchema" xmlns:xs="http://www.w3.org/2001/XMLSchema" xmlns:p="http://schemas.microsoft.com/office/2006/metadata/properties" xmlns:ns2="72348983-faa2-41b7-b2ce-4710186dd419" xmlns:ns3="8b4d7f49-c95d-4b7a-a7ca-101807945308" targetNamespace="http://schemas.microsoft.com/office/2006/metadata/properties" ma:root="true" ma:fieldsID="2232ebf55e4789b419e061a33842a945" ns2:_="" ns3:_="">
    <xsd:import namespace="72348983-faa2-41b7-b2ce-4710186dd419"/>
    <xsd:import namespace="8b4d7f49-c95d-4b7a-a7ca-1018079453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8983-faa2-41b7-b2ce-4710186dd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d7f49-c95d-4b7a-a7ca-1018079453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94a251-7c0e-4a13-95e3-3fbf4d2b884a}" ma:internalName="TaxCatchAll" ma:showField="CatchAllData" ma:web="8b4d7f49-c95d-4b7a-a7ca-101807945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b4d7f49-c95d-4b7a-a7ca-101807945308">
      <UserInfo>
        <DisplayName>Dahle, Gro</DisplayName>
        <AccountId>269</AccountId>
        <AccountType/>
      </UserInfo>
      <UserInfo>
        <DisplayName>Grythe, Jan Wilhelm</DisplayName>
        <AccountId>274</AccountId>
        <AccountType/>
      </UserInfo>
      <UserInfo>
        <DisplayName>Handeland, Ingrid</DisplayName>
        <AccountId>243</AccountId>
        <AccountType/>
      </UserInfo>
      <UserInfo>
        <DisplayName>Haugen, Gudbrand</DisplayName>
        <AccountId>20</AccountId>
        <AccountType/>
      </UserInfo>
      <UserInfo>
        <DisplayName>Johansen, Grethe Dale</DisplayName>
        <AccountId>19</AccountId>
        <AccountType/>
      </UserInfo>
      <UserInfo>
        <DisplayName>Edvartsen, Linn</DisplayName>
        <AccountId>178</AccountId>
        <AccountType/>
      </UserInfo>
      <UserInfo>
        <DisplayName>Longva, Frank</DisplayName>
        <AccountId>187</AccountId>
        <AccountType/>
      </UserInfo>
      <UserInfo>
        <DisplayName>Winther, Alex Vodicka</DisplayName>
        <AccountId>300</AccountId>
        <AccountType/>
      </UserInfo>
      <UserInfo>
        <DisplayName>Zachariassen, Hanne</DisplayName>
        <AccountId>123</AccountId>
        <AccountType/>
      </UserInfo>
    </SharedWithUsers>
    <lcf76f155ced4ddcb4097134ff3c332f xmlns="72348983-faa2-41b7-b2ce-4710186dd419">
      <Terms xmlns="http://schemas.microsoft.com/office/infopath/2007/PartnerControls"/>
    </lcf76f155ced4ddcb4097134ff3c332f>
    <TaxCatchAll xmlns="8b4d7f49-c95d-4b7a-a7ca-101807945308" xsi:nil="true"/>
  </documentManagement>
</p:properties>
</file>

<file path=customXml/itemProps1.xml><?xml version="1.0" encoding="utf-8"?>
<ds:datastoreItem xmlns:ds="http://schemas.openxmlformats.org/officeDocument/2006/customXml" ds:itemID="{AA17551E-5FB0-4678-9951-C887F3B8C4BD}">
  <ds:schemaRefs>
    <ds:schemaRef ds:uri="http://schemas.microsoft.com/sharepoint/v3/contenttype/forms"/>
  </ds:schemaRefs>
</ds:datastoreItem>
</file>

<file path=customXml/itemProps2.xml><?xml version="1.0" encoding="utf-8"?>
<ds:datastoreItem xmlns:ds="http://schemas.openxmlformats.org/officeDocument/2006/customXml" ds:itemID="{21448671-9E5E-468F-B4A7-F94CD43C9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8983-faa2-41b7-b2ce-4710186dd419"/>
    <ds:schemaRef ds:uri="8b4d7f49-c95d-4b7a-a7ca-101807945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8A15-B10A-4771-B1FF-7954465BD75E}">
  <ds:schemaRefs>
    <ds:schemaRef ds:uri="http://schemas.openxmlformats.org/officeDocument/2006/bibliography"/>
  </ds:schemaRefs>
</ds:datastoreItem>
</file>

<file path=customXml/itemProps4.xml><?xml version="1.0" encoding="utf-8"?>
<ds:datastoreItem xmlns:ds="http://schemas.openxmlformats.org/officeDocument/2006/customXml" ds:itemID="{659C42AE-3C18-48C9-8A28-14AC9FDD4051}">
  <ds:schemaRefs>
    <ds:schemaRef ds:uri="http://schemas.microsoft.com/office/2006/metadata/properties"/>
    <ds:schemaRef ds:uri="http://schemas.microsoft.com/office/infopath/2007/PartnerControls"/>
    <ds:schemaRef ds:uri="8b4d7f49-c95d-4b7a-a7ca-101807945308"/>
    <ds:schemaRef ds:uri="72348983-faa2-41b7-b2ce-4710186dd419"/>
  </ds:schemaRefs>
</ds:datastoreItem>
</file>

<file path=docMetadata/LabelInfo.xml><?xml version="1.0" encoding="utf-8"?>
<clbl:labelList xmlns:clbl="http://schemas.microsoft.com/office/2020/mipLabelMetadata">
  <clbl:label id="{2dd7e8ce-188e-4704-9417-0c047c09d384}"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Template>
  <TotalTime>948</TotalTime>
  <Pages>19</Pages>
  <Words>7182</Words>
  <Characters>48554</Characters>
  <Application>Microsoft Office Word</Application>
  <DocSecurity>0</DocSecurity>
  <Lines>2312</Lines>
  <Paragraphs>1137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54599</CharactersWithSpaces>
  <SharedDoc>false</SharedDoc>
  <HLinks>
    <vt:vector size="588" baseType="variant">
      <vt:variant>
        <vt:i4>7864432</vt:i4>
      </vt:variant>
      <vt:variant>
        <vt:i4>324</vt:i4>
      </vt:variant>
      <vt:variant>
        <vt:i4>0</vt:i4>
      </vt:variant>
      <vt:variant>
        <vt:i4>5</vt:i4>
      </vt:variant>
      <vt:variant>
        <vt:lpwstr>https://www.regjeringen.no/no/sub/eos-notatbasen/notatene/2025/okt/retting-av-sprakversjoner-til-forordning-13212014/id3125571/</vt:lpwstr>
      </vt:variant>
      <vt:variant>
        <vt:lpwstr/>
      </vt:variant>
      <vt:variant>
        <vt:i4>3801136</vt:i4>
      </vt:variant>
      <vt:variant>
        <vt:i4>321</vt:i4>
      </vt:variant>
      <vt:variant>
        <vt:i4>0</vt:i4>
      </vt:variant>
      <vt:variant>
        <vt:i4>5</vt:i4>
      </vt:variant>
      <vt:variant>
        <vt:lpwstr>https://www.regjeringen.no/no/sub/eos-notatbasen/notatene/2025/okt/retting-av-sprakversjon-endring-av-forordning-eu-2019317/id3130852/</vt:lpwstr>
      </vt:variant>
      <vt:variant>
        <vt:lpwstr/>
      </vt:variant>
      <vt:variant>
        <vt:i4>262158</vt:i4>
      </vt:variant>
      <vt:variant>
        <vt:i4>318</vt:i4>
      </vt:variant>
      <vt:variant>
        <vt:i4>0</vt:i4>
      </vt:variant>
      <vt:variant>
        <vt:i4>5</vt:i4>
      </vt:variant>
      <vt:variant>
        <vt:lpwstr>https://www.regjeringen.no/no/sub/eos-notatbasen/notatene/2025/jan/eu-20243128-nye-indikatorer-for-ytelses-og-avgiftsstyringen/id3092831/</vt:lpwstr>
      </vt:variant>
      <vt:variant>
        <vt:lpwstr/>
      </vt:variant>
      <vt:variant>
        <vt:i4>917507</vt:i4>
      </vt:variant>
      <vt:variant>
        <vt:i4>315</vt:i4>
      </vt:variant>
      <vt:variant>
        <vt:i4>0</vt:i4>
      </vt:variant>
      <vt:variant>
        <vt:i4>5</vt:i4>
      </vt:variant>
      <vt:variant>
        <vt:lpwstr>https://www.regjeringen.no/no/sub/eos-notatbasen/notatene/2025/feb/rapporteringskrav-innen-veitransport-og-luftfart-beslutning/id3089653/</vt:lpwstr>
      </vt:variant>
      <vt:variant>
        <vt:lpwstr/>
      </vt:variant>
      <vt:variant>
        <vt:i4>5242965</vt:i4>
      </vt:variant>
      <vt:variant>
        <vt:i4>312</vt:i4>
      </vt:variant>
      <vt:variant>
        <vt:i4>0</vt:i4>
      </vt:variant>
      <vt:variant>
        <vt:i4>5</vt:i4>
      </vt:variant>
      <vt:variant>
        <vt:lpwstr>https://www.regjeringen.no/no/sub/eos-notatbasen/notatene/2025/feb/opinion-no-072024-rmt.0749/id3087596/</vt:lpwstr>
      </vt:variant>
      <vt:variant>
        <vt:lpwstr/>
      </vt:variant>
      <vt:variant>
        <vt:i4>7602222</vt:i4>
      </vt:variant>
      <vt:variant>
        <vt:i4>309</vt:i4>
      </vt:variant>
      <vt:variant>
        <vt:i4>0</vt:i4>
      </vt:variant>
      <vt:variant>
        <vt:i4>5</vt:i4>
      </vt:variant>
      <vt:variant>
        <vt:lpwstr>https://www.regjeringen.no/no/sub/eos-notatbasen/notatene/2022/sep/repository-of-information-sentralt-datalager-rmt.0732/id3017808/</vt:lpwstr>
      </vt:variant>
      <vt:variant>
        <vt:lpwstr/>
      </vt:variant>
      <vt:variant>
        <vt:i4>4784204</vt:i4>
      </vt:variant>
      <vt:variant>
        <vt:i4>306</vt:i4>
      </vt:variant>
      <vt:variant>
        <vt:i4>0</vt:i4>
      </vt:variant>
      <vt:variant>
        <vt:i4>5</vt:i4>
      </vt:variant>
      <vt:variant>
        <vt:lpwstr>https://www.regjeringen.no/no/sub/eos-notatbasen/notatene/2025/juni/endringer-i-tsi-wag-overforing-av-krav-fra-rid-gnistfangere-og-festemekanisme-for-semitrailere/id3133635/</vt:lpwstr>
      </vt:variant>
      <vt:variant>
        <vt:lpwstr/>
      </vt:variant>
      <vt:variant>
        <vt:i4>7536763</vt:i4>
      </vt:variant>
      <vt:variant>
        <vt:i4>303</vt:i4>
      </vt:variant>
      <vt:variant>
        <vt:i4>0</vt:i4>
      </vt:variant>
      <vt:variant>
        <vt:i4>5</vt:i4>
      </vt:variant>
      <vt:variant>
        <vt:lpwstr>https://www.regjeringen.no/no/sub/eos-notatbasen/notatene/2025/aug/fartsskriverforordningen-krav-til-opplaring-av-kontrolloffiserer-for-analyse-og-kontroll-av-fartsskrivere/id3130851/</vt:lpwstr>
      </vt:variant>
      <vt:variant>
        <vt:lpwstr/>
      </vt:variant>
      <vt:variant>
        <vt:i4>6881323</vt:i4>
      </vt:variant>
      <vt:variant>
        <vt:i4>300</vt:i4>
      </vt:variant>
      <vt:variant>
        <vt:i4>0</vt:i4>
      </vt:variant>
      <vt:variant>
        <vt:i4>5</vt:i4>
      </vt:variant>
      <vt:variant>
        <vt:lpwstr>https://www.regjeringen.no/no/sub/eos-notatbasen/notatene/2025/feb/endringer-i-kjore-og-hviletidsforordningen-knyttet-til-persontransport-utenfor-rute-og-i-fartsskriverforordningen/id3093937/</vt:lpwstr>
      </vt:variant>
      <vt:variant>
        <vt:lpwstr/>
      </vt:variant>
      <vt:variant>
        <vt:i4>2228273</vt:i4>
      </vt:variant>
      <vt:variant>
        <vt:i4>297</vt:i4>
      </vt:variant>
      <vt:variant>
        <vt:i4>0</vt:i4>
      </vt:variant>
      <vt:variant>
        <vt:i4>5</vt:i4>
      </vt:variant>
      <vt:variant>
        <vt:lpwstr>https://www.regjeringen.no/no/sub/eos-notatbasen/notatene/2024/des/kommisjonens-vedtak-om-endring-av-minimumskrav-til-data-i-det-nasjonale-elektroniske-registeret-for-varetransportforetak/id3103255/</vt:lpwstr>
      </vt:variant>
      <vt:variant>
        <vt:lpwstr/>
      </vt:variant>
      <vt:variant>
        <vt:i4>2621563</vt:i4>
      </vt:variant>
      <vt:variant>
        <vt:i4>294</vt:i4>
      </vt:variant>
      <vt:variant>
        <vt:i4>0</vt:i4>
      </vt:variant>
      <vt:variant>
        <vt:i4>5</vt:i4>
      </vt:variant>
      <vt:variant>
        <vt:lpwstr>https://www.regjeringen.no/no/sub/eos-notatbasen/notatene/2024/des/gjennomforingsrettsakt-om-data-for-utleiekjoretoy-som-skal-inn-i-elektronisk-register/id3087021/</vt:lpwstr>
      </vt:variant>
      <vt:variant>
        <vt:lpwstr/>
      </vt:variant>
      <vt:variant>
        <vt:i4>1048640</vt:i4>
      </vt:variant>
      <vt:variant>
        <vt:i4>291</vt:i4>
      </vt:variant>
      <vt:variant>
        <vt:i4>0</vt:i4>
      </vt:variant>
      <vt:variant>
        <vt:i4>5</vt:i4>
      </vt:variant>
      <vt:variant>
        <vt:lpwstr>https://www.regjeringen.no/no/sub/eos-notatbasen/notatene/2025/nov/utslipp-fra-tunge-kjoretoy-utslippsverdier-og-rapportering-for-2023/id3141784/</vt:lpwstr>
      </vt:variant>
      <vt:variant>
        <vt:lpwstr/>
      </vt:variant>
      <vt:variant>
        <vt:i4>2097261</vt:i4>
      </vt:variant>
      <vt:variant>
        <vt:i4>288</vt:i4>
      </vt:variant>
      <vt:variant>
        <vt:i4>0</vt:i4>
      </vt:variant>
      <vt:variant>
        <vt:i4>5</vt:i4>
      </vt:variant>
      <vt:variant>
        <vt:lpwstr>https://www.regjeringen.no/no/sub/eos-notatbasen/notatene/2025/nov/typegodkjenningskrav-knyttet-til-ecall-systemet-endringsbestemmelser/id3142270/</vt:lpwstr>
      </vt:variant>
      <vt:variant>
        <vt:lpwstr/>
      </vt:variant>
      <vt:variant>
        <vt:i4>1179737</vt:i4>
      </vt:variant>
      <vt:variant>
        <vt:i4>285</vt:i4>
      </vt:variant>
      <vt:variant>
        <vt:i4>0</vt:i4>
      </vt:variant>
      <vt:variant>
        <vt:i4>5</vt:i4>
      </vt:variant>
      <vt:variant>
        <vt:lpwstr>https://www.regjeringen.no/no/sub/eos-notatbasen/notatene/2025/nov/krav-til-typegodkjenning-av-kjoretoy-i-klasse-l-endringsbestemmelser-om-beskyttelse-mot-cyberangrep/id3145149/</vt:lpwstr>
      </vt:variant>
      <vt:variant>
        <vt:lpwstr/>
      </vt:variant>
      <vt:variant>
        <vt:i4>4325381</vt:i4>
      </vt:variant>
      <vt:variant>
        <vt:i4>282</vt:i4>
      </vt:variant>
      <vt:variant>
        <vt:i4>0</vt:i4>
      </vt:variant>
      <vt:variant>
        <vt:i4>5</vt:i4>
      </vt:variant>
      <vt:variant>
        <vt:lpwstr>https://www.regjeringen.no/no/sub/eos-notatbasen/notatene/2025/okt/tekniske-forskrifter-for-fartoy-pa-indre-vannvei-oppdatering-av-referansen-til-den-nyeste-europeiske-standarden/id3128327/</vt:lpwstr>
      </vt:variant>
      <vt:variant>
        <vt:lpwstr/>
      </vt:variant>
      <vt:variant>
        <vt:i4>131136</vt:i4>
      </vt:variant>
      <vt:variant>
        <vt:i4>279</vt:i4>
      </vt:variant>
      <vt:variant>
        <vt:i4>0</vt:i4>
      </vt:variant>
      <vt:variant>
        <vt:i4>5</vt:i4>
      </vt:variant>
      <vt:variant>
        <vt:lpwstr>https://www.regjeringen.no/no/sub/eos-notatbasen/notatene/2025/mai/delegert-kommisjonsdirektiv-om-endringer-av-minstekravene-til-veterinarutdanningen-i-yrkeskvalifikasjonsdirektivet/id3107641/</vt:lpwstr>
      </vt:variant>
      <vt:variant>
        <vt:lpwstr/>
      </vt:variant>
      <vt:variant>
        <vt:i4>4718597</vt:i4>
      </vt:variant>
      <vt:variant>
        <vt:i4>276</vt:i4>
      </vt:variant>
      <vt:variant>
        <vt:i4>0</vt:i4>
      </vt:variant>
      <vt:variant>
        <vt:i4>5</vt:i4>
      </vt:variant>
      <vt:variant>
        <vt:lpwstr>https://www.regjeringen.no/no/sub/eos-notatbasen/notatene/2025/aug/delegert-kommisjonsbeslutning-om-endring-av-vedlegg-v-til-yrkeskvalifikasjonsdirektivet/id3134624/</vt:lpwstr>
      </vt:variant>
      <vt:variant>
        <vt:lpwstr/>
      </vt:variant>
      <vt:variant>
        <vt:i4>3604518</vt:i4>
      </vt:variant>
      <vt:variant>
        <vt:i4>273</vt:i4>
      </vt:variant>
      <vt:variant>
        <vt:i4>0</vt:i4>
      </vt:variant>
      <vt:variant>
        <vt:i4>5</vt:i4>
      </vt:variant>
      <vt:variant>
        <vt:lpwstr>https://www.regjeringen.no/no/sub/eos-notatbasen/notatene/2024/okt/definisjon-av-offshoreskip-og-regler-for-nultelling-av-barekraftige-drivstoff/id3078749/</vt:lpwstr>
      </vt:variant>
      <vt:variant>
        <vt:lpwstr/>
      </vt:variant>
      <vt:variant>
        <vt:i4>2097248</vt:i4>
      </vt:variant>
      <vt:variant>
        <vt:i4>270</vt:i4>
      </vt:variant>
      <vt:variant>
        <vt:i4>0</vt:i4>
      </vt:variant>
      <vt:variant>
        <vt:i4>5</vt:i4>
      </vt:variant>
      <vt:variant>
        <vt:lpwstr>https://www.regjeringen.no/no/sub/eos-notatbasen/notatene/2025/mai/forordning-om-liste-over-land-som-eu-anser-at-deltar-i-corsia-i-2025/id3119027/</vt:lpwstr>
      </vt:variant>
      <vt:variant>
        <vt:lpwstr/>
      </vt:variant>
      <vt:variant>
        <vt:i4>7274529</vt:i4>
      </vt:variant>
      <vt:variant>
        <vt:i4>267</vt:i4>
      </vt:variant>
      <vt:variant>
        <vt:i4>0</vt:i4>
      </vt:variant>
      <vt:variant>
        <vt:i4>5</vt:i4>
      </vt:variant>
      <vt:variant>
        <vt:lpwstr>https://www.regjeringen.no/no/sub/eos-notatbasen/notatene/2024/nov/stater-som-anses-a-gjennomfore-corsia-for-utslipp-i-2024/id3078598/</vt:lpwstr>
      </vt:variant>
      <vt:variant>
        <vt:lpwstr/>
      </vt:variant>
      <vt:variant>
        <vt:i4>5898332</vt:i4>
      </vt:variant>
      <vt:variant>
        <vt:i4>264</vt:i4>
      </vt:variant>
      <vt:variant>
        <vt:i4>0</vt:i4>
      </vt:variant>
      <vt:variant>
        <vt:i4>5</vt:i4>
      </vt:variant>
      <vt:variant>
        <vt:lpwstr>https://www.regjeringen.no/no/sub/eos-notatbasen/notatene/2025/feb/kjemisk-tilstand-under-vanndirektivet-observasjonsliste-for-stoffer-i-vann-2025/id3092571/</vt:lpwstr>
      </vt:variant>
      <vt:variant>
        <vt:lpwstr/>
      </vt:variant>
      <vt:variant>
        <vt:i4>6422645</vt:i4>
      </vt:variant>
      <vt:variant>
        <vt:i4>261</vt:i4>
      </vt:variant>
      <vt:variant>
        <vt:i4>0</vt:i4>
      </vt:variant>
      <vt:variant>
        <vt:i4>5</vt:i4>
      </vt:variant>
      <vt:variant>
        <vt:lpwstr>https://www.regjeringen.no/no/sub/eos-notatbasen/notatene/2025/juni/mr-forordningen-retting-av-sprakversjon/id3108827/</vt:lpwstr>
      </vt:variant>
      <vt:variant>
        <vt:lpwstr/>
      </vt:variant>
      <vt:variant>
        <vt:i4>4849741</vt:i4>
      </vt:variant>
      <vt:variant>
        <vt:i4>258</vt:i4>
      </vt:variant>
      <vt:variant>
        <vt:i4>0</vt:i4>
      </vt:variant>
      <vt:variant>
        <vt:i4>5</vt:i4>
      </vt:variant>
      <vt:variant>
        <vt:lpwstr>https://www.regjeringen.no/no/sub/eos-notatbasen/notatene/2025/okt/biocid-forlengelse-av-utlopsdato-for-pythium-oligandrum-stamme-m1-pt-10/id3125167/</vt:lpwstr>
      </vt:variant>
      <vt:variant>
        <vt:lpwstr/>
      </vt:variant>
      <vt:variant>
        <vt:i4>3014710</vt:i4>
      </vt:variant>
      <vt:variant>
        <vt:i4>255</vt:i4>
      </vt:variant>
      <vt:variant>
        <vt:i4>0</vt:i4>
      </vt:variant>
      <vt:variant>
        <vt:i4>5</vt:i4>
      </vt:variant>
      <vt:variant>
        <vt:lpwstr>https://www.regjeringen.no/no/sub/eos-notatbasen/notatene/2025/jan/reachgebyrer/id3085246/</vt:lpwstr>
      </vt:variant>
      <vt:variant>
        <vt:lpwstr/>
      </vt:variant>
      <vt:variant>
        <vt:i4>3211302</vt:i4>
      </vt:variant>
      <vt:variant>
        <vt:i4>252</vt:i4>
      </vt:variant>
      <vt:variant>
        <vt:i4>0</vt:i4>
      </vt:variant>
      <vt:variant>
        <vt:i4>5</vt:i4>
      </vt:variant>
      <vt:variant>
        <vt:lpwstr>https://www.regjeringen.no/no/sub/eos-notatbasen/notatene/2025/feb/popspbde/id3090089/</vt:lpwstr>
      </vt:variant>
      <vt:variant>
        <vt:lpwstr/>
      </vt:variant>
      <vt:variant>
        <vt:i4>4915227</vt:i4>
      </vt:variant>
      <vt:variant>
        <vt:i4>249</vt:i4>
      </vt:variant>
      <vt:variant>
        <vt:i4>0</vt:i4>
      </vt:variant>
      <vt:variant>
        <vt:i4>5</vt:i4>
      </vt:variant>
      <vt:variant>
        <vt:lpwstr>https://www.regjeringen.no/no/sub/eos-notatbasen/notatene/2025/juli/rohs2-vedlegg-iii-fornying-av-fem-unntak-6a-6a-i-6b-6b-i-6b-ii-6c-tre-nye-unntak-6a-ii-6a-iii-6b-iii-bruk-av-bly-som-legeringselement-i-aluminium/id3114652/</vt:lpwstr>
      </vt:variant>
      <vt:variant>
        <vt:lpwstr/>
      </vt:variant>
      <vt:variant>
        <vt:i4>3604526</vt:i4>
      </vt:variant>
      <vt:variant>
        <vt:i4>246</vt:i4>
      </vt:variant>
      <vt:variant>
        <vt:i4>0</vt:i4>
      </vt:variant>
      <vt:variant>
        <vt:i4>5</vt:i4>
      </vt:variant>
      <vt:variant>
        <vt:lpwstr>https://www.regjeringen.no/no/sub/eos-notatbasen/notatene/2025/juni/rohs2-vedlegg-iii-to-nye-unntak-7c-v-vi-bruk-av-bly-i-glass-eller-keramiske-komponenter/id3114650/</vt:lpwstr>
      </vt:variant>
      <vt:variant>
        <vt:lpwstr/>
      </vt:variant>
      <vt:variant>
        <vt:i4>3145765</vt:i4>
      </vt:variant>
      <vt:variant>
        <vt:i4>243</vt:i4>
      </vt:variant>
      <vt:variant>
        <vt:i4>0</vt:i4>
      </vt:variant>
      <vt:variant>
        <vt:i4>5</vt:i4>
      </vt:variant>
      <vt:variant>
        <vt:lpwstr>https://www.regjeringen.no/no/sub/eos-notatbasen/notatene/2025/juli/rohs2-vedlegg-iii-sju-nye-unntak-7a-i-ii-iii-iv-v-vi-bruk-av-bly-i-glass-eller-keramiske-komponenter-blybaserte-legeringer-som-inneholder-85/id3114651/</vt:lpwstr>
      </vt:variant>
      <vt:variant>
        <vt:lpwstr/>
      </vt:variant>
      <vt:variant>
        <vt:i4>1572894</vt:i4>
      </vt:variant>
      <vt:variant>
        <vt:i4>240</vt:i4>
      </vt:variant>
      <vt:variant>
        <vt:i4>0</vt:i4>
      </vt:variant>
      <vt:variant>
        <vt:i4>5</vt:i4>
      </vt:variant>
      <vt:variant>
        <vt:lpwstr>https://www.regjeringen.no/no/sub/eos-notatbasen/notatene/2023/des/digital-merking-av-eu-gjodselvarer/id3048184/</vt:lpwstr>
      </vt:variant>
      <vt:variant>
        <vt:lpwstr/>
      </vt:variant>
      <vt:variant>
        <vt:i4>65615</vt:i4>
      </vt:variant>
      <vt:variant>
        <vt:i4>237</vt:i4>
      </vt:variant>
      <vt:variant>
        <vt:i4>0</vt:i4>
      </vt:variant>
      <vt:variant>
        <vt:i4>5</vt:i4>
      </vt:variant>
      <vt:variant>
        <vt:lpwstr>https://www.regjeringen.no/no/sub/eos-notatbasen/notatene/2025/aug/avslag-pa-soknad-om-helsepastand-etter-artikkel-14-nr.-1-bokstav-a/id3119799/</vt:lpwstr>
      </vt:variant>
      <vt:variant>
        <vt:lpwstr/>
      </vt:variant>
      <vt:variant>
        <vt:i4>81</vt:i4>
      </vt:variant>
      <vt:variant>
        <vt:i4>234</vt:i4>
      </vt:variant>
      <vt:variant>
        <vt:i4>0</vt:i4>
      </vt:variant>
      <vt:variant>
        <vt:i4>5</vt:i4>
      </vt:variant>
      <vt:variant>
        <vt:lpwstr>https://www.regjeringen.no/no/sub/eos-notatbasen/notatene/2025/aug/kommisjonsforordning-om-godkjenning-av-helsepastand/id3119800/</vt:lpwstr>
      </vt:variant>
      <vt:variant>
        <vt:lpwstr/>
      </vt:variant>
      <vt:variant>
        <vt:i4>6160466</vt:i4>
      </vt:variant>
      <vt:variant>
        <vt:i4>231</vt:i4>
      </vt:variant>
      <vt:variant>
        <vt:i4>0</vt:i4>
      </vt:variant>
      <vt:variant>
        <vt:i4>5</vt:i4>
      </vt:variant>
      <vt:variant>
        <vt:lpwstr>https://www.regjeringen.no/no/sub/eos-notatbasen/notatene/2025/juli/ny-mat-korrigering-av-feil-i-unionslisten/id3119793/</vt:lpwstr>
      </vt:variant>
      <vt:variant>
        <vt:lpwstr/>
      </vt:variant>
      <vt:variant>
        <vt:i4>8257576</vt:i4>
      </vt:variant>
      <vt:variant>
        <vt:i4>228</vt:i4>
      </vt:variant>
      <vt:variant>
        <vt:i4>0</vt:i4>
      </vt:variant>
      <vt:variant>
        <vt:i4>5</vt:i4>
      </vt:variant>
      <vt:variant>
        <vt:lpwstr>https://www.regjeringen.no/no/sub/eos-notatbasen/notatene/2025/juli/ny-mat-endring-av-bruksvilkar-for-3-fukosyllaktose-produsert-ved-den-genetisk-modifiserte-stammen-escherichia-coli-bl21-de3/id3119790/</vt:lpwstr>
      </vt:variant>
      <vt:variant>
        <vt:lpwstr/>
      </vt:variant>
      <vt:variant>
        <vt:i4>5963851</vt:i4>
      </vt:variant>
      <vt:variant>
        <vt:i4>225</vt:i4>
      </vt:variant>
      <vt:variant>
        <vt:i4>0</vt:i4>
      </vt:variant>
      <vt:variant>
        <vt:i4>5</vt:i4>
      </vt:variant>
      <vt:variant>
        <vt:lpwstr>https://www.regjeringen.no/no/sub/eos-notatbasen/notatene/2025/juli/ny-mat-godkjenning-av-kaliummagnesium-trikloridheksahydrat/id3119795/</vt:lpwstr>
      </vt:variant>
      <vt:variant>
        <vt:lpwstr/>
      </vt:variant>
      <vt:variant>
        <vt:i4>7471224</vt:i4>
      </vt:variant>
      <vt:variant>
        <vt:i4>222</vt:i4>
      </vt:variant>
      <vt:variant>
        <vt:i4>0</vt:i4>
      </vt:variant>
      <vt:variant>
        <vt:i4>5</vt:i4>
      </vt:variant>
      <vt:variant>
        <vt:lpwstr>https://www.regjeringen.no/no/sub/eos-notatbasen/notatene/2025/juli/ny-mat-godkjenning-av-olje-fra-cuperus-esculentus-tigernott/id3119791/</vt:lpwstr>
      </vt:variant>
      <vt:variant>
        <vt:lpwstr/>
      </vt:variant>
      <vt:variant>
        <vt:i4>2359406</vt:i4>
      </vt:variant>
      <vt:variant>
        <vt:i4>219</vt:i4>
      </vt:variant>
      <vt:variant>
        <vt:i4>0</vt:i4>
      </vt:variant>
      <vt:variant>
        <vt:i4>5</vt:i4>
      </vt:variant>
      <vt:variant>
        <vt:lpwstr>https://www.regjeringen.no/no/sub/eos-notatbasen/notatene/2025/juli/ny-mat-godkjenning-olje-fra-schizochytrium-limacinum-atcc-20889/id3119792/</vt:lpwstr>
      </vt:variant>
      <vt:variant>
        <vt:lpwstr/>
      </vt:variant>
      <vt:variant>
        <vt:i4>8323126</vt:i4>
      </vt:variant>
      <vt:variant>
        <vt:i4>216</vt:i4>
      </vt:variant>
      <vt:variant>
        <vt:i4>0</vt:i4>
      </vt:variant>
      <vt:variant>
        <vt:i4>5</vt:i4>
      </vt:variant>
      <vt:variant>
        <vt:lpwstr>https://www.regjeringen.no/no/sub/eos-notatbasen/notatene/2025/juli/ny-mat-endring-av-bruksvilkar-og-merkekrav-for-olje-fra-calanus-finmarchicus-raudate/id3119794/</vt:lpwstr>
      </vt:variant>
      <vt:variant>
        <vt:lpwstr/>
      </vt:variant>
      <vt:variant>
        <vt:i4>5177436</vt:i4>
      </vt:variant>
      <vt:variant>
        <vt:i4>213</vt:i4>
      </vt:variant>
      <vt:variant>
        <vt:i4>0</vt:i4>
      </vt:variant>
      <vt:variant>
        <vt:i4>5</vt:i4>
      </vt:variant>
      <vt:variant>
        <vt:lpwstr>https://www.regjeringen.no/no/sub/eos-notatbasen/notatene/2025/juli/ny-mat-endring-av-spesfikasjoner-for-fytosterolerfytostanoler/id3116263/</vt:lpwstr>
      </vt:variant>
      <vt:variant>
        <vt:lpwstr/>
      </vt:variant>
      <vt:variant>
        <vt:i4>1376264</vt:i4>
      </vt:variant>
      <vt:variant>
        <vt:i4>210</vt:i4>
      </vt:variant>
      <vt:variant>
        <vt:i4>0</vt:i4>
      </vt:variant>
      <vt:variant>
        <vt:i4>5</vt:i4>
      </vt:variant>
      <vt:variant>
        <vt:lpwstr>https://www.regjeringen.no/no/sub/eos-notatbasen/notatene/2025/juli/ny-mat-godkjenning-ristede-fro-fra-dipteryx-alata-vogel-barunotter/id3116264/</vt:lpwstr>
      </vt:variant>
      <vt:variant>
        <vt:lpwstr/>
      </vt:variant>
      <vt:variant>
        <vt:i4>196697</vt:i4>
      </vt:variant>
      <vt:variant>
        <vt:i4>207</vt:i4>
      </vt:variant>
      <vt:variant>
        <vt:i4>0</vt:i4>
      </vt:variant>
      <vt:variant>
        <vt:i4>5</vt:i4>
      </vt:variant>
      <vt:variant>
        <vt:lpwstr>https://www.regjeringen.no/no/sub/eos-notatbasen/notatene/2025/juni/regulering-av-stoffer-til-naringsmidler-til-sarskilte-grupper/id3113555/</vt:lpwstr>
      </vt:variant>
      <vt:variant>
        <vt:lpwstr/>
      </vt:variant>
      <vt:variant>
        <vt:i4>7995426</vt:i4>
      </vt:variant>
      <vt:variant>
        <vt:i4>204</vt:i4>
      </vt:variant>
      <vt:variant>
        <vt:i4>0</vt:i4>
      </vt:variant>
      <vt:variant>
        <vt:i4>5</vt:i4>
      </vt:variant>
      <vt:variant>
        <vt:lpwstr>https://www.regjeringen.no/no/sub/eos-notatbasen/notatene/2025/aug/tilsetningsstoffer-til-naringsmidler-endringer-relatert-til-bruk-av-og-spesifikasjoner-for-kvillajaekstrakt-e-999/id3119797/</vt:lpwstr>
      </vt:variant>
      <vt:variant>
        <vt:lpwstr/>
      </vt:variant>
      <vt:variant>
        <vt:i4>1048585</vt:i4>
      </vt:variant>
      <vt:variant>
        <vt:i4>201</vt:i4>
      </vt:variant>
      <vt:variant>
        <vt:i4>0</vt:i4>
      </vt:variant>
      <vt:variant>
        <vt:i4>5</vt:i4>
      </vt:variant>
      <vt:variant>
        <vt:lpwstr>https://www.regjeringen.no/no/sub/eos-notatbasen/notatene/2025/aug/tilsetningsstoffer-til-naringsmidler-endringer-relatert-til-bruk-av-sorbinsyre-e-200-og-kaliumsorbat-e-202-i-ikke-varmebehandlede-plantebaserte-mousser/id3119796/</vt:lpwstr>
      </vt:variant>
      <vt:variant>
        <vt:lpwstr/>
      </vt:variant>
      <vt:variant>
        <vt:i4>4915277</vt:i4>
      </vt:variant>
      <vt:variant>
        <vt:i4>198</vt:i4>
      </vt:variant>
      <vt:variant>
        <vt:i4>0</vt:i4>
      </vt:variant>
      <vt:variant>
        <vt:i4>5</vt:i4>
      </vt:variant>
      <vt:variant>
        <vt:lpwstr>https://www.regjeringen.no/no/sub/eos-notatbasen/notatene/2025/aug/tilsetningsstoffer-til-naringsmidler-oppdaterte-kategorier-for-naringsmidler-til-bruk-ved-spesielle-ernaringsmessige-behov/id3119801/</vt:lpwstr>
      </vt:variant>
      <vt:variant>
        <vt:lpwstr/>
      </vt:variant>
      <vt:variant>
        <vt:i4>1245193</vt:i4>
      </vt:variant>
      <vt:variant>
        <vt:i4>195</vt:i4>
      </vt:variant>
      <vt:variant>
        <vt:i4>0</vt:i4>
      </vt:variant>
      <vt:variant>
        <vt:i4>5</vt:i4>
      </vt:variant>
      <vt:variant>
        <vt:lpwstr>https://www.regjeringen.no/no/sub/eos-notatbasen/notatene/2025/mai/endring-av-forskrift-om-visse-forurensende-stoffer-i-naringsmidler-uorganisk-arsen/id3113552/</vt:lpwstr>
      </vt:variant>
      <vt:variant>
        <vt:lpwstr/>
      </vt:variant>
      <vt:variant>
        <vt:i4>5701657</vt:i4>
      </vt:variant>
      <vt:variant>
        <vt:i4>192</vt:i4>
      </vt:variant>
      <vt:variant>
        <vt:i4>0</vt:i4>
      </vt:variant>
      <vt:variant>
        <vt:i4>5</vt:i4>
      </vt:variant>
      <vt:variant>
        <vt:lpwstr>https://www.regjeringen.no/no/sub/eos-notatbasen/notatene/2024/mars/endring-av-forskrift-om-visse-forurensende-stoffer-i-naringsmidler-nikkel/id3044757/</vt:lpwstr>
      </vt:variant>
      <vt:variant>
        <vt:lpwstr/>
      </vt:variant>
      <vt:variant>
        <vt:i4>7078014</vt:i4>
      </vt:variant>
      <vt:variant>
        <vt:i4>189</vt:i4>
      </vt:variant>
      <vt:variant>
        <vt:i4>0</vt:i4>
      </vt:variant>
      <vt:variant>
        <vt:i4>5</vt:i4>
      </vt:variant>
      <vt:variant>
        <vt:lpwstr>https://www.regjeringen.no/no/sub/eos-notatbasen/notatene/2024/mai/grenseverdier-for-meldroye-og-meldroyetoksiner-i-mat/id3044764/</vt:lpwstr>
      </vt:variant>
      <vt:variant>
        <vt:lpwstr/>
      </vt:variant>
      <vt:variant>
        <vt:i4>5701652</vt:i4>
      </vt:variant>
      <vt:variant>
        <vt:i4>186</vt:i4>
      </vt:variant>
      <vt:variant>
        <vt:i4>0</vt:i4>
      </vt:variant>
      <vt:variant>
        <vt:i4>5</vt:i4>
      </vt:variant>
      <vt:variant>
        <vt:lpwstr>https://www.regjeringen.no/no/sub/eos-notatbasen/notatene/2024/mars/endring-og-rettelse-av-forskrift-om-visse-forurensende-stoffer-i-naringsmidler/id3044756/</vt:lpwstr>
      </vt:variant>
      <vt:variant>
        <vt:lpwstr/>
      </vt:variant>
      <vt:variant>
        <vt:i4>393280</vt:i4>
      </vt:variant>
      <vt:variant>
        <vt:i4>183</vt:i4>
      </vt:variant>
      <vt:variant>
        <vt:i4>0</vt:i4>
      </vt:variant>
      <vt:variant>
        <vt:i4>5</vt:i4>
      </vt:variant>
      <vt:variant>
        <vt:lpwstr>https://www.regjeringen.no/no/sub/eos-notatbasen/notatene/2024/feb/visse-forurensende-stoffer-i-naringsmidler-rettelse-av-latvisk-sprakversjon/id3029304/</vt:lpwstr>
      </vt:variant>
      <vt:variant>
        <vt:lpwstr/>
      </vt:variant>
      <vt:variant>
        <vt:i4>7667762</vt:i4>
      </vt:variant>
      <vt:variant>
        <vt:i4>180</vt:i4>
      </vt:variant>
      <vt:variant>
        <vt:i4>0</vt:i4>
      </vt:variant>
      <vt:variant>
        <vt:i4>5</vt:i4>
      </vt:variant>
      <vt:variant>
        <vt:lpwstr>https://www.regjeringen.no/no/sub/eos-notatbasen/notatene/2023/sep/fremmedstoffer-i-mat-mykotoksiner-t-2-og-ht-2/id3020161/</vt:lpwstr>
      </vt:variant>
      <vt:variant>
        <vt:lpwstr/>
      </vt:variant>
      <vt:variant>
        <vt:i4>6225935</vt:i4>
      </vt:variant>
      <vt:variant>
        <vt:i4>177</vt:i4>
      </vt:variant>
      <vt:variant>
        <vt:i4>0</vt:i4>
      </vt:variant>
      <vt:variant>
        <vt:i4>5</vt:i4>
      </vt:variant>
      <vt:variant>
        <vt:lpwstr>https://www.regjeringen.no/no/sub/eos-notatbasen/notatene/2023/sep/fremmedstoffer-mykotoksiner-don/id3020162/</vt:lpwstr>
      </vt:variant>
      <vt:variant>
        <vt:lpwstr/>
      </vt:variant>
      <vt:variant>
        <vt:i4>5898253</vt:i4>
      </vt:variant>
      <vt:variant>
        <vt:i4>174</vt:i4>
      </vt:variant>
      <vt:variant>
        <vt:i4>0</vt:i4>
      </vt:variant>
      <vt:variant>
        <vt:i4>5</vt:i4>
      </vt:variant>
      <vt:variant>
        <vt:lpwstr>https://www.regjeringen.no/no/sub/eos-notatbasen/notatene/2023/nov/endring-av-forordning-om-visse-forurensende-stoffer-i-naringsmidler-3-mcpd/id3017586/</vt:lpwstr>
      </vt:variant>
      <vt:variant>
        <vt:lpwstr/>
      </vt:variant>
      <vt:variant>
        <vt:i4>1835093</vt:i4>
      </vt:variant>
      <vt:variant>
        <vt:i4>171</vt:i4>
      </vt:variant>
      <vt:variant>
        <vt:i4>0</vt:i4>
      </vt:variant>
      <vt:variant>
        <vt:i4>5</vt:i4>
      </vt:variant>
      <vt:variant>
        <vt:lpwstr>https://www.regjeringen.no/no/sub/eos-notatbasen/notatene/2023/nov/endring-av-forordning-om-visse-forurensende-stoffer-i-naringsmidler-perklorat-i-bonner/id3017587/</vt:lpwstr>
      </vt:variant>
      <vt:variant>
        <vt:lpwstr/>
      </vt:variant>
      <vt:variant>
        <vt:i4>458846</vt:i4>
      </vt:variant>
      <vt:variant>
        <vt:i4>168</vt:i4>
      </vt:variant>
      <vt:variant>
        <vt:i4>0</vt:i4>
      </vt:variant>
      <vt:variant>
        <vt:i4>5</vt:i4>
      </vt:variant>
      <vt:variant>
        <vt:lpwstr>https://www.regjeringen.no/no/sub/eos-notatbasen/notatene/2023/sep/visse-forurensende-stoffer-i-naringsmidler-grenseverdier-for-kadmium-i-tigernotter-og-sopp/id3012951/</vt:lpwstr>
      </vt:variant>
      <vt:variant>
        <vt:lpwstr/>
      </vt:variant>
      <vt:variant>
        <vt:i4>1572886</vt:i4>
      </vt:variant>
      <vt:variant>
        <vt:i4>165</vt:i4>
      </vt:variant>
      <vt:variant>
        <vt:i4>0</vt:i4>
      </vt:variant>
      <vt:variant>
        <vt:i4>5</vt:i4>
      </vt:variant>
      <vt:variant>
        <vt:lpwstr>https://www.regjeringen.no/no/sub/eos-notatbasen/notatene/2023/mai/endring-av-forskrift-om-visse-forurensende-stoffer-i-naringsmidler/id2993821/</vt:lpwstr>
      </vt:variant>
      <vt:variant>
        <vt:lpwstr/>
      </vt:variant>
      <vt:variant>
        <vt:i4>4653069</vt:i4>
      </vt:variant>
      <vt:variant>
        <vt:i4>162</vt:i4>
      </vt:variant>
      <vt:variant>
        <vt:i4>0</vt:i4>
      </vt:variant>
      <vt:variant>
        <vt:i4>5</vt:i4>
      </vt:variant>
      <vt:variant>
        <vt:lpwstr>https://www.regjeringen.no/no/sub/eos-notatbasen/notatene/2021/mai/endring-av-regelverk-om-visse-forurensende-stoffer-i-naringsmidler-kadmium/id2850959/</vt:lpwstr>
      </vt:variant>
      <vt:variant>
        <vt:lpwstr/>
      </vt:variant>
      <vt:variant>
        <vt:i4>4259861</vt:i4>
      </vt:variant>
      <vt:variant>
        <vt:i4>159</vt:i4>
      </vt:variant>
      <vt:variant>
        <vt:i4>0</vt:i4>
      </vt:variant>
      <vt:variant>
        <vt:i4>5</vt:i4>
      </vt:variant>
      <vt:variant>
        <vt:lpwstr>https://www.regjeringen.no/no/sub/eos-notatbasen/notatene/2024/apr/endring-av-forordning-om-kontroll-av-visse-forurensende-stoffer-i-naringsmidler-nikkel/id3044762/</vt:lpwstr>
      </vt:variant>
      <vt:variant>
        <vt:lpwstr/>
      </vt:variant>
      <vt:variant>
        <vt:i4>3276906</vt:i4>
      </vt:variant>
      <vt:variant>
        <vt:i4>156</vt:i4>
      </vt:variant>
      <vt:variant>
        <vt:i4>0</vt:i4>
      </vt:variant>
      <vt:variant>
        <vt:i4>5</vt:i4>
      </vt:variant>
      <vt:variant>
        <vt:lpwstr>https://www.regjeringen.no/no/sub/eos-notatbasen/notatene/2025/aug/endring-av-matkontaktforskriften-materialer-og-artikler-av-plast/id3119802/</vt:lpwstr>
      </vt:variant>
      <vt:variant>
        <vt:lpwstr/>
      </vt:variant>
      <vt:variant>
        <vt:i4>3145786</vt:i4>
      </vt:variant>
      <vt:variant>
        <vt:i4>153</vt:i4>
      </vt:variant>
      <vt:variant>
        <vt:i4>0</vt:i4>
      </vt:variant>
      <vt:variant>
        <vt:i4>5</vt:i4>
      </vt:variant>
      <vt:variant>
        <vt:lpwstr>https://www.regjeringen.no/no/sub/eos-notatbasen/notatene/2025/aug/kosttilskudd-magnesium-l-threonat-tillatt-kilde-til-magnesium/id3117737/</vt:lpwstr>
      </vt:variant>
      <vt:variant>
        <vt:lpwstr/>
      </vt:variant>
      <vt:variant>
        <vt:i4>327692</vt:i4>
      </vt:variant>
      <vt:variant>
        <vt:i4>150</vt:i4>
      </vt:variant>
      <vt:variant>
        <vt:i4>0</vt:i4>
      </vt:variant>
      <vt:variant>
        <vt:i4>5</vt:i4>
      </vt:variant>
      <vt:variant>
        <vt:lpwstr>https://www.regjeringen.no/no/sub/eos-notatbasen/notatene/2025/sep/forvarer-tilsetningsstoff5/id3119808/</vt:lpwstr>
      </vt:variant>
      <vt:variant>
        <vt:lpwstr/>
      </vt:variant>
      <vt:variant>
        <vt:i4>327687</vt:i4>
      </vt:variant>
      <vt:variant>
        <vt:i4>147</vt:i4>
      </vt:variant>
      <vt:variant>
        <vt:i4>0</vt:i4>
      </vt:variant>
      <vt:variant>
        <vt:i4>5</vt:i4>
      </vt:variant>
      <vt:variant>
        <vt:lpwstr>https://www.regjeringen.no/no/sub/eos-notatbasen/notatene/2025/sep/forvarer-tilsetningsstoff3/id3119805/</vt:lpwstr>
      </vt:variant>
      <vt:variant>
        <vt:lpwstr/>
      </vt:variant>
      <vt:variant>
        <vt:i4>327687</vt:i4>
      </vt:variant>
      <vt:variant>
        <vt:i4>144</vt:i4>
      </vt:variant>
      <vt:variant>
        <vt:i4>0</vt:i4>
      </vt:variant>
      <vt:variant>
        <vt:i4>5</vt:i4>
      </vt:variant>
      <vt:variant>
        <vt:lpwstr>https://www.regjeringen.no/no/sub/eos-notatbasen/notatene/2025/sep/forvarer-tilsetningsstoff2/id3119804/</vt:lpwstr>
      </vt:variant>
      <vt:variant>
        <vt:lpwstr/>
      </vt:variant>
      <vt:variant>
        <vt:i4>327694</vt:i4>
      </vt:variant>
      <vt:variant>
        <vt:i4>141</vt:i4>
      </vt:variant>
      <vt:variant>
        <vt:i4>0</vt:i4>
      </vt:variant>
      <vt:variant>
        <vt:i4>5</vt:i4>
      </vt:variant>
      <vt:variant>
        <vt:lpwstr>https://www.regjeringen.no/no/sub/eos-notatbasen/notatene/2025/sep/forvarer-tilsetningsstoff6/id3119809/</vt:lpwstr>
      </vt:variant>
      <vt:variant>
        <vt:lpwstr/>
      </vt:variant>
      <vt:variant>
        <vt:i4>983047</vt:i4>
      </vt:variant>
      <vt:variant>
        <vt:i4>138</vt:i4>
      </vt:variant>
      <vt:variant>
        <vt:i4>0</vt:i4>
      </vt:variant>
      <vt:variant>
        <vt:i4>5</vt:i4>
      </vt:variant>
      <vt:variant>
        <vt:lpwstr>https://www.regjeringen.no/no/sub/eos-notatbasen/notatene/2025/sep/forvarer-tilsetningsstoff7/id3122319/</vt:lpwstr>
      </vt:variant>
      <vt:variant>
        <vt:lpwstr/>
      </vt:variant>
      <vt:variant>
        <vt:i4>1835101</vt:i4>
      </vt:variant>
      <vt:variant>
        <vt:i4>135</vt:i4>
      </vt:variant>
      <vt:variant>
        <vt:i4>0</vt:i4>
      </vt:variant>
      <vt:variant>
        <vt:i4>5</vt:i4>
      </vt:variant>
      <vt:variant>
        <vt:lpwstr>https://www.regjeringen.no/no/sub/eos-notatbasen/notatene/2025/sep/fortilsetningsstoff/id3122317/</vt:lpwstr>
      </vt:variant>
      <vt:variant>
        <vt:lpwstr/>
      </vt:variant>
      <vt:variant>
        <vt:i4>2490485</vt:i4>
      </vt:variant>
      <vt:variant>
        <vt:i4>132</vt:i4>
      </vt:variant>
      <vt:variant>
        <vt:i4>0</vt:i4>
      </vt:variant>
      <vt:variant>
        <vt:i4>5</vt:i4>
      </vt:variant>
      <vt:variant>
        <vt:lpwstr>https://www.regjeringen.no/no/sub/eos-notatbasen/notatene/2025/sep/fortilsetningsstoff2/id3122318/</vt:lpwstr>
      </vt:variant>
      <vt:variant>
        <vt:lpwstr/>
      </vt:variant>
      <vt:variant>
        <vt:i4>2556029</vt:i4>
      </vt:variant>
      <vt:variant>
        <vt:i4>129</vt:i4>
      </vt:variant>
      <vt:variant>
        <vt:i4>0</vt:i4>
      </vt:variant>
      <vt:variant>
        <vt:i4>5</vt:i4>
      </vt:variant>
      <vt:variant>
        <vt:lpwstr>https://www.regjeringen.no/no/sub/eos-notatbasen/notatene/2025/sep/fortilsetningsstoff4/id3125772/</vt:lpwstr>
      </vt:variant>
      <vt:variant>
        <vt:lpwstr/>
      </vt:variant>
      <vt:variant>
        <vt:i4>2556025</vt:i4>
      </vt:variant>
      <vt:variant>
        <vt:i4>126</vt:i4>
      </vt:variant>
      <vt:variant>
        <vt:i4>0</vt:i4>
      </vt:variant>
      <vt:variant>
        <vt:i4>5</vt:i4>
      </vt:variant>
      <vt:variant>
        <vt:lpwstr>https://www.regjeringen.no/no/sub/eos-notatbasen/notatene/2025/sep/fortilsetningsstoff3/id3125771/</vt:lpwstr>
      </vt:variant>
      <vt:variant>
        <vt:lpwstr/>
      </vt:variant>
      <vt:variant>
        <vt:i4>327757</vt:i4>
      </vt:variant>
      <vt:variant>
        <vt:i4>123</vt:i4>
      </vt:variant>
      <vt:variant>
        <vt:i4>0</vt:i4>
      </vt:variant>
      <vt:variant>
        <vt:i4>5</vt:i4>
      </vt:variant>
      <vt:variant>
        <vt:lpwstr>https://www.regjeringen.no/no/sub/eos-notatbasen/notatene/2025/juli/forvarer-tilsetningsstoff/id3115747/</vt:lpwstr>
      </vt:variant>
      <vt:variant>
        <vt:lpwstr/>
      </vt:variant>
      <vt:variant>
        <vt:i4>327683</vt:i4>
      </vt:variant>
      <vt:variant>
        <vt:i4>120</vt:i4>
      </vt:variant>
      <vt:variant>
        <vt:i4>0</vt:i4>
      </vt:variant>
      <vt:variant>
        <vt:i4>5</vt:i4>
      </vt:variant>
      <vt:variant>
        <vt:lpwstr>https://www.regjeringen.no/no/sub/eos-notatbasen/notatene/2025/sep/forvarer-tilsetningsstoff4/id3119806/</vt:lpwstr>
      </vt:variant>
      <vt:variant>
        <vt:lpwstr/>
      </vt:variant>
      <vt:variant>
        <vt:i4>6357033</vt:i4>
      </vt:variant>
      <vt:variant>
        <vt:i4>117</vt:i4>
      </vt:variant>
      <vt:variant>
        <vt:i4>0</vt:i4>
      </vt:variant>
      <vt:variant>
        <vt:i4>5</vt:i4>
      </vt:variant>
      <vt:variant>
        <vt:lpwstr>https://www.regjeringen.no/no/sub/eos-notatbasen/notatene/2023/nov/avtale-om-vareflyt-fra-uk-til-nord-irland-etter-brexit-ny-avtale-20231231/id3016524/</vt:lpwstr>
      </vt:variant>
      <vt:variant>
        <vt:lpwstr/>
      </vt:variant>
      <vt:variant>
        <vt:i4>1441822</vt:i4>
      </vt:variant>
      <vt:variant>
        <vt:i4>114</vt:i4>
      </vt:variant>
      <vt:variant>
        <vt:i4>0</vt:i4>
      </vt:variant>
      <vt:variant>
        <vt:i4>5</vt:i4>
      </vt:variant>
      <vt:variant>
        <vt:lpwstr>https://www.regjeringen.no/no/sub/eos-notatbasen/notatene/2025/apr/biproduktforordningen-endringsbestemmelser-om-krav-til-import-av-brukt-matolje/id3101129/</vt:lpwstr>
      </vt:variant>
      <vt:variant>
        <vt:lpwstr/>
      </vt:variant>
      <vt:variant>
        <vt:i4>196680</vt:i4>
      </vt:variant>
      <vt:variant>
        <vt:i4>111</vt:i4>
      </vt:variant>
      <vt:variant>
        <vt:i4>0</vt:i4>
      </vt:variant>
      <vt:variant>
        <vt:i4>5</vt:i4>
      </vt:variant>
      <vt:variant>
        <vt:lpwstr>https://www.regjeringen.no/no/sub/eos-notatbasen/notatene/2025/mai/ocr-oppdatering-av-krav-for-grensekontrollstasjoner-endring-av-20191014/id3113550/</vt:lpwstr>
      </vt:variant>
      <vt:variant>
        <vt:lpwstr/>
      </vt:variant>
      <vt:variant>
        <vt:i4>4456538</vt:i4>
      </vt:variant>
      <vt:variant>
        <vt:i4>108</vt:i4>
      </vt:variant>
      <vt:variant>
        <vt:i4>0</vt:i4>
      </vt:variant>
      <vt:variant>
        <vt:i4>5</vt:i4>
      </vt:variant>
      <vt:variant>
        <vt:lpwstr>https://www.regjeringen.no/no/sub/eos-notatbasen/notatene/2025/juli/medisinsk-utstyr-elektroniske-bruksanvisninger/id3114334/</vt:lpwstr>
      </vt:variant>
      <vt:variant>
        <vt:lpwstr/>
      </vt:variant>
      <vt:variant>
        <vt:i4>458769</vt:i4>
      </vt:variant>
      <vt:variant>
        <vt:i4>105</vt:i4>
      </vt:variant>
      <vt:variant>
        <vt:i4>0</vt:i4>
      </vt:variant>
      <vt:variant>
        <vt:i4>5</vt:i4>
      </vt:variant>
      <vt:variant>
        <vt:lpwstr>https://www.regjeringen.no/no/sub/eos-notatbasen/notatene/2023/juni/sarlige-regler-om-legemidler-til-mennesker-for-markedsforing-i-nord-irland-og-om-endring-av-direktiv-200183ef/id3017446/</vt:lpwstr>
      </vt:variant>
      <vt:variant>
        <vt:lpwstr/>
      </vt:variant>
      <vt:variant>
        <vt:i4>7143533</vt:i4>
      </vt:variant>
      <vt:variant>
        <vt:i4>102</vt:i4>
      </vt:variant>
      <vt:variant>
        <vt:i4>0</vt:i4>
      </vt:variant>
      <vt:variant>
        <vt:i4>5</vt:i4>
      </vt:variant>
      <vt:variant>
        <vt:lpwstr>https://www.regjeringen.no/no/sub/eos-notatbasen/notatene/2022/juni/direktiv-om-endringsbestemmelser-om-unntak-fra-visse-forpliktelser-om-legemidler-for-nord-irland-kypros-irland-og-malta/id2918217/</vt:lpwstr>
      </vt:variant>
      <vt:variant>
        <vt:lpwstr/>
      </vt:variant>
      <vt:variant>
        <vt:i4>6619178</vt:i4>
      </vt:variant>
      <vt:variant>
        <vt:i4>99</vt:i4>
      </vt:variant>
      <vt:variant>
        <vt:i4>0</vt:i4>
      </vt:variant>
      <vt:variant>
        <vt:i4>5</vt:i4>
      </vt:variant>
      <vt:variant>
        <vt:lpwstr>https://www.regjeringen.no/no/sub/eos-notatbasen/notatene/2025/okt/gjennomforingsforordning-om-variablene-for-arbeidsorganisering-og-arbeidstidsordninger-og-arbeidsulykker-og-arbeidsrelaterte-helseproblemer-i-arbeidskraftundersokelsen-i-2027-og-2028/id3122329/</vt:lpwstr>
      </vt:variant>
      <vt:variant>
        <vt:lpwstr/>
      </vt:variant>
      <vt:variant>
        <vt:i4>4849743</vt:i4>
      </vt:variant>
      <vt:variant>
        <vt:i4>96</vt:i4>
      </vt:variant>
      <vt:variant>
        <vt:i4>0</vt:i4>
      </vt:variant>
      <vt:variant>
        <vt:i4>5</vt:i4>
      </vt:variant>
      <vt:variant>
        <vt:lpwstr>https://www.regjeringen.no/no/sub/eos-notatbasen/notatene/2025/nov/delegert-kommisjonsforordning-om-variablene-i-undersokelsen-om-bruk-av-ikt-i-husholdningene-for-referansearet-2026/id3139838/</vt:lpwstr>
      </vt:variant>
      <vt:variant>
        <vt:lpwstr/>
      </vt:variant>
      <vt:variant>
        <vt:i4>3342387</vt:i4>
      </vt:variant>
      <vt:variant>
        <vt:i4>93</vt:i4>
      </vt:variant>
      <vt:variant>
        <vt:i4>0</vt:i4>
      </vt:variant>
      <vt:variant>
        <vt:i4>5</vt:i4>
      </vt:variant>
      <vt:variant>
        <vt:lpwstr>https://www.regjeringen.no/no/sub/eos-notatbasen/notatene/2025/des/europeisk-rammeverk-for-markeder-for-kryptoeiendeler-mica-tekniske-standarder-for-opplysninger-som-skal-innga-i-soknader-om-tillatelse-til-a-tilby-aktiva-baserte-verdier-m.m/id3141873/</vt:lpwstr>
      </vt:variant>
      <vt:variant>
        <vt:lpwstr/>
      </vt:variant>
      <vt:variant>
        <vt:i4>6422583</vt:i4>
      </vt:variant>
      <vt:variant>
        <vt:i4>90</vt:i4>
      </vt:variant>
      <vt:variant>
        <vt:i4>0</vt:i4>
      </vt:variant>
      <vt:variant>
        <vt:i4>5</vt:i4>
      </vt:variant>
      <vt:variant>
        <vt:lpwstr>https://www.regjeringen.no/no/sub/eos-notatbasen/notatene/2025/nov/utfyllende-regler-til-mica-om-forebygging-avdekking-og-rapportering-av-markedsmisbruk/id3138737/</vt:lpwstr>
      </vt:variant>
      <vt:variant>
        <vt:lpwstr/>
      </vt:variant>
      <vt:variant>
        <vt:i4>4063276</vt:i4>
      </vt:variant>
      <vt:variant>
        <vt:i4>87</vt:i4>
      </vt:variant>
      <vt:variant>
        <vt:i4>0</vt:i4>
      </vt:variant>
      <vt:variant>
        <vt:i4>5</vt:i4>
      </vt:variant>
      <vt:variant>
        <vt:lpwstr>https://www.regjeringen.no/no/sub/eos-notatbasen/notatene/2024/des/utfyllende-bestemmelser-til-mica-om-om-standardskjema-maler-og-prosedyrer-for-samarbeid-mellom-tilsynsmyndigheter/id3077930/</vt:lpwstr>
      </vt:variant>
      <vt:variant>
        <vt:lpwstr/>
      </vt:variant>
      <vt:variant>
        <vt:i4>92</vt:i4>
      </vt:variant>
      <vt:variant>
        <vt:i4>84</vt:i4>
      </vt:variant>
      <vt:variant>
        <vt:i4>0</vt:i4>
      </vt:variant>
      <vt:variant>
        <vt:i4>5</vt:i4>
      </vt:variant>
      <vt:variant>
        <vt:lpwstr>https://www.regjeringen.no/no/sub/eos-notatbasen/notatene/2025/mai/europeisk-rammeverk-for-markeder-for-kryptoverdier-mica-utfyllende-bestemmelser-om-radgivende-tilsynsorgan/id3103258/</vt:lpwstr>
      </vt:variant>
      <vt:variant>
        <vt:lpwstr/>
      </vt:variant>
      <vt:variant>
        <vt:i4>4259907</vt:i4>
      </vt:variant>
      <vt:variant>
        <vt:i4>81</vt:i4>
      </vt:variant>
      <vt:variant>
        <vt:i4>0</vt:i4>
      </vt:variant>
      <vt:variant>
        <vt:i4>5</vt:i4>
      </vt:variant>
      <vt:variant>
        <vt:lpwstr>https://www.regjeringen.no/no/sub/eos-notatbasen/notatene/2025/mai/europeisk-rammeverk-for-markeder-for-kryptoverdier-mica-utfyllende-bestemmelser-for-godkjenning-av-hvitbok-om-kryptoaktiva/id3103257/</vt:lpwstr>
      </vt:variant>
      <vt:variant>
        <vt:lpwstr/>
      </vt:variant>
      <vt:variant>
        <vt:i4>8257633</vt:i4>
      </vt:variant>
      <vt:variant>
        <vt:i4>78</vt:i4>
      </vt:variant>
      <vt:variant>
        <vt:i4>0</vt:i4>
      </vt:variant>
      <vt:variant>
        <vt:i4>5</vt:i4>
      </vt:variant>
      <vt:variant>
        <vt:lpwstr>https://www.regjeringen.no/no/sub/eos-notatbasen/notatene/2025/juni/utfyllende-bestemmelser-til-dora-om-krav-til-og-maler-for-rapportering-av-alvorlige-ikt-relaterte-hendelser-og-frivillig-rapportering-av-vesentlige-cybertrusler/id3109159/</vt:lpwstr>
      </vt:variant>
      <vt:variant>
        <vt:lpwstr/>
      </vt:variant>
      <vt:variant>
        <vt:i4>917523</vt:i4>
      </vt:variant>
      <vt:variant>
        <vt:i4>75</vt:i4>
      </vt:variant>
      <vt:variant>
        <vt:i4>0</vt:i4>
      </vt:variant>
      <vt:variant>
        <vt:i4>5</vt:i4>
      </vt:variant>
      <vt:variant>
        <vt:lpwstr>https://www.regjeringen.no/no/sub/eos-notatbasen/notatene/2026/jan/endringer-i-listen-over-hoyrisikoland-i-vedlegg-til-hvitvaskingsdirektivet/id3146311/</vt:lpwstr>
      </vt:variant>
      <vt:variant>
        <vt:lpwstr/>
      </vt:variant>
      <vt:variant>
        <vt:i4>2818154</vt:i4>
      </vt:variant>
      <vt:variant>
        <vt:i4>72</vt:i4>
      </vt:variant>
      <vt:variant>
        <vt:i4>0</vt:i4>
      </vt:variant>
      <vt:variant>
        <vt:i4>5</vt:i4>
      </vt:variant>
      <vt:variant>
        <vt:lpwstr>https://www.regjeringen.no/no/sub/eos-notatbasen/notatene/2026/jan/endringer-i-listen-over-hoyrisikoland/id3146310/</vt:lpwstr>
      </vt:variant>
      <vt:variant>
        <vt:lpwstr/>
      </vt:variant>
      <vt:variant>
        <vt:i4>8192038</vt:i4>
      </vt:variant>
      <vt:variant>
        <vt:i4>69</vt:i4>
      </vt:variant>
      <vt:variant>
        <vt:i4>0</vt:i4>
      </vt:variant>
      <vt:variant>
        <vt:i4>5</vt:i4>
      </vt:variant>
      <vt:variant>
        <vt:lpwstr>https://www.regjeringen.no/no/sub/eos-notatbasen/notatene/2025/juni/soliditetskrav-til-banker-og-verdipapirforetak-endringsbestemmelser-om-rapportering/id3109158/</vt:lpwstr>
      </vt:variant>
      <vt:variant>
        <vt:lpwstr/>
      </vt:variant>
      <vt:variant>
        <vt:i4>852057</vt:i4>
      </vt:variant>
      <vt:variant>
        <vt:i4>66</vt:i4>
      </vt:variant>
      <vt:variant>
        <vt:i4>0</vt:i4>
      </vt:variant>
      <vt:variant>
        <vt:i4>5</vt:i4>
      </vt:variant>
      <vt:variant>
        <vt:lpwstr>https://www.regjeringen.no/no/sub/eos-notatbasen/notatene/2025/des/rentekurver-for-solvens-ii-30.-september-til-30.-desember-2025/id3143008/</vt:lpwstr>
      </vt:variant>
      <vt:variant>
        <vt:lpwstr/>
      </vt:variant>
      <vt:variant>
        <vt:i4>1048582</vt:i4>
      </vt:variant>
      <vt:variant>
        <vt:i4>63</vt:i4>
      </vt:variant>
      <vt:variant>
        <vt:i4>0</vt:i4>
      </vt:variant>
      <vt:variant>
        <vt:i4>5</vt:i4>
      </vt:variant>
      <vt:variant>
        <vt:lpwstr>https://www.regjeringen.no/no/sub/eos-notatbasen/notatene/2025/aug/kommisjonsbeslutning-om-tilstrekkelig-beskyttelsesniva-for-personopplysninger-i-den-europeiske-patentorganisasjonen/id3117085/</vt:lpwstr>
      </vt:variant>
      <vt:variant>
        <vt:lpwstr/>
      </vt:variant>
      <vt:variant>
        <vt:i4>1114173</vt:i4>
      </vt:variant>
      <vt:variant>
        <vt:i4>56</vt:i4>
      </vt:variant>
      <vt:variant>
        <vt:i4>0</vt:i4>
      </vt:variant>
      <vt:variant>
        <vt:i4>5</vt:i4>
      </vt:variant>
      <vt:variant>
        <vt:lpwstr/>
      </vt:variant>
      <vt:variant>
        <vt:lpwstr>_Toc219200651</vt:lpwstr>
      </vt:variant>
      <vt:variant>
        <vt:i4>1114173</vt:i4>
      </vt:variant>
      <vt:variant>
        <vt:i4>50</vt:i4>
      </vt:variant>
      <vt:variant>
        <vt:i4>0</vt:i4>
      </vt:variant>
      <vt:variant>
        <vt:i4>5</vt:i4>
      </vt:variant>
      <vt:variant>
        <vt:lpwstr/>
      </vt:variant>
      <vt:variant>
        <vt:lpwstr>_Toc219200650</vt:lpwstr>
      </vt:variant>
      <vt:variant>
        <vt:i4>1048637</vt:i4>
      </vt:variant>
      <vt:variant>
        <vt:i4>44</vt:i4>
      </vt:variant>
      <vt:variant>
        <vt:i4>0</vt:i4>
      </vt:variant>
      <vt:variant>
        <vt:i4>5</vt:i4>
      </vt:variant>
      <vt:variant>
        <vt:lpwstr/>
      </vt:variant>
      <vt:variant>
        <vt:lpwstr>_Toc219200649</vt:lpwstr>
      </vt:variant>
      <vt:variant>
        <vt:i4>1048637</vt:i4>
      </vt:variant>
      <vt:variant>
        <vt:i4>38</vt:i4>
      </vt:variant>
      <vt:variant>
        <vt:i4>0</vt:i4>
      </vt:variant>
      <vt:variant>
        <vt:i4>5</vt:i4>
      </vt:variant>
      <vt:variant>
        <vt:lpwstr/>
      </vt:variant>
      <vt:variant>
        <vt:lpwstr>_Toc219200648</vt:lpwstr>
      </vt:variant>
      <vt:variant>
        <vt:i4>1048637</vt:i4>
      </vt:variant>
      <vt:variant>
        <vt:i4>32</vt:i4>
      </vt:variant>
      <vt:variant>
        <vt:i4>0</vt:i4>
      </vt:variant>
      <vt:variant>
        <vt:i4>5</vt:i4>
      </vt:variant>
      <vt:variant>
        <vt:lpwstr/>
      </vt:variant>
      <vt:variant>
        <vt:lpwstr>_Toc219200647</vt:lpwstr>
      </vt:variant>
      <vt:variant>
        <vt:i4>1048637</vt:i4>
      </vt:variant>
      <vt:variant>
        <vt:i4>26</vt:i4>
      </vt:variant>
      <vt:variant>
        <vt:i4>0</vt:i4>
      </vt:variant>
      <vt:variant>
        <vt:i4>5</vt:i4>
      </vt:variant>
      <vt:variant>
        <vt:lpwstr/>
      </vt:variant>
      <vt:variant>
        <vt:lpwstr>_Toc219200646</vt:lpwstr>
      </vt:variant>
      <vt:variant>
        <vt:i4>1048637</vt:i4>
      </vt:variant>
      <vt:variant>
        <vt:i4>20</vt:i4>
      </vt:variant>
      <vt:variant>
        <vt:i4>0</vt:i4>
      </vt:variant>
      <vt:variant>
        <vt:i4>5</vt:i4>
      </vt:variant>
      <vt:variant>
        <vt:lpwstr/>
      </vt:variant>
      <vt:variant>
        <vt:lpwstr>_Toc219200645</vt:lpwstr>
      </vt:variant>
      <vt:variant>
        <vt:i4>1048637</vt:i4>
      </vt:variant>
      <vt:variant>
        <vt:i4>14</vt:i4>
      </vt:variant>
      <vt:variant>
        <vt:i4>0</vt:i4>
      </vt:variant>
      <vt:variant>
        <vt:i4>5</vt:i4>
      </vt:variant>
      <vt:variant>
        <vt:lpwstr/>
      </vt:variant>
      <vt:variant>
        <vt:lpwstr>_Toc219200644</vt:lpwstr>
      </vt:variant>
      <vt:variant>
        <vt:i4>1048637</vt:i4>
      </vt:variant>
      <vt:variant>
        <vt:i4>8</vt:i4>
      </vt:variant>
      <vt:variant>
        <vt:i4>0</vt:i4>
      </vt:variant>
      <vt:variant>
        <vt:i4>5</vt:i4>
      </vt:variant>
      <vt:variant>
        <vt:lpwstr/>
      </vt:variant>
      <vt:variant>
        <vt:lpwstr>_Toc219200643</vt:lpwstr>
      </vt:variant>
      <vt:variant>
        <vt:i4>1048637</vt:i4>
      </vt:variant>
      <vt:variant>
        <vt:i4>2</vt:i4>
      </vt:variant>
      <vt:variant>
        <vt:i4>0</vt:i4>
      </vt:variant>
      <vt:variant>
        <vt:i4>5</vt:i4>
      </vt:variant>
      <vt:variant>
        <vt:lpwstr/>
      </vt:variant>
      <vt:variant>
        <vt:lpwstr>_Toc219200642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Zachariassen, Hanne</dc:creator>
  <cp:keywords/>
  <cp:lastModifiedBy>Zachariassen, Hanne</cp:lastModifiedBy>
  <cp:revision>223</cp:revision>
  <cp:lastPrinted>2026-04-21T08:35:00Z</cp:lastPrinted>
  <dcterms:created xsi:type="dcterms:W3CDTF">2026-06-08T16:00:00Z</dcterms:created>
  <dcterms:modified xsi:type="dcterms:W3CDTF">2026-07-03T08:42:00Z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0x01010045E586434A937E4AB38FF5C162D1FCC4</vt:lpwstr>
  </property>
  <property fmtid="{D5CDD505-2E9C-101B-9397-08002B2CF9AE}" pid="3" name="MSIP_Label_b7a0defb-d95a-4801-9cac-afdefc91cdbd_Enabled">
    <vt:lpwstr>true</vt:lpwstr>
  </property>
  <property fmtid="{D5CDD505-2E9C-101B-9397-08002B2CF9AE}" pid="4" name="MSIP_Label_b7a0defb-d95a-4801-9cac-afdefc91cdbd_SetDate">
    <vt:lpwstr>2023-01-10T11:35:08Z</vt:lpwstr>
  </property>
  <property fmtid="{D5CDD505-2E9C-101B-9397-08002B2CF9AE}" pid="5" name="MSIP_Label_b7a0defb-d95a-4801-9cac-afdefc91cdbd_Method">
    <vt:lpwstr>Standard</vt:lpwstr>
  </property>
  <property fmtid="{D5CDD505-2E9C-101B-9397-08002B2CF9AE}" pid="6" name="MSIP_Label_b7a0defb-d95a-4801-9cac-afdefc91cdbd_Name">
    <vt:lpwstr>Intern (KDD)</vt:lpwstr>
  </property>
  <property fmtid="{D5CDD505-2E9C-101B-9397-08002B2CF9AE}" pid="7" name="MSIP_Label_b7a0defb-d95a-4801-9cac-afdefc91cdbd_SiteId">
    <vt:lpwstr>f696e186-1c3b-44cd-bf76-5ace0e7007bd</vt:lpwstr>
  </property>
  <property fmtid="{D5CDD505-2E9C-101B-9397-08002B2CF9AE}" pid="8" name="MSIP_Label_b7a0defb-d95a-4801-9cac-afdefc91cdbd_ActionId">
    <vt:lpwstr>a10406fd-c38d-44c2-80a7-119f7b8d38ac</vt:lpwstr>
  </property>
  <property fmtid="{D5CDD505-2E9C-101B-9397-08002B2CF9AE}" pid="9" name="MSIP_Label_b7a0defb-d95a-4801-9cac-afdefc91cdbd_ContentBits">
    <vt:lpwstr>0</vt:lpwstr>
  </property>
  <property fmtid="{D5CDD505-2E9C-101B-9397-08002B2CF9AE}" pid="10" name="MediaServiceImageTags">
    <vt:lpwstr/>
  </property>
</Properties>
</file>