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A8B2C" w14:textId="77777777" w:rsidR="003631F2" w:rsidRDefault="00000000">
      <w:pPr>
        <w:pStyle w:val="Overskrift1"/>
        <w:rPr>
          <w:rFonts w:eastAsia="DepCentury Old Style"/>
        </w:rPr>
      </w:pPr>
      <w:r>
        <w:rPr>
          <w:rFonts w:eastAsia="DepCentury Old Style"/>
        </w:rPr>
        <w:t>Mal for avtale om medbestemmelse ved omstilling i staten</w:t>
      </w:r>
    </w:p>
    <w:p w14:paraId="2809EB81" w14:textId="77777777" w:rsidR="003631F2" w:rsidRDefault="00000000">
      <w:pPr>
        <w:pStyle w:val="UnOverskrift3"/>
        <w:rPr>
          <w:rFonts w:eastAsia="DepCentury Old Style"/>
        </w:rPr>
      </w:pPr>
      <w:r>
        <w:rPr>
          <w:rFonts w:eastAsia="DepCentury Old Style"/>
        </w:rPr>
        <w:t>Hjemmel</w:t>
      </w:r>
    </w:p>
    <w:p w14:paraId="1F9C8982" w14:textId="77777777" w:rsidR="003631F2" w:rsidRDefault="00000000">
      <w:pPr>
        <w:spacing w:after="0"/>
        <w:rPr>
          <w:rFonts w:eastAsia="DepCentury Old Style" w:cs="Arial"/>
        </w:rPr>
      </w:pPr>
      <w:r>
        <w:rPr>
          <w:rFonts w:eastAsia="DepCentury Old Style" w:cs="Arial"/>
        </w:rPr>
        <w:t xml:space="preserve">Det er hovedavtalen § 5 som gir hjemmel for inngåelse av medbestemmelsesavtale. </w:t>
      </w:r>
    </w:p>
    <w:p w14:paraId="53540B4E" w14:textId="77777777" w:rsidR="003631F2" w:rsidRDefault="00000000">
      <w:pPr>
        <w:pStyle w:val="UnOverskrift3"/>
        <w:rPr>
          <w:rFonts w:eastAsia="DepCentury Old Style"/>
        </w:rPr>
      </w:pPr>
      <w:r>
        <w:rPr>
          <w:rFonts w:eastAsia="DepCentury Old Style"/>
        </w:rPr>
        <w:t>Rammene for inngåelse av avtale</w:t>
      </w:r>
    </w:p>
    <w:p w14:paraId="5A428953" w14:textId="77777777" w:rsidR="003631F2" w:rsidRDefault="00000000">
      <w:r>
        <w:t xml:space="preserve">Daværende Kommunal- og moderniseringsdepartementet (KMD) har i samråd med hovedsammenslutningene fastsatt følgende reviderte mal </w:t>
      </w:r>
      <w:r>
        <w:rPr>
          <w:rFonts w:eastAsia="DepCentury Old Style" w:cs="Arial"/>
        </w:rPr>
        <w:t>for avtale om medbestemmelse ved omstilling</w:t>
      </w:r>
      <w:r>
        <w:t>, med virkning fra 15.11.2018. Fra 1. januar 2024 er det Digitaliserings- og forvaltningsdepartementet (DFD) som har ansvaret for malen.</w:t>
      </w:r>
    </w:p>
    <w:p w14:paraId="459B14C3" w14:textId="77777777" w:rsidR="003631F2" w:rsidRDefault="00000000">
      <w:r>
        <w:t xml:space="preserve">For å gi veiledning til de enkelte bestemmelser er det i malen tatt inn merknader til noen av bestemmelsene. Disse merknadene tas ut av teksten i forbindelse med inngåelse av avtalen. </w:t>
      </w:r>
    </w:p>
    <w:p w14:paraId="69784DFC" w14:textId="77777777" w:rsidR="003631F2" w:rsidRDefault="00000000">
      <w:pPr>
        <w:rPr>
          <w:rFonts w:eastAsia="DepCentury Old Style" w:cs="Arial"/>
        </w:rPr>
      </w:pPr>
      <w:r>
        <w:rPr>
          <w:rFonts w:eastAsia="DepCentury Old Style" w:cs="Arial"/>
        </w:rPr>
        <w:t xml:space="preserve">Hovedformålet med malen er å legge til rette for en avtale som bestemmer hvem som skal utøve partsrettighetene i omstillingsprosessen, og å angi rammene for omstillingen. </w:t>
      </w:r>
    </w:p>
    <w:p w14:paraId="4754B1E2" w14:textId="77777777" w:rsidR="003631F2" w:rsidRDefault="00000000">
      <w:r>
        <w:rPr>
          <w:rFonts w:eastAsia="DepCentury Old Style" w:cs="Arial"/>
        </w:rPr>
        <w:t xml:space="preserve">Avtalen skal ikke regulere bruk av virkemidler ved omstilling. Når det gjelder dette vises til </w:t>
      </w:r>
      <w:hyperlink r:id="rId7" w:history="1">
        <w:r>
          <w:rPr>
            <w:rStyle w:val="Hyperkobling"/>
            <w:rFonts w:eastAsia="DepCentury Old Style" w:cs="Arial"/>
          </w:rPr>
          <w:t>særavtale om virkemidler til b</w:t>
        </w:r>
        <w:r>
          <w:rPr>
            <w:rStyle w:val="Hyperkobling"/>
          </w:rPr>
          <w:t>ruk ved omstilling i staten</w:t>
        </w:r>
      </w:hyperlink>
      <w:r>
        <w:t>. Virkemidlene som skal benyttes skal drøftes mellom partene jf. punkt 2 d) i særavtalen.</w:t>
      </w:r>
    </w:p>
    <w:p w14:paraId="1739162D" w14:textId="77777777" w:rsidR="003631F2" w:rsidRDefault="00000000">
      <w:r>
        <w:t>Denne avtalen begrenser ikke de rettigheter eller plikter som er forankret i lover, forskrifter, eller kollektive og individuelle avtaler. Avtalen er ment som en utdyping av en del rettigheter og plikter som påhviler arbeidsgiver,</w:t>
      </w:r>
      <w:r>
        <w:rPr>
          <w:rFonts w:eastAsia="DepCentury Old Style" w:cs="Arial"/>
        </w:rPr>
        <w:t xml:space="preserve"> de tillitsvalgte og den enkelte ansatte i forbindelse med omstillingsprosessen.</w:t>
      </w:r>
    </w:p>
    <w:p w14:paraId="0414857B" w14:textId="77777777" w:rsidR="003631F2" w:rsidRDefault="00000000">
      <w:pPr>
        <w:rPr>
          <w:rFonts w:eastAsia="DepCentury Old Style" w:cs="Arial"/>
        </w:rPr>
      </w:pPr>
      <w:r>
        <w:rPr>
          <w:rFonts w:eastAsia="DepCentury Old Style" w:cs="Arial"/>
        </w:rPr>
        <w:t>Avtalen tar ikke sikte på å lage bestemte prosessregler. Prosessreglene må tilpasses den enkelte omstillingssituasjon.  Som vedlegg til avtalemalen følger en kort veiledning til hvordan en omstilling kan gjennomføres.</w:t>
      </w:r>
    </w:p>
    <w:p w14:paraId="22517DF3" w14:textId="77777777" w:rsidR="003631F2" w:rsidRDefault="00000000">
      <w:pPr>
        <w:pStyle w:val="UnOverskrift3"/>
        <w:rPr>
          <w:rFonts w:eastAsia="DepCentury Old Style"/>
        </w:rPr>
      </w:pPr>
      <w:bookmarkStart w:id="0" w:name="_Toc529964744"/>
      <w:r>
        <w:rPr>
          <w:rFonts w:eastAsia="DepCentury Old Style"/>
        </w:rPr>
        <w:t>Virkeområde</w:t>
      </w:r>
      <w:bookmarkEnd w:id="0"/>
      <w:r>
        <w:rPr>
          <w:rFonts w:eastAsia="DepCentury Old Style"/>
        </w:rPr>
        <w:t xml:space="preserve"> </w:t>
      </w:r>
    </w:p>
    <w:p w14:paraId="2B59AAF2" w14:textId="77777777" w:rsidR="003631F2" w:rsidRDefault="00000000">
      <w:pPr>
        <w:spacing w:after="0" w:line="240" w:lineRule="auto"/>
        <w:rPr>
          <w:rFonts w:eastAsia="DepCentury Old Style" w:cs="Arial"/>
        </w:rPr>
      </w:pPr>
      <w:r>
        <w:rPr>
          <w:rFonts w:eastAsia="DepCentury Old Style" w:cs="Arial"/>
        </w:rPr>
        <w:t xml:space="preserve">Malen skal benyttes ved omstillinger innenfor det statlige tariffområdet, som enten gjelder i én virksomhet, mellom statlige virksomheter/forvaltningsorganer, forvaltningsorganer med særskilte fullmakter og forvaltningsbedrifter. </w:t>
      </w:r>
    </w:p>
    <w:p w14:paraId="29FFCD53" w14:textId="77777777" w:rsidR="003631F2" w:rsidRDefault="003631F2">
      <w:pPr>
        <w:spacing w:after="0"/>
        <w:rPr>
          <w:rFonts w:eastAsia="DepCentury Old Style" w:cs="Arial"/>
        </w:rPr>
      </w:pPr>
    </w:p>
    <w:p w14:paraId="5574A099" w14:textId="77777777" w:rsidR="003631F2" w:rsidRDefault="00000000">
      <w:pPr>
        <w:spacing w:after="0"/>
        <w:rPr>
          <w:rFonts w:eastAsia="DepCentury Old Style" w:cs="Arial"/>
        </w:rPr>
      </w:pPr>
      <w:r>
        <w:rPr>
          <w:rFonts w:eastAsia="DepCentury Old Style" w:cs="Arial"/>
        </w:rPr>
        <w:t>Malen skal ikke benyttes ved overføring mellom ulike tariffområder. I slike situasjoner må spørsmål om medbestemmelse vurderes opp mot kapittel 16 i arbeidsmiljøloven.</w:t>
      </w:r>
    </w:p>
    <w:p w14:paraId="7641F74E" w14:textId="77777777" w:rsidR="003631F2" w:rsidRDefault="003631F2">
      <w:pPr>
        <w:spacing w:after="0"/>
        <w:rPr>
          <w:rFonts w:eastAsia="DepCentury Old Style" w:cs="Arial"/>
        </w:rPr>
      </w:pPr>
    </w:p>
    <w:p w14:paraId="5BB9507D" w14:textId="77777777" w:rsidR="003631F2" w:rsidRDefault="00000000">
      <w:pPr>
        <w:spacing w:after="0"/>
        <w:rPr>
          <w:rFonts w:eastAsia="DepCentury Old Style" w:cs="Arial"/>
        </w:rPr>
      </w:pPr>
      <w:r>
        <w:rPr>
          <w:rFonts w:eastAsia="DepCentury Old Style" w:cs="Arial"/>
        </w:rPr>
        <w:t>En medbestemmelsesavtale for omstilling kan inngås i tre ulike situasjoner:</w:t>
      </w:r>
    </w:p>
    <w:p w14:paraId="6F51ADA3" w14:textId="77777777" w:rsidR="003631F2" w:rsidRDefault="003631F2">
      <w:pPr>
        <w:spacing w:after="0"/>
        <w:rPr>
          <w:rFonts w:eastAsia="DepCentury Old Style" w:cs="Arial"/>
        </w:rPr>
      </w:pPr>
    </w:p>
    <w:p w14:paraId="2B7F4B70" w14:textId="77777777" w:rsidR="003631F2" w:rsidRDefault="00000000">
      <w:pPr>
        <w:pStyle w:val="Nummerertliste"/>
        <w:numPr>
          <w:ilvl w:val="0"/>
          <w:numId w:val="3"/>
        </w:numPr>
      </w:pPr>
      <w:r>
        <w:t>Dersom omstillingen gjelder én virksomhet, og den ene parten i virksomheten krever at det inngås avtale om medbestemmelse ved omstilling. I slike tilfeller vil partsforholdet være fastsatt i tilpasningsavtalen for virksomheten.</w:t>
      </w:r>
      <w:r>
        <w:br/>
      </w:r>
    </w:p>
    <w:p w14:paraId="4D7DE007" w14:textId="77777777" w:rsidR="003631F2" w:rsidRDefault="00000000">
      <w:pPr>
        <w:pStyle w:val="Nummerertliste"/>
        <w:numPr>
          <w:ilvl w:val="0"/>
          <w:numId w:val="1"/>
        </w:numPr>
      </w:pPr>
      <w:r>
        <w:t>Omstillingen omfatter flere virksomheter under samme departement. Etter hovedavtalen § 5 nr. 1 skal avtalen inngås mellom "</w:t>
      </w:r>
      <w:r>
        <w:rPr>
          <w:i/>
        </w:rPr>
        <w:t>vedkommende fagdepartement og de berørte tjenestemannsorganisasjoner på forbundsnivå</w:t>
      </w:r>
      <w:r>
        <w:t xml:space="preserve">". Dette innebærer at avtalen skal inngås mellom fagdepartementet og tjenestemannsorganisasjonene på forbundsnivå til de </w:t>
      </w:r>
      <w:r>
        <w:lastRenderedPageBreak/>
        <w:t>parter som har rettigheter på virksomhetsnivå, jf. hovedavtalen § 14.</w:t>
      </w:r>
      <w:r>
        <w:br/>
      </w:r>
    </w:p>
    <w:p w14:paraId="71084C4C" w14:textId="77777777" w:rsidR="003631F2" w:rsidRDefault="00000000">
      <w:pPr>
        <w:pStyle w:val="Nummerertliste"/>
        <w:numPr>
          <w:ilvl w:val="0"/>
          <w:numId w:val="1"/>
        </w:numPr>
      </w:pPr>
      <w:r>
        <w:t>Omstillingen gjelder flere virksomheter under flere fagdepartement. I slike tilfeller skal avtalen inngås mellom DFD og hovedsammenslutningene. Ansvarlige fagdepartement tar initiativ overfor DFD til å inngå avtalen. Hovedsammenslutningene utpeker tillitsvalgte i samsvar med reglene i malen punkt 1.4.</w:t>
      </w:r>
    </w:p>
    <w:p w14:paraId="6664050E" w14:textId="77777777" w:rsidR="003631F2" w:rsidRDefault="003631F2">
      <w:pPr>
        <w:spacing w:after="0"/>
        <w:rPr>
          <w:rFonts w:eastAsia="DepCentury Old Style" w:cs="Arial"/>
        </w:rPr>
      </w:pPr>
    </w:p>
    <w:p w14:paraId="2622D742" w14:textId="77777777" w:rsidR="003631F2" w:rsidRDefault="00000000">
      <w:pPr>
        <w:spacing w:after="0"/>
        <w:rPr>
          <w:rFonts w:eastAsia="DepCentury Old Style" w:cs="Arial"/>
        </w:rPr>
      </w:pPr>
      <w:r>
        <w:rPr>
          <w:rFonts w:eastAsia="DepCentury Old Style" w:cs="Arial"/>
        </w:rPr>
        <w:t xml:space="preserve">De sentrale partene er enige om at denne malen er bindende. Kursivert tekst og merknader kan tas ut av den endelige avtalen. Det skal ellers ikke skal gjøres endringer eller tilføyelser i malen, med unntak av det som fremgår her: </w:t>
      </w:r>
    </w:p>
    <w:p w14:paraId="21A8CB68" w14:textId="77777777" w:rsidR="003631F2" w:rsidRDefault="00000000">
      <w:pPr>
        <w:pStyle w:val="Listebombe"/>
        <w:tabs>
          <w:tab w:val="clear" w:pos="206"/>
        </w:tabs>
        <w:rPr>
          <w:rFonts w:eastAsia="DepCentury Old Style"/>
        </w:rPr>
      </w:pPr>
      <w:r>
        <w:rPr>
          <w:rFonts w:eastAsia="DepCentury Old Style"/>
        </w:rPr>
        <w:t xml:space="preserve">I punkt 1.1 skal bakgrunnen for omstillingen omtales. </w:t>
      </w:r>
    </w:p>
    <w:p w14:paraId="639012BF" w14:textId="77777777" w:rsidR="003631F2" w:rsidRDefault="00000000">
      <w:pPr>
        <w:pStyle w:val="Listebombe"/>
        <w:tabs>
          <w:tab w:val="clear" w:pos="206"/>
        </w:tabs>
        <w:rPr>
          <w:rFonts w:eastAsia="DepCentury Old Style"/>
        </w:rPr>
      </w:pPr>
      <w:r>
        <w:rPr>
          <w:rFonts w:eastAsia="DepCentury Old Style"/>
        </w:rPr>
        <w:t xml:space="preserve">I punkt 1.4 reguleres partsforholdet, dersom dette ikke gjelder omstilling av én virksomhet. I slike tilfeller skal partsforholdet være slik som fastsatt i tilpasningsavtalen for virksomheten. </w:t>
      </w:r>
    </w:p>
    <w:p w14:paraId="292C0B8B" w14:textId="77777777" w:rsidR="003631F2" w:rsidRDefault="00000000">
      <w:pPr>
        <w:pStyle w:val="Listebombe"/>
        <w:tabs>
          <w:tab w:val="clear" w:pos="206"/>
        </w:tabs>
        <w:rPr>
          <w:rFonts w:eastAsia="DepCentury Old Style"/>
        </w:rPr>
      </w:pPr>
      <w:r>
        <w:rPr>
          <w:rFonts w:eastAsia="DepCentury Old Style"/>
        </w:rPr>
        <w:t>Dersom det ikke skal skje geografisk flytting eller nedbemanning klargjøres det i punkt 2.3 og 2.4 slik at det skrives inn følgende: "ikke aktuelt".</w:t>
      </w:r>
    </w:p>
    <w:p w14:paraId="19C3AB64" w14:textId="77777777" w:rsidR="003631F2" w:rsidRDefault="003631F2">
      <w:pPr>
        <w:pageBreakBefore/>
        <w:rPr>
          <w:rFonts w:eastAsia="DepCentury Old Style" w:cs="Arial"/>
          <w:b/>
        </w:rPr>
      </w:pPr>
    </w:p>
    <w:p w14:paraId="0292D148" w14:textId="77777777" w:rsidR="003631F2" w:rsidRDefault="00000000">
      <w:pPr>
        <w:pStyle w:val="UnOverskrift1"/>
        <w:rPr>
          <w:rFonts w:eastAsia="DepCentury Old Style"/>
        </w:rPr>
      </w:pPr>
      <w:bookmarkStart w:id="1" w:name="_Toc529964745"/>
      <w:r>
        <w:rPr>
          <w:rFonts w:eastAsia="DepCentury Old Style"/>
        </w:rPr>
        <w:t>Avtale om medbestemmelse ved omstilling</w:t>
      </w:r>
      <w:bookmarkEnd w:id="1"/>
    </w:p>
    <w:p w14:paraId="5573623D" w14:textId="77777777" w:rsidR="003631F2" w:rsidRDefault="003631F2">
      <w:pPr>
        <w:widowControl w:val="0"/>
        <w:tabs>
          <w:tab w:val="left" w:pos="720"/>
        </w:tabs>
        <w:spacing w:after="0"/>
        <w:rPr>
          <w:rFonts w:eastAsia="DepCentury Old Style" w:cs="Arial"/>
          <w:b/>
        </w:rPr>
      </w:pPr>
    </w:p>
    <w:p w14:paraId="468CA903" w14:textId="77777777" w:rsidR="003631F2" w:rsidRDefault="00000000">
      <w:pPr>
        <w:widowControl w:val="0"/>
        <w:tabs>
          <w:tab w:val="left" w:pos="720"/>
        </w:tabs>
        <w:spacing w:after="0"/>
        <w:rPr>
          <w:rFonts w:eastAsia="DepCentury Old Style" w:cs="Arial"/>
        </w:rPr>
      </w:pPr>
      <w:r>
        <w:rPr>
          <w:rFonts w:eastAsia="DepCentury Old Style" w:cs="Arial"/>
        </w:rPr>
        <w:t xml:space="preserve">Inngått mellom ……………………. og …………………………………… med hjemmel i hovedavtalen § 5. </w:t>
      </w:r>
    </w:p>
    <w:p w14:paraId="1D3CA352" w14:textId="77777777" w:rsidR="003631F2" w:rsidRDefault="00000000">
      <w:pPr>
        <w:pStyle w:val="UnOverskrift2"/>
        <w:rPr>
          <w:rFonts w:eastAsia="DepCentury Old Style"/>
        </w:rPr>
      </w:pPr>
      <w:bookmarkStart w:id="2" w:name="_Toc529964746"/>
      <w:r>
        <w:rPr>
          <w:rFonts w:eastAsia="DepCentury Old Style"/>
        </w:rPr>
        <w:t>Del 1</w:t>
      </w:r>
      <w:bookmarkEnd w:id="2"/>
    </w:p>
    <w:p w14:paraId="3A52425A" w14:textId="77777777" w:rsidR="003631F2" w:rsidRDefault="00000000">
      <w:pPr>
        <w:pStyle w:val="UnOverskrift3"/>
        <w:rPr>
          <w:rFonts w:eastAsia="DepCentury Old Style"/>
        </w:rPr>
      </w:pPr>
      <w:bookmarkStart w:id="3" w:name="_Toc529964747"/>
      <w:r>
        <w:rPr>
          <w:rFonts w:eastAsia="DepCentury Old Style"/>
        </w:rPr>
        <w:t>1.1. Bakgrunn og partsforhold</w:t>
      </w:r>
      <w:bookmarkEnd w:id="3"/>
    </w:p>
    <w:p w14:paraId="00C84E11" w14:textId="77777777" w:rsidR="003631F2" w:rsidRDefault="00000000">
      <w:pPr>
        <w:widowControl w:val="0"/>
        <w:tabs>
          <w:tab w:val="left" w:pos="720"/>
        </w:tabs>
        <w:spacing w:after="0"/>
        <w:rPr>
          <w:rFonts w:eastAsia="DepCentury Old Style" w:cs="Arial"/>
          <w:i/>
        </w:rPr>
      </w:pPr>
      <w:r>
        <w:rPr>
          <w:rFonts w:eastAsia="DepCentury Old Style" w:cs="Arial"/>
          <w:i/>
        </w:rPr>
        <w:t>Her skal det gis en kort redegjørelse for beslutninger/politiske vedtak som ligger til grunn for de omstillinger som skal gjennomføres: ……………</w:t>
      </w:r>
    </w:p>
    <w:p w14:paraId="1F678DB6" w14:textId="77777777" w:rsidR="003631F2" w:rsidRDefault="003631F2">
      <w:pPr>
        <w:widowControl w:val="0"/>
        <w:tabs>
          <w:tab w:val="left" w:pos="720"/>
        </w:tabs>
        <w:spacing w:after="0"/>
        <w:rPr>
          <w:rFonts w:eastAsia="DepCentury Old Style" w:cs="Arial"/>
        </w:rPr>
      </w:pPr>
    </w:p>
    <w:p w14:paraId="62B4470C" w14:textId="77777777" w:rsidR="003631F2" w:rsidRDefault="00000000">
      <w:pPr>
        <w:widowControl w:val="0"/>
        <w:tabs>
          <w:tab w:val="left" w:pos="720"/>
        </w:tabs>
        <w:spacing w:after="0"/>
        <w:rPr>
          <w:rFonts w:eastAsia="DepCentury Old Style" w:cs="Arial"/>
          <w:i/>
        </w:rPr>
      </w:pPr>
      <w:r>
        <w:rPr>
          <w:rFonts w:eastAsia="DepCentury Old Style" w:cs="Arial"/>
          <w:i/>
        </w:rPr>
        <w:t>Merknader:</w:t>
      </w:r>
    </w:p>
    <w:p w14:paraId="39168B16" w14:textId="77777777" w:rsidR="003631F2" w:rsidRDefault="00000000">
      <w:pPr>
        <w:widowControl w:val="0"/>
        <w:tabs>
          <w:tab w:val="left" w:pos="720"/>
        </w:tabs>
        <w:spacing w:after="0"/>
        <w:rPr>
          <w:rFonts w:eastAsia="DepCentury Old Style" w:cs="Arial"/>
          <w:i/>
        </w:rPr>
      </w:pPr>
      <w:r>
        <w:rPr>
          <w:rFonts w:eastAsia="DepCentury Old Style" w:cs="Arial"/>
          <w:i/>
        </w:rPr>
        <w:t>Dersom en politisk beslutning vil kunne berøre de ansattes arbeidssituasjon i vesentlig grad, skal arbeidsgiver sørge for at de tillitsvalgte får anledning til å uttale seg, jf. hovedavtalens § 4 nr. 4. En slik uttalelse kan ikke følge lenger enn til fagdepartementet.</w:t>
      </w:r>
    </w:p>
    <w:p w14:paraId="30E2A68E" w14:textId="77777777" w:rsidR="003631F2" w:rsidRDefault="00000000">
      <w:pPr>
        <w:pStyle w:val="UnOverskrift3"/>
        <w:rPr>
          <w:rFonts w:eastAsia="DepCentury Old Style"/>
        </w:rPr>
      </w:pPr>
      <w:bookmarkStart w:id="4" w:name="_Toc529964748"/>
      <w:r>
        <w:rPr>
          <w:rFonts w:eastAsia="DepCentury Old Style"/>
        </w:rPr>
        <w:t>1.2. Formål</w:t>
      </w:r>
      <w:bookmarkEnd w:id="4"/>
    </w:p>
    <w:p w14:paraId="021C6E15" w14:textId="77777777" w:rsidR="003631F2" w:rsidRDefault="00000000">
      <w:r>
        <w:rPr>
          <w:rFonts w:eastAsia="DepCentury Old Style" w:cs="Arial"/>
        </w:rPr>
        <w:t xml:space="preserve">Formålet med avtalen er å sikre de ansatte medbestemmelsesrett og rettigheter i henhold til lov, kollektive og individuelle avtaler og sentrale personalpolitiske retningslinjer for </w:t>
      </w:r>
      <w:r>
        <w:t>omstillingsarbeidet i statlig sektor, se pkt. 1.3.</w:t>
      </w:r>
    </w:p>
    <w:p w14:paraId="17B7BC9A" w14:textId="77777777" w:rsidR="003631F2" w:rsidRDefault="00000000">
      <w:r>
        <w:t>Avtalen skal:</w:t>
      </w:r>
    </w:p>
    <w:p w14:paraId="7ECB106C" w14:textId="77777777" w:rsidR="003631F2" w:rsidRDefault="00000000">
      <w:pPr>
        <w:pStyle w:val="Listebombe"/>
        <w:tabs>
          <w:tab w:val="clear" w:pos="206"/>
        </w:tabs>
        <w:rPr>
          <w:rFonts w:eastAsia="DepCentury Old Style"/>
        </w:rPr>
      </w:pPr>
      <w:r>
        <w:rPr>
          <w:rFonts w:eastAsia="DepCentury Old Style"/>
        </w:rPr>
        <w:t>informere om rettigheter og plikter under omstillingen</w:t>
      </w:r>
    </w:p>
    <w:p w14:paraId="4F420415" w14:textId="77777777" w:rsidR="003631F2" w:rsidRDefault="00000000">
      <w:pPr>
        <w:pStyle w:val="Listebombe"/>
        <w:tabs>
          <w:tab w:val="clear" w:pos="206"/>
        </w:tabs>
        <w:rPr>
          <w:rFonts w:eastAsia="DepCentury Old Style"/>
        </w:rPr>
      </w:pPr>
      <w:r>
        <w:rPr>
          <w:rFonts w:eastAsia="DepCentury Old Style"/>
        </w:rPr>
        <w:t>gi den enkelte ansatte trygghet i arbeidsforholdet under omstillingsarbeidet</w:t>
      </w:r>
    </w:p>
    <w:p w14:paraId="32A3756B" w14:textId="77777777" w:rsidR="003631F2" w:rsidRDefault="00000000">
      <w:pPr>
        <w:pStyle w:val="Listebombe"/>
        <w:tabs>
          <w:tab w:val="clear" w:pos="206"/>
        </w:tabs>
        <w:rPr>
          <w:rFonts w:eastAsia="DepCentury Old Style"/>
        </w:rPr>
      </w:pPr>
      <w:r>
        <w:rPr>
          <w:rFonts w:eastAsia="DepCentury Old Style"/>
        </w:rPr>
        <w:t xml:space="preserve">skape best mulig forutsigbarhet og et godt arbeidsmiljø </w:t>
      </w:r>
    </w:p>
    <w:p w14:paraId="43DC50E7" w14:textId="77777777" w:rsidR="003631F2" w:rsidRDefault="00000000">
      <w:pPr>
        <w:spacing w:after="0"/>
        <w:rPr>
          <w:rFonts w:eastAsia="DepCentury Old Style" w:cs="Arial"/>
        </w:rPr>
      </w:pPr>
      <w:r>
        <w:rPr>
          <w:rFonts w:eastAsia="DepCentury Old Style" w:cs="Arial"/>
        </w:rPr>
        <w:br/>
        <w:t xml:space="preserve">Den enkelte ansatte har selv et ansvar for å bidra til gode løsninger, bl.a. ved å delta </w:t>
      </w:r>
      <w:r>
        <w:rPr>
          <w:rFonts w:eastAsia="DepCentury Old Style" w:cs="Arial"/>
        </w:rPr>
        <w:br/>
        <w:t>aktivt i både omorganiseringsprosessen og i forbindelse med gjennomføringen av de endringene som skal iverksettes.</w:t>
      </w:r>
    </w:p>
    <w:p w14:paraId="76188F3F" w14:textId="77777777" w:rsidR="003631F2" w:rsidRDefault="00000000">
      <w:pPr>
        <w:pStyle w:val="UnOverskrift3"/>
        <w:rPr>
          <w:rFonts w:eastAsia="DepCentury Old Style"/>
        </w:rPr>
      </w:pPr>
      <w:bookmarkStart w:id="5" w:name="_Toc529964749"/>
      <w:r>
        <w:rPr>
          <w:rFonts w:eastAsia="DepCentury Old Style"/>
        </w:rPr>
        <w:t>1.3. Lov- og avtaleverk</w:t>
      </w:r>
      <w:bookmarkEnd w:id="5"/>
    </w:p>
    <w:p w14:paraId="273C6238" w14:textId="77777777" w:rsidR="003631F2" w:rsidRDefault="00000000">
      <w:pPr>
        <w:spacing w:after="0" w:line="240" w:lineRule="auto"/>
        <w:rPr>
          <w:rFonts w:eastAsia="DepCentury Old Style" w:cs="Arial"/>
        </w:rPr>
      </w:pPr>
      <w:r>
        <w:rPr>
          <w:rFonts w:eastAsia="DepCentury Old Style" w:cs="Arial"/>
        </w:rPr>
        <w:t>Denne avtalen bygger bl.a. på følgende lover, avtaler og retningslinjer for omstilling:</w:t>
      </w:r>
    </w:p>
    <w:p w14:paraId="5290BB69" w14:textId="77777777" w:rsidR="003631F2" w:rsidRDefault="003631F2">
      <w:pPr>
        <w:widowControl w:val="0"/>
        <w:tabs>
          <w:tab w:val="left" w:pos="720"/>
        </w:tabs>
        <w:spacing w:after="0" w:line="240" w:lineRule="auto"/>
        <w:rPr>
          <w:rFonts w:eastAsia="DepCentury Old Style" w:cs="Arial"/>
          <w:b/>
        </w:rPr>
      </w:pPr>
    </w:p>
    <w:p w14:paraId="15728669" w14:textId="77777777" w:rsidR="003631F2" w:rsidRDefault="00000000">
      <w:pPr>
        <w:pStyle w:val="Listebombe"/>
        <w:tabs>
          <w:tab w:val="clear" w:pos="206"/>
        </w:tabs>
        <w:rPr>
          <w:rFonts w:eastAsia="DepCentury Old Style"/>
        </w:rPr>
      </w:pPr>
      <w:r>
        <w:rPr>
          <w:rFonts w:eastAsia="DepCentury Old Style"/>
        </w:rPr>
        <w:t>Statsansatteloven og arbeidsmiljøloven</w:t>
      </w:r>
    </w:p>
    <w:p w14:paraId="659B26C2" w14:textId="77777777" w:rsidR="003631F2" w:rsidRDefault="00000000">
      <w:pPr>
        <w:pStyle w:val="Listebombe"/>
        <w:tabs>
          <w:tab w:val="clear" w:pos="206"/>
        </w:tabs>
        <w:rPr>
          <w:rFonts w:eastAsia="DepCentury Old Style"/>
        </w:rPr>
      </w:pPr>
      <w:r>
        <w:rPr>
          <w:rFonts w:eastAsia="DepCentury Old Style"/>
        </w:rPr>
        <w:t>Lov om Statens pensjonskasse</w:t>
      </w:r>
    </w:p>
    <w:p w14:paraId="0C2ADEA9" w14:textId="77777777" w:rsidR="003631F2" w:rsidRDefault="00000000">
      <w:pPr>
        <w:pStyle w:val="Listebombe"/>
        <w:tabs>
          <w:tab w:val="clear" w:pos="206"/>
        </w:tabs>
        <w:rPr>
          <w:rFonts w:eastAsia="DepCentury Old Style"/>
        </w:rPr>
      </w:pPr>
      <w:r>
        <w:rPr>
          <w:rFonts w:eastAsia="DepCentury Old Style"/>
        </w:rPr>
        <w:t>Hovedavtalen i staten</w:t>
      </w:r>
    </w:p>
    <w:p w14:paraId="63ACA85F" w14:textId="77777777" w:rsidR="003631F2" w:rsidRDefault="00000000">
      <w:pPr>
        <w:pStyle w:val="Listebombe"/>
        <w:tabs>
          <w:tab w:val="clear" w:pos="206"/>
        </w:tabs>
        <w:rPr>
          <w:rFonts w:eastAsia="DepCentury Old Style"/>
        </w:rPr>
      </w:pPr>
      <w:r>
        <w:rPr>
          <w:rFonts w:eastAsia="DepCentury Old Style"/>
        </w:rPr>
        <w:t>Tilpasningsavtalen (e) for virksomheten (e)</w:t>
      </w:r>
    </w:p>
    <w:p w14:paraId="71C44071" w14:textId="77777777" w:rsidR="003631F2" w:rsidRDefault="00000000">
      <w:pPr>
        <w:pStyle w:val="Listebombe"/>
        <w:tabs>
          <w:tab w:val="clear" w:pos="206"/>
        </w:tabs>
        <w:rPr>
          <w:rFonts w:eastAsia="DepCentury Old Style"/>
        </w:rPr>
      </w:pPr>
      <w:r>
        <w:rPr>
          <w:rFonts w:eastAsia="DepCentury Old Style"/>
        </w:rPr>
        <w:t>Hovedtariffavtalenes pkt. 5.4 om retningslinjer for omstilling</w:t>
      </w:r>
    </w:p>
    <w:p w14:paraId="10E91987" w14:textId="77777777" w:rsidR="003631F2" w:rsidRDefault="00000000">
      <w:pPr>
        <w:pStyle w:val="Listebombe"/>
        <w:tabs>
          <w:tab w:val="clear" w:pos="206"/>
        </w:tabs>
        <w:rPr>
          <w:rFonts w:eastAsia="DepCentury Old Style"/>
        </w:rPr>
      </w:pPr>
      <w:r>
        <w:rPr>
          <w:rFonts w:eastAsia="DepCentury Old Style"/>
        </w:rPr>
        <w:t>Hovedtariffavtalenes vedlegg 3 om intensjonserklæring om omstilling under trygghet</w:t>
      </w:r>
    </w:p>
    <w:p w14:paraId="598507DD" w14:textId="77777777" w:rsidR="003631F2" w:rsidRDefault="00000000">
      <w:pPr>
        <w:pStyle w:val="Listebombe"/>
        <w:tabs>
          <w:tab w:val="clear" w:pos="206"/>
        </w:tabs>
        <w:rPr>
          <w:rFonts w:eastAsia="DepCentury Old Style"/>
        </w:rPr>
      </w:pPr>
      <w:r>
        <w:rPr>
          <w:rFonts w:eastAsia="DepCentury Old Style"/>
        </w:rPr>
        <w:t>De til enhver tid gjeldende sentrale særavtaler.</w:t>
      </w:r>
    </w:p>
    <w:p w14:paraId="5F8B8F7C" w14:textId="77777777" w:rsidR="003631F2" w:rsidRDefault="003631F2">
      <w:pPr>
        <w:widowControl w:val="0"/>
        <w:tabs>
          <w:tab w:val="left" w:pos="320"/>
          <w:tab w:val="left" w:pos="780"/>
        </w:tabs>
        <w:spacing w:after="0" w:line="240" w:lineRule="auto"/>
        <w:ind w:left="780" w:hanging="360"/>
        <w:rPr>
          <w:rFonts w:eastAsia="DepCentury Old Style" w:cs="Arial"/>
        </w:rPr>
      </w:pPr>
    </w:p>
    <w:p w14:paraId="080C7EF6" w14:textId="77777777" w:rsidR="003631F2" w:rsidRDefault="00000000">
      <w:pPr>
        <w:spacing w:after="0"/>
      </w:pPr>
      <w:r>
        <w:rPr>
          <w:rFonts w:eastAsia="DepCentury Old Style" w:cs="Arial"/>
        </w:rPr>
        <w:t xml:space="preserve">Denne avtalen begrenser ikke de rettigheter eller plikter som er forankret i lover, </w:t>
      </w:r>
      <w:r>
        <w:rPr>
          <w:rFonts w:eastAsia="DepCentury Old Style" w:cs="Arial"/>
        </w:rPr>
        <w:br/>
        <w:t xml:space="preserve">forskrifter, kollektive og individuelle avtaler. Avtalen er ment som en utdyping av en del </w:t>
      </w:r>
      <w:r>
        <w:rPr>
          <w:rFonts w:eastAsia="DepCentury Old Style" w:cs="Arial"/>
        </w:rPr>
        <w:lastRenderedPageBreak/>
        <w:t>rettigheter og plikter som påhviler arbeidsgiver, de tillitsvalgte og den enkelte ansatte i forbindelse med omstillingsprosessen.</w:t>
      </w:r>
    </w:p>
    <w:p w14:paraId="626F60F5" w14:textId="77777777" w:rsidR="003631F2" w:rsidRDefault="00000000">
      <w:pPr>
        <w:pStyle w:val="UnOverskrift3"/>
        <w:pageBreakBefore/>
        <w:rPr>
          <w:rFonts w:eastAsia="DepCentury Old Style"/>
        </w:rPr>
      </w:pPr>
      <w:bookmarkStart w:id="6" w:name="_Toc529964750"/>
      <w:r>
        <w:rPr>
          <w:rFonts w:eastAsia="DepCentury Old Style"/>
        </w:rPr>
        <w:lastRenderedPageBreak/>
        <w:t>1.4. Partsforholdet under omstillingsprosessen</w:t>
      </w:r>
      <w:bookmarkEnd w:id="6"/>
    </w:p>
    <w:p w14:paraId="65E77CAE" w14:textId="77777777" w:rsidR="003631F2" w:rsidRDefault="00000000">
      <w:r>
        <w:t>Det er partene som inngår avtale om medbestemmelse ved omstilling som skal bli enige om hvordan partsforholdet skal være. Dersom de ikke blir enige, skal partsforholdet være slik som bestemt her.</w:t>
      </w:r>
    </w:p>
    <w:p w14:paraId="7CA70BB4" w14:textId="77777777" w:rsidR="003631F2" w:rsidRDefault="00000000">
      <w:r>
        <w:t>Arbeidsgiverpart: den øverste leder av de virksomhetene som er omfattet av omstillingen, eller den/de disse bemyndiger. </w:t>
      </w:r>
    </w:p>
    <w:p w14:paraId="2F78F932" w14:textId="77777777" w:rsidR="003631F2" w:rsidRDefault="00000000">
      <w:r>
        <w:t xml:space="preserve">Arbeidstakerpart: én representant fra hver av hovedsammenslutningene i de virksomhetene som er omfattet av omstillingen. </w:t>
      </w:r>
    </w:p>
    <w:p w14:paraId="4EFCAFEE" w14:textId="77777777" w:rsidR="003631F2" w:rsidRDefault="00000000">
      <w:r>
        <w:t xml:space="preserve">Det er opp til den enkelte hovedsammenslutning å avgjøre om representanten (representantene) som utpekes skal komme som tillitsvalgt fra virksomheten, fra forbundsnivå eller fra hovedsammenslutningsnivå. </w:t>
      </w:r>
    </w:p>
    <w:p w14:paraId="4EF62337" w14:textId="77777777" w:rsidR="003631F2" w:rsidRDefault="00000000">
      <w:pPr>
        <w:rPr>
          <w:rFonts w:eastAsia="DepCentury Old Style" w:cs="Arial"/>
          <w:i/>
        </w:rPr>
      </w:pPr>
      <w:r>
        <w:rPr>
          <w:rFonts w:eastAsia="DepCentury Old Style" w:cs="Arial"/>
          <w:i/>
        </w:rPr>
        <w:t>Merknad:</w:t>
      </w:r>
      <w:r>
        <w:rPr>
          <w:rFonts w:eastAsia="DepCentury Old Style" w:cs="Arial"/>
          <w:i/>
        </w:rPr>
        <w:br/>
        <w:t>Dersom det er etablert en interimsorganisasjon med interimsdirektør representerer vedkommende arbeidsgiver.</w:t>
      </w:r>
    </w:p>
    <w:p w14:paraId="53B1C215" w14:textId="77777777" w:rsidR="003631F2" w:rsidRDefault="00000000">
      <w:r>
        <w:t>Det må fastsettes hvem (navngitte personer) som skal representere partene i omstillings-prosessen. Dette punktet er særlig viktig når to eller flere virksomheter er berørt, jf. hoved-avtalen § 5.</w:t>
      </w:r>
    </w:p>
    <w:p w14:paraId="656F75F2" w14:textId="77777777" w:rsidR="003631F2" w:rsidRDefault="00000000">
      <w:r>
        <w:t>Det kan etableres en styringsgruppe. I en styringsgruppe kan det være aktuelt å ha med én representant fra tjenestemannsorganisasjonene (utpekt av hovedsammenslutningene) hver, med personlige varamedlemmer.</w:t>
      </w:r>
    </w:p>
    <w:p w14:paraId="000CA859" w14:textId="77777777" w:rsidR="003631F2" w:rsidRDefault="00000000">
      <w:pPr>
        <w:pStyle w:val="UnOverskrift2"/>
        <w:rPr>
          <w:rFonts w:eastAsia="DepCentury Old Style"/>
        </w:rPr>
      </w:pPr>
      <w:bookmarkStart w:id="7" w:name="_Toc529964751"/>
      <w:r>
        <w:rPr>
          <w:rFonts w:eastAsia="DepCentury Old Style"/>
        </w:rPr>
        <w:t>Del 2</w:t>
      </w:r>
      <w:bookmarkEnd w:id="7"/>
    </w:p>
    <w:p w14:paraId="00A3133C" w14:textId="77777777" w:rsidR="003631F2" w:rsidRDefault="00000000">
      <w:pPr>
        <w:pStyle w:val="UnOverskrift3"/>
        <w:rPr>
          <w:rFonts w:eastAsia="DepCentury Old Style"/>
        </w:rPr>
      </w:pPr>
      <w:bookmarkStart w:id="8" w:name="_Toc529964752"/>
      <w:r>
        <w:rPr>
          <w:rFonts w:eastAsia="DepCentury Old Style"/>
        </w:rPr>
        <w:t>2.1. Informasjon</w:t>
      </w:r>
      <w:bookmarkEnd w:id="8"/>
    </w:p>
    <w:p w14:paraId="0B25A16B" w14:textId="77777777" w:rsidR="003631F2" w:rsidRDefault="00000000">
      <w:r>
        <w:rPr>
          <w:rFonts w:eastAsia="DepCentury Old Style" w:cs="Arial"/>
        </w:rPr>
        <w:t>D</w:t>
      </w:r>
      <w:r>
        <w:t>et er viktig at organisasjonenes tillitsvalgte og den enkelte ansatte trekkes inn i omstillingsprosessen så tidlig som mulig. Det vises til hovedavtalen § 17 og tilpasningsavtalen for virksomheten(e).</w:t>
      </w:r>
    </w:p>
    <w:p w14:paraId="3DAE44FB" w14:textId="77777777" w:rsidR="003631F2" w:rsidRDefault="00000000">
      <w:r>
        <w:t>Arbeidsgiver har ansvaret for å utarbeide forslag til informasjonsopplegg ved omstilling. Slike orienteringer planlegges sammen med de tillitsvalgte. Informasjonen skal foregå regelmessig, for eksempel i form av møter, referater, e-post og intranett</w:t>
      </w:r>
    </w:p>
    <w:p w14:paraId="61991B2C" w14:textId="77777777" w:rsidR="003631F2" w:rsidRDefault="00000000">
      <w:r>
        <w:t>Arbeidsgiver har ansvaret for å gi nødvendig informasjon til de ansatte om deres rettigheter etter lov og avtaler (individuelle og kollektive).</w:t>
      </w:r>
    </w:p>
    <w:p w14:paraId="49B4622B" w14:textId="77777777" w:rsidR="003631F2" w:rsidRDefault="00000000">
      <w:r>
        <w:rPr>
          <w:rFonts w:eastAsia="DepCentury Old Style" w:cs="Arial"/>
        </w:rPr>
        <w:t>Arb</w:t>
      </w:r>
      <w:r>
        <w:t>eidsgiver plikter å sørge for at informasjonen gis alle ansatte, også de som er i permisjon.</w:t>
      </w:r>
    </w:p>
    <w:p w14:paraId="2826D6C7" w14:textId="77777777" w:rsidR="003631F2" w:rsidRDefault="00000000">
      <w:r>
        <w:t>Virksomhetens leder skal sørge for at alle ansatte som vil kunne bli berørt av omstillingsprosessen får et tilbud om medarbeidersamtale med sin leder vedrørende omstillingen.</w:t>
      </w:r>
    </w:p>
    <w:p w14:paraId="750A4AE2" w14:textId="77777777" w:rsidR="003631F2" w:rsidRDefault="00000000">
      <w:pPr>
        <w:pStyle w:val="UnOverskrift3"/>
        <w:rPr>
          <w:rFonts w:eastAsia="DepCentury Old Style"/>
        </w:rPr>
      </w:pPr>
      <w:bookmarkStart w:id="9" w:name="_Toc529964753"/>
      <w:r>
        <w:rPr>
          <w:rFonts w:eastAsia="DepCentury Old Style"/>
        </w:rPr>
        <w:t>2.2. Medbestemmelse (drøfting og forhandling)</w:t>
      </w:r>
      <w:bookmarkEnd w:id="9"/>
    </w:p>
    <w:p w14:paraId="26E7C1F4" w14:textId="77777777" w:rsidR="003631F2" w:rsidRDefault="00000000">
      <w:r>
        <w:rPr>
          <w:rFonts w:eastAsia="DepCentury Old Style" w:cs="Arial"/>
        </w:rPr>
        <w:t>Dersom det i løpet av omstillingsprosessen oppstår forhold som skal drøftes eller forhandles u</w:t>
      </w:r>
      <w:r>
        <w:t xml:space="preserve">nder prosessen, skal dette skje fortløpende mellom partene, jf. hovedavtalen § 6. Resultatet nedfelles skriftlig som referat eller protokoll. </w:t>
      </w:r>
    </w:p>
    <w:p w14:paraId="24087F3D" w14:textId="77777777" w:rsidR="003631F2" w:rsidRDefault="00000000">
      <w:r>
        <w:lastRenderedPageBreak/>
        <w:t>Dersom omstillingsprosessen omfatter flere virksomheter, skal virksomhetene hver for seg fortl</w:t>
      </w:r>
      <w:r>
        <w:rPr>
          <w:rFonts w:eastAsia="DepCentury Old Style" w:cs="Arial"/>
        </w:rPr>
        <w:t>øpende behandle og avgjøre de saker som ikke er omfattet av omstillingsprosessen</w:t>
      </w:r>
      <w:r>
        <w:rPr>
          <w:rFonts w:eastAsia="DepCentury Old Style" w:cs="Arial"/>
          <w:i/>
        </w:rPr>
        <w:t>,</w:t>
      </w:r>
      <w:r>
        <w:rPr>
          <w:rFonts w:eastAsia="DepCentury Old Style" w:cs="Arial"/>
        </w:rPr>
        <w:t xml:space="preserve"> jf. hovedavtalen § 5 nr. 3.</w:t>
      </w:r>
    </w:p>
    <w:p w14:paraId="75061994" w14:textId="77777777" w:rsidR="003631F2" w:rsidRDefault="00000000">
      <w:pPr>
        <w:pStyle w:val="UnOverskrift3"/>
        <w:rPr>
          <w:rFonts w:eastAsia="DepCentury Old Style"/>
        </w:rPr>
      </w:pPr>
      <w:bookmarkStart w:id="10" w:name="_Toc529964754"/>
      <w:r>
        <w:rPr>
          <w:rFonts w:eastAsia="DepCentury Old Style"/>
        </w:rPr>
        <w:t>2.3. Virkemidler ved nedbemanning og geografisk flytting av statlig virksomhet</w:t>
      </w:r>
      <w:bookmarkEnd w:id="10"/>
    </w:p>
    <w:p w14:paraId="06103B7B" w14:textId="77777777" w:rsidR="003631F2" w:rsidRDefault="00000000">
      <w:pPr>
        <w:spacing w:after="0"/>
      </w:pPr>
      <w:r>
        <w:rPr>
          <w:rFonts w:eastAsia="DepCentury Old Style" w:cs="Arial"/>
        </w:rPr>
        <w:t xml:space="preserve">Hvis det er aktuelt å nedbemanne, eller det skal skje en geografisk flytting av statlig </w:t>
      </w:r>
      <w:r>
        <w:rPr>
          <w:rFonts w:eastAsia="DepCentury Old Style" w:cs="Arial"/>
        </w:rPr>
        <w:br/>
        <w:t xml:space="preserve">virksomhet, drøfter de lokale parter hvilke virkemidler som skal tas i bruk, jf. </w:t>
      </w:r>
      <w:hyperlink r:id="rId8" w:history="1">
        <w:r>
          <w:rPr>
            <w:rStyle w:val="Hyperkobling"/>
            <w:rFonts w:eastAsia="DepCentury Old Style" w:cs="Arial"/>
          </w:rPr>
          <w:t>særavtale om bruk av virkemidler ved omstillinger i staten.</w:t>
        </w:r>
      </w:hyperlink>
      <w:r>
        <w:rPr>
          <w:rFonts w:eastAsia="DepCentury Old Style" w:cs="Arial"/>
        </w:rPr>
        <w:t xml:space="preserve"> </w:t>
      </w:r>
    </w:p>
    <w:p w14:paraId="37C682C6" w14:textId="77777777" w:rsidR="003631F2" w:rsidRDefault="00000000">
      <w:pPr>
        <w:pStyle w:val="UnOverskrift3"/>
        <w:rPr>
          <w:rFonts w:eastAsia="DepCentury Old Style"/>
        </w:rPr>
      </w:pPr>
      <w:bookmarkStart w:id="11" w:name="_Toc529964755"/>
      <w:r>
        <w:rPr>
          <w:rFonts w:eastAsia="DepCentury Old Style"/>
        </w:rPr>
        <w:t>2.4. Nedbemanning med oppsigelse</w:t>
      </w:r>
      <w:bookmarkEnd w:id="11"/>
    </w:p>
    <w:p w14:paraId="5593BC65" w14:textId="77777777" w:rsidR="003631F2" w:rsidRDefault="00000000">
      <w:pPr>
        <w:spacing w:after="0"/>
        <w:rPr>
          <w:rFonts w:eastAsia="DepCentury Old Style" w:cs="Arial"/>
        </w:rPr>
      </w:pPr>
      <w:r>
        <w:rPr>
          <w:rFonts w:eastAsia="DepCentury Old Style" w:cs="Arial"/>
        </w:rPr>
        <w:t>Ved eventuell oppsigelse skal utvelgelseskriteriene drøftes med de tillitsvalgte. Det skal skrives referat fra drøftingene i samsvar med hovedavtalen § 21.</w:t>
      </w:r>
    </w:p>
    <w:p w14:paraId="1FAF600F" w14:textId="77777777" w:rsidR="003631F2" w:rsidRDefault="00000000">
      <w:pPr>
        <w:pStyle w:val="UnOverskrift2"/>
        <w:rPr>
          <w:rFonts w:eastAsia="DepCentury Old Style"/>
        </w:rPr>
      </w:pPr>
      <w:bookmarkStart w:id="12" w:name="_Toc529964756"/>
      <w:r>
        <w:rPr>
          <w:rFonts w:eastAsia="DepCentury Old Style"/>
        </w:rPr>
        <w:t>Del 3</w:t>
      </w:r>
      <w:bookmarkEnd w:id="12"/>
    </w:p>
    <w:p w14:paraId="2604F279" w14:textId="77777777" w:rsidR="003631F2" w:rsidRDefault="00000000">
      <w:pPr>
        <w:pStyle w:val="UnOverskrift3"/>
        <w:rPr>
          <w:rFonts w:eastAsia="DepCentury Old Style"/>
        </w:rPr>
      </w:pPr>
      <w:bookmarkStart w:id="13" w:name="_Toc529964757"/>
      <w:r>
        <w:rPr>
          <w:rFonts w:eastAsia="DepCentury Old Style"/>
        </w:rPr>
        <w:t>3.1. Tvisteløsning og varighet</w:t>
      </w:r>
      <w:bookmarkEnd w:id="13"/>
    </w:p>
    <w:p w14:paraId="26D6C953" w14:textId="77777777" w:rsidR="003631F2" w:rsidRDefault="00000000">
      <w:r>
        <w:rPr>
          <w:rFonts w:eastAsia="DepCentury Old Style" w:cs="Arial"/>
        </w:rPr>
        <w:t>V</w:t>
      </w:r>
      <w:r>
        <w:t xml:space="preserve">ed uenighet om utforming av denne avtalen avgjøres saken av DFD i samråd med hovedsammenslutningene. </w:t>
      </w:r>
    </w:p>
    <w:p w14:paraId="18F645EE" w14:textId="77777777" w:rsidR="003631F2" w:rsidRDefault="00000000">
      <w:r>
        <w:t>Hvis f</w:t>
      </w:r>
      <w:r>
        <w:rPr>
          <w:rFonts w:eastAsia="DepCentury Old Style" w:cs="Arial"/>
        </w:rPr>
        <w:t xml:space="preserve">orhandlinger mellom DFD og hovedsammenslutningene ikke fører frem, avgjøres dette etter hovedavtalen § 24.  </w:t>
      </w:r>
    </w:p>
    <w:p w14:paraId="3AE56798" w14:textId="77777777" w:rsidR="003631F2" w:rsidRDefault="00000000">
      <w:pPr>
        <w:pStyle w:val="UnOverskrift3"/>
        <w:rPr>
          <w:rFonts w:eastAsia="DepCentury Old Style"/>
        </w:rPr>
      </w:pPr>
      <w:bookmarkStart w:id="14" w:name="_Toc529964758"/>
      <w:r>
        <w:rPr>
          <w:rFonts w:eastAsia="DepCentury Old Style"/>
        </w:rPr>
        <w:t>3.2. Varighet</w:t>
      </w:r>
      <w:bookmarkEnd w:id="14"/>
    </w:p>
    <w:p w14:paraId="0DC40B89" w14:textId="77777777" w:rsidR="003631F2" w:rsidRDefault="00000000">
      <w:r>
        <w:rPr>
          <w:rFonts w:eastAsia="DepCentury Old Style" w:cs="Arial"/>
        </w:rPr>
        <w:t xml:space="preserve">Denne avtalen er begrenset til å gjelde omstillingsprosessen i ........................................., som forutsettes å være avsluttet </w:t>
      </w:r>
      <w:r>
        <w:rPr>
          <w:rFonts w:eastAsia="DepCentury Old Style" w:cs="Arial"/>
          <w:i/>
        </w:rPr>
        <w:t xml:space="preserve">................................ (dato). </w:t>
      </w:r>
      <w:r>
        <w:rPr>
          <w:rFonts w:eastAsia="DepCentury Old Style" w:cs="Arial"/>
        </w:rPr>
        <w:t xml:space="preserve">Avtalen faller da bort uten </w:t>
      </w:r>
      <w:r>
        <w:rPr>
          <w:rFonts w:eastAsia="DepCentury Old Style" w:cs="Arial"/>
        </w:rPr>
        <w:br/>
        <w:t>o</w:t>
      </w:r>
      <w:r>
        <w:t xml:space="preserve">ppsigelse. Partene kan dog forlenge avtalen hvis prosessen fortsatt pågår på dette </w:t>
      </w:r>
      <w:r>
        <w:br/>
        <w:t>tidspunkt.</w:t>
      </w:r>
    </w:p>
    <w:p w14:paraId="34FB4E07" w14:textId="77777777" w:rsidR="003631F2" w:rsidRDefault="00000000">
      <w:r>
        <w:t xml:space="preserve">Hver </w:t>
      </w:r>
      <w:r>
        <w:rPr>
          <w:rFonts w:eastAsia="DepCentury Old Style" w:cs="Arial"/>
        </w:rPr>
        <w:t>av partene kan i ovennevnte periode si opp avtalen med tre måneders varsel.</w:t>
      </w:r>
    </w:p>
    <w:p w14:paraId="27ED326B" w14:textId="77777777" w:rsidR="003631F2" w:rsidRDefault="003631F2">
      <w:pPr>
        <w:widowControl w:val="0"/>
        <w:tabs>
          <w:tab w:val="left" w:pos="720"/>
        </w:tabs>
        <w:spacing w:after="0"/>
        <w:rPr>
          <w:rFonts w:eastAsia="DepCentury Old Style" w:cs="Arial"/>
          <w:b/>
        </w:rPr>
      </w:pPr>
    </w:p>
    <w:p w14:paraId="51B3FE79" w14:textId="77777777" w:rsidR="003631F2" w:rsidRDefault="00000000">
      <w:pPr>
        <w:widowControl w:val="0"/>
        <w:tabs>
          <w:tab w:val="left" w:pos="720"/>
        </w:tabs>
        <w:spacing w:after="0"/>
        <w:jc w:val="center"/>
        <w:rPr>
          <w:rFonts w:eastAsia="DepCentury Old Style" w:cs="Arial"/>
        </w:rPr>
      </w:pPr>
      <w:r>
        <w:rPr>
          <w:rFonts w:eastAsia="DepCentury Old Style" w:cs="Arial"/>
        </w:rPr>
        <w:t>Sted …………….dato…………….</w:t>
      </w:r>
    </w:p>
    <w:p w14:paraId="01364C5D" w14:textId="77777777" w:rsidR="003631F2" w:rsidRDefault="003631F2">
      <w:pPr>
        <w:widowControl w:val="0"/>
        <w:tabs>
          <w:tab w:val="left" w:pos="720"/>
        </w:tabs>
        <w:spacing w:after="0"/>
        <w:rPr>
          <w:rFonts w:eastAsia="DepCentury Old Style" w:cs="Arial"/>
        </w:rPr>
      </w:pPr>
    </w:p>
    <w:p w14:paraId="1B1C4E8D" w14:textId="77777777" w:rsidR="003631F2" w:rsidRDefault="00000000">
      <w:pPr>
        <w:widowControl w:val="0"/>
        <w:tabs>
          <w:tab w:val="left" w:pos="720"/>
        </w:tabs>
        <w:spacing w:after="0"/>
        <w:rPr>
          <w:rFonts w:eastAsia="DepCentury Old Style" w:cs="Arial"/>
        </w:rPr>
      </w:pPr>
      <w:r>
        <w:rPr>
          <w:rFonts w:eastAsia="DepCentury Old Style" w:cs="Arial"/>
        </w:rPr>
        <w:t>Underskrifter arbeidsgiver</w:t>
      </w:r>
      <w:r>
        <w:rPr>
          <w:rFonts w:eastAsia="DepCentury Old Style" w:cs="Arial"/>
        </w:rPr>
        <w:tab/>
      </w:r>
      <w:r>
        <w:rPr>
          <w:rFonts w:eastAsia="DepCentury Old Style" w:cs="Arial"/>
        </w:rPr>
        <w:tab/>
      </w:r>
      <w:r>
        <w:rPr>
          <w:rFonts w:eastAsia="DepCentury Old Style" w:cs="Arial"/>
        </w:rPr>
        <w:tab/>
      </w:r>
      <w:r>
        <w:rPr>
          <w:rFonts w:eastAsia="DepCentury Old Style" w:cs="Arial"/>
        </w:rPr>
        <w:tab/>
      </w:r>
      <w:r>
        <w:rPr>
          <w:rFonts w:eastAsia="DepCentury Old Style" w:cs="Arial"/>
        </w:rPr>
        <w:tab/>
        <w:t>tillitsvalgte</w:t>
      </w:r>
    </w:p>
    <w:p w14:paraId="27FE24A2" w14:textId="77777777" w:rsidR="003631F2" w:rsidRDefault="003631F2">
      <w:pPr>
        <w:widowControl w:val="0"/>
        <w:tabs>
          <w:tab w:val="left" w:pos="720"/>
        </w:tabs>
        <w:spacing w:after="0"/>
        <w:rPr>
          <w:rFonts w:eastAsia="DepCentury Old Style" w:cs="Arial"/>
        </w:rPr>
      </w:pPr>
    </w:p>
    <w:p w14:paraId="5BD01CAD" w14:textId="77777777" w:rsidR="003631F2" w:rsidRDefault="00000000">
      <w:pPr>
        <w:widowControl w:val="0"/>
        <w:tabs>
          <w:tab w:val="left" w:pos="720"/>
        </w:tabs>
        <w:spacing w:after="0"/>
        <w:rPr>
          <w:rFonts w:eastAsia="DepCentury Old Style" w:cs="Arial"/>
        </w:rPr>
      </w:pPr>
      <w:r>
        <w:rPr>
          <w:rFonts w:eastAsia="DepCentury Old Style" w:cs="Arial"/>
        </w:rPr>
        <w:t>…………………………………..</w:t>
      </w:r>
      <w:r>
        <w:rPr>
          <w:rFonts w:eastAsia="DepCentury Old Style" w:cs="Arial"/>
        </w:rPr>
        <w:tab/>
      </w:r>
      <w:r>
        <w:rPr>
          <w:rFonts w:eastAsia="DepCentury Old Style" w:cs="Arial"/>
        </w:rPr>
        <w:tab/>
        <w:t>…………………………………………</w:t>
      </w:r>
    </w:p>
    <w:p w14:paraId="59E8F56C" w14:textId="77777777" w:rsidR="003631F2" w:rsidRDefault="00000000">
      <w:pPr>
        <w:widowControl w:val="0"/>
        <w:tabs>
          <w:tab w:val="left" w:pos="720"/>
        </w:tabs>
        <w:spacing w:after="0"/>
        <w:rPr>
          <w:rFonts w:eastAsia="DepCentury Old Style" w:cs="Arial"/>
        </w:rPr>
      </w:pPr>
      <w:r>
        <w:rPr>
          <w:rFonts w:eastAsia="DepCentury Old Style" w:cs="Arial"/>
        </w:rPr>
        <w:tab/>
      </w:r>
      <w:r>
        <w:rPr>
          <w:rFonts w:eastAsia="DepCentury Old Style" w:cs="Arial"/>
        </w:rPr>
        <w:tab/>
      </w:r>
      <w:r>
        <w:rPr>
          <w:rFonts w:eastAsia="DepCentury Old Style" w:cs="Arial"/>
        </w:rPr>
        <w:tab/>
      </w:r>
      <w:r>
        <w:rPr>
          <w:rFonts w:eastAsia="DepCentury Old Style" w:cs="Arial"/>
        </w:rPr>
        <w:tab/>
      </w:r>
      <w:r>
        <w:rPr>
          <w:rFonts w:eastAsia="DepCentury Old Style" w:cs="Arial"/>
        </w:rPr>
        <w:tab/>
      </w:r>
      <w:r>
        <w:rPr>
          <w:rFonts w:eastAsia="DepCentury Old Style" w:cs="Arial"/>
        </w:rPr>
        <w:tab/>
        <w:t>………………………………………….</w:t>
      </w:r>
    </w:p>
    <w:p w14:paraId="591C06DA" w14:textId="77777777" w:rsidR="003631F2" w:rsidRDefault="00000000">
      <w:pPr>
        <w:widowControl w:val="0"/>
        <w:tabs>
          <w:tab w:val="left" w:pos="720"/>
        </w:tabs>
        <w:spacing w:after="0"/>
        <w:rPr>
          <w:rFonts w:eastAsia="DepCentury Old Style" w:cs="Arial"/>
        </w:rPr>
      </w:pPr>
      <w:r>
        <w:rPr>
          <w:rFonts w:eastAsia="DepCentury Old Style" w:cs="Arial"/>
        </w:rPr>
        <w:tab/>
      </w:r>
      <w:r>
        <w:rPr>
          <w:rFonts w:eastAsia="DepCentury Old Style" w:cs="Arial"/>
        </w:rPr>
        <w:tab/>
      </w:r>
      <w:r>
        <w:rPr>
          <w:rFonts w:eastAsia="DepCentury Old Style" w:cs="Arial"/>
        </w:rPr>
        <w:tab/>
      </w:r>
      <w:r>
        <w:rPr>
          <w:rFonts w:eastAsia="DepCentury Old Style" w:cs="Arial"/>
        </w:rPr>
        <w:tab/>
      </w:r>
      <w:r>
        <w:rPr>
          <w:rFonts w:eastAsia="DepCentury Old Style" w:cs="Arial"/>
        </w:rPr>
        <w:tab/>
      </w:r>
      <w:r>
        <w:rPr>
          <w:rFonts w:eastAsia="DepCentury Old Style" w:cs="Arial"/>
        </w:rPr>
        <w:tab/>
        <w:t>………………………………………….</w:t>
      </w:r>
    </w:p>
    <w:p w14:paraId="233FB223" w14:textId="77777777" w:rsidR="003631F2" w:rsidRDefault="00000000">
      <w:pPr>
        <w:widowControl w:val="0"/>
        <w:tabs>
          <w:tab w:val="left" w:pos="720"/>
        </w:tabs>
        <w:spacing w:after="0"/>
        <w:rPr>
          <w:rFonts w:eastAsia="DepCentury Old Style" w:cs="Arial"/>
        </w:rPr>
      </w:pPr>
      <w:r>
        <w:rPr>
          <w:rFonts w:eastAsia="DepCentury Old Style" w:cs="Arial"/>
        </w:rPr>
        <w:tab/>
      </w:r>
      <w:r>
        <w:rPr>
          <w:rFonts w:eastAsia="DepCentury Old Style" w:cs="Arial"/>
        </w:rPr>
        <w:tab/>
      </w:r>
      <w:r>
        <w:rPr>
          <w:rFonts w:eastAsia="DepCentury Old Style" w:cs="Arial"/>
        </w:rPr>
        <w:tab/>
      </w:r>
      <w:r>
        <w:rPr>
          <w:rFonts w:eastAsia="DepCentury Old Style" w:cs="Arial"/>
        </w:rPr>
        <w:tab/>
      </w:r>
      <w:r>
        <w:rPr>
          <w:rFonts w:eastAsia="DepCentury Old Style" w:cs="Arial"/>
        </w:rPr>
        <w:tab/>
      </w:r>
      <w:r>
        <w:rPr>
          <w:rFonts w:eastAsia="DepCentury Old Style" w:cs="Arial"/>
        </w:rPr>
        <w:tab/>
        <w:t>…………………………………………</w:t>
      </w:r>
    </w:p>
    <w:p w14:paraId="5DA1B37E" w14:textId="77777777" w:rsidR="003631F2" w:rsidRDefault="003631F2">
      <w:pPr>
        <w:widowControl w:val="0"/>
        <w:tabs>
          <w:tab w:val="left" w:pos="720"/>
        </w:tabs>
        <w:spacing w:after="0"/>
        <w:rPr>
          <w:rFonts w:eastAsia="DepCentury Old Style" w:cs="Arial"/>
          <w:b/>
        </w:rPr>
      </w:pPr>
    </w:p>
    <w:p w14:paraId="1F6FCD41" w14:textId="77777777" w:rsidR="003631F2" w:rsidRDefault="003631F2">
      <w:pPr>
        <w:widowControl w:val="0"/>
        <w:tabs>
          <w:tab w:val="left" w:pos="720"/>
        </w:tabs>
        <w:spacing w:after="0"/>
        <w:rPr>
          <w:rFonts w:eastAsia="DepCentury Old Style" w:cs="Arial"/>
          <w:b/>
        </w:rPr>
      </w:pPr>
    </w:p>
    <w:p w14:paraId="1F220058" w14:textId="77777777" w:rsidR="003631F2" w:rsidRDefault="003631F2">
      <w:pPr>
        <w:spacing w:after="160" w:line="251" w:lineRule="auto"/>
      </w:pPr>
      <w:bookmarkStart w:id="15" w:name="_Toc529964759"/>
    </w:p>
    <w:p w14:paraId="7673FF9D" w14:textId="77777777" w:rsidR="003631F2" w:rsidRDefault="00000000">
      <w:pPr>
        <w:pStyle w:val="UnOverskrift3"/>
        <w:pageBreakBefore/>
        <w:rPr>
          <w:rFonts w:eastAsia="DepCentury Old Style"/>
        </w:rPr>
      </w:pPr>
      <w:r>
        <w:rPr>
          <w:rFonts w:eastAsia="DepCentury Old Style"/>
        </w:rPr>
        <w:lastRenderedPageBreak/>
        <w:t>Vedlegg til avtalen - prosessbeskrivelse:</w:t>
      </w:r>
      <w:bookmarkEnd w:id="15"/>
      <w:r>
        <w:rPr>
          <w:rFonts w:eastAsia="DepCentury Old Style"/>
        </w:rPr>
        <w:t xml:space="preserve"> </w:t>
      </w:r>
    </w:p>
    <w:p w14:paraId="5B222D75" w14:textId="77777777" w:rsidR="003631F2" w:rsidRDefault="00000000">
      <w:r>
        <w:rPr>
          <w:rFonts w:eastAsia="DepCentury Old Style" w:cs="Arial"/>
        </w:rPr>
        <w:t>Ved omorganisering i staten er utgangspunktet at den ansatte både har rett og plikt til å følge s</w:t>
      </w:r>
      <w:r>
        <w:t xml:space="preserve">ine arbeidsoppgaver, jf. statsansatteloven § 16. </w:t>
      </w:r>
    </w:p>
    <w:p w14:paraId="4936D26C" w14:textId="77777777" w:rsidR="003631F2" w:rsidRDefault="00000000">
      <w:pPr>
        <w:pStyle w:val="UnOverskrift3"/>
      </w:pPr>
      <w:bookmarkStart w:id="16" w:name="_Toc529964760"/>
      <w:r>
        <w:t>I. Kompetansekartlegging, bemanningsplan, kartleggingssamtaler, karriereplanlegging mv.</w:t>
      </w:r>
      <w:bookmarkEnd w:id="16"/>
      <w:r>
        <w:br/>
      </w:r>
    </w:p>
    <w:p w14:paraId="573348CF" w14:textId="77777777" w:rsidR="003631F2" w:rsidRDefault="00000000">
      <w:r>
        <w:rPr>
          <w:b/>
        </w:rPr>
        <w:t>Bemanningsplan:</w:t>
      </w:r>
      <w:r>
        <w:t xml:space="preserve"> det utarbeides en bemanningsplan for den nye virksomheten som drøftes med de tillitsvalgte i virksomheten, jf. hovedavtalen og § 18 nr. 2.  </w:t>
      </w:r>
    </w:p>
    <w:p w14:paraId="657D034A" w14:textId="77777777" w:rsidR="003631F2" w:rsidRDefault="00000000">
      <w:r>
        <w:rPr>
          <w:b/>
        </w:rPr>
        <w:t>Kompetansekartlegging:</w:t>
      </w:r>
      <w:r>
        <w:t xml:space="preserve"> det utarbeides så tidlig som mulig en skriftlig oversikt over ansattes arbeidsoppgaver og kompetanse som omfatter de arbeidstakerne som blir berørt av omstillingen. </w:t>
      </w:r>
    </w:p>
    <w:p w14:paraId="07F422C6" w14:textId="77777777" w:rsidR="003631F2" w:rsidRDefault="00000000">
      <w:r>
        <w:rPr>
          <w:b/>
        </w:rPr>
        <w:t>Kartleggingssamtaler:</w:t>
      </w:r>
      <w:r>
        <w:t xml:space="preserve"> det gjennomføres samtaler med de ansatte som er </w:t>
      </w:r>
      <w:r>
        <w:br/>
        <w:t>berørt av omstillingen. Det bør så langt råd er tas hensyn til den enkeltes ønsker ved endring/overgang til fremtidige arbeidsoppgaver eller fremtidig arbeidssted. Ønsker fra den ansatte skal nedfelles skriftlig.</w:t>
      </w:r>
    </w:p>
    <w:p w14:paraId="3BE6C731" w14:textId="77777777" w:rsidR="003631F2" w:rsidRDefault="00000000">
      <w:r>
        <w:rPr>
          <w:b/>
        </w:rPr>
        <w:t>Karriereplanlegging:</w:t>
      </w:r>
      <w:r>
        <w:t xml:space="preserve"> dersom ansatte har behov for ny kompetanse for å kunne utføre de arbeidsoppgavene de tilbys, skal arbeidsgiver så langt som mulig legge til rette for kompetanseutvikling og faglig oppdatering.</w:t>
      </w:r>
    </w:p>
    <w:p w14:paraId="1F7484A9" w14:textId="77777777" w:rsidR="003631F2" w:rsidRDefault="00000000">
      <w:r>
        <w:rPr>
          <w:b/>
        </w:rPr>
        <w:t>Forhandlinger:</w:t>
      </w:r>
      <w:r>
        <w:t xml:space="preserve"> omstilling som innebærer endringer av organisasjonskartet, jf. vilkårene i hovedavtalen § 19 nr. 2 a) er gjenstand for forhandlinger med de tillitsvalgte.  </w:t>
      </w:r>
    </w:p>
    <w:p w14:paraId="54120369" w14:textId="77777777" w:rsidR="003631F2" w:rsidRDefault="00000000">
      <w:r>
        <w:rPr>
          <w:b/>
        </w:rPr>
        <w:t>Innplassering:</w:t>
      </w:r>
      <w:r>
        <w:t xml:space="preserve"> Arbeidsgiver har ansvaret for å innplassere ansatte i den nye organisasjonen. Den ansatte skal ha anledning til å gi skriftlig innspill til arbeidsgivers forslag til innplassering. Denne vurderingen vektlegges før endelig beslutning tas.</w:t>
      </w:r>
    </w:p>
    <w:p w14:paraId="5219BFF1" w14:textId="77777777" w:rsidR="003631F2" w:rsidRDefault="00000000">
      <w:r>
        <w:rPr>
          <w:b/>
        </w:rPr>
        <w:t>Informasjon:</w:t>
      </w:r>
      <w:r>
        <w:t xml:space="preserve"> Etter at innplassering er bestemt, skal arbeidsgiver informere om beslutningen gjennom et møte med hver enkelt, samt ved skriftlig underrettelse. Den ansatte kan i hele prosessen la seg bistå av en tillitsvalgt.</w:t>
      </w:r>
    </w:p>
    <w:p w14:paraId="40E55080" w14:textId="77777777" w:rsidR="003631F2" w:rsidRDefault="00000000">
      <w:r>
        <w:rPr>
          <w:b/>
        </w:rPr>
        <w:t>Omplassering og overtallighet:</w:t>
      </w:r>
      <w:r>
        <w:t xml:space="preserve"> Ansatte som er overtallige skal ivaretas i samsvar med statsansatteloven. </w:t>
      </w:r>
    </w:p>
    <w:p w14:paraId="384E1112" w14:textId="77777777" w:rsidR="003631F2" w:rsidRDefault="00000000">
      <w:pPr>
        <w:pStyle w:val="UnOverskrift3"/>
        <w:rPr>
          <w:rFonts w:eastAsia="DepCentury Old Style"/>
        </w:rPr>
      </w:pPr>
      <w:bookmarkStart w:id="17" w:name="_Toc529964761"/>
      <w:r>
        <w:rPr>
          <w:rFonts w:eastAsia="DepCentury Old Style"/>
        </w:rPr>
        <w:t>II. Offentlig kunngjøring av nyopprettede ledige stillinger</w:t>
      </w:r>
      <w:bookmarkEnd w:id="17"/>
      <w:r>
        <w:rPr>
          <w:rFonts w:eastAsia="DepCentury Old Style"/>
        </w:rPr>
        <w:br/>
      </w:r>
    </w:p>
    <w:p w14:paraId="25F1BFD3" w14:textId="77777777" w:rsidR="003631F2" w:rsidRDefault="00000000">
      <w:pPr>
        <w:rPr>
          <w:rFonts w:eastAsia="DepCentury Old Style"/>
        </w:rPr>
      </w:pPr>
      <w:r>
        <w:rPr>
          <w:rFonts w:eastAsia="DepCentury Old Style"/>
        </w:rPr>
        <w:t xml:space="preserve">Dersom det etter omorganiseringen er nyopprettede stillinger som ingen har krav på, skal offentlig utlysning ikke skje før arbeidsgiver har vurdert om det er overtallige som har intern fortrinnsrett, jf. statsansatteloven § 19 annet ledd og eventuelt § 20 annet ledd (sykdom eller kvalifikasjonsmangel). </w:t>
      </w:r>
    </w:p>
    <w:p w14:paraId="4658C4CA" w14:textId="77777777" w:rsidR="003631F2" w:rsidRDefault="00000000">
      <w:r>
        <w:rPr>
          <w:rFonts w:eastAsia="DepCentury Old Style"/>
          <w:b/>
        </w:rPr>
        <w:t xml:space="preserve">Hjemmel for intern kunngjøring: </w:t>
      </w:r>
      <w:r>
        <w:rPr>
          <w:rFonts w:eastAsia="DepCentury Old Style"/>
        </w:rPr>
        <w:t xml:space="preserve">Med hjemmel i avtale mellom daværende KMD (nå KDD) og hovedsammenslutningene av 31. januar 2018 er det adgang til å gjøre unntak fra kravet om offentlig utlysning av ledig stilling. Avtalen er forlenget og gjelder fra 1. januar 2023 til og med 31. desember 2024. Slik fullmakt gjelder for nedbemanningssituasjoner hvor det er kan oppstå overtallighet, og hvor det ikke finnes annen passende ledig stilling å tilby den ansatte. Ledige stillinger kunngjøres i virksomheten. </w:t>
      </w:r>
    </w:p>
    <w:p w14:paraId="568249A1" w14:textId="77777777" w:rsidR="003631F2" w:rsidRDefault="00000000">
      <w:r>
        <w:rPr>
          <w:rFonts w:eastAsia="DepCentury Old Style"/>
        </w:rPr>
        <w:lastRenderedPageBreak/>
        <w:t>Ansettelse ved intern kunngjøring kan skje dersom søkeren er kvalifisert for stillingen. Lederstillinger skal alltid lyses ut offentlig.</w:t>
      </w:r>
    </w:p>
    <w:sectPr w:rsidR="003631F2">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81F98" w14:textId="77777777" w:rsidR="009A4ADC" w:rsidRDefault="009A4ADC">
      <w:pPr>
        <w:spacing w:after="0" w:line="240" w:lineRule="auto"/>
      </w:pPr>
      <w:r>
        <w:separator/>
      </w:r>
    </w:p>
  </w:endnote>
  <w:endnote w:type="continuationSeparator" w:id="0">
    <w:p w14:paraId="4302A404" w14:textId="77777777" w:rsidR="009A4ADC" w:rsidRDefault="009A4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pCentury Old Style">
    <w:panose1 w:val="02030603060405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53DCE" w14:textId="77777777" w:rsidR="00000000" w:rsidRDefault="00000000">
    <w:pPr>
      <w:pStyle w:val="Bunntekst"/>
      <w:jc w:val="center"/>
    </w:pPr>
    <w:r>
      <w:fldChar w:fldCharType="begin"/>
    </w:r>
    <w:r>
      <w:instrText xml:space="preserve"> PAGE </w:instrText>
    </w:r>
    <w:r>
      <w:fldChar w:fldCharType="separate"/>
    </w:r>
    <w:r>
      <w:t>1</w:t>
    </w:r>
    <w:r>
      <w:fldChar w:fldCharType="end"/>
    </w:r>
  </w:p>
  <w:p w14:paraId="6B40EAD0" w14:textId="77777777" w:rsidR="00000000" w:rsidRDefault="0000000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F6798" w14:textId="77777777" w:rsidR="009A4ADC" w:rsidRDefault="009A4ADC">
      <w:pPr>
        <w:spacing w:after="0" w:line="240" w:lineRule="auto"/>
      </w:pPr>
      <w:r>
        <w:rPr>
          <w:color w:val="000000"/>
        </w:rPr>
        <w:separator/>
      </w:r>
    </w:p>
  </w:footnote>
  <w:footnote w:type="continuationSeparator" w:id="0">
    <w:p w14:paraId="63C72055" w14:textId="77777777" w:rsidR="009A4ADC" w:rsidRDefault="009A4A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E5CC5"/>
    <w:multiLevelType w:val="multilevel"/>
    <w:tmpl w:val="995AAED0"/>
    <w:styleLink w:val="NrListeStil"/>
    <w:lvl w:ilvl="0">
      <w:start w:val="1"/>
      <w:numFmt w:val="decimal"/>
      <w:pStyle w:val="Nummerertliste5"/>
      <w:lvlText w:val="%1."/>
      <w:lvlJc w:val="left"/>
      <w:pPr>
        <w:ind w:left="397" w:hanging="397"/>
      </w:pPr>
    </w:lvl>
    <w:lvl w:ilvl="1">
      <w:start w:val="1"/>
      <w:numFmt w:val="decimal"/>
      <w:lvlText w:val="%2."/>
      <w:lvlJc w:val="left"/>
      <w:pPr>
        <w:ind w:left="794" w:hanging="397"/>
      </w:pPr>
    </w:lvl>
    <w:lvl w:ilvl="2">
      <w:start w:val="1"/>
      <w:numFmt w:val="decimal"/>
      <w:lvlText w:val="%3."/>
      <w:lvlJc w:val="left"/>
      <w:pPr>
        <w:ind w:left="1191" w:hanging="397"/>
      </w:pPr>
    </w:lvl>
    <w:lvl w:ilvl="3">
      <w:start w:val="1"/>
      <w:numFmt w:val="decimal"/>
      <w:lvlText w:val="%4."/>
      <w:lvlJc w:val="left"/>
      <w:pPr>
        <w:ind w:left="1588" w:hanging="397"/>
      </w:pPr>
    </w:lvl>
    <w:lvl w:ilvl="4">
      <w:start w:val="1"/>
      <w:numFmt w:val="decimal"/>
      <w:lvlText w:val="%5."/>
      <w:lvlJc w:val="left"/>
      <w:pPr>
        <w:ind w:left="1985" w:hanging="397"/>
      </w:pPr>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lowerRoman"/>
      <w:lvlText w:val="%9."/>
      <w:lvlJc w:val="right"/>
      <w:pPr>
        <w:ind w:left="3573" w:hanging="397"/>
      </w:pPr>
    </w:lvl>
  </w:abstractNum>
  <w:abstractNum w:abstractNumId="1" w15:restartNumberingAfterBreak="0">
    <w:nsid w:val="449545AE"/>
    <w:multiLevelType w:val="multilevel"/>
    <w:tmpl w:val="BFCEDA06"/>
    <w:styleLink w:val="LFO4"/>
    <w:lvl w:ilvl="0">
      <w:numFmt w:val="bullet"/>
      <w:pStyle w:val="Listebombe"/>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82470294">
    <w:abstractNumId w:val="0"/>
  </w:num>
  <w:num w:numId="2" w16cid:durableId="1454253298">
    <w:abstractNumId w:val="1"/>
  </w:num>
  <w:num w:numId="3" w16cid:durableId="2559843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631F2"/>
    <w:rsid w:val="003631F2"/>
    <w:rsid w:val="008F3397"/>
    <w:rsid w:val="009A4AD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2850C"/>
  <w15:docId w15:val="{C3645A17-3B08-402B-9A7D-E8EAC536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nb-NO"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276" w:lineRule="auto"/>
    </w:pPr>
    <w:rPr>
      <w:rFonts w:ascii="Arial" w:eastAsia="Times New Roman" w:hAnsi="Arial"/>
      <w:lang w:eastAsia="nb-NO"/>
    </w:rPr>
  </w:style>
  <w:style w:type="paragraph" w:styleId="Overskrift1">
    <w:name w:val="heading 1"/>
    <w:basedOn w:val="Normal"/>
    <w:next w:val="Normal"/>
    <w:uiPriority w:val="9"/>
    <w:qFormat/>
    <w:pPr>
      <w:keepNext/>
      <w:keepLines/>
      <w:spacing w:before="240" w:after="60"/>
      <w:outlineLvl w:val="0"/>
    </w:pPr>
    <w:rPr>
      <w:b/>
      <w:sz w:val="30"/>
      <w:szCs w:val="32"/>
    </w:rPr>
  </w:style>
  <w:style w:type="paragraph" w:styleId="Overskrift2">
    <w:name w:val="heading 2"/>
    <w:basedOn w:val="Normal"/>
    <w:next w:val="Normal"/>
    <w:uiPriority w:val="9"/>
    <w:semiHidden/>
    <w:unhideWhenUsed/>
    <w:qFormat/>
    <w:pPr>
      <w:keepNext/>
      <w:keepLines/>
      <w:spacing w:before="240" w:after="60"/>
      <w:outlineLvl w:val="1"/>
    </w:pPr>
    <w:rPr>
      <w:b/>
      <w:sz w:val="26"/>
      <w:szCs w:val="26"/>
    </w:rPr>
  </w:style>
  <w:style w:type="paragraph" w:styleId="Overskrift3">
    <w:name w:val="heading 3"/>
    <w:basedOn w:val="Normal"/>
    <w:next w:val="Normal"/>
    <w:uiPriority w:val="9"/>
    <w:semiHidden/>
    <w:unhideWhenUsed/>
    <w:qFormat/>
    <w:pPr>
      <w:keepNext/>
      <w:keepLines/>
      <w:spacing w:before="240" w:after="60"/>
      <w:outlineLvl w:val="2"/>
    </w:pPr>
    <w:rPr>
      <w:b/>
      <w:szCs w:val="24"/>
    </w:rPr>
  </w:style>
  <w:style w:type="paragraph" w:styleId="Overskrift4">
    <w:name w:val="heading 4"/>
    <w:basedOn w:val="Normal"/>
    <w:next w:val="Normal"/>
    <w:uiPriority w:val="9"/>
    <w:semiHidden/>
    <w:unhideWhenUsed/>
    <w:qFormat/>
    <w:pPr>
      <w:keepNext/>
      <w:keepLines/>
      <w:spacing w:before="240" w:after="60"/>
      <w:outlineLvl w:val="3"/>
    </w:pPr>
    <w:rPr>
      <w:b/>
      <w:i/>
      <w:iCs/>
    </w:rPr>
  </w:style>
  <w:style w:type="paragraph" w:styleId="Overskrift5">
    <w:name w:val="heading 5"/>
    <w:basedOn w:val="Normal"/>
    <w:next w:val="Normal"/>
    <w:uiPriority w:val="9"/>
    <w:semiHidden/>
    <w:unhideWhenUsed/>
    <w:qFormat/>
    <w:pPr>
      <w:keepNext/>
      <w:keepLines/>
      <w:spacing w:before="240" w:after="60"/>
      <w:outlineLvl w:val="4"/>
    </w:pPr>
    <w:rPr>
      <w:i/>
    </w:rPr>
  </w:style>
  <w:style w:type="paragraph" w:styleId="Overskrift6">
    <w:name w:val="heading 6"/>
    <w:basedOn w:val="Normal"/>
    <w:next w:val="Normal"/>
    <w:uiPriority w:val="9"/>
    <w:semiHidden/>
    <w:unhideWhenUsed/>
    <w:qFormat/>
    <w:pPr>
      <w:keepNext/>
      <w:keepLines/>
      <w:spacing w:before="240" w:after="60"/>
      <w:outlineLvl w:val="5"/>
    </w:pPr>
    <w:rPr>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pPr>
      <w:suppressAutoHyphens/>
      <w:spacing w:after="0" w:line="240" w:lineRule="auto"/>
    </w:pPr>
    <w:rPr>
      <w:rFonts w:ascii="Arial" w:hAnsi="Arial"/>
      <w:color w:val="000000"/>
    </w:rPr>
  </w:style>
  <w:style w:type="character" w:customStyle="1" w:styleId="Overskrift1Tegn">
    <w:name w:val="Overskrift 1 Tegn"/>
    <w:basedOn w:val="Standardskriftforavsnitt"/>
    <w:rPr>
      <w:rFonts w:ascii="Arial" w:eastAsia="Times New Roman" w:hAnsi="Arial" w:cs="Times New Roman"/>
      <w:b/>
      <w:color w:val="000000"/>
      <w:sz w:val="30"/>
      <w:szCs w:val="32"/>
    </w:rPr>
  </w:style>
  <w:style w:type="character" w:customStyle="1" w:styleId="Overskrift2Tegn">
    <w:name w:val="Overskrift 2 Tegn"/>
    <w:basedOn w:val="Standardskriftforavsnitt"/>
    <w:rPr>
      <w:rFonts w:ascii="Arial" w:eastAsia="Times New Roman" w:hAnsi="Arial" w:cs="Times New Roman"/>
      <w:b/>
      <w:color w:val="000000"/>
      <w:sz w:val="26"/>
      <w:szCs w:val="26"/>
    </w:rPr>
  </w:style>
  <w:style w:type="character" w:customStyle="1" w:styleId="Overskrift3Tegn">
    <w:name w:val="Overskrift 3 Tegn"/>
    <w:basedOn w:val="Standardskriftforavsnitt"/>
    <w:rPr>
      <w:rFonts w:ascii="Arial" w:eastAsia="Times New Roman" w:hAnsi="Arial" w:cs="Times New Roman"/>
      <w:b/>
      <w:color w:val="000000"/>
      <w:szCs w:val="24"/>
    </w:rPr>
  </w:style>
  <w:style w:type="character" w:customStyle="1" w:styleId="Overskrift4Tegn">
    <w:name w:val="Overskrift 4 Tegn"/>
    <w:basedOn w:val="Standardskriftforavsnitt"/>
    <w:rPr>
      <w:rFonts w:ascii="Arial" w:eastAsia="Times New Roman" w:hAnsi="Arial" w:cs="Times New Roman"/>
      <w:b/>
      <w:i/>
      <w:iCs/>
      <w:color w:val="000000"/>
    </w:rPr>
  </w:style>
  <w:style w:type="character" w:customStyle="1" w:styleId="Overskrift5Tegn">
    <w:name w:val="Overskrift 5 Tegn"/>
    <w:basedOn w:val="Standardskriftforavsnitt"/>
    <w:rPr>
      <w:rFonts w:ascii="Arial" w:eastAsia="Times New Roman" w:hAnsi="Arial" w:cs="Times New Roman"/>
      <w:i/>
      <w:color w:val="000000"/>
    </w:rPr>
  </w:style>
  <w:style w:type="character" w:customStyle="1" w:styleId="Overskrift6Tegn">
    <w:name w:val="Overskrift 6 Tegn"/>
    <w:basedOn w:val="Standardskriftforavsnitt"/>
    <w:rPr>
      <w:rFonts w:ascii="Arial" w:eastAsia="Times New Roman" w:hAnsi="Arial" w:cs="Times New Roman"/>
      <w:i/>
      <w:color w:val="000000"/>
    </w:rPr>
  </w:style>
  <w:style w:type="character" w:styleId="Utheving">
    <w:name w:val="Emphasis"/>
    <w:basedOn w:val="Standardskriftforavsnitt"/>
    <w:rPr>
      <w:rFonts w:ascii="Arial" w:hAnsi="Arial"/>
      <w:i/>
      <w:iCs/>
    </w:rPr>
  </w:style>
  <w:style w:type="character" w:styleId="Sterkutheving">
    <w:name w:val="Intense Emphasis"/>
    <w:basedOn w:val="Standardskriftforavsnitt"/>
    <w:rPr>
      <w:rFonts w:ascii="Arial" w:hAnsi="Arial"/>
      <w:i/>
      <w:iCs/>
      <w:color w:val="000000"/>
    </w:rPr>
  </w:style>
  <w:style w:type="character" w:styleId="Sterk">
    <w:name w:val="Strong"/>
    <w:basedOn w:val="Standardskriftforavsnitt"/>
    <w:rPr>
      <w:rFonts w:ascii="Arial" w:hAnsi="Arial"/>
      <w:b/>
      <w:bCs/>
    </w:rPr>
  </w:style>
  <w:style w:type="paragraph" w:styleId="Sterktsitat">
    <w:name w:val="Intense Quote"/>
    <w:basedOn w:val="Normal"/>
    <w:next w:val="Normal"/>
    <w:pPr>
      <w:pBdr>
        <w:top w:val="single" w:sz="4" w:space="10" w:color="5B9BD5"/>
        <w:bottom w:val="single" w:sz="4" w:space="10" w:color="5B9BD5"/>
      </w:pBdr>
      <w:spacing w:before="360" w:after="360"/>
      <w:ind w:left="864" w:right="864"/>
      <w:jc w:val="center"/>
    </w:pPr>
    <w:rPr>
      <w:i/>
      <w:iCs/>
    </w:rPr>
  </w:style>
  <w:style w:type="character" w:customStyle="1" w:styleId="SterktsitatTegn">
    <w:name w:val="Sterkt sitat Tegn"/>
    <w:basedOn w:val="Standardskriftforavsnitt"/>
    <w:rPr>
      <w:rFonts w:ascii="Arial" w:hAnsi="Arial"/>
      <w:i/>
      <w:iCs/>
      <w:color w:val="000000"/>
    </w:rPr>
  </w:style>
  <w:style w:type="character" w:styleId="Svakreferanse">
    <w:name w:val="Subtle Reference"/>
    <w:basedOn w:val="Standardskriftforavsnitt"/>
    <w:rPr>
      <w:smallCaps/>
      <w:color w:val="5A5A5A"/>
    </w:rPr>
  </w:style>
  <w:style w:type="character" w:styleId="Sterkreferanse">
    <w:name w:val="Intense Reference"/>
    <w:basedOn w:val="Standardskriftforavsnitt"/>
    <w:rPr>
      <w:rFonts w:ascii="Arial" w:hAnsi="Arial"/>
      <w:b/>
      <w:bCs/>
      <w:smallCaps/>
      <w:color w:val="000000"/>
      <w:spacing w:val="5"/>
    </w:rPr>
  </w:style>
  <w:style w:type="paragraph" w:styleId="Topptekst">
    <w:name w:val="header"/>
    <w:basedOn w:val="Normal"/>
    <w:pPr>
      <w:tabs>
        <w:tab w:val="center" w:pos="4536"/>
        <w:tab w:val="right" w:pos="9072"/>
      </w:tabs>
      <w:spacing w:line="240" w:lineRule="auto"/>
    </w:pPr>
  </w:style>
  <w:style w:type="character" w:customStyle="1" w:styleId="TopptekstTegn">
    <w:name w:val="Topptekst Tegn"/>
    <w:basedOn w:val="Standardskriftforavsnitt"/>
    <w:rPr>
      <w:rFonts w:ascii="Arial" w:hAnsi="Arial"/>
      <w:color w:val="000000"/>
    </w:rPr>
  </w:style>
  <w:style w:type="paragraph" w:styleId="Bunntekst">
    <w:name w:val="footer"/>
    <w:basedOn w:val="Normal"/>
    <w:pPr>
      <w:tabs>
        <w:tab w:val="center" w:pos="4536"/>
        <w:tab w:val="right" w:pos="9072"/>
      </w:tabs>
      <w:spacing w:line="240" w:lineRule="auto"/>
    </w:pPr>
  </w:style>
  <w:style w:type="character" w:customStyle="1" w:styleId="BunntekstTegn">
    <w:name w:val="Bunntekst Tegn"/>
    <w:basedOn w:val="Standardskriftforavsnitt"/>
    <w:rPr>
      <w:rFonts w:ascii="Arial" w:hAnsi="Arial"/>
      <w:color w:val="000000"/>
    </w:rPr>
  </w:style>
  <w:style w:type="character" w:styleId="Hyperkobling">
    <w:name w:val="Hyperlink"/>
    <w:basedOn w:val="Standardskriftforavsnitt"/>
    <w:rPr>
      <w:color w:val="0563C1"/>
      <w:u w:val="single"/>
    </w:rPr>
  </w:style>
  <w:style w:type="paragraph" w:styleId="Nummerertliste">
    <w:name w:val="List Number"/>
    <w:basedOn w:val="Normal"/>
    <w:pPr>
      <w:spacing w:after="0"/>
    </w:pPr>
    <w:rPr>
      <w:rFonts w:eastAsia="Batang"/>
      <w:szCs w:val="20"/>
    </w:rPr>
  </w:style>
  <w:style w:type="paragraph" w:styleId="Nummerertliste2">
    <w:name w:val="List Number 2"/>
    <w:basedOn w:val="Normal"/>
    <w:pPr>
      <w:spacing w:after="0" w:line="240" w:lineRule="auto"/>
    </w:pPr>
    <w:rPr>
      <w:rFonts w:eastAsia="Batang"/>
      <w:szCs w:val="20"/>
    </w:rPr>
  </w:style>
  <w:style w:type="paragraph" w:styleId="Nummerertliste3">
    <w:name w:val="List Number 3"/>
    <w:basedOn w:val="Normal"/>
    <w:pPr>
      <w:spacing w:after="0" w:line="240" w:lineRule="auto"/>
    </w:pPr>
    <w:rPr>
      <w:rFonts w:eastAsia="Batang"/>
      <w:szCs w:val="20"/>
    </w:rPr>
  </w:style>
  <w:style w:type="paragraph" w:styleId="Nummerertliste4">
    <w:name w:val="List Number 4"/>
    <w:basedOn w:val="Normal"/>
    <w:pPr>
      <w:spacing w:after="0" w:line="240" w:lineRule="auto"/>
    </w:pPr>
    <w:rPr>
      <w:rFonts w:eastAsia="Batang"/>
      <w:szCs w:val="20"/>
    </w:rPr>
  </w:style>
  <w:style w:type="paragraph" w:styleId="Nummerertliste5">
    <w:name w:val="List Number 5"/>
    <w:basedOn w:val="Normal"/>
    <w:pPr>
      <w:numPr>
        <w:numId w:val="1"/>
      </w:numPr>
      <w:spacing w:after="0" w:line="240" w:lineRule="auto"/>
    </w:pPr>
    <w:rPr>
      <w:rFonts w:eastAsia="Batang"/>
      <w:szCs w:val="20"/>
    </w:rPr>
  </w:style>
  <w:style w:type="paragraph" w:customStyle="1" w:styleId="Listebombe">
    <w:name w:val="Liste bombe"/>
    <w:basedOn w:val="Liste"/>
    <w:pPr>
      <w:numPr>
        <w:numId w:val="2"/>
      </w:numPr>
      <w:tabs>
        <w:tab w:val="left" w:pos="206"/>
      </w:tabs>
      <w:spacing w:line="240" w:lineRule="auto"/>
    </w:pPr>
    <w:rPr>
      <w:spacing w:val="4"/>
    </w:rPr>
  </w:style>
  <w:style w:type="paragraph" w:customStyle="1" w:styleId="UnOverskrift1">
    <w:name w:val="UnOverskrift 1"/>
    <w:basedOn w:val="Overskrift1"/>
    <w:next w:val="Normal"/>
    <w:pPr>
      <w:spacing w:before="360" w:after="80"/>
    </w:pPr>
    <w:rPr>
      <w:kern w:val="3"/>
      <w:sz w:val="32"/>
      <w:szCs w:val="22"/>
    </w:rPr>
  </w:style>
  <w:style w:type="paragraph" w:customStyle="1" w:styleId="UnOverskrift2">
    <w:name w:val="UnOverskrift 2"/>
    <w:basedOn w:val="Overskrift2"/>
    <w:next w:val="Normal"/>
    <w:pPr>
      <w:spacing w:before="360" w:after="80"/>
    </w:pPr>
    <w:rPr>
      <w:spacing w:val="4"/>
      <w:sz w:val="28"/>
      <w:szCs w:val="22"/>
    </w:rPr>
  </w:style>
  <w:style w:type="paragraph" w:customStyle="1" w:styleId="UnOverskrift3">
    <w:name w:val="UnOverskrift 3"/>
    <w:basedOn w:val="Overskrift3"/>
    <w:next w:val="Normal"/>
    <w:pPr>
      <w:spacing w:before="360" w:after="80"/>
    </w:pPr>
    <w:rPr>
      <w:szCs w:val="22"/>
    </w:rPr>
  </w:style>
  <w:style w:type="paragraph" w:styleId="Liste">
    <w:name w:val="List"/>
    <w:basedOn w:val="Normal"/>
    <w:pPr>
      <w:ind w:left="283" w:hanging="283"/>
      <w:contextualSpacing/>
    </w:pPr>
  </w:style>
  <w:style w:type="character" w:styleId="Ulstomtale">
    <w:name w:val="Unresolved Mention"/>
    <w:basedOn w:val="Standardskriftforavsnitt"/>
    <w:rPr>
      <w:color w:val="605E5C"/>
      <w:shd w:val="clear" w:color="auto" w:fill="E1DFDD"/>
    </w:rPr>
  </w:style>
  <w:style w:type="character" w:styleId="Fulgthyperkobling">
    <w:name w:val="FollowedHyperlink"/>
    <w:basedOn w:val="Standardskriftforavsnitt"/>
    <w:rPr>
      <w:color w:val="954F72"/>
      <w:u w:val="single"/>
    </w:rPr>
  </w:style>
  <w:style w:type="paragraph" w:styleId="Revisjon">
    <w:name w:val="Revision"/>
    <w:pPr>
      <w:suppressAutoHyphens/>
      <w:spacing w:after="0" w:line="240" w:lineRule="auto"/>
    </w:pPr>
    <w:rPr>
      <w:rFonts w:ascii="Arial" w:eastAsia="Times New Roman" w:hAnsi="Arial"/>
      <w:lang w:eastAsia="nb-NO"/>
    </w:rPr>
  </w:style>
  <w:style w:type="numbering" w:customStyle="1" w:styleId="NrListeStil">
    <w:name w:val="NrListeStil"/>
    <w:basedOn w:val="Ingenliste"/>
    <w:pPr>
      <w:numPr>
        <w:numId w:val="1"/>
      </w:numPr>
    </w:pPr>
  </w:style>
  <w:style w:type="numbering" w:customStyle="1" w:styleId="LFO4">
    <w:name w:val="LFO4"/>
    <w:basedOn w:val="Ingenlist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ovdata.no/dokument/SPH/sph-2023/KAPITTEL_9#KAPITTEL_9-22" TargetMode="External"/><Relationship Id="rId3" Type="http://schemas.openxmlformats.org/officeDocument/2006/relationships/settings" Target="settings.xml"/><Relationship Id="rId7" Type="http://schemas.openxmlformats.org/officeDocument/2006/relationships/hyperlink" Target="https://lovdata.no/dokument/SPH/sph-2023/KAPITTEL_9#KAPITTEL_9-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2003</Words>
  <Characters>10618</Characters>
  <Application>Microsoft Office Word</Application>
  <DocSecurity>0</DocSecurity>
  <Lines>88</Lines>
  <Paragraphs>25</Paragraphs>
  <ScaleCrop>false</ScaleCrop>
  <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Slåen Reidun</dc:creator>
  <dc:description/>
  <cp:lastModifiedBy>Indreeide Ragnhild</cp:lastModifiedBy>
  <cp:revision>2</cp:revision>
  <dcterms:created xsi:type="dcterms:W3CDTF">2024-04-19T08:28:00Z</dcterms:created>
  <dcterms:modified xsi:type="dcterms:W3CDTF">2024-04-19T08:28:00Z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73a663-4204-480c-9ce8-a1a166c234ab_Enabled">
    <vt:lpwstr>True</vt:lpwstr>
  </property>
  <property fmtid="{D5CDD505-2E9C-101B-9397-08002B2CF9AE}" pid="3" name="MSIP_Label_da73a663-4204-480c-9ce8-a1a166c234ab_SiteId">
    <vt:lpwstr>f696e186-1c3b-44cd-bf76-5ace0e7007bd</vt:lpwstr>
  </property>
  <property fmtid="{D5CDD505-2E9C-101B-9397-08002B2CF9AE}" pid="4" name="MSIP_Label_da73a663-4204-480c-9ce8-a1a166c234ab_Owner">
    <vt:lpwstr>Ragnhild.Indreeide@kmd.dep.no</vt:lpwstr>
  </property>
  <property fmtid="{D5CDD505-2E9C-101B-9397-08002B2CF9AE}" pid="5" name="MSIP_Label_da73a663-4204-480c-9ce8-a1a166c234ab_SetDate">
    <vt:lpwstr>2021-03-21T12:58:30.4245730Z</vt:lpwstr>
  </property>
  <property fmtid="{D5CDD505-2E9C-101B-9397-08002B2CF9AE}" pid="6" name="MSIP_Label_da73a663-4204-480c-9ce8-a1a166c234ab_Name">
    <vt:lpwstr>Intern (KMD)</vt:lpwstr>
  </property>
  <property fmtid="{D5CDD505-2E9C-101B-9397-08002B2CF9AE}" pid="7" name="MSIP_Label_da73a663-4204-480c-9ce8-a1a166c234ab_Application">
    <vt:lpwstr>Microsoft Azure Information Protection</vt:lpwstr>
  </property>
  <property fmtid="{D5CDD505-2E9C-101B-9397-08002B2CF9AE}" pid="8" name="MSIP_Label_da73a663-4204-480c-9ce8-a1a166c234ab_ActionId">
    <vt:lpwstr>c3e1489d-8781-4ad3-8e96-be9869bd8577</vt:lpwstr>
  </property>
  <property fmtid="{D5CDD505-2E9C-101B-9397-08002B2CF9AE}" pid="9" name="MSIP_Label_da73a663-4204-480c-9ce8-a1a166c234ab_Extended_MSFT_Method">
    <vt:lpwstr>Automatic</vt:lpwstr>
  </property>
  <property fmtid="{D5CDD505-2E9C-101B-9397-08002B2CF9AE}" pid="10" name="Sensitivity">
    <vt:lpwstr>Intern (KMD)</vt:lpwstr>
  </property>
  <property fmtid="{D5CDD505-2E9C-101B-9397-08002B2CF9AE}" pid="11" name="ContentTypeId">
    <vt:lpwstr>0x0101002C1B27F07ED111E5A8370800200C9A66010100C094694DEBE5E74890E7D16E5DE67BC3</vt:lpwstr>
  </property>
  <property fmtid="{D5CDD505-2E9C-101B-9397-08002B2CF9AE}" pid="12" name="StoDokumenttype">
    <vt:lpwstr/>
  </property>
</Properties>
</file>