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customXml/itemProps5.xml" ContentType="application/vnd.openxmlformats-officedocument.customXmlProperties+xml"/>
  <Override PartName="/customXml/itemProps6.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2FDF95BC" w14:textId="2A4ED028" w:rsidR="002E5DD9" w:rsidRPr="00617C33" w:rsidRDefault="008934B0" w:rsidP="006132FD">
      <w:pPr>
        <w:pStyle w:val="Brevtittel"/>
        <w:spacing w:line="276" w:lineRule="auto"/>
        <w:jc w:val="right"/>
        <w:rPr>
          <w:b w:val="0"/>
          <w:caps/>
        </w:rPr>
        <w:sectPr w:rsidR="002E5DD9" w:rsidRPr="00617C33" w:rsidSect="007E17F7">
          <w:footerReference w:type="default" r:id="rId13"/>
          <w:headerReference w:type="first" r:id="rId14"/>
          <w:type w:val="continuous"/>
          <w:pgSz w:w="11907" w:h="16840" w:code="9"/>
          <w:pgMar w:top="1418" w:right="1418" w:bottom="1418" w:left="1418" w:header="567" w:footer="720" w:gutter="0"/>
          <w:cols w:space="708"/>
          <w:titlePg/>
          <w:docGrid w:linePitch="326"/>
        </w:sectPr>
      </w:pPr>
      <w:r>
        <w:rPr>
          <w:b w:val="0"/>
        </w:rPr>
        <w:t xml:space="preserve"> </w:t>
      </w:r>
      <w:r w:rsidR="006132FD">
        <w:rPr>
          <w:b w:val="0"/>
        </w:rPr>
        <w:t>Sak</w:t>
      </w:r>
      <w:r w:rsidR="00A443E3">
        <w:rPr>
          <w:b w:val="0"/>
        </w:rPr>
        <w:t>:</w:t>
      </w:r>
      <w:bookmarkStart w:id="0" w:name="Sas_ArkivSakID"/>
      <w:r w:rsidR="00BA26E4">
        <w:rPr>
          <w:b w:val="0"/>
        </w:rPr>
        <w:t xml:space="preserve"> </w:t>
      </w:r>
      <w:r w:rsidR="00A65B4D">
        <w:rPr>
          <w:b w:val="0"/>
        </w:rPr>
        <w:t>2</w:t>
      </w:r>
      <w:r w:rsidR="00BA26E4">
        <w:rPr>
          <w:b w:val="0"/>
        </w:rPr>
        <w:t>4</w:t>
      </w:r>
      <w:r w:rsidR="00A65B4D">
        <w:rPr>
          <w:b w:val="0"/>
        </w:rPr>
        <w:t>/</w:t>
      </w:r>
      <w:r w:rsidR="00BA26E4">
        <w:rPr>
          <w:b w:val="0"/>
        </w:rPr>
        <w:t>2569</w:t>
      </w:r>
      <w:bookmarkEnd w:id="0"/>
      <w:r w:rsidR="006132FD">
        <w:rPr>
          <w:b w:val="0"/>
        </w:rPr>
        <w:t xml:space="preserve"> </w:t>
      </w:r>
      <w:r w:rsidR="006132FD">
        <w:rPr>
          <w:b w:val="0"/>
          <w:caps/>
        </w:rPr>
        <w:br/>
      </w:r>
      <w:r w:rsidR="007D70FE">
        <w:rPr>
          <w:b w:val="0"/>
          <w:caps/>
        </w:rPr>
        <w:t>28</w:t>
      </w:r>
      <w:r w:rsidR="00FF7361" w:rsidRPr="00617C33">
        <w:rPr>
          <w:b w:val="0"/>
          <w:caps/>
        </w:rPr>
        <w:t>.</w:t>
      </w:r>
      <w:r w:rsidR="00F1764E">
        <w:rPr>
          <w:b w:val="0"/>
          <w:caps/>
        </w:rPr>
        <w:t>0</w:t>
      </w:r>
      <w:r w:rsidR="0063283B">
        <w:rPr>
          <w:b w:val="0"/>
          <w:caps/>
        </w:rPr>
        <w:t>6</w:t>
      </w:r>
      <w:r w:rsidR="00FF7361" w:rsidRPr="00617C33">
        <w:rPr>
          <w:b w:val="0"/>
          <w:caps/>
        </w:rPr>
        <w:t>.20</w:t>
      </w:r>
      <w:r w:rsidR="00BA26E4">
        <w:rPr>
          <w:b w:val="0"/>
          <w:caps/>
        </w:rPr>
        <w:t>24</w:t>
      </w:r>
    </w:p>
    <w:p w14:paraId="2F80203E" w14:textId="77777777" w:rsidR="002E5DD9" w:rsidRDefault="002E5DD9" w:rsidP="00101E8E">
      <w:pPr>
        <w:pStyle w:val="Brevtittel"/>
        <w:spacing w:after="0" w:line="276" w:lineRule="auto"/>
        <w:rPr>
          <w:sz w:val="2"/>
        </w:rPr>
        <w:sectPr w:rsidR="002E5DD9">
          <w:type w:val="continuous"/>
          <w:pgSz w:w="11907" w:h="16840" w:code="9"/>
          <w:pgMar w:top="2666" w:right="1134" w:bottom="1701" w:left="1701" w:header="568" w:footer="718" w:gutter="0"/>
          <w:cols w:space="708"/>
          <w:formProt w:val="0"/>
          <w:titlePg/>
        </w:sectPr>
      </w:pPr>
    </w:p>
    <w:p w14:paraId="6161C748" w14:textId="77777777" w:rsidR="00FF7361" w:rsidRDefault="00FF7361" w:rsidP="00101E8E">
      <w:pPr>
        <w:pStyle w:val="Brevtittel"/>
        <w:spacing w:line="276" w:lineRule="auto"/>
      </w:pPr>
    </w:p>
    <w:p w14:paraId="7F271069" w14:textId="77777777" w:rsidR="00297631" w:rsidRDefault="00297631" w:rsidP="00101E8E">
      <w:pPr>
        <w:pStyle w:val="Brevtittel"/>
        <w:spacing w:line="276" w:lineRule="auto"/>
        <w:rPr>
          <w:sz w:val="40"/>
          <w:szCs w:val="40"/>
        </w:rPr>
      </w:pPr>
    </w:p>
    <w:p w14:paraId="18AD84A2" w14:textId="77777777" w:rsidR="00902482" w:rsidRDefault="00902482" w:rsidP="00902482">
      <w:pPr>
        <w:pStyle w:val="Brevtittel"/>
        <w:tabs>
          <w:tab w:val="left" w:pos="1418"/>
        </w:tabs>
        <w:spacing w:line="276" w:lineRule="auto"/>
        <w:rPr>
          <w:sz w:val="40"/>
          <w:szCs w:val="40"/>
        </w:rPr>
      </w:pPr>
    </w:p>
    <w:p w14:paraId="53C5F153" w14:textId="77777777" w:rsidR="00902482" w:rsidRDefault="00902482" w:rsidP="00902482">
      <w:pPr>
        <w:pStyle w:val="Brevtittel"/>
        <w:tabs>
          <w:tab w:val="left" w:pos="1418"/>
        </w:tabs>
        <w:spacing w:line="276" w:lineRule="auto"/>
        <w:rPr>
          <w:sz w:val="40"/>
          <w:szCs w:val="40"/>
        </w:rPr>
      </w:pPr>
    </w:p>
    <w:p w14:paraId="6BC7D903" w14:textId="65ADD070" w:rsidR="002E5DD9" w:rsidRPr="00FF7361" w:rsidRDefault="00FF7361" w:rsidP="00902482">
      <w:pPr>
        <w:pStyle w:val="Brevtittel"/>
        <w:pBdr>
          <w:left w:val="thinThickSmallGap" w:sz="24" w:space="4" w:color="365F91" w:themeColor="accent1" w:themeShade="BF"/>
        </w:pBdr>
        <w:tabs>
          <w:tab w:val="left" w:pos="1418"/>
        </w:tabs>
        <w:spacing w:line="276" w:lineRule="auto"/>
        <w:ind w:left="1418"/>
        <w:rPr>
          <w:sz w:val="40"/>
          <w:szCs w:val="40"/>
        </w:rPr>
      </w:pPr>
      <w:bookmarkStart w:id="1" w:name="Overskrift"/>
      <w:bookmarkEnd w:id="1"/>
      <w:r w:rsidRPr="00902482">
        <w:rPr>
          <w:sz w:val="72"/>
          <w:szCs w:val="72"/>
        </w:rPr>
        <w:t>Hør</w:t>
      </w:r>
      <w:r w:rsidR="00297631" w:rsidRPr="00902482">
        <w:rPr>
          <w:sz w:val="72"/>
          <w:szCs w:val="72"/>
        </w:rPr>
        <w:t>ingsnotat -</w:t>
      </w:r>
      <w:r w:rsidR="00297631">
        <w:rPr>
          <w:sz w:val="40"/>
          <w:szCs w:val="40"/>
        </w:rPr>
        <w:t xml:space="preserve"> </w:t>
      </w:r>
      <w:r w:rsidR="00297631">
        <w:rPr>
          <w:sz w:val="40"/>
          <w:szCs w:val="40"/>
        </w:rPr>
        <w:br/>
      </w:r>
      <w:r w:rsidR="00F37BCA">
        <w:rPr>
          <w:sz w:val="48"/>
          <w:szCs w:val="48"/>
        </w:rPr>
        <w:t>Deling av</w:t>
      </w:r>
      <w:r w:rsidR="00BA26E4">
        <w:rPr>
          <w:sz w:val="48"/>
          <w:szCs w:val="48"/>
        </w:rPr>
        <w:t xml:space="preserve"> opplysninger fra </w:t>
      </w:r>
      <w:r w:rsidR="00100E9E">
        <w:rPr>
          <w:sz w:val="48"/>
          <w:szCs w:val="48"/>
        </w:rPr>
        <w:t xml:space="preserve">Skatteetaten og Arbeids- og velferdsetaten </w:t>
      </w:r>
      <w:r w:rsidR="00BA26E4">
        <w:rPr>
          <w:sz w:val="48"/>
          <w:szCs w:val="48"/>
        </w:rPr>
        <w:t xml:space="preserve">mv. </w:t>
      </w:r>
      <w:r w:rsidR="00F37BCA">
        <w:rPr>
          <w:sz w:val="48"/>
          <w:szCs w:val="48"/>
        </w:rPr>
        <w:t>med</w:t>
      </w:r>
      <w:r w:rsidR="00BA26E4">
        <w:rPr>
          <w:sz w:val="48"/>
          <w:szCs w:val="48"/>
        </w:rPr>
        <w:t xml:space="preserve"> kommunale pensjonsleverandører</w:t>
      </w:r>
      <w:r w:rsidR="00AF09B9">
        <w:rPr>
          <w:sz w:val="48"/>
          <w:szCs w:val="48"/>
        </w:rPr>
        <w:t xml:space="preserve"> til arbeidet med ny offentlig AFP mv.</w:t>
      </w:r>
    </w:p>
    <w:p w14:paraId="6CDD3C73" w14:textId="77777777" w:rsidR="00103A12" w:rsidRDefault="00103A12" w:rsidP="00101E8E">
      <w:pPr>
        <w:spacing w:line="276" w:lineRule="auto"/>
      </w:pPr>
    </w:p>
    <w:p w14:paraId="7E650B6C" w14:textId="77777777" w:rsidR="00297631" w:rsidRDefault="00297631" w:rsidP="00101E8E">
      <w:pPr>
        <w:spacing w:line="276" w:lineRule="auto"/>
      </w:pPr>
    </w:p>
    <w:p w14:paraId="057433FC" w14:textId="77777777" w:rsidR="00297631" w:rsidRDefault="00297631" w:rsidP="00101E8E">
      <w:pPr>
        <w:spacing w:line="276" w:lineRule="auto"/>
      </w:pPr>
    </w:p>
    <w:p w14:paraId="55FB06DD" w14:textId="77777777" w:rsidR="00297631" w:rsidRDefault="00297631" w:rsidP="00101E8E">
      <w:pPr>
        <w:spacing w:line="276" w:lineRule="auto"/>
      </w:pPr>
    </w:p>
    <w:p w14:paraId="1A432E98" w14:textId="77777777" w:rsidR="00297631" w:rsidRDefault="00297631" w:rsidP="00101E8E">
      <w:pPr>
        <w:spacing w:line="276" w:lineRule="auto"/>
      </w:pPr>
    </w:p>
    <w:p w14:paraId="1E5F3CAF" w14:textId="77777777" w:rsidR="00297631" w:rsidRDefault="00297631" w:rsidP="00101E8E">
      <w:pPr>
        <w:spacing w:line="276" w:lineRule="auto"/>
      </w:pPr>
    </w:p>
    <w:p w14:paraId="46A7D9A5" w14:textId="77777777" w:rsidR="00297631" w:rsidRDefault="00297631" w:rsidP="00101E8E">
      <w:pPr>
        <w:spacing w:line="276" w:lineRule="auto"/>
      </w:pPr>
    </w:p>
    <w:p w14:paraId="30556124" w14:textId="77777777" w:rsidR="00297631" w:rsidRDefault="00297631" w:rsidP="00101E8E">
      <w:pPr>
        <w:spacing w:line="276" w:lineRule="auto"/>
      </w:pPr>
    </w:p>
    <w:p w14:paraId="567C5F85" w14:textId="77777777" w:rsidR="00297631" w:rsidRDefault="00297631" w:rsidP="00101E8E">
      <w:pPr>
        <w:spacing w:line="276" w:lineRule="auto"/>
      </w:pPr>
    </w:p>
    <w:p w14:paraId="7C69490E" w14:textId="77777777" w:rsidR="00297631" w:rsidRDefault="00297631" w:rsidP="00101E8E">
      <w:pPr>
        <w:spacing w:line="276" w:lineRule="auto"/>
      </w:pPr>
    </w:p>
    <w:p w14:paraId="6E2492D2" w14:textId="77777777" w:rsidR="00297631" w:rsidRDefault="00297631" w:rsidP="00101E8E">
      <w:pPr>
        <w:spacing w:line="276" w:lineRule="auto"/>
      </w:pPr>
    </w:p>
    <w:p w14:paraId="0C21827F" w14:textId="77777777" w:rsidR="00297631" w:rsidRDefault="00297631" w:rsidP="00101E8E">
      <w:pPr>
        <w:spacing w:line="276" w:lineRule="auto"/>
      </w:pPr>
    </w:p>
    <w:p w14:paraId="7C97ED84" w14:textId="77777777" w:rsidR="00B73AFA" w:rsidRDefault="00B73AFA">
      <w:pPr>
        <w:spacing w:line="240" w:lineRule="auto"/>
      </w:pPr>
      <w:r>
        <w:br w:type="page"/>
      </w:r>
    </w:p>
    <w:sdt>
      <w:sdtPr>
        <w:rPr>
          <w:rFonts w:ascii="DepCentury Old Style" w:eastAsia="Times New Roman" w:hAnsi="DepCentury Old Style" w:cs="Times New Roman"/>
          <w:b w:val="0"/>
          <w:bCs w:val="0"/>
          <w:color w:val="auto"/>
          <w:sz w:val="24"/>
          <w:szCs w:val="20"/>
        </w:rPr>
        <w:id w:val="-1290658316"/>
        <w:docPartObj>
          <w:docPartGallery w:val="Table of Contents"/>
          <w:docPartUnique/>
        </w:docPartObj>
      </w:sdtPr>
      <w:sdtEndPr/>
      <w:sdtContent>
        <w:p w14:paraId="6B7FE7AC" w14:textId="77777777" w:rsidR="007217C4" w:rsidRDefault="007217C4">
          <w:pPr>
            <w:pStyle w:val="Overskriftforinnholdsfortegnelse"/>
          </w:pPr>
          <w:r>
            <w:t>Innhold</w:t>
          </w:r>
        </w:p>
        <w:p w14:paraId="24E7A21B" w14:textId="77777777" w:rsidR="007217C4" w:rsidRPr="007217C4" w:rsidRDefault="007217C4" w:rsidP="007217C4"/>
        <w:p w14:paraId="303ACC6C" w14:textId="4633C135" w:rsidR="004C7E3C" w:rsidRDefault="007217C4">
          <w:pPr>
            <w:pStyle w:val="INNH1"/>
            <w:tabs>
              <w:tab w:val="left" w:pos="567"/>
            </w:tabs>
            <w:rPr>
              <w:rFonts w:asciiTheme="minorHAnsi" w:eastAsiaTheme="minorEastAsia" w:hAnsiTheme="minorHAnsi" w:cstheme="minorBidi"/>
              <w:noProof/>
              <w:kern w:val="2"/>
              <w:sz w:val="22"/>
              <w:szCs w:val="22"/>
              <w14:ligatures w14:val="standardContextual"/>
            </w:rPr>
          </w:pPr>
          <w:r>
            <w:fldChar w:fldCharType="begin"/>
          </w:r>
          <w:r>
            <w:instrText xml:space="preserve"> TOC \o "1-4" \h \z \u </w:instrText>
          </w:r>
          <w:r>
            <w:fldChar w:fldCharType="separate"/>
          </w:r>
          <w:hyperlink w:anchor="_Toc170468724" w:history="1">
            <w:r w:rsidR="004C7E3C" w:rsidRPr="00361B34">
              <w:rPr>
                <w:rStyle w:val="Hyperkobling"/>
                <w:noProof/>
              </w:rPr>
              <w:t>1</w:t>
            </w:r>
            <w:r w:rsidR="004C7E3C">
              <w:rPr>
                <w:rFonts w:asciiTheme="minorHAnsi" w:eastAsiaTheme="minorEastAsia" w:hAnsiTheme="minorHAnsi" w:cstheme="minorBidi"/>
                <w:noProof/>
                <w:kern w:val="2"/>
                <w:sz w:val="22"/>
                <w:szCs w:val="22"/>
                <w14:ligatures w14:val="standardContextual"/>
              </w:rPr>
              <w:tab/>
            </w:r>
            <w:r w:rsidR="004C7E3C" w:rsidRPr="00361B34">
              <w:rPr>
                <w:rStyle w:val="Hyperkobling"/>
                <w:noProof/>
              </w:rPr>
              <w:t>Oversikt over forslagene i høringsnotatet</w:t>
            </w:r>
            <w:r w:rsidR="004C7E3C">
              <w:rPr>
                <w:noProof/>
                <w:webHidden/>
              </w:rPr>
              <w:tab/>
            </w:r>
            <w:r w:rsidR="004C7E3C">
              <w:rPr>
                <w:noProof/>
                <w:webHidden/>
              </w:rPr>
              <w:fldChar w:fldCharType="begin"/>
            </w:r>
            <w:r w:rsidR="004C7E3C">
              <w:rPr>
                <w:noProof/>
                <w:webHidden/>
              </w:rPr>
              <w:instrText xml:space="preserve"> PAGEREF _Toc170468724 \h </w:instrText>
            </w:r>
            <w:r w:rsidR="004C7E3C">
              <w:rPr>
                <w:noProof/>
                <w:webHidden/>
              </w:rPr>
            </w:r>
            <w:r w:rsidR="004C7E3C">
              <w:rPr>
                <w:noProof/>
                <w:webHidden/>
              </w:rPr>
              <w:fldChar w:fldCharType="separate"/>
            </w:r>
            <w:r w:rsidR="004C7E3C">
              <w:rPr>
                <w:noProof/>
                <w:webHidden/>
              </w:rPr>
              <w:t>5</w:t>
            </w:r>
            <w:r w:rsidR="004C7E3C">
              <w:rPr>
                <w:noProof/>
                <w:webHidden/>
              </w:rPr>
              <w:fldChar w:fldCharType="end"/>
            </w:r>
          </w:hyperlink>
        </w:p>
        <w:p w14:paraId="5AC11CAE" w14:textId="3B9B77A2" w:rsidR="004C7E3C" w:rsidRDefault="004C7E3C">
          <w:pPr>
            <w:pStyle w:val="INNH1"/>
            <w:tabs>
              <w:tab w:val="left" w:pos="567"/>
            </w:tabs>
            <w:rPr>
              <w:rFonts w:asciiTheme="minorHAnsi" w:eastAsiaTheme="minorEastAsia" w:hAnsiTheme="minorHAnsi" w:cstheme="minorBidi"/>
              <w:noProof/>
              <w:kern w:val="2"/>
              <w:sz w:val="22"/>
              <w:szCs w:val="22"/>
              <w14:ligatures w14:val="standardContextual"/>
            </w:rPr>
          </w:pPr>
          <w:hyperlink w:anchor="_Toc170468725" w:history="1">
            <w:r w:rsidRPr="00361B34">
              <w:rPr>
                <w:rStyle w:val="Hyperkobling"/>
                <w:noProof/>
              </w:rPr>
              <w:t>2</w:t>
            </w:r>
            <w:r>
              <w:rPr>
                <w:rFonts w:asciiTheme="minorHAnsi" w:eastAsiaTheme="minorEastAsia" w:hAnsiTheme="minorHAnsi" w:cstheme="minorBidi"/>
                <w:noProof/>
                <w:kern w:val="2"/>
                <w:sz w:val="22"/>
                <w:szCs w:val="22"/>
                <w14:ligatures w14:val="standardContextual"/>
              </w:rPr>
              <w:tab/>
            </w:r>
            <w:r w:rsidRPr="00361B34">
              <w:rPr>
                <w:rStyle w:val="Hyperkobling"/>
                <w:noProof/>
              </w:rPr>
              <w:t>Deling av opplysninger fra Skatteetaten og Arbeids- og velferdsetaten mv. til bruk for arbeidet med AFP i offentlig sektor</w:t>
            </w:r>
            <w:r>
              <w:rPr>
                <w:noProof/>
                <w:webHidden/>
              </w:rPr>
              <w:tab/>
            </w:r>
            <w:r>
              <w:rPr>
                <w:noProof/>
                <w:webHidden/>
              </w:rPr>
              <w:fldChar w:fldCharType="begin"/>
            </w:r>
            <w:r>
              <w:rPr>
                <w:noProof/>
                <w:webHidden/>
              </w:rPr>
              <w:instrText xml:space="preserve"> PAGEREF _Toc170468725 \h </w:instrText>
            </w:r>
            <w:r>
              <w:rPr>
                <w:noProof/>
                <w:webHidden/>
              </w:rPr>
            </w:r>
            <w:r>
              <w:rPr>
                <w:noProof/>
                <w:webHidden/>
              </w:rPr>
              <w:fldChar w:fldCharType="separate"/>
            </w:r>
            <w:r>
              <w:rPr>
                <w:noProof/>
                <w:webHidden/>
              </w:rPr>
              <w:t>6</w:t>
            </w:r>
            <w:r>
              <w:rPr>
                <w:noProof/>
                <w:webHidden/>
              </w:rPr>
              <w:fldChar w:fldCharType="end"/>
            </w:r>
          </w:hyperlink>
        </w:p>
        <w:p w14:paraId="3D762A0F" w14:textId="7D438265"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26" w:history="1">
            <w:r w:rsidRPr="00361B34">
              <w:rPr>
                <w:rStyle w:val="Hyperkobling"/>
                <w:rFonts w:ascii="Times New Roman" w:hAnsi="Times New Roman"/>
                <w:noProof/>
              </w:rPr>
              <w:t>2.1</w:t>
            </w:r>
            <w:r>
              <w:rPr>
                <w:rFonts w:asciiTheme="minorHAnsi" w:eastAsiaTheme="minorEastAsia" w:hAnsiTheme="minorHAnsi" w:cstheme="minorBidi"/>
                <w:noProof/>
                <w:kern w:val="2"/>
                <w:sz w:val="22"/>
                <w:szCs w:val="22"/>
                <w14:ligatures w14:val="standardContextual"/>
              </w:rPr>
              <w:tab/>
            </w:r>
            <w:r w:rsidRPr="00361B34">
              <w:rPr>
                <w:rStyle w:val="Hyperkobling"/>
                <w:noProof/>
              </w:rPr>
              <w:t>Bakgrunn</w:t>
            </w:r>
            <w:r>
              <w:rPr>
                <w:noProof/>
                <w:webHidden/>
              </w:rPr>
              <w:tab/>
            </w:r>
            <w:r>
              <w:rPr>
                <w:noProof/>
                <w:webHidden/>
              </w:rPr>
              <w:fldChar w:fldCharType="begin"/>
            </w:r>
            <w:r>
              <w:rPr>
                <w:noProof/>
                <w:webHidden/>
              </w:rPr>
              <w:instrText xml:space="preserve"> PAGEREF _Toc170468726 \h </w:instrText>
            </w:r>
            <w:r>
              <w:rPr>
                <w:noProof/>
                <w:webHidden/>
              </w:rPr>
            </w:r>
            <w:r>
              <w:rPr>
                <w:noProof/>
                <w:webHidden/>
              </w:rPr>
              <w:fldChar w:fldCharType="separate"/>
            </w:r>
            <w:r>
              <w:rPr>
                <w:noProof/>
                <w:webHidden/>
              </w:rPr>
              <w:t>6</w:t>
            </w:r>
            <w:r>
              <w:rPr>
                <w:noProof/>
                <w:webHidden/>
              </w:rPr>
              <w:fldChar w:fldCharType="end"/>
            </w:r>
          </w:hyperlink>
        </w:p>
        <w:p w14:paraId="79385C09" w14:textId="03AF3D70"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27" w:history="1">
            <w:r w:rsidRPr="00361B34">
              <w:rPr>
                <w:rStyle w:val="Hyperkobling"/>
                <w:rFonts w:ascii="Times New Roman" w:hAnsi="Times New Roman"/>
                <w:noProof/>
              </w:rPr>
              <w:t>2.2</w:t>
            </w:r>
            <w:r>
              <w:rPr>
                <w:rFonts w:asciiTheme="minorHAnsi" w:eastAsiaTheme="minorEastAsia" w:hAnsiTheme="minorHAnsi" w:cstheme="minorBidi"/>
                <w:noProof/>
                <w:kern w:val="2"/>
                <w:sz w:val="22"/>
                <w:szCs w:val="22"/>
                <w14:ligatures w14:val="standardContextual"/>
              </w:rPr>
              <w:tab/>
            </w:r>
            <w:r w:rsidRPr="00361B34">
              <w:rPr>
                <w:rStyle w:val="Hyperkobling"/>
                <w:noProof/>
              </w:rPr>
              <w:t>Deling av opplysninger om inntekts- og arbeidsforhold fra Skatteetaten og Arbeids- og velferdsetaten mv.</w:t>
            </w:r>
            <w:r>
              <w:rPr>
                <w:noProof/>
                <w:webHidden/>
              </w:rPr>
              <w:tab/>
            </w:r>
            <w:r>
              <w:rPr>
                <w:noProof/>
                <w:webHidden/>
              </w:rPr>
              <w:fldChar w:fldCharType="begin"/>
            </w:r>
            <w:r>
              <w:rPr>
                <w:noProof/>
                <w:webHidden/>
              </w:rPr>
              <w:instrText xml:space="preserve"> PAGEREF _Toc170468727 \h </w:instrText>
            </w:r>
            <w:r>
              <w:rPr>
                <w:noProof/>
                <w:webHidden/>
              </w:rPr>
            </w:r>
            <w:r>
              <w:rPr>
                <w:noProof/>
                <w:webHidden/>
              </w:rPr>
              <w:fldChar w:fldCharType="separate"/>
            </w:r>
            <w:r>
              <w:rPr>
                <w:noProof/>
                <w:webHidden/>
              </w:rPr>
              <w:t>8</w:t>
            </w:r>
            <w:r>
              <w:rPr>
                <w:noProof/>
                <w:webHidden/>
              </w:rPr>
              <w:fldChar w:fldCharType="end"/>
            </w:r>
          </w:hyperlink>
        </w:p>
        <w:p w14:paraId="022FB644" w14:textId="54681EA0"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28" w:history="1">
            <w:r w:rsidRPr="00361B34">
              <w:rPr>
                <w:rStyle w:val="Hyperkobling"/>
                <w:rFonts w:ascii="Times New Roman" w:hAnsi="Times New Roman"/>
                <w:noProof/>
              </w:rPr>
              <w:t>2.2.1</w:t>
            </w:r>
            <w:r>
              <w:rPr>
                <w:rFonts w:asciiTheme="minorHAnsi" w:eastAsiaTheme="minorEastAsia" w:hAnsiTheme="minorHAnsi" w:cstheme="minorBidi"/>
                <w:noProof/>
                <w:kern w:val="2"/>
                <w:sz w:val="22"/>
                <w:szCs w:val="22"/>
                <w14:ligatures w14:val="standardContextual"/>
              </w:rPr>
              <w:tab/>
            </w:r>
            <w:r w:rsidRPr="00361B34">
              <w:rPr>
                <w:rStyle w:val="Hyperkobling"/>
                <w:noProof/>
              </w:rPr>
              <w:t>Innledning</w:t>
            </w:r>
            <w:r>
              <w:rPr>
                <w:noProof/>
                <w:webHidden/>
              </w:rPr>
              <w:tab/>
            </w:r>
            <w:r>
              <w:rPr>
                <w:noProof/>
                <w:webHidden/>
              </w:rPr>
              <w:fldChar w:fldCharType="begin"/>
            </w:r>
            <w:r>
              <w:rPr>
                <w:noProof/>
                <w:webHidden/>
              </w:rPr>
              <w:instrText xml:space="preserve"> PAGEREF _Toc170468728 \h </w:instrText>
            </w:r>
            <w:r>
              <w:rPr>
                <w:noProof/>
                <w:webHidden/>
              </w:rPr>
            </w:r>
            <w:r>
              <w:rPr>
                <w:noProof/>
                <w:webHidden/>
              </w:rPr>
              <w:fldChar w:fldCharType="separate"/>
            </w:r>
            <w:r>
              <w:rPr>
                <w:noProof/>
                <w:webHidden/>
              </w:rPr>
              <w:t>8</w:t>
            </w:r>
            <w:r>
              <w:rPr>
                <w:noProof/>
                <w:webHidden/>
              </w:rPr>
              <w:fldChar w:fldCharType="end"/>
            </w:r>
          </w:hyperlink>
        </w:p>
        <w:p w14:paraId="7B6FFEE1" w14:textId="79BAC6AC"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29" w:history="1">
            <w:r w:rsidRPr="00361B34">
              <w:rPr>
                <w:rStyle w:val="Hyperkobling"/>
                <w:rFonts w:ascii="Times New Roman" w:hAnsi="Times New Roman"/>
                <w:noProof/>
              </w:rPr>
              <w:t>2.2.2</w:t>
            </w:r>
            <w:r>
              <w:rPr>
                <w:rFonts w:asciiTheme="minorHAnsi" w:eastAsiaTheme="minorEastAsia" w:hAnsiTheme="minorHAnsi" w:cstheme="minorBidi"/>
                <w:noProof/>
                <w:kern w:val="2"/>
                <w:sz w:val="22"/>
                <w:szCs w:val="22"/>
                <w14:ligatures w14:val="standardContextual"/>
              </w:rPr>
              <w:tab/>
            </w:r>
            <w:r w:rsidRPr="00361B34">
              <w:rPr>
                <w:rStyle w:val="Hyperkobling"/>
                <w:noProof/>
              </w:rPr>
              <w:t>Nærmere om inntektsopplysninger</w:t>
            </w:r>
            <w:r>
              <w:rPr>
                <w:noProof/>
                <w:webHidden/>
              </w:rPr>
              <w:tab/>
            </w:r>
            <w:r>
              <w:rPr>
                <w:noProof/>
                <w:webHidden/>
              </w:rPr>
              <w:fldChar w:fldCharType="begin"/>
            </w:r>
            <w:r>
              <w:rPr>
                <w:noProof/>
                <w:webHidden/>
              </w:rPr>
              <w:instrText xml:space="preserve"> PAGEREF _Toc170468729 \h </w:instrText>
            </w:r>
            <w:r>
              <w:rPr>
                <w:noProof/>
                <w:webHidden/>
              </w:rPr>
            </w:r>
            <w:r>
              <w:rPr>
                <w:noProof/>
                <w:webHidden/>
              </w:rPr>
              <w:fldChar w:fldCharType="separate"/>
            </w:r>
            <w:r>
              <w:rPr>
                <w:noProof/>
                <w:webHidden/>
              </w:rPr>
              <w:t>9</w:t>
            </w:r>
            <w:r>
              <w:rPr>
                <w:noProof/>
                <w:webHidden/>
              </w:rPr>
              <w:fldChar w:fldCharType="end"/>
            </w:r>
          </w:hyperlink>
        </w:p>
        <w:p w14:paraId="1291F614" w14:textId="5705D92E"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30" w:history="1">
            <w:r w:rsidRPr="00361B34">
              <w:rPr>
                <w:rStyle w:val="Hyperkobling"/>
                <w:rFonts w:ascii="Times New Roman" w:hAnsi="Times New Roman"/>
                <w:noProof/>
              </w:rPr>
              <w:t>2.2.3</w:t>
            </w:r>
            <w:r>
              <w:rPr>
                <w:rFonts w:asciiTheme="minorHAnsi" w:eastAsiaTheme="minorEastAsia" w:hAnsiTheme="minorHAnsi" w:cstheme="minorBidi"/>
                <w:noProof/>
                <w:kern w:val="2"/>
                <w:sz w:val="22"/>
                <w:szCs w:val="22"/>
                <w14:ligatures w14:val="standardContextual"/>
              </w:rPr>
              <w:tab/>
            </w:r>
            <w:r w:rsidRPr="00361B34">
              <w:rPr>
                <w:rStyle w:val="Hyperkobling"/>
                <w:noProof/>
              </w:rPr>
              <w:t>Gjeldende rett</w:t>
            </w:r>
            <w:r>
              <w:rPr>
                <w:noProof/>
                <w:webHidden/>
              </w:rPr>
              <w:tab/>
            </w:r>
            <w:r>
              <w:rPr>
                <w:noProof/>
                <w:webHidden/>
              </w:rPr>
              <w:fldChar w:fldCharType="begin"/>
            </w:r>
            <w:r>
              <w:rPr>
                <w:noProof/>
                <w:webHidden/>
              </w:rPr>
              <w:instrText xml:space="preserve"> PAGEREF _Toc170468730 \h </w:instrText>
            </w:r>
            <w:r>
              <w:rPr>
                <w:noProof/>
                <w:webHidden/>
              </w:rPr>
            </w:r>
            <w:r>
              <w:rPr>
                <w:noProof/>
                <w:webHidden/>
              </w:rPr>
              <w:fldChar w:fldCharType="separate"/>
            </w:r>
            <w:r>
              <w:rPr>
                <w:noProof/>
                <w:webHidden/>
              </w:rPr>
              <w:t>10</w:t>
            </w:r>
            <w:r>
              <w:rPr>
                <w:noProof/>
                <w:webHidden/>
              </w:rPr>
              <w:fldChar w:fldCharType="end"/>
            </w:r>
          </w:hyperlink>
        </w:p>
        <w:p w14:paraId="049A1CE2" w14:textId="217A5599"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31" w:history="1">
            <w:r w:rsidRPr="00361B34">
              <w:rPr>
                <w:rStyle w:val="Hyperkobling"/>
                <w:rFonts w:ascii="Times New Roman" w:hAnsi="Times New Roman"/>
                <w:noProof/>
              </w:rPr>
              <w:t>2.3</w:t>
            </w:r>
            <w:r>
              <w:rPr>
                <w:rFonts w:asciiTheme="minorHAnsi" w:eastAsiaTheme="minorEastAsia" w:hAnsiTheme="minorHAnsi" w:cstheme="minorBidi"/>
                <w:noProof/>
                <w:kern w:val="2"/>
                <w:sz w:val="22"/>
                <w:szCs w:val="22"/>
                <w14:ligatures w14:val="standardContextual"/>
              </w:rPr>
              <w:tab/>
            </w:r>
            <w:r w:rsidRPr="00361B34">
              <w:rPr>
                <w:rStyle w:val="Hyperkobling"/>
                <w:noProof/>
              </w:rPr>
              <w:t>Deling av opplysninger om opptjent pensjonsbeholdning i folketrygden mv. fra Arbeids- og velferdsetaten</w:t>
            </w:r>
            <w:r>
              <w:rPr>
                <w:noProof/>
                <w:webHidden/>
              </w:rPr>
              <w:tab/>
            </w:r>
            <w:r>
              <w:rPr>
                <w:noProof/>
                <w:webHidden/>
              </w:rPr>
              <w:fldChar w:fldCharType="begin"/>
            </w:r>
            <w:r>
              <w:rPr>
                <w:noProof/>
                <w:webHidden/>
              </w:rPr>
              <w:instrText xml:space="preserve"> PAGEREF _Toc170468731 \h </w:instrText>
            </w:r>
            <w:r>
              <w:rPr>
                <w:noProof/>
                <w:webHidden/>
              </w:rPr>
            </w:r>
            <w:r>
              <w:rPr>
                <w:noProof/>
                <w:webHidden/>
              </w:rPr>
              <w:fldChar w:fldCharType="separate"/>
            </w:r>
            <w:r>
              <w:rPr>
                <w:noProof/>
                <w:webHidden/>
              </w:rPr>
              <w:t>11</w:t>
            </w:r>
            <w:r>
              <w:rPr>
                <w:noProof/>
                <w:webHidden/>
              </w:rPr>
              <w:fldChar w:fldCharType="end"/>
            </w:r>
          </w:hyperlink>
        </w:p>
        <w:p w14:paraId="2752C5BF" w14:textId="43F5E081"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32" w:history="1">
            <w:r w:rsidRPr="00361B34">
              <w:rPr>
                <w:rStyle w:val="Hyperkobling"/>
                <w:rFonts w:ascii="Times New Roman" w:hAnsi="Times New Roman"/>
                <w:noProof/>
              </w:rPr>
              <w:t>2.3.1</w:t>
            </w:r>
            <w:r>
              <w:rPr>
                <w:rFonts w:asciiTheme="minorHAnsi" w:eastAsiaTheme="minorEastAsia" w:hAnsiTheme="minorHAnsi" w:cstheme="minorBidi"/>
                <w:noProof/>
                <w:kern w:val="2"/>
                <w:sz w:val="22"/>
                <w:szCs w:val="22"/>
                <w14:ligatures w14:val="standardContextual"/>
              </w:rPr>
              <w:tab/>
            </w:r>
            <w:r w:rsidRPr="00361B34">
              <w:rPr>
                <w:rStyle w:val="Hyperkobling"/>
                <w:noProof/>
              </w:rPr>
              <w:t>Innledning</w:t>
            </w:r>
            <w:r>
              <w:rPr>
                <w:noProof/>
                <w:webHidden/>
              </w:rPr>
              <w:tab/>
            </w:r>
            <w:r>
              <w:rPr>
                <w:noProof/>
                <w:webHidden/>
              </w:rPr>
              <w:fldChar w:fldCharType="begin"/>
            </w:r>
            <w:r>
              <w:rPr>
                <w:noProof/>
                <w:webHidden/>
              </w:rPr>
              <w:instrText xml:space="preserve"> PAGEREF _Toc170468732 \h </w:instrText>
            </w:r>
            <w:r>
              <w:rPr>
                <w:noProof/>
                <w:webHidden/>
              </w:rPr>
            </w:r>
            <w:r>
              <w:rPr>
                <w:noProof/>
                <w:webHidden/>
              </w:rPr>
              <w:fldChar w:fldCharType="separate"/>
            </w:r>
            <w:r>
              <w:rPr>
                <w:noProof/>
                <w:webHidden/>
              </w:rPr>
              <w:t>11</w:t>
            </w:r>
            <w:r>
              <w:rPr>
                <w:noProof/>
                <w:webHidden/>
              </w:rPr>
              <w:fldChar w:fldCharType="end"/>
            </w:r>
          </w:hyperlink>
        </w:p>
        <w:p w14:paraId="2D78FA58" w14:textId="4DB37D5F"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33" w:history="1">
            <w:r w:rsidRPr="00361B34">
              <w:rPr>
                <w:rStyle w:val="Hyperkobling"/>
                <w:rFonts w:ascii="Times New Roman" w:hAnsi="Times New Roman"/>
                <w:noProof/>
              </w:rPr>
              <w:t>2.3.2</w:t>
            </w:r>
            <w:r>
              <w:rPr>
                <w:rFonts w:asciiTheme="minorHAnsi" w:eastAsiaTheme="minorEastAsia" w:hAnsiTheme="minorHAnsi" w:cstheme="minorBidi"/>
                <w:noProof/>
                <w:kern w:val="2"/>
                <w:sz w:val="22"/>
                <w:szCs w:val="22"/>
                <w14:ligatures w14:val="standardContextual"/>
              </w:rPr>
              <w:tab/>
            </w:r>
            <w:r w:rsidRPr="00361B34">
              <w:rPr>
                <w:rStyle w:val="Hyperkobling"/>
                <w:noProof/>
              </w:rPr>
              <w:t>Gjeldende rett</w:t>
            </w:r>
            <w:r>
              <w:rPr>
                <w:noProof/>
                <w:webHidden/>
              </w:rPr>
              <w:tab/>
            </w:r>
            <w:r>
              <w:rPr>
                <w:noProof/>
                <w:webHidden/>
              </w:rPr>
              <w:fldChar w:fldCharType="begin"/>
            </w:r>
            <w:r>
              <w:rPr>
                <w:noProof/>
                <w:webHidden/>
              </w:rPr>
              <w:instrText xml:space="preserve"> PAGEREF _Toc170468733 \h </w:instrText>
            </w:r>
            <w:r>
              <w:rPr>
                <w:noProof/>
                <w:webHidden/>
              </w:rPr>
            </w:r>
            <w:r>
              <w:rPr>
                <w:noProof/>
                <w:webHidden/>
              </w:rPr>
              <w:fldChar w:fldCharType="separate"/>
            </w:r>
            <w:r>
              <w:rPr>
                <w:noProof/>
                <w:webHidden/>
              </w:rPr>
              <w:t>12</w:t>
            </w:r>
            <w:r>
              <w:rPr>
                <w:noProof/>
                <w:webHidden/>
              </w:rPr>
              <w:fldChar w:fldCharType="end"/>
            </w:r>
          </w:hyperlink>
        </w:p>
        <w:p w14:paraId="1528C02A" w14:textId="2438AD83"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34" w:history="1">
            <w:r w:rsidRPr="00361B34">
              <w:rPr>
                <w:rStyle w:val="Hyperkobling"/>
                <w:rFonts w:ascii="Times New Roman" w:hAnsi="Times New Roman"/>
                <w:noProof/>
              </w:rPr>
              <w:t>2.4</w:t>
            </w:r>
            <w:r>
              <w:rPr>
                <w:rFonts w:asciiTheme="minorHAnsi" w:eastAsiaTheme="minorEastAsia" w:hAnsiTheme="minorHAnsi" w:cstheme="minorBidi"/>
                <w:noProof/>
                <w:kern w:val="2"/>
                <w:sz w:val="22"/>
                <w:szCs w:val="22"/>
                <w14:ligatures w14:val="standardContextual"/>
              </w:rPr>
              <w:tab/>
            </w:r>
            <w:r w:rsidRPr="00361B34">
              <w:rPr>
                <w:rStyle w:val="Hyperkobling"/>
                <w:noProof/>
              </w:rPr>
              <w:t>Deling av opplysninger fra Fellesordningen for AFP</w:t>
            </w:r>
            <w:r>
              <w:rPr>
                <w:noProof/>
                <w:webHidden/>
              </w:rPr>
              <w:tab/>
            </w:r>
            <w:r>
              <w:rPr>
                <w:noProof/>
                <w:webHidden/>
              </w:rPr>
              <w:fldChar w:fldCharType="begin"/>
            </w:r>
            <w:r>
              <w:rPr>
                <w:noProof/>
                <w:webHidden/>
              </w:rPr>
              <w:instrText xml:space="preserve"> PAGEREF _Toc170468734 \h </w:instrText>
            </w:r>
            <w:r>
              <w:rPr>
                <w:noProof/>
                <w:webHidden/>
              </w:rPr>
            </w:r>
            <w:r>
              <w:rPr>
                <w:noProof/>
                <w:webHidden/>
              </w:rPr>
              <w:fldChar w:fldCharType="separate"/>
            </w:r>
            <w:r>
              <w:rPr>
                <w:noProof/>
                <w:webHidden/>
              </w:rPr>
              <w:t>14</w:t>
            </w:r>
            <w:r>
              <w:rPr>
                <w:noProof/>
                <w:webHidden/>
              </w:rPr>
              <w:fldChar w:fldCharType="end"/>
            </w:r>
          </w:hyperlink>
        </w:p>
        <w:p w14:paraId="5760B597" w14:textId="3D64FBE5"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35" w:history="1">
            <w:r w:rsidRPr="00361B34">
              <w:rPr>
                <w:rStyle w:val="Hyperkobling"/>
                <w:rFonts w:ascii="Times New Roman" w:hAnsi="Times New Roman"/>
                <w:noProof/>
              </w:rPr>
              <w:t>2.5</w:t>
            </w:r>
            <w:r>
              <w:rPr>
                <w:rFonts w:asciiTheme="minorHAnsi" w:eastAsiaTheme="minorEastAsia" w:hAnsiTheme="minorHAnsi" w:cstheme="minorBidi"/>
                <w:noProof/>
                <w:kern w:val="2"/>
                <w:sz w:val="22"/>
                <w:szCs w:val="22"/>
                <w14:ligatures w14:val="standardContextual"/>
              </w:rPr>
              <w:tab/>
            </w:r>
            <w:r w:rsidRPr="00361B34">
              <w:rPr>
                <w:rStyle w:val="Hyperkobling"/>
                <w:noProof/>
              </w:rPr>
              <w:t>Departementets vurdering</w:t>
            </w:r>
            <w:r>
              <w:rPr>
                <w:noProof/>
                <w:webHidden/>
              </w:rPr>
              <w:tab/>
            </w:r>
            <w:r>
              <w:rPr>
                <w:noProof/>
                <w:webHidden/>
              </w:rPr>
              <w:fldChar w:fldCharType="begin"/>
            </w:r>
            <w:r>
              <w:rPr>
                <w:noProof/>
                <w:webHidden/>
              </w:rPr>
              <w:instrText xml:space="preserve"> PAGEREF _Toc170468735 \h </w:instrText>
            </w:r>
            <w:r>
              <w:rPr>
                <w:noProof/>
                <w:webHidden/>
              </w:rPr>
            </w:r>
            <w:r>
              <w:rPr>
                <w:noProof/>
                <w:webHidden/>
              </w:rPr>
              <w:fldChar w:fldCharType="separate"/>
            </w:r>
            <w:r>
              <w:rPr>
                <w:noProof/>
                <w:webHidden/>
              </w:rPr>
              <w:t>14</w:t>
            </w:r>
            <w:r>
              <w:rPr>
                <w:noProof/>
                <w:webHidden/>
              </w:rPr>
              <w:fldChar w:fldCharType="end"/>
            </w:r>
          </w:hyperlink>
        </w:p>
        <w:p w14:paraId="342353BF" w14:textId="452D9979"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36" w:history="1">
            <w:r w:rsidRPr="00361B34">
              <w:rPr>
                <w:rStyle w:val="Hyperkobling"/>
                <w:rFonts w:ascii="Times New Roman" w:hAnsi="Times New Roman"/>
                <w:noProof/>
              </w:rPr>
              <w:t>2.5.1</w:t>
            </w:r>
            <w:r>
              <w:rPr>
                <w:rFonts w:asciiTheme="minorHAnsi" w:eastAsiaTheme="minorEastAsia" w:hAnsiTheme="minorHAnsi" w:cstheme="minorBidi"/>
                <w:noProof/>
                <w:kern w:val="2"/>
                <w:sz w:val="22"/>
                <w:szCs w:val="22"/>
                <w14:ligatures w14:val="standardContextual"/>
              </w:rPr>
              <w:tab/>
            </w:r>
            <w:r w:rsidRPr="00361B34">
              <w:rPr>
                <w:rStyle w:val="Hyperkobling"/>
                <w:noProof/>
              </w:rPr>
              <w:t>Forslag om deling av  opplysninger om inntekts- og arbeidsforhold</w:t>
            </w:r>
            <w:r>
              <w:rPr>
                <w:noProof/>
                <w:webHidden/>
              </w:rPr>
              <w:tab/>
            </w:r>
            <w:r>
              <w:rPr>
                <w:noProof/>
                <w:webHidden/>
              </w:rPr>
              <w:fldChar w:fldCharType="begin"/>
            </w:r>
            <w:r>
              <w:rPr>
                <w:noProof/>
                <w:webHidden/>
              </w:rPr>
              <w:instrText xml:space="preserve"> PAGEREF _Toc170468736 \h </w:instrText>
            </w:r>
            <w:r>
              <w:rPr>
                <w:noProof/>
                <w:webHidden/>
              </w:rPr>
            </w:r>
            <w:r>
              <w:rPr>
                <w:noProof/>
                <w:webHidden/>
              </w:rPr>
              <w:fldChar w:fldCharType="separate"/>
            </w:r>
            <w:r>
              <w:rPr>
                <w:noProof/>
                <w:webHidden/>
              </w:rPr>
              <w:t>14</w:t>
            </w:r>
            <w:r>
              <w:rPr>
                <w:noProof/>
                <w:webHidden/>
              </w:rPr>
              <w:fldChar w:fldCharType="end"/>
            </w:r>
          </w:hyperlink>
        </w:p>
        <w:p w14:paraId="4A50A3D2" w14:textId="4CC43992"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37" w:history="1">
            <w:r w:rsidRPr="00361B34">
              <w:rPr>
                <w:rStyle w:val="Hyperkobling"/>
                <w:rFonts w:ascii="Times New Roman" w:hAnsi="Times New Roman"/>
                <w:noProof/>
              </w:rPr>
              <w:t>2.5.2</w:t>
            </w:r>
            <w:r>
              <w:rPr>
                <w:rFonts w:asciiTheme="minorHAnsi" w:eastAsiaTheme="minorEastAsia" w:hAnsiTheme="minorHAnsi" w:cstheme="minorBidi"/>
                <w:noProof/>
                <w:kern w:val="2"/>
                <w:sz w:val="22"/>
                <w:szCs w:val="22"/>
                <w14:ligatures w14:val="standardContextual"/>
              </w:rPr>
              <w:tab/>
            </w:r>
            <w:r w:rsidRPr="00361B34">
              <w:rPr>
                <w:rStyle w:val="Hyperkobling"/>
                <w:noProof/>
              </w:rPr>
              <w:t>Forslag om deling av opplysninger om opptjent pensjonsbeholdning og andre ytelser fra Arbeids- og velferdsetaten</w:t>
            </w:r>
            <w:r>
              <w:rPr>
                <w:noProof/>
                <w:webHidden/>
              </w:rPr>
              <w:tab/>
            </w:r>
            <w:r>
              <w:rPr>
                <w:noProof/>
                <w:webHidden/>
              </w:rPr>
              <w:fldChar w:fldCharType="begin"/>
            </w:r>
            <w:r>
              <w:rPr>
                <w:noProof/>
                <w:webHidden/>
              </w:rPr>
              <w:instrText xml:space="preserve"> PAGEREF _Toc170468737 \h </w:instrText>
            </w:r>
            <w:r>
              <w:rPr>
                <w:noProof/>
                <w:webHidden/>
              </w:rPr>
            </w:r>
            <w:r>
              <w:rPr>
                <w:noProof/>
                <w:webHidden/>
              </w:rPr>
              <w:fldChar w:fldCharType="separate"/>
            </w:r>
            <w:r>
              <w:rPr>
                <w:noProof/>
                <w:webHidden/>
              </w:rPr>
              <w:t>17</w:t>
            </w:r>
            <w:r>
              <w:rPr>
                <w:noProof/>
                <w:webHidden/>
              </w:rPr>
              <w:fldChar w:fldCharType="end"/>
            </w:r>
          </w:hyperlink>
        </w:p>
        <w:p w14:paraId="12A99C8A" w14:textId="79ADA537"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38" w:history="1">
            <w:r w:rsidRPr="00361B34">
              <w:rPr>
                <w:rStyle w:val="Hyperkobling"/>
                <w:rFonts w:ascii="Times New Roman" w:hAnsi="Times New Roman"/>
                <w:noProof/>
              </w:rPr>
              <w:t>2.5.3</w:t>
            </w:r>
            <w:r>
              <w:rPr>
                <w:rFonts w:asciiTheme="minorHAnsi" w:eastAsiaTheme="minorEastAsia" w:hAnsiTheme="minorHAnsi" w:cstheme="minorBidi"/>
                <w:noProof/>
                <w:kern w:val="2"/>
                <w:sz w:val="22"/>
                <w:szCs w:val="22"/>
                <w14:ligatures w14:val="standardContextual"/>
              </w:rPr>
              <w:tab/>
            </w:r>
            <w:r w:rsidRPr="00361B34">
              <w:rPr>
                <w:rStyle w:val="Hyperkobling"/>
                <w:noProof/>
              </w:rPr>
              <w:t>Personvernkonsekvenser av forslagene</w:t>
            </w:r>
            <w:r>
              <w:rPr>
                <w:noProof/>
                <w:webHidden/>
              </w:rPr>
              <w:tab/>
            </w:r>
            <w:r>
              <w:rPr>
                <w:noProof/>
                <w:webHidden/>
              </w:rPr>
              <w:fldChar w:fldCharType="begin"/>
            </w:r>
            <w:r>
              <w:rPr>
                <w:noProof/>
                <w:webHidden/>
              </w:rPr>
              <w:instrText xml:space="preserve"> PAGEREF _Toc170468738 \h </w:instrText>
            </w:r>
            <w:r>
              <w:rPr>
                <w:noProof/>
                <w:webHidden/>
              </w:rPr>
            </w:r>
            <w:r>
              <w:rPr>
                <w:noProof/>
                <w:webHidden/>
              </w:rPr>
              <w:fldChar w:fldCharType="separate"/>
            </w:r>
            <w:r>
              <w:rPr>
                <w:noProof/>
                <w:webHidden/>
              </w:rPr>
              <w:t>18</w:t>
            </w:r>
            <w:r>
              <w:rPr>
                <w:noProof/>
                <w:webHidden/>
              </w:rPr>
              <w:fldChar w:fldCharType="end"/>
            </w:r>
          </w:hyperlink>
        </w:p>
        <w:p w14:paraId="0FE7072B" w14:textId="2537652F" w:rsidR="004C7E3C" w:rsidRDefault="004C7E3C">
          <w:pPr>
            <w:pStyle w:val="INNH3"/>
            <w:tabs>
              <w:tab w:val="left" w:pos="1400"/>
            </w:tabs>
            <w:rPr>
              <w:rFonts w:asciiTheme="minorHAnsi" w:eastAsiaTheme="minorEastAsia" w:hAnsiTheme="minorHAnsi" w:cstheme="minorBidi"/>
              <w:noProof/>
              <w:kern w:val="2"/>
              <w:sz w:val="22"/>
              <w:szCs w:val="22"/>
              <w14:ligatures w14:val="standardContextual"/>
            </w:rPr>
          </w:pPr>
          <w:hyperlink w:anchor="_Toc170468739" w:history="1">
            <w:r w:rsidRPr="00361B34">
              <w:rPr>
                <w:rStyle w:val="Hyperkobling"/>
                <w:rFonts w:ascii="Times New Roman" w:hAnsi="Times New Roman"/>
                <w:noProof/>
              </w:rPr>
              <w:t>2.5.4</w:t>
            </w:r>
            <w:r>
              <w:rPr>
                <w:rFonts w:asciiTheme="minorHAnsi" w:eastAsiaTheme="minorEastAsia" w:hAnsiTheme="minorHAnsi" w:cstheme="minorBidi"/>
                <w:noProof/>
                <w:kern w:val="2"/>
                <w:sz w:val="22"/>
                <w:szCs w:val="22"/>
                <w14:ligatures w14:val="standardContextual"/>
              </w:rPr>
              <w:tab/>
            </w:r>
            <w:r w:rsidRPr="00361B34">
              <w:rPr>
                <w:rStyle w:val="Hyperkobling"/>
                <w:noProof/>
              </w:rPr>
              <w:t>Oppsummering</w:t>
            </w:r>
            <w:r>
              <w:rPr>
                <w:noProof/>
                <w:webHidden/>
              </w:rPr>
              <w:tab/>
            </w:r>
            <w:r>
              <w:rPr>
                <w:noProof/>
                <w:webHidden/>
              </w:rPr>
              <w:fldChar w:fldCharType="begin"/>
            </w:r>
            <w:r>
              <w:rPr>
                <w:noProof/>
                <w:webHidden/>
              </w:rPr>
              <w:instrText xml:space="preserve"> PAGEREF _Toc170468739 \h </w:instrText>
            </w:r>
            <w:r>
              <w:rPr>
                <w:noProof/>
                <w:webHidden/>
              </w:rPr>
            </w:r>
            <w:r>
              <w:rPr>
                <w:noProof/>
                <w:webHidden/>
              </w:rPr>
              <w:fldChar w:fldCharType="separate"/>
            </w:r>
            <w:r>
              <w:rPr>
                <w:noProof/>
                <w:webHidden/>
              </w:rPr>
              <w:t>22</w:t>
            </w:r>
            <w:r>
              <w:rPr>
                <w:noProof/>
                <w:webHidden/>
              </w:rPr>
              <w:fldChar w:fldCharType="end"/>
            </w:r>
          </w:hyperlink>
        </w:p>
        <w:p w14:paraId="2D0AB678" w14:textId="4A668AB5" w:rsidR="004C7E3C" w:rsidRDefault="004C7E3C">
          <w:pPr>
            <w:pStyle w:val="INNH1"/>
            <w:tabs>
              <w:tab w:val="left" w:pos="567"/>
            </w:tabs>
            <w:rPr>
              <w:rFonts w:asciiTheme="minorHAnsi" w:eastAsiaTheme="minorEastAsia" w:hAnsiTheme="minorHAnsi" w:cstheme="minorBidi"/>
              <w:noProof/>
              <w:kern w:val="2"/>
              <w:sz w:val="22"/>
              <w:szCs w:val="22"/>
              <w14:ligatures w14:val="standardContextual"/>
            </w:rPr>
          </w:pPr>
          <w:hyperlink w:anchor="_Toc170468740" w:history="1">
            <w:r w:rsidRPr="00361B34">
              <w:rPr>
                <w:rStyle w:val="Hyperkobling"/>
                <w:noProof/>
              </w:rPr>
              <w:t>3</w:t>
            </w:r>
            <w:r>
              <w:rPr>
                <w:rFonts w:asciiTheme="minorHAnsi" w:eastAsiaTheme="minorEastAsia" w:hAnsiTheme="minorHAnsi" w:cstheme="minorBidi"/>
                <w:noProof/>
                <w:kern w:val="2"/>
                <w:sz w:val="22"/>
                <w:szCs w:val="22"/>
                <w14:ligatures w14:val="standardContextual"/>
              </w:rPr>
              <w:tab/>
            </w:r>
            <w:r w:rsidRPr="00361B34">
              <w:rPr>
                <w:rStyle w:val="Hyperkobling"/>
                <w:noProof/>
              </w:rPr>
              <w:t>Deling av opplysninger om opptjent pensjonsbeholdning mv. til bruk for beregning av fremtidige pensjonsytelser</w:t>
            </w:r>
            <w:r>
              <w:rPr>
                <w:noProof/>
                <w:webHidden/>
              </w:rPr>
              <w:tab/>
            </w:r>
            <w:r>
              <w:rPr>
                <w:noProof/>
                <w:webHidden/>
              </w:rPr>
              <w:fldChar w:fldCharType="begin"/>
            </w:r>
            <w:r>
              <w:rPr>
                <w:noProof/>
                <w:webHidden/>
              </w:rPr>
              <w:instrText xml:space="preserve"> PAGEREF _Toc170468740 \h </w:instrText>
            </w:r>
            <w:r>
              <w:rPr>
                <w:noProof/>
                <w:webHidden/>
              </w:rPr>
            </w:r>
            <w:r>
              <w:rPr>
                <w:noProof/>
                <w:webHidden/>
              </w:rPr>
              <w:fldChar w:fldCharType="separate"/>
            </w:r>
            <w:r>
              <w:rPr>
                <w:noProof/>
                <w:webHidden/>
              </w:rPr>
              <w:t>22</w:t>
            </w:r>
            <w:r>
              <w:rPr>
                <w:noProof/>
                <w:webHidden/>
              </w:rPr>
              <w:fldChar w:fldCharType="end"/>
            </w:r>
          </w:hyperlink>
        </w:p>
        <w:p w14:paraId="0F06D5C4" w14:textId="2013DDCB"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1" w:history="1">
            <w:r w:rsidRPr="00361B34">
              <w:rPr>
                <w:rStyle w:val="Hyperkobling"/>
                <w:rFonts w:ascii="Times New Roman" w:hAnsi="Times New Roman"/>
                <w:noProof/>
              </w:rPr>
              <w:t>3.1</w:t>
            </w:r>
            <w:r>
              <w:rPr>
                <w:rFonts w:asciiTheme="minorHAnsi" w:eastAsiaTheme="minorEastAsia" w:hAnsiTheme="minorHAnsi" w:cstheme="minorBidi"/>
                <w:noProof/>
                <w:kern w:val="2"/>
                <w:sz w:val="22"/>
                <w:szCs w:val="22"/>
                <w14:ligatures w14:val="standardContextual"/>
              </w:rPr>
              <w:tab/>
            </w:r>
            <w:r w:rsidRPr="00361B34">
              <w:rPr>
                <w:rStyle w:val="Hyperkobling"/>
                <w:noProof/>
              </w:rPr>
              <w:t>Innledning</w:t>
            </w:r>
            <w:r>
              <w:rPr>
                <w:noProof/>
                <w:webHidden/>
              </w:rPr>
              <w:tab/>
            </w:r>
            <w:r>
              <w:rPr>
                <w:noProof/>
                <w:webHidden/>
              </w:rPr>
              <w:fldChar w:fldCharType="begin"/>
            </w:r>
            <w:r>
              <w:rPr>
                <w:noProof/>
                <w:webHidden/>
              </w:rPr>
              <w:instrText xml:space="preserve"> PAGEREF _Toc170468741 \h </w:instrText>
            </w:r>
            <w:r>
              <w:rPr>
                <w:noProof/>
                <w:webHidden/>
              </w:rPr>
            </w:r>
            <w:r>
              <w:rPr>
                <w:noProof/>
                <w:webHidden/>
              </w:rPr>
              <w:fldChar w:fldCharType="separate"/>
            </w:r>
            <w:r>
              <w:rPr>
                <w:noProof/>
                <w:webHidden/>
              </w:rPr>
              <w:t>22</w:t>
            </w:r>
            <w:r>
              <w:rPr>
                <w:noProof/>
                <w:webHidden/>
              </w:rPr>
              <w:fldChar w:fldCharType="end"/>
            </w:r>
          </w:hyperlink>
        </w:p>
        <w:p w14:paraId="14436E36" w14:textId="36B9E644"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2" w:history="1">
            <w:r w:rsidRPr="00361B34">
              <w:rPr>
                <w:rStyle w:val="Hyperkobling"/>
                <w:rFonts w:ascii="Times New Roman" w:hAnsi="Times New Roman"/>
                <w:noProof/>
              </w:rPr>
              <w:t>3.2</w:t>
            </w:r>
            <w:r>
              <w:rPr>
                <w:rFonts w:asciiTheme="minorHAnsi" w:eastAsiaTheme="minorEastAsia" w:hAnsiTheme="minorHAnsi" w:cstheme="minorBidi"/>
                <w:noProof/>
                <w:kern w:val="2"/>
                <w:sz w:val="22"/>
                <w:szCs w:val="22"/>
                <w14:ligatures w14:val="standardContextual"/>
              </w:rPr>
              <w:tab/>
            </w:r>
            <w:r w:rsidRPr="00361B34">
              <w:rPr>
                <w:rStyle w:val="Hyperkobling"/>
                <w:noProof/>
              </w:rPr>
              <w:t>Bakgrunn</w:t>
            </w:r>
            <w:r>
              <w:rPr>
                <w:noProof/>
                <w:webHidden/>
              </w:rPr>
              <w:tab/>
            </w:r>
            <w:r>
              <w:rPr>
                <w:noProof/>
                <w:webHidden/>
              </w:rPr>
              <w:fldChar w:fldCharType="begin"/>
            </w:r>
            <w:r>
              <w:rPr>
                <w:noProof/>
                <w:webHidden/>
              </w:rPr>
              <w:instrText xml:space="preserve"> PAGEREF _Toc170468742 \h </w:instrText>
            </w:r>
            <w:r>
              <w:rPr>
                <w:noProof/>
                <w:webHidden/>
              </w:rPr>
            </w:r>
            <w:r>
              <w:rPr>
                <w:noProof/>
                <w:webHidden/>
              </w:rPr>
              <w:fldChar w:fldCharType="separate"/>
            </w:r>
            <w:r>
              <w:rPr>
                <w:noProof/>
                <w:webHidden/>
              </w:rPr>
              <w:t>23</w:t>
            </w:r>
            <w:r>
              <w:rPr>
                <w:noProof/>
                <w:webHidden/>
              </w:rPr>
              <w:fldChar w:fldCharType="end"/>
            </w:r>
          </w:hyperlink>
        </w:p>
        <w:p w14:paraId="79E7D552" w14:textId="2DB1AA15"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3" w:history="1">
            <w:r w:rsidRPr="00361B34">
              <w:rPr>
                <w:rStyle w:val="Hyperkobling"/>
                <w:rFonts w:ascii="Times New Roman" w:hAnsi="Times New Roman"/>
                <w:noProof/>
              </w:rPr>
              <w:t>3.3</w:t>
            </w:r>
            <w:r>
              <w:rPr>
                <w:rFonts w:asciiTheme="minorHAnsi" w:eastAsiaTheme="minorEastAsia" w:hAnsiTheme="minorHAnsi" w:cstheme="minorBidi"/>
                <w:noProof/>
                <w:kern w:val="2"/>
                <w:sz w:val="22"/>
                <w:szCs w:val="22"/>
                <w14:ligatures w14:val="standardContextual"/>
              </w:rPr>
              <w:tab/>
            </w:r>
            <w:r w:rsidRPr="00361B34">
              <w:rPr>
                <w:rStyle w:val="Hyperkobling"/>
                <w:noProof/>
              </w:rPr>
              <w:t>Gjeldende rett</w:t>
            </w:r>
            <w:r>
              <w:rPr>
                <w:noProof/>
                <w:webHidden/>
              </w:rPr>
              <w:tab/>
            </w:r>
            <w:r>
              <w:rPr>
                <w:noProof/>
                <w:webHidden/>
              </w:rPr>
              <w:fldChar w:fldCharType="begin"/>
            </w:r>
            <w:r>
              <w:rPr>
                <w:noProof/>
                <w:webHidden/>
              </w:rPr>
              <w:instrText xml:space="preserve"> PAGEREF _Toc170468743 \h </w:instrText>
            </w:r>
            <w:r>
              <w:rPr>
                <w:noProof/>
                <w:webHidden/>
              </w:rPr>
            </w:r>
            <w:r>
              <w:rPr>
                <w:noProof/>
                <w:webHidden/>
              </w:rPr>
              <w:fldChar w:fldCharType="separate"/>
            </w:r>
            <w:r>
              <w:rPr>
                <w:noProof/>
                <w:webHidden/>
              </w:rPr>
              <w:t>24</w:t>
            </w:r>
            <w:r>
              <w:rPr>
                <w:noProof/>
                <w:webHidden/>
              </w:rPr>
              <w:fldChar w:fldCharType="end"/>
            </w:r>
          </w:hyperlink>
        </w:p>
        <w:p w14:paraId="4DEFA479" w14:textId="07A71C6F"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4" w:history="1">
            <w:r w:rsidRPr="00361B34">
              <w:rPr>
                <w:rStyle w:val="Hyperkobling"/>
                <w:rFonts w:ascii="Times New Roman" w:hAnsi="Times New Roman"/>
                <w:noProof/>
              </w:rPr>
              <w:t>3.4</w:t>
            </w:r>
            <w:r>
              <w:rPr>
                <w:rFonts w:asciiTheme="minorHAnsi" w:eastAsiaTheme="minorEastAsia" w:hAnsiTheme="minorHAnsi" w:cstheme="minorBidi"/>
                <w:noProof/>
                <w:kern w:val="2"/>
                <w:sz w:val="22"/>
                <w:szCs w:val="22"/>
                <w14:ligatures w14:val="standardContextual"/>
              </w:rPr>
              <w:tab/>
            </w:r>
            <w:r w:rsidRPr="00361B34">
              <w:rPr>
                <w:rStyle w:val="Hyperkobling"/>
                <w:noProof/>
              </w:rPr>
              <w:t>Departementets vurdering</w:t>
            </w:r>
            <w:r>
              <w:rPr>
                <w:noProof/>
                <w:webHidden/>
              </w:rPr>
              <w:tab/>
            </w:r>
            <w:r>
              <w:rPr>
                <w:noProof/>
                <w:webHidden/>
              </w:rPr>
              <w:fldChar w:fldCharType="begin"/>
            </w:r>
            <w:r>
              <w:rPr>
                <w:noProof/>
                <w:webHidden/>
              </w:rPr>
              <w:instrText xml:space="preserve"> PAGEREF _Toc170468744 \h </w:instrText>
            </w:r>
            <w:r>
              <w:rPr>
                <w:noProof/>
                <w:webHidden/>
              </w:rPr>
            </w:r>
            <w:r>
              <w:rPr>
                <w:noProof/>
                <w:webHidden/>
              </w:rPr>
              <w:fldChar w:fldCharType="separate"/>
            </w:r>
            <w:r>
              <w:rPr>
                <w:noProof/>
                <w:webHidden/>
              </w:rPr>
              <w:t>24</w:t>
            </w:r>
            <w:r>
              <w:rPr>
                <w:noProof/>
                <w:webHidden/>
              </w:rPr>
              <w:fldChar w:fldCharType="end"/>
            </w:r>
          </w:hyperlink>
        </w:p>
        <w:p w14:paraId="7D858F31" w14:textId="4E849480" w:rsidR="004C7E3C" w:rsidRDefault="004C7E3C">
          <w:pPr>
            <w:pStyle w:val="INNH1"/>
            <w:tabs>
              <w:tab w:val="left" w:pos="567"/>
            </w:tabs>
            <w:rPr>
              <w:rFonts w:asciiTheme="minorHAnsi" w:eastAsiaTheme="minorEastAsia" w:hAnsiTheme="minorHAnsi" w:cstheme="minorBidi"/>
              <w:noProof/>
              <w:kern w:val="2"/>
              <w:sz w:val="22"/>
              <w:szCs w:val="22"/>
              <w14:ligatures w14:val="standardContextual"/>
            </w:rPr>
          </w:pPr>
          <w:hyperlink w:anchor="_Toc170468745" w:history="1">
            <w:r w:rsidRPr="00361B34">
              <w:rPr>
                <w:rStyle w:val="Hyperkobling"/>
                <w:noProof/>
              </w:rPr>
              <w:t>4</w:t>
            </w:r>
            <w:r>
              <w:rPr>
                <w:rFonts w:asciiTheme="minorHAnsi" w:eastAsiaTheme="minorEastAsia" w:hAnsiTheme="minorHAnsi" w:cstheme="minorBidi"/>
                <w:noProof/>
                <w:kern w:val="2"/>
                <w:sz w:val="22"/>
                <w:szCs w:val="22"/>
                <w14:ligatures w14:val="standardContextual"/>
              </w:rPr>
              <w:tab/>
            </w:r>
            <w:r w:rsidRPr="00361B34">
              <w:rPr>
                <w:rStyle w:val="Hyperkobling"/>
                <w:noProof/>
              </w:rPr>
              <w:t>Adgang til å treffe automatiserte avgjørelser</w:t>
            </w:r>
            <w:r>
              <w:rPr>
                <w:noProof/>
                <w:webHidden/>
              </w:rPr>
              <w:tab/>
            </w:r>
            <w:r>
              <w:rPr>
                <w:noProof/>
                <w:webHidden/>
              </w:rPr>
              <w:fldChar w:fldCharType="begin"/>
            </w:r>
            <w:r>
              <w:rPr>
                <w:noProof/>
                <w:webHidden/>
              </w:rPr>
              <w:instrText xml:space="preserve"> PAGEREF _Toc170468745 \h </w:instrText>
            </w:r>
            <w:r>
              <w:rPr>
                <w:noProof/>
                <w:webHidden/>
              </w:rPr>
            </w:r>
            <w:r>
              <w:rPr>
                <w:noProof/>
                <w:webHidden/>
              </w:rPr>
              <w:fldChar w:fldCharType="separate"/>
            </w:r>
            <w:r>
              <w:rPr>
                <w:noProof/>
                <w:webHidden/>
              </w:rPr>
              <w:t>28</w:t>
            </w:r>
            <w:r>
              <w:rPr>
                <w:noProof/>
                <w:webHidden/>
              </w:rPr>
              <w:fldChar w:fldCharType="end"/>
            </w:r>
          </w:hyperlink>
        </w:p>
        <w:p w14:paraId="07D357D2" w14:textId="3290BA80"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6" w:history="1">
            <w:r w:rsidRPr="00361B34">
              <w:rPr>
                <w:rStyle w:val="Hyperkobling"/>
                <w:rFonts w:ascii="Times New Roman" w:hAnsi="Times New Roman"/>
                <w:noProof/>
              </w:rPr>
              <w:t>4.1</w:t>
            </w:r>
            <w:r>
              <w:rPr>
                <w:rFonts w:asciiTheme="minorHAnsi" w:eastAsiaTheme="minorEastAsia" w:hAnsiTheme="minorHAnsi" w:cstheme="minorBidi"/>
                <w:noProof/>
                <w:kern w:val="2"/>
                <w:sz w:val="22"/>
                <w:szCs w:val="22"/>
                <w14:ligatures w14:val="standardContextual"/>
              </w:rPr>
              <w:tab/>
            </w:r>
            <w:r w:rsidRPr="00361B34">
              <w:rPr>
                <w:rStyle w:val="Hyperkobling"/>
                <w:noProof/>
              </w:rPr>
              <w:t>Innledning</w:t>
            </w:r>
            <w:r>
              <w:rPr>
                <w:noProof/>
                <w:webHidden/>
              </w:rPr>
              <w:tab/>
            </w:r>
            <w:r>
              <w:rPr>
                <w:noProof/>
                <w:webHidden/>
              </w:rPr>
              <w:fldChar w:fldCharType="begin"/>
            </w:r>
            <w:r>
              <w:rPr>
                <w:noProof/>
                <w:webHidden/>
              </w:rPr>
              <w:instrText xml:space="preserve"> PAGEREF _Toc170468746 \h </w:instrText>
            </w:r>
            <w:r>
              <w:rPr>
                <w:noProof/>
                <w:webHidden/>
              </w:rPr>
            </w:r>
            <w:r>
              <w:rPr>
                <w:noProof/>
                <w:webHidden/>
              </w:rPr>
              <w:fldChar w:fldCharType="separate"/>
            </w:r>
            <w:r>
              <w:rPr>
                <w:noProof/>
                <w:webHidden/>
              </w:rPr>
              <w:t>28</w:t>
            </w:r>
            <w:r>
              <w:rPr>
                <w:noProof/>
                <w:webHidden/>
              </w:rPr>
              <w:fldChar w:fldCharType="end"/>
            </w:r>
          </w:hyperlink>
        </w:p>
        <w:p w14:paraId="51DCC112" w14:textId="3E3D9CC2"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7" w:history="1">
            <w:r w:rsidRPr="00361B34">
              <w:rPr>
                <w:rStyle w:val="Hyperkobling"/>
                <w:rFonts w:ascii="Times New Roman" w:hAnsi="Times New Roman"/>
                <w:noProof/>
              </w:rPr>
              <w:t>4.2</w:t>
            </w:r>
            <w:r>
              <w:rPr>
                <w:rFonts w:asciiTheme="minorHAnsi" w:eastAsiaTheme="minorEastAsia" w:hAnsiTheme="minorHAnsi" w:cstheme="minorBidi"/>
                <w:noProof/>
                <w:kern w:val="2"/>
                <w:sz w:val="22"/>
                <w:szCs w:val="22"/>
                <w14:ligatures w14:val="standardContextual"/>
              </w:rPr>
              <w:tab/>
            </w:r>
            <w:r w:rsidRPr="00361B34">
              <w:rPr>
                <w:rStyle w:val="Hyperkobling"/>
                <w:noProof/>
              </w:rPr>
              <w:t>Bakgrunn</w:t>
            </w:r>
            <w:r>
              <w:rPr>
                <w:noProof/>
                <w:webHidden/>
              </w:rPr>
              <w:tab/>
            </w:r>
            <w:r>
              <w:rPr>
                <w:noProof/>
                <w:webHidden/>
              </w:rPr>
              <w:fldChar w:fldCharType="begin"/>
            </w:r>
            <w:r>
              <w:rPr>
                <w:noProof/>
                <w:webHidden/>
              </w:rPr>
              <w:instrText xml:space="preserve"> PAGEREF _Toc170468747 \h </w:instrText>
            </w:r>
            <w:r>
              <w:rPr>
                <w:noProof/>
                <w:webHidden/>
              </w:rPr>
            </w:r>
            <w:r>
              <w:rPr>
                <w:noProof/>
                <w:webHidden/>
              </w:rPr>
              <w:fldChar w:fldCharType="separate"/>
            </w:r>
            <w:r>
              <w:rPr>
                <w:noProof/>
                <w:webHidden/>
              </w:rPr>
              <w:t>28</w:t>
            </w:r>
            <w:r>
              <w:rPr>
                <w:noProof/>
                <w:webHidden/>
              </w:rPr>
              <w:fldChar w:fldCharType="end"/>
            </w:r>
          </w:hyperlink>
        </w:p>
        <w:p w14:paraId="1CE7A8B5" w14:textId="543FACD4"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8" w:history="1">
            <w:r w:rsidRPr="00361B34">
              <w:rPr>
                <w:rStyle w:val="Hyperkobling"/>
                <w:rFonts w:ascii="Times New Roman" w:hAnsi="Times New Roman"/>
                <w:noProof/>
              </w:rPr>
              <w:t>4.3</w:t>
            </w:r>
            <w:r>
              <w:rPr>
                <w:rFonts w:asciiTheme="minorHAnsi" w:eastAsiaTheme="minorEastAsia" w:hAnsiTheme="minorHAnsi" w:cstheme="minorBidi"/>
                <w:noProof/>
                <w:kern w:val="2"/>
                <w:sz w:val="22"/>
                <w:szCs w:val="22"/>
                <w14:ligatures w14:val="standardContextual"/>
              </w:rPr>
              <w:tab/>
            </w:r>
            <w:r w:rsidRPr="00361B34">
              <w:rPr>
                <w:rStyle w:val="Hyperkobling"/>
                <w:noProof/>
              </w:rPr>
              <w:t>Gjeldende rett</w:t>
            </w:r>
            <w:r>
              <w:rPr>
                <w:noProof/>
                <w:webHidden/>
              </w:rPr>
              <w:tab/>
            </w:r>
            <w:r>
              <w:rPr>
                <w:noProof/>
                <w:webHidden/>
              </w:rPr>
              <w:fldChar w:fldCharType="begin"/>
            </w:r>
            <w:r>
              <w:rPr>
                <w:noProof/>
                <w:webHidden/>
              </w:rPr>
              <w:instrText xml:space="preserve"> PAGEREF _Toc170468748 \h </w:instrText>
            </w:r>
            <w:r>
              <w:rPr>
                <w:noProof/>
                <w:webHidden/>
              </w:rPr>
            </w:r>
            <w:r>
              <w:rPr>
                <w:noProof/>
                <w:webHidden/>
              </w:rPr>
              <w:fldChar w:fldCharType="separate"/>
            </w:r>
            <w:r>
              <w:rPr>
                <w:noProof/>
                <w:webHidden/>
              </w:rPr>
              <w:t>29</w:t>
            </w:r>
            <w:r>
              <w:rPr>
                <w:noProof/>
                <w:webHidden/>
              </w:rPr>
              <w:fldChar w:fldCharType="end"/>
            </w:r>
          </w:hyperlink>
        </w:p>
        <w:p w14:paraId="7E3FE112" w14:textId="4FF6A594"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49" w:history="1">
            <w:r w:rsidRPr="00361B34">
              <w:rPr>
                <w:rStyle w:val="Hyperkobling"/>
                <w:rFonts w:ascii="Times New Roman" w:hAnsi="Times New Roman"/>
                <w:noProof/>
              </w:rPr>
              <w:t>4.4</w:t>
            </w:r>
            <w:r>
              <w:rPr>
                <w:rFonts w:asciiTheme="minorHAnsi" w:eastAsiaTheme="minorEastAsia" w:hAnsiTheme="minorHAnsi" w:cstheme="minorBidi"/>
                <w:noProof/>
                <w:kern w:val="2"/>
                <w:sz w:val="22"/>
                <w:szCs w:val="22"/>
                <w14:ligatures w14:val="standardContextual"/>
              </w:rPr>
              <w:tab/>
            </w:r>
            <w:r w:rsidRPr="00361B34">
              <w:rPr>
                <w:rStyle w:val="Hyperkobling"/>
                <w:noProof/>
              </w:rPr>
              <w:t>Departementets vurdering</w:t>
            </w:r>
            <w:r>
              <w:rPr>
                <w:noProof/>
                <w:webHidden/>
              </w:rPr>
              <w:tab/>
            </w:r>
            <w:r>
              <w:rPr>
                <w:noProof/>
                <w:webHidden/>
              </w:rPr>
              <w:fldChar w:fldCharType="begin"/>
            </w:r>
            <w:r>
              <w:rPr>
                <w:noProof/>
                <w:webHidden/>
              </w:rPr>
              <w:instrText xml:space="preserve"> PAGEREF _Toc170468749 \h </w:instrText>
            </w:r>
            <w:r>
              <w:rPr>
                <w:noProof/>
                <w:webHidden/>
              </w:rPr>
            </w:r>
            <w:r>
              <w:rPr>
                <w:noProof/>
                <w:webHidden/>
              </w:rPr>
              <w:fldChar w:fldCharType="separate"/>
            </w:r>
            <w:r>
              <w:rPr>
                <w:noProof/>
                <w:webHidden/>
              </w:rPr>
              <w:t>29</w:t>
            </w:r>
            <w:r>
              <w:rPr>
                <w:noProof/>
                <w:webHidden/>
              </w:rPr>
              <w:fldChar w:fldCharType="end"/>
            </w:r>
          </w:hyperlink>
        </w:p>
        <w:p w14:paraId="73AA6E04" w14:textId="5CE2EB45" w:rsidR="004C7E3C" w:rsidRDefault="004C7E3C">
          <w:pPr>
            <w:pStyle w:val="INNH1"/>
            <w:tabs>
              <w:tab w:val="left" w:pos="567"/>
            </w:tabs>
            <w:rPr>
              <w:rFonts w:asciiTheme="minorHAnsi" w:eastAsiaTheme="minorEastAsia" w:hAnsiTheme="minorHAnsi" w:cstheme="minorBidi"/>
              <w:noProof/>
              <w:kern w:val="2"/>
              <w:sz w:val="22"/>
              <w:szCs w:val="22"/>
              <w14:ligatures w14:val="standardContextual"/>
            </w:rPr>
          </w:pPr>
          <w:hyperlink w:anchor="_Toc170468750" w:history="1">
            <w:r w:rsidRPr="00361B34">
              <w:rPr>
                <w:rStyle w:val="Hyperkobling"/>
                <w:noProof/>
              </w:rPr>
              <w:t>5</w:t>
            </w:r>
            <w:r>
              <w:rPr>
                <w:rFonts w:asciiTheme="minorHAnsi" w:eastAsiaTheme="minorEastAsia" w:hAnsiTheme="minorHAnsi" w:cstheme="minorBidi"/>
                <w:noProof/>
                <w:kern w:val="2"/>
                <w:sz w:val="22"/>
                <w:szCs w:val="22"/>
                <w14:ligatures w14:val="standardContextual"/>
              </w:rPr>
              <w:tab/>
            </w:r>
            <w:r w:rsidRPr="00361B34">
              <w:rPr>
                <w:rStyle w:val="Hyperkobling"/>
                <w:noProof/>
              </w:rPr>
              <w:t>Økonomiske og administrative konsekvenser</w:t>
            </w:r>
            <w:r>
              <w:rPr>
                <w:noProof/>
                <w:webHidden/>
              </w:rPr>
              <w:tab/>
            </w:r>
            <w:r>
              <w:rPr>
                <w:noProof/>
                <w:webHidden/>
              </w:rPr>
              <w:fldChar w:fldCharType="begin"/>
            </w:r>
            <w:r>
              <w:rPr>
                <w:noProof/>
                <w:webHidden/>
              </w:rPr>
              <w:instrText xml:space="preserve"> PAGEREF _Toc170468750 \h </w:instrText>
            </w:r>
            <w:r>
              <w:rPr>
                <w:noProof/>
                <w:webHidden/>
              </w:rPr>
            </w:r>
            <w:r>
              <w:rPr>
                <w:noProof/>
                <w:webHidden/>
              </w:rPr>
              <w:fldChar w:fldCharType="separate"/>
            </w:r>
            <w:r>
              <w:rPr>
                <w:noProof/>
                <w:webHidden/>
              </w:rPr>
              <w:t>31</w:t>
            </w:r>
            <w:r>
              <w:rPr>
                <w:noProof/>
                <w:webHidden/>
              </w:rPr>
              <w:fldChar w:fldCharType="end"/>
            </w:r>
          </w:hyperlink>
        </w:p>
        <w:p w14:paraId="6C4B80AB" w14:textId="6821F982"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51" w:history="1">
            <w:r w:rsidRPr="00361B34">
              <w:rPr>
                <w:rStyle w:val="Hyperkobling"/>
                <w:rFonts w:ascii="Times New Roman" w:hAnsi="Times New Roman"/>
                <w:noProof/>
              </w:rPr>
              <w:t>5.1</w:t>
            </w:r>
            <w:r>
              <w:rPr>
                <w:rFonts w:asciiTheme="minorHAnsi" w:eastAsiaTheme="minorEastAsia" w:hAnsiTheme="minorHAnsi" w:cstheme="minorBidi"/>
                <w:noProof/>
                <w:kern w:val="2"/>
                <w:sz w:val="22"/>
                <w:szCs w:val="22"/>
                <w14:ligatures w14:val="standardContextual"/>
              </w:rPr>
              <w:tab/>
            </w:r>
            <w:r w:rsidRPr="00361B34">
              <w:rPr>
                <w:rStyle w:val="Hyperkobling"/>
                <w:noProof/>
              </w:rPr>
              <w:t>Deling av opplysninger fra Skatteetaten og Arbeids- og velferdsetaten mv. til bruk for arbeidet med AFP</w:t>
            </w:r>
            <w:r>
              <w:rPr>
                <w:noProof/>
                <w:webHidden/>
              </w:rPr>
              <w:tab/>
            </w:r>
            <w:r>
              <w:rPr>
                <w:noProof/>
                <w:webHidden/>
              </w:rPr>
              <w:fldChar w:fldCharType="begin"/>
            </w:r>
            <w:r>
              <w:rPr>
                <w:noProof/>
                <w:webHidden/>
              </w:rPr>
              <w:instrText xml:space="preserve"> PAGEREF _Toc170468751 \h </w:instrText>
            </w:r>
            <w:r>
              <w:rPr>
                <w:noProof/>
                <w:webHidden/>
              </w:rPr>
            </w:r>
            <w:r>
              <w:rPr>
                <w:noProof/>
                <w:webHidden/>
              </w:rPr>
              <w:fldChar w:fldCharType="separate"/>
            </w:r>
            <w:r>
              <w:rPr>
                <w:noProof/>
                <w:webHidden/>
              </w:rPr>
              <w:t>31</w:t>
            </w:r>
            <w:r>
              <w:rPr>
                <w:noProof/>
                <w:webHidden/>
              </w:rPr>
              <w:fldChar w:fldCharType="end"/>
            </w:r>
          </w:hyperlink>
        </w:p>
        <w:p w14:paraId="27940BA5" w14:textId="1CF2D99D"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52" w:history="1">
            <w:r w:rsidRPr="00361B34">
              <w:rPr>
                <w:rStyle w:val="Hyperkobling"/>
                <w:rFonts w:ascii="Times New Roman" w:hAnsi="Times New Roman"/>
                <w:noProof/>
              </w:rPr>
              <w:t>5.2</w:t>
            </w:r>
            <w:r>
              <w:rPr>
                <w:rFonts w:asciiTheme="minorHAnsi" w:eastAsiaTheme="minorEastAsia" w:hAnsiTheme="minorHAnsi" w:cstheme="minorBidi"/>
                <w:noProof/>
                <w:kern w:val="2"/>
                <w:sz w:val="22"/>
                <w:szCs w:val="22"/>
                <w14:ligatures w14:val="standardContextual"/>
              </w:rPr>
              <w:tab/>
            </w:r>
            <w:r w:rsidRPr="00361B34">
              <w:rPr>
                <w:rStyle w:val="Hyperkobling"/>
                <w:noProof/>
              </w:rPr>
              <w:t>Deling av opplysninger fra Arbeids- og velferdsetaten til bruk for beregning av forventede framtidige pensjonsytelser</w:t>
            </w:r>
            <w:r>
              <w:rPr>
                <w:noProof/>
                <w:webHidden/>
              </w:rPr>
              <w:tab/>
            </w:r>
            <w:r>
              <w:rPr>
                <w:noProof/>
                <w:webHidden/>
              </w:rPr>
              <w:fldChar w:fldCharType="begin"/>
            </w:r>
            <w:r>
              <w:rPr>
                <w:noProof/>
                <w:webHidden/>
              </w:rPr>
              <w:instrText xml:space="preserve"> PAGEREF _Toc170468752 \h </w:instrText>
            </w:r>
            <w:r>
              <w:rPr>
                <w:noProof/>
                <w:webHidden/>
              </w:rPr>
            </w:r>
            <w:r>
              <w:rPr>
                <w:noProof/>
                <w:webHidden/>
              </w:rPr>
              <w:fldChar w:fldCharType="separate"/>
            </w:r>
            <w:r>
              <w:rPr>
                <w:noProof/>
                <w:webHidden/>
              </w:rPr>
              <w:t>32</w:t>
            </w:r>
            <w:r>
              <w:rPr>
                <w:noProof/>
                <w:webHidden/>
              </w:rPr>
              <w:fldChar w:fldCharType="end"/>
            </w:r>
          </w:hyperlink>
        </w:p>
        <w:p w14:paraId="758F8597" w14:textId="5D612602" w:rsidR="004C7E3C" w:rsidRDefault="004C7E3C">
          <w:pPr>
            <w:pStyle w:val="INNH2"/>
            <w:tabs>
              <w:tab w:val="left" w:pos="1134"/>
            </w:tabs>
            <w:rPr>
              <w:rFonts w:asciiTheme="minorHAnsi" w:eastAsiaTheme="minorEastAsia" w:hAnsiTheme="minorHAnsi" w:cstheme="minorBidi"/>
              <w:noProof/>
              <w:kern w:val="2"/>
              <w:sz w:val="22"/>
              <w:szCs w:val="22"/>
              <w14:ligatures w14:val="standardContextual"/>
            </w:rPr>
          </w:pPr>
          <w:hyperlink w:anchor="_Toc170468753" w:history="1">
            <w:r w:rsidRPr="00361B34">
              <w:rPr>
                <w:rStyle w:val="Hyperkobling"/>
                <w:rFonts w:ascii="Times New Roman" w:hAnsi="Times New Roman"/>
                <w:noProof/>
              </w:rPr>
              <w:t>5.3</w:t>
            </w:r>
            <w:r>
              <w:rPr>
                <w:rFonts w:asciiTheme="minorHAnsi" w:eastAsiaTheme="minorEastAsia" w:hAnsiTheme="minorHAnsi" w:cstheme="minorBidi"/>
                <w:noProof/>
                <w:kern w:val="2"/>
                <w:sz w:val="22"/>
                <w:szCs w:val="22"/>
                <w14:ligatures w14:val="standardContextual"/>
              </w:rPr>
              <w:tab/>
            </w:r>
            <w:r w:rsidRPr="00361B34">
              <w:rPr>
                <w:rStyle w:val="Hyperkobling"/>
                <w:noProof/>
              </w:rPr>
              <w:t>Adgang til å treffe automatiserte avgjørelser</w:t>
            </w:r>
            <w:r>
              <w:rPr>
                <w:noProof/>
                <w:webHidden/>
              </w:rPr>
              <w:tab/>
            </w:r>
            <w:r>
              <w:rPr>
                <w:noProof/>
                <w:webHidden/>
              </w:rPr>
              <w:fldChar w:fldCharType="begin"/>
            </w:r>
            <w:r>
              <w:rPr>
                <w:noProof/>
                <w:webHidden/>
              </w:rPr>
              <w:instrText xml:space="preserve"> PAGEREF _Toc170468753 \h </w:instrText>
            </w:r>
            <w:r>
              <w:rPr>
                <w:noProof/>
                <w:webHidden/>
              </w:rPr>
            </w:r>
            <w:r>
              <w:rPr>
                <w:noProof/>
                <w:webHidden/>
              </w:rPr>
              <w:fldChar w:fldCharType="separate"/>
            </w:r>
            <w:r>
              <w:rPr>
                <w:noProof/>
                <w:webHidden/>
              </w:rPr>
              <w:t>32</w:t>
            </w:r>
            <w:r>
              <w:rPr>
                <w:noProof/>
                <w:webHidden/>
              </w:rPr>
              <w:fldChar w:fldCharType="end"/>
            </w:r>
          </w:hyperlink>
        </w:p>
        <w:p w14:paraId="1E04EB18" w14:textId="13BFB002" w:rsidR="004C7E3C" w:rsidRDefault="004C7E3C">
          <w:pPr>
            <w:pStyle w:val="INNH1"/>
            <w:tabs>
              <w:tab w:val="left" w:pos="567"/>
            </w:tabs>
            <w:rPr>
              <w:rFonts w:asciiTheme="minorHAnsi" w:eastAsiaTheme="minorEastAsia" w:hAnsiTheme="minorHAnsi" w:cstheme="minorBidi"/>
              <w:noProof/>
              <w:kern w:val="2"/>
              <w:sz w:val="22"/>
              <w:szCs w:val="22"/>
              <w14:ligatures w14:val="standardContextual"/>
            </w:rPr>
          </w:pPr>
          <w:hyperlink w:anchor="_Toc170468754" w:history="1">
            <w:r w:rsidRPr="00361B34">
              <w:rPr>
                <w:rStyle w:val="Hyperkobling"/>
                <w:noProof/>
              </w:rPr>
              <w:t>6</w:t>
            </w:r>
            <w:r>
              <w:rPr>
                <w:rFonts w:asciiTheme="minorHAnsi" w:eastAsiaTheme="minorEastAsia" w:hAnsiTheme="minorHAnsi" w:cstheme="minorBidi"/>
                <w:noProof/>
                <w:kern w:val="2"/>
                <w:sz w:val="22"/>
                <w:szCs w:val="22"/>
                <w14:ligatures w14:val="standardContextual"/>
              </w:rPr>
              <w:tab/>
            </w:r>
            <w:r w:rsidRPr="00361B34">
              <w:rPr>
                <w:rStyle w:val="Hyperkobling"/>
                <w:noProof/>
              </w:rPr>
              <w:t>Merknader til de enkelte bestemmelser</w:t>
            </w:r>
            <w:r>
              <w:rPr>
                <w:noProof/>
                <w:webHidden/>
              </w:rPr>
              <w:tab/>
            </w:r>
            <w:r>
              <w:rPr>
                <w:noProof/>
                <w:webHidden/>
              </w:rPr>
              <w:fldChar w:fldCharType="begin"/>
            </w:r>
            <w:r>
              <w:rPr>
                <w:noProof/>
                <w:webHidden/>
              </w:rPr>
              <w:instrText xml:space="preserve"> PAGEREF _Toc170468754 \h </w:instrText>
            </w:r>
            <w:r>
              <w:rPr>
                <w:noProof/>
                <w:webHidden/>
              </w:rPr>
            </w:r>
            <w:r>
              <w:rPr>
                <w:noProof/>
                <w:webHidden/>
              </w:rPr>
              <w:fldChar w:fldCharType="separate"/>
            </w:r>
            <w:r>
              <w:rPr>
                <w:noProof/>
                <w:webHidden/>
              </w:rPr>
              <w:t>32</w:t>
            </w:r>
            <w:r>
              <w:rPr>
                <w:noProof/>
                <w:webHidden/>
              </w:rPr>
              <w:fldChar w:fldCharType="end"/>
            </w:r>
          </w:hyperlink>
        </w:p>
        <w:p w14:paraId="3DBBA74C" w14:textId="015ABE11" w:rsidR="004C7E3C" w:rsidRDefault="004C7E3C">
          <w:pPr>
            <w:pStyle w:val="INNH1"/>
            <w:tabs>
              <w:tab w:val="left" w:pos="567"/>
            </w:tabs>
            <w:rPr>
              <w:rFonts w:asciiTheme="minorHAnsi" w:eastAsiaTheme="minorEastAsia" w:hAnsiTheme="minorHAnsi" w:cstheme="minorBidi"/>
              <w:noProof/>
              <w:kern w:val="2"/>
              <w:sz w:val="22"/>
              <w:szCs w:val="22"/>
              <w14:ligatures w14:val="standardContextual"/>
            </w:rPr>
          </w:pPr>
          <w:hyperlink w:anchor="_Toc170468755" w:history="1">
            <w:r w:rsidRPr="00361B34">
              <w:rPr>
                <w:rStyle w:val="Hyperkobling"/>
                <w:noProof/>
              </w:rPr>
              <w:t>7</w:t>
            </w:r>
            <w:r>
              <w:rPr>
                <w:rFonts w:asciiTheme="minorHAnsi" w:eastAsiaTheme="minorEastAsia" w:hAnsiTheme="minorHAnsi" w:cstheme="minorBidi"/>
                <w:noProof/>
                <w:kern w:val="2"/>
                <w:sz w:val="22"/>
                <w:szCs w:val="22"/>
                <w14:ligatures w14:val="standardContextual"/>
              </w:rPr>
              <w:tab/>
            </w:r>
            <w:r w:rsidRPr="00361B34">
              <w:rPr>
                <w:rStyle w:val="Hyperkobling"/>
                <w:noProof/>
              </w:rPr>
              <w:t>Forslag til lovendringer</w:t>
            </w:r>
            <w:r>
              <w:rPr>
                <w:noProof/>
                <w:webHidden/>
              </w:rPr>
              <w:tab/>
            </w:r>
            <w:r>
              <w:rPr>
                <w:noProof/>
                <w:webHidden/>
              </w:rPr>
              <w:fldChar w:fldCharType="begin"/>
            </w:r>
            <w:r>
              <w:rPr>
                <w:noProof/>
                <w:webHidden/>
              </w:rPr>
              <w:instrText xml:space="preserve"> PAGEREF _Toc170468755 \h </w:instrText>
            </w:r>
            <w:r>
              <w:rPr>
                <w:noProof/>
                <w:webHidden/>
              </w:rPr>
            </w:r>
            <w:r>
              <w:rPr>
                <w:noProof/>
                <w:webHidden/>
              </w:rPr>
              <w:fldChar w:fldCharType="separate"/>
            </w:r>
            <w:r>
              <w:rPr>
                <w:noProof/>
                <w:webHidden/>
              </w:rPr>
              <w:t>34</w:t>
            </w:r>
            <w:r>
              <w:rPr>
                <w:noProof/>
                <w:webHidden/>
              </w:rPr>
              <w:fldChar w:fldCharType="end"/>
            </w:r>
          </w:hyperlink>
        </w:p>
        <w:p w14:paraId="630DF58F" w14:textId="26997C3F" w:rsidR="004C7E3C" w:rsidRDefault="004C7E3C">
          <w:pPr>
            <w:pStyle w:val="INNH1"/>
            <w:tabs>
              <w:tab w:val="left" w:pos="567"/>
            </w:tabs>
            <w:rPr>
              <w:rFonts w:asciiTheme="minorHAnsi" w:eastAsiaTheme="minorEastAsia" w:hAnsiTheme="minorHAnsi" w:cstheme="minorBidi"/>
              <w:noProof/>
              <w:kern w:val="2"/>
              <w:sz w:val="22"/>
              <w:szCs w:val="22"/>
              <w14:ligatures w14:val="standardContextual"/>
            </w:rPr>
          </w:pPr>
          <w:hyperlink w:anchor="_Toc170468756" w:history="1">
            <w:r w:rsidRPr="00361B34">
              <w:rPr>
                <w:rStyle w:val="Hyperkobling"/>
                <w:noProof/>
              </w:rPr>
              <w:t>8</w:t>
            </w:r>
            <w:r>
              <w:rPr>
                <w:rFonts w:asciiTheme="minorHAnsi" w:eastAsiaTheme="minorEastAsia" w:hAnsiTheme="minorHAnsi" w:cstheme="minorBidi"/>
                <w:noProof/>
                <w:kern w:val="2"/>
                <w:sz w:val="22"/>
                <w:szCs w:val="22"/>
                <w14:ligatures w14:val="standardContextual"/>
              </w:rPr>
              <w:tab/>
            </w:r>
            <w:r w:rsidRPr="00361B34">
              <w:rPr>
                <w:rStyle w:val="Hyperkobling"/>
                <w:noProof/>
              </w:rPr>
              <w:t>Forslag til forskriftsendring</w:t>
            </w:r>
            <w:r>
              <w:rPr>
                <w:noProof/>
                <w:webHidden/>
              </w:rPr>
              <w:tab/>
            </w:r>
            <w:r>
              <w:rPr>
                <w:noProof/>
                <w:webHidden/>
              </w:rPr>
              <w:fldChar w:fldCharType="begin"/>
            </w:r>
            <w:r>
              <w:rPr>
                <w:noProof/>
                <w:webHidden/>
              </w:rPr>
              <w:instrText xml:space="preserve"> PAGEREF _Toc170468756 \h </w:instrText>
            </w:r>
            <w:r>
              <w:rPr>
                <w:noProof/>
                <w:webHidden/>
              </w:rPr>
            </w:r>
            <w:r>
              <w:rPr>
                <w:noProof/>
                <w:webHidden/>
              </w:rPr>
              <w:fldChar w:fldCharType="separate"/>
            </w:r>
            <w:r>
              <w:rPr>
                <w:noProof/>
                <w:webHidden/>
              </w:rPr>
              <w:t>35</w:t>
            </w:r>
            <w:r>
              <w:rPr>
                <w:noProof/>
                <w:webHidden/>
              </w:rPr>
              <w:fldChar w:fldCharType="end"/>
            </w:r>
          </w:hyperlink>
        </w:p>
        <w:p w14:paraId="57832FC5" w14:textId="29925ED2" w:rsidR="007217C4" w:rsidRDefault="007217C4">
          <w:r>
            <w:fldChar w:fldCharType="end"/>
          </w:r>
        </w:p>
      </w:sdtContent>
    </w:sdt>
    <w:p w14:paraId="5ECC8536" w14:textId="77777777" w:rsidR="00B73AFA" w:rsidRDefault="00B73AFA">
      <w:pPr>
        <w:spacing w:line="240" w:lineRule="auto"/>
        <w:rPr>
          <w:b/>
          <w:bCs/>
        </w:rPr>
      </w:pPr>
      <w:r>
        <w:rPr>
          <w:b/>
          <w:bCs/>
        </w:rPr>
        <w:br w:type="page"/>
      </w:r>
    </w:p>
    <w:p w14:paraId="18A8CA1F" w14:textId="77777777" w:rsidR="00E759D3" w:rsidRDefault="00E759D3" w:rsidP="00E43A3C">
      <w:pPr>
        <w:pStyle w:val="Overskrift1"/>
        <w:spacing w:line="276" w:lineRule="auto"/>
      </w:pPr>
      <w:bookmarkStart w:id="2" w:name="_Toc170468724"/>
      <w:r>
        <w:lastRenderedPageBreak/>
        <w:t>Oversikt over forslagene i høringsnotatet</w:t>
      </w:r>
      <w:bookmarkEnd w:id="2"/>
    </w:p>
    <w:p w14:paraId="6EB1B34C" w14:textId="527E9A43" w:rsidR="00052D7B" w:rsidRDefault="007E122A" w:rsidP="00E43A3C">
      <w:pPr>
        <w:spacing w:line="276" w:lineRule="auto"/>
      </w:pPr>
      <w:bookmarkStart w:id="3" w:name="_Hlk169210974"/>
      <w:bookmarkStart w:id="4" w:name="_Hlk166066349"/>
      <w:r>
        <w:t>I dette høringsnotatet foreslås</w:t>
      </w:r>
      <w:r w:rsidRPr="007E122A">
        <w:t xml:space="preserve"> </w:t>
      </w:r>
      <w:r w:rsidR="00DA1922">
        <w:t xml:space="preserve">lov- og forskriftsbestemmelser som </w:t>
      </w:r>
      <w:r w:rsidR="00052D7B">
        <w:t xml:space="preserve">gir hjemmel til at </w:t>
      </w:r>
      <w:r w:rsidR="00DA1922">
        <w:t xml:space="preserve"> kommunale tjenestepensjonsleverandører </w:t>
      </w:r>
      <w:r w:rsidR="00052D7B">
        <w:t xml:space="preserve">kan få tilgang til nærmere bestemte personopplysninger til bruk i deres arbeid med </w:t>
      </w:r>
      <w:r w:rsidR="00173E1F">
        <w:t xml:space="preserve">ny AFP i offentlig sektor og til </w:t>
      </w:r>
      <w:r w:rsidR="00052D7B">
        <w:t xml:space="preserve">beregning </w:t>
      </w:r>
      <w:r w:rsidR="00173E1F">
        <w:t>av forventet fr</w:t>
      </w:r>
      <w:r w:rsidR="00116A63">
        <w:t>e</w:t>
      </w:r>
      <w:r w:rsidR="00173E1F">
        <w:t xml:space="preserve">mtidig </w:t>
      </w:r>
      <w:r w:rsidR="00052D7B">
        <w:t xml:space="preserve">pensjon. </w:t>
      </w:r>
      <w:r w:rsidR="00173E1F">
        <w:t>Det foreslås også</w:t>
      </w:r>
      <w:r w:rsidR="00BA48C2">
        <w:t xml:space="preserve"> en lovbestemmelse om at kommunale tjenestepensjonsleverandører kan treffe automatiserte avgjørelser.</w:t>
      </w:r>
    </w:p>
    <w:bookmarkEnd w:id="3"/>
    <w:p w14:paraId="4C542958" w14:textId="77777777" w:rsidR="00165F0B" w:rsidRDefault="00165F0B" w:rsidP="00E43A3C">
      <w:pPr>
        <w:spacing w:line="276" w:lineRule="auto"/>
      </w:pPr>
    </w:p>
    <w:p w14:paraId="144D34BE" w14:textId="3408AFFC" w:rsidR="007D537F" w:rsidRDefault="007D537F" w:rsidP="00E43A3C">
      <w:pPr>
        <w:spacing w:line="276" w:lineRule="auto"/>
      </w:pPr>
      <w:r>
        <w:t xml:space="preserve">Kommunale pensjonsordninger er tjenestepensjonsordninger som omfatter ansatte i kommuner, fylkeskommuner, helseforetak og foretak med kommunal tilknytning. Det følger av forsikringsvirksomhetsloven § 4-1 hvilke virksomheter som kan ha kommunal tjenestepensjon. Kommunal tjenestepensjon er offentlig tjenestepensjon som innholdsmessig er lik offentlig </w:t>
      </w:r>
      <w:r w:rsidR="00291D72">
        <w:t>tjeneste</w:t>
      </w:r>
      <w:r>
        <w:t>pensjon i statlig sektor</w:t>
      </w:r>
      <w:r w:rsidR="00570DA0">
        <w:t>, men som er regulert i tariffavtale</w:t>
      </w:r>
      <w:r w:rsidR="00291D72">
        <w:t xml:space="preserve"> og ikke i lov.</w:t>
      </w:r>
      <w:r>
        <w:t xml:space="preserve"> Pensjonsleverandørene som tilbyr kommunal</w:t>
      </w:r>
      <w:r w:rsidR="00F37BCA">
        <w:t>e</w:t>
      </w:r>
      <w:r>
        <w:t xml:space="preserve"> pensjon</w:t>
      </w:r>
      <w:r w:rsidR="00F37BCA">
        <w:t>sordninger</w:t>
      </w:r>
      <w:r>
        <w:t xml:space="preserve"> er</w:t>
      </w:r>
      <w:r w:rsidR="001F4675">
        <w:t xml:space="preserve"> livs</w:t>
      </w:r>
      <w:r>
        <w:t>forsikringsforetak eller pensjon</w:t>
      </w:r>
      <w:r w:rsidR="001F4675">
        <w:t>s</w:t>
      </w:r>
      <w:r>
        <w:t xml:space="preserve">kasser som er regulert </w:t>
      </w:r>
      <w:r w:rsidR="001F4675">
        <w:t>i</w:t>
      </w:r>
      <w:r>
        <w:t xml:space="preserve"> finansforetaksloven og forsi</w:t>
      </w:r>
      <w:r w:rsidR="001F4675">
        <w:t>kringsvirksomhetsl</w:t>
      </w:r>
      <w:r>
        <w:t xml:space="preserve">oven. </w:t>
      </w:r>
    </w:p>
    <w:p w14:paraId="68832A64" w14:textId="77777777" w:rsidR="007276F3" w:rsidRDefault="007276F3" w:rsidP="00E43A3C">
      <w:pPr>
        <w:spacing w:line="276" w:lineRule="auto"/>
      </w:pPr>
    </w:p>
    <w:p w14:paraId="3AF976D8" w14:textId="7B0D373A" w:rsidR="007276F3" w:rsidRDefault="001F4675" w:rsidP="00E43A3C">
      <w:pPr>
        <w:spacing w:line="276" w:lineRule="auto"/>
      </w:pPr>
      <w:r>
        <w:t xml:space="preserve">I </w:t>
      </w:r>
      <w:r w:rsidR="00DC5063">
        <w:t xml:space="preserve">kapittel 2 i </w:t>
      </w:r>
      <w:r>
        <w:t>høringsnotatet f</w:t>
      </w:r>
      <w:r w:rsidR="007276F3">
        <w:t xml:space="preserve">oreslås lov- og forskriftsendringer </w:t>
      </w:r>
      <w:r w:rsidR="00FD6E0A">
        <w:t>om deling av opplysninger fra Skatteetaten og Arbeids- og velferdsetaten s</w:t>
      </w:r>
      <w:r w:rsidR="007276F3">
        <w:t xml:space="preserve">om er nødvendige for at leverandører av kommunal tjenestepensjon skal kunne behandle søknader om ny AFP i offentlig sektor. </w:t>
      </w:r>
      <w:r>
        <w:t xml:space="preserve">Dette omfatter tilgang til opplysninger </w:t>
      </w:r>
      <w:r w:rsidR="00C324F1">
        <w:t xml:space="preserve">fra Skatteetaten om medlemmets tidligere lønnsforhold, og fra Arbeids- og velferdsetaten om medlemmets tidligere </w:t>
      </w:r>
      <w:r>
        <w:t>arbeidsforhold</w:t>
      </w:r>
      <w:r w:rsidR="00C324F1">
        <w:t>.</w:t>
      </w:r>
      <w:r w:rsidR="00E43A3C">
        <w:t xml:space="preserve"> </w:t>
      </w:r>
      <w:r w:rsidR="00DC5063">
        <w:t xml:space="preserve">Det omfatter også </w:t>
      </w:r>
      <w:r>
        <w:t xml:space="preserve">opplysninger om </w:t>
      </w:r>
      <w:r w:rsidR="00740919">
        <w:t xml:space="preserve">opptjent </w:t>
      </w:r>
      <w:r w:rsidR="00C324F1">
        <w:t>pensjonsbeholdning</w:t>
      </w:r>
      <w:r w:rsidR="00DC5063">
        <w:t xml:space="preserve"> i </w:t>
      </w:r>
      <w:r>
        <w:t>folketrygd</w:t>
      </w:r>
      <w:r w:rsidR="00DC5063">
        <w:t>en</w:t>
      </w:r>
      <w:r>
        <w:t xml:space="preserve"> mv. fra Arbeids- og velferdsetaten. </w:t>
      </w:r>
      <w:r w:rsidR="0058531B">
        <w:t xml:space="preserve"> </w:t>
      </w:r>
      <w:r w:rsidR="00DA0BB5">
        <w:t xml:space="preserve">Det foreslås videre en </w:t>
      </w:r>
      <w:r w:rsidR="00DA0BB5" w:rsidRPr="00D70B4B">
        <w:t>h</w:t>
      </w:r>
      <w:r w:rsidR="00197B2E" w:rsidRPr="00D70B4B">
        <w:t>jemmel for pensjonsleverandørene til å få utlevert opplysninger fra Fellesordningen for AFP i privat sektor</w:t>
      </w:r>
      <w:r w:rsidR="00D70B4B">
        <w:t>.</w:t>
      </w:r>
      <w:r w:rsidR="00DA0BB5" w:rsidRPr="00613D3A">
        <w:rPr>
          <w:color w:val="FFFF00"/>
        </w:rPr>
        <w:t>.</w:t>
      </w:r>
      <w:r w:rsidR="0058531B" w:rsidRPr="00613D3A">
        <w:t xml:space="preserve">I tillegg foreslås regler om </w:t>
      </w:r>
      <w:r w:rsidR="00945EC5" w:rsidRPr="00613D3A">
        <w:t>tilgang til opplysninger fra nåværende og tidligere arbeidsgivere om arbeids- og inntektsforhold.</w:t>
      </w:r>
      <w:r w:rsidR="008E15CA" w:rsidRPr="00613D3A">
        <w:t xml:space="preserve"> For at Skatteetaten skal kunne kontrollere at lønnsopplysninger blir gitt til rett pensjonsinnretning, foreslås at arbeidsgivere med kommunal tjenestepensjon får en plikt til å innrapportere hvilken pensjonsinnretning som skal beregne avtalefestet pensjon for de ansatte.</w:t>
      </w:r>
    </w:p>
    <w:p w14:paraId="34338D7C" w14:textId="77777777" w:rsidR="007276F3" w:rsidRDefault="007276F3" w:rsidP="00E43A3C">
      <w:pPr>
        <w:spacing w:line="276" w:lineRule="auto"/>
      </w:pPr>
    </w:p>
    <w:p w14:paraId="5903DB72" w14:textId="79EB44AD" w:rsidR="00FD6E0A" w:rsidRPr="003F6692" w:rsidRDefault="008F0716" w:rsidP="00E43A3C">
      <w:pPr>
        <w:spacing w:line="276" w:lineRule="auto"/>
      </w:pPr>
      <w:r>
        <w:t xml:space="preserve">I kapittel </w:t>
      </w:r>
      <w:r w:rsidR="00FB3404">
        <w:t>3</w:t>
      </w:r>
      <w:r>
        <w:t xml:space="preserve"> foreslås </w:t>
      </w:r>
      <w:r w:rsidR="00FD6E0A">
        <w:t xml:space="preserve">at Arbeids- og velferdsetaten skal kunne dele opplysninger om </w:t>
      </w:r>
      <w:r w:rsidR="00740919">
        <w:t xml:space="preserve">opptjent </w:t>
      </w:r>
      <w:r w:rsidR="00572117">
        <w:t>pensjonsbeholdning</w:t>
      </w:r>
      <w:r w:rsidR="00740919">
        <w:t xml:space="preserve"> i folketrygden mv.</w:t>
      </w:r>
      <w:r w:rsidR="00572117">
        <w:t xml:space="preserve"> </w:t>
      </w:r>
      <w:r w:rsidR="00FD6E0A">
        <w:t>til bruk for kommunale pensjonsleverandørers beregning av forventede fr</w:t>
      </w:r>
      <w:r w:rsidR="00E43A3C">
        <w:t>e</w:t>
      </w:r>
      <w:r w:rsidR="00FD6E0A">
        <w:t xml:space="preserve">mtidige pensjonsytelser. Dette vil være aktuelt i situasjoner </w:t>
      </w:r>
      <w:r w:rsidR="00764222">
        <w:t>hvor</w:t>
      </w:r>
      <w:r w:rsidR="00FD6E0A">
        <w:t xml:space="preserve"> medlemmer i de kommunale pensjonsordningene ber om informasjon om forventet fr</w:t>
      </w:r>
      <w:r w:rsidR="00E43A3C">
        <w:t>e</w:t>
      </w:r>
      <w:r w:rsidR="00FD6E0A">
        <w:t xml:space="preserve">mtidig pensjon. </w:t>
      </w:r>
    </w:p>
    <w:p w14:paraId="556E9425" w14:textId="77777777" w:rsidR="00CC3372" w:rsidRDefault="00CC3372" w:rsidP="00E43A3C">
      <w:pPr>
        <w:spacing w:line="276" w:lineRule="auto"/>
      </w:pPr>
    </w:p>
    <w:p w14:paraId="21910125" w14:textId="2562EA8A" w:rsidR="00C55BEE" w:rsidRDefault="00FD6E0A" w:rsidP="00E43A3C">
      <w:pPr>
        <w:spacing w:line="276" w:lineRule="auto"/>
      </w:pPr>
      <w:r>
        <w:lastRenderedPageBreak/>
        <w:t xml:space="preserve">I kapittel </w:t>
      </w:r>
      <w:r w:rsidR="00FB3404">
        <w:t>4</w:t>
      </w:r>
      <w:r>
        <w:t xml:space="preserve"> foreslås en lov</w:t>
      </w:r>
      <w:r w:rsidR="00CF1DF0">
        <w:t>bestemmelse</w:t>
      </w:r>
      <w:r>
        <w:t xml:space="preserve"> som </w:t>
      </w:r>
      <w:r w:rsidR="00CF1DF0">
        <w:t xml:space="preserve">gir kommunale pensjonsleverandører hjemmel for å treffe automatiserte avgjørelser. Dette vil gi tilsvarende hjemmel til å treffe automatiserte avgjørelser som Statens pensjonskasse.  </w:t>
      </w:r>
      <w:r w:rsidR="00C55BEE" w:rsidRPr="00C55BEE">
        <w:t xml:space="preserve"> </w:t>
      </w:r>
    </w:p>
    <w:bookmarkEnd w:id="4"/>
    <w:p w14:paraId="5DE6682C" w14:textId="77777777" w:rsidR="00B128C8" w:rsidRDefault="00B128C8" w:rsidP="00B128C8">
      <w:pPr>
        <w:spacing w:line="276" w:lineRule="auto"/>
      </w:pPr>
    </w:p>
    <w:p w14:paraId="519AAA01" w14:textId="423B7E85" w:rsidR="00C55BEE" w:rsidRDefault="00C324F1" w:rsidP="00C55BEE">
      <w:pPr>
        <w:spacing w:line="276" w:lineRule="auto"/>
      </w:pPr>
      <w:r>
        <w:t>Høringsnotatet er utarbeidet av Finansdepartementet i samråd med Arbeids- og inkluderingsdepartementet.</w:t>
      </w:r>
    </w:p>
    <w:p w14:paraId="05AE8746" w14:textId="77777777" w:rsidR="00A1589C" w:rsidRDefault="00A1589C" w:rsidP="00C55BEE">
      <w:pPr>
        <w:spacing w:line="276" w:lineRule="auto"/>
      </w:pPr>
    </w:p>
    <w:p w14:paraId="671F50FE" w14:textId="1039054D" w:rsidR="007217C4" w:rsidRDefault="00BA26E4" w:rsidP="001B5392">
      <w:pPr>
        <w:pStyle w:val="Overskrift1"/>
      </w:pPr>
      <w:bookmarkStart w:id="5" w:name="_Hlk164626060"/>
      <w:bookmarkStart w:id="6" w:name="_Toc170468725"/>
      <w:r>
        <w:t>D</w:t>
      </w:r>
      <w:r w:rsidR="00ED7A24">
        <w:t>eling</w:t>
      </w:r>
      <w:r w:rsidR="000A16B0">
        <w:t xml:space="preserve"> av opplysninger </w:t>
      </w:r>
      <w:r w:rsidR="00B128C8">
        <w:t xml:space="preserve">fra </w:t>
      </w:r>
      <w:r w:rsidR="00116A63">
        <w:t>S</w:t>
      </w:r>
      <w:r w:rsidR="00697EF3">
        <w:t>katteetaten</w:t>
      </w:r>
      <w:r w:rsidR="00B128C8">
        <w:t xml:space="preserve"> og </w:t>
      </w:r>
      <w:r w:rsidR="00BB6A9F">
        <w:t>A</w:t>
      </w:r>
      <w:r w:rsidR="00B128C8">
        <w:t xml:space="preserve">rbeids- og velferdsetaten </w:t>
      </w:r>
      <w:r w:rsidR="00945EC5">
        <w:t xml:space="preserve">mv. </w:t>
      </w:r>
      <w:r w:rsidR="00F519AB">
        <w:t xml:space="preserve">til bruk for arbeidet med </w:t>
      </w:r>
      <w:r w:rsidR="001B3520">
        <w:t xml:space="preserve">AFP </w:t>
      </w:r>
      <w:r w:rsidR="00F519AB">
        <w:t>i offentlig sektor</w:t>
      </w:r>
      <w:bookmarkEnd w:id="6"/>
      <w:r w:rsidR="000A16B0">
        <w:t xml:space="preserve"> </w:t>
      </w:r>
    </w:p>
    <w:p w14:paraId="67E11265" w14:textId="3377DC0C" w:rsidR="00F519AB" w:rsidRDefault="00E43A3C" w:rsidP="00F519AB">
      <w:pPr>
        <w:pStyle w:val="Overskrift2"/>
      </w:pPr>
      <w:bookmarkStart w:id="7" w:name="_Toc170468726"/>
      <w:bookmarkEnd w:id="5"/>
      <w:r>
        <w:t>B</w:t>
      </w:r>
      <w:r w:rsidR="00F519AB">
        <w:t>akgrunn</w:t>
      </w:r>
      <w:bookmarkEnd w:id="7"/>
    </w:p>
    <w:p w14:paraId="4A62C4C3" w14:textId="7B44AD43" w:rsidR="00F1392F" w:rsidRDefault="00191A4A" w:rsidP="00F1392F">
      <w:pPr>
        <w:spacing w:line="276" w:lineRule="auto"/>
      </w:pPr>
      <w:bookmarkStart w:id="8" w:name="_Hlk168221057"/>
      <w:r>
        <w:t>Den 3.</w:t>
      </w:r>
      <w:r w:rsidR="00450268">
        <w:t xml:space="preserve"> </w:t>
      </w:r>
      <w:r>
        <w:t xml:space="preserve">mars 2018 ble det inngått avtale mellom Arbeids- og sosialdepartementet, LO, Unio, YS, Akademikerne, KS og Spekter om tjenestepensjon for ansatte i offentlig sektor. Punkt 3 i avtalen omhandler ny AFP i offentlig sektor. </w:t>
      </w:r>
      <w:r w:rsidR="00F519AB">
        <w:t>Ny AFP i offentlig sektor skal</w:t>
      </w:r>
      <w:r w:rsidR="00426FF3" w:rsidRPr="00426FF3">
        <w:t xml:space="preserve"> </w:t>
      </w:r>
      <w:r w:rsidR="00426FF3">
        <w:t xml:space="preserve">innføres fra 1. januar 2025. Den skal </w:t>
      </w:r>
      <w:r w:rsidR="00F519AB">
        <w:t>være en livsvarig ytelse som skal kunne tas ut fleksibelt fra 62 til 70 år</w:t>
      </w:r>
      <w:r>
        <w:t xml:space="preserve">. </w:t>
      </w:r>
    </w:p>
    <w:p w14:paraId="7054B149" w14:textId="77777777" w:rsidR="00F519AB" w:rsidRDefault="00F519AB" w:rsidP="00F519AB">
      <w:pPr>
        <w:spacing w:line="276" w:lineRule="auto"/>
      </w:pPr>
    </w:p>
    <w:p w14:paraId="7C222F42" w14:textId="51FEAC11" w:rsidR="00F519AB" w:rsidRDefault="00F519AB" w:rsidP="00F519AB">
      <w:pPr>
        <w:spacing w:line="276" w:lineRule="auto"/>
      </w:pPr>
      <w:r>
        <w:t xml:space="preserve">Et av vilkårene som må være oppfylt ved fylte 62 år for å få rett til ny AFP i offentlig sektor er at personen som søker om AFP har vært arbeidstaker i 7 av de siste 9 årene hos en arbeidsgiver med tariffavtale hvor staten er part eller tilsvarende tariffavtale om avtalefestet pensjon. I denne perioden inngår også tid arbeidstakeren har vært omfattet av privat AFP dersom dette gjør at ansiennitetskravet oppfylles. Videre er det vilkår om at vedkommende i de samme 7 av de siste 9 årene ikke har hatt annen inntekt som overstiger pensjonsgivende inntekt fra arbeidsgivere som nevnt over. </w:t>
      </w:r>
      <w:r w:rsidR="00556DD9">
        <w:t xml:space="preserve">Begrepet «annen inntekt» er nærmere omtalt i Prop. 35 L </w:t>
      </w:r>
      <w:r w:rsidR="007D537F">
        <w:t xml:space="preserve">(2023-2024) </w:t>
      </w:r>
      <w:r w:rsidR="00556DD9">
        <w:t xml:space="preserve">punkt 7.4. </w:t>
      </w:r>
      <w:r w:rsidR="00426FF3">
        <w:t>Kv</w:t>
      </w:r>
      <w:r>
        <w:t xml:space="preserve">alifikasjonskravene skal fases gradvis inn for ansatte født </w:t>
      </w:r>
      <w:r w:rsidR="00447554">
        <w:t xml:space="preserve">i </w:t>
      </w:r>
      <w:r>
        <w:t>1963</w:t>
      </w:r>
      <w:r w:rsidR="00447554">
        <w:t xml:space="preserve"> - </w:t>
      </w:r>
      <w:r>
        <w:t xml:space="preserve">1966.   </w:t>
      </w:r>
    </w:p>
    <w:p w14:paraId="467BECFD" w14:textId="77777777" w:rsidR="00F519AB" w:rsidRDefault="00F519AB" w:rsidP="00F519AB">
      <w:pPr>
        <w:spacing w:line="276" w:lineRule="auto"/>
      </w:pPr>
    </w:p>
    <w:p w14:paraId="5ABE64DA" w14:textId="321BF952" w:rsidR="00FD61BA" w:rsidRDefault="00F519AB" w:rsidP="00F519AB">
      <w:pPr>
        <w:spacing w:line="276" w:lineRule="auto"/>
      </w:pPr>
      <w:r>
        <w:t xml:space="preserve">For medlemmer i Statens Pensjonskasse er </w:t>
      </w:r>
      <w:r w:rsidR="00E862E4">
        <w:t xml:space="preserve">vilkårene og øvrige regler for avtalefestet pensjon gitt i en </w:t>
      </w:r>
      <w:r>
        <w:t xml:space="preserve">egen lov av 25. juni 2010 nr. 28 om avtalefestet pensjon for medlemmer av Statens pensjonskasse. </w:t>
      </w:r>
      <w:r w:rsidR="0056763E">
        <w:t>Ved lov 12. april 2024 nr. 14 er det vedtatt endringer</w:t>
      </w:r>
      <w:r w:rsidR="00FD61BA">
        <w:t xml:space="preserve"> i bl.a. denne loven som gjenomfører ny AFP i offentlig sektor for medlemmer av Statens Pensjonskasse. Lovendringene har bakgrunn i forslag i</w:t>
      </w:r>
      <w:r w:rsidR="0056763E">
        <w:t xml:space="preserve"> </w:t>
      </w:r>
      <w:r>
        <w:t>Prop. 35 L (2023-2024) Endringer i lov om avtalefestet pensjon for medlemmer av Statens pensjonskasse og enkelte andre lover (ny avtalefestet pensjon)</w:t>
      </w:r>
      <w:r w:rsidR="00FD61BA">
        <w:t xml:space="preserve">. </w:t>
      </w:r>
      <w:r w:rsidR="00E862E4">
        <w:t xml:space="preserve">Forslaget ble vedtatt av Stortinget </w:t>
      </w:r>
      <w:r w:rsidR="002A533C">
        <w:t>21. mars 2024, jf</w:t>
      </w:r>
      <w:r w:rsidR="002A533C" w:rsidRPr="0056763E">
        <w:t>.</w:t>
      </w:r>
      <w:r w:rsidR="00E862E4" w:rsidRPr="0056763E">
        <w:t xml:space="preserve"> Innst. </w:t>
      </w:r>
      <w:r w:rsidR="002A533C" w:rsidRPr="0056763E">
        <w:t>231 L (2023-2024)</w:t>
      </w:r>
      <w:r w:rsidR="0056763E" w:rsidRPr="0056763E">
        <w:t xml:space="preserve">. Lovendringene </w:t>
      </w:r>
      <w:r w:rsidR="00FD61BA">
        <w:t xml:space="preserve">trer i </w:t>
      </w:r>
      <w:r w:rsidR="0056763E" w:rsidRPr="0056763E">
        <w:t>kraft 1. januar 2025.</w:t>
      </w:r>
      <w:r w:rsidR="00E862E4" w:rsidRPr="0056763E">
        <w:t xml:space="preserve"> </w:t>
      </w:r>
    </w:p>
    <w:p w14:paraId="28BB357F" w14:textId="77777777" w:rsidR="00FD61BA" w:rsidRDefault="00FD61BA" w:rsidP="00F519AB">
      <w:pPr>
        <w:spacing w:line="276" w:lineRule="auto"/>
      </w:pPr>
    </w:p>
    <w:p w14:paraId="205ACDD1" w14:textId="552FE042" w:rsidR="00F519AB" w:rsidRDefault="001A7904" w:rsidP="00F519AB">
      <w:pPr>
        <w:spacing w:line="276" w:lineRule="auto"/>
      </w:pPr>
      <w:r w:rsidRPr="0056763E">
        <w:t xml:space="preserve">Lov om avtalefestet pensjon for medlemmer av Statens pensjonskasse </w:t>
      </w:r>
      <w:r>
        <w:t xml:space="preserve">gjelder ikke for medlemmer av kommunale tjenestepensjonsordninger. </w:t>
      </w:r>
      <w:r w:rsidR="00450268">
        <w:t xml:space="preserve">I kommunale </w:t>
      </w:r>
      <w:r w:rsidR="00450268">
        <w:lastRenderedPageBreak/>
        <w:t xml:space="preserve">tjenestepensjonsordninger, som </w:t>
      </w:r>
      <w:r w:rsidR="00DE6A9C">
        <w:t xml:space="preserve">omfatter ansatte i kommuner, fylkeskommuner, helseforetak og foretak </w:t>
      </w:r>
      <w:r w:rsidR="00450268">
        <w:t xml:space="preserve">med kommunal tilknytning, fremgår vilkår og øvrige regler for AFP av </w:t>
      </w:r>
      <w:r w:rsidR="00F519AB">
        <w:t xml:space="preserve">tariffavtale eller vedtekter. </w:t>
      </w:r>
    </w:p>
    <w:p w14:paraId="56968359" w14:textId="77777777" w:rsidR="00F519AB" w:rsidRDefault="00F519AB" w:rsidP="00F519AB">
      <w:pPr>
        <w:spacing w:line="276" w:lineRule="auto"/>
      </w:pPr>
    </w:p>
    <w:p w14:paraId="3AA8B479" w14:textId="519D96E7" w:rsidR="00B53290" w:rsidRDefault="00450268" w:rsidP="00F519AB">
      <w:pPr>
        <w:spacing w:line="276" w:lineRule="auto"/>
      </w:pPr>
      <w:r>
        <w:t>Søknad om AFP skal rettes til tjenestepensjonslever</w:t>
      </w:r>
      <w:r w:rsidR="007D70FE">
        <w:t>a</w:t>
      </w:r>
      <w:r>
        <w:t>ndørene, og det er tjenestepensjonsleverandørene som skal vurdere om den enkelte søker oppfyller vilkårene for AFP. For at pensjonsleverandøren skal kunne ta stilling til om vilkå</w:t>
      </w:r>
      <w:r w:rsidR="00DA0BB5">
        <w:t>r</w:t>
      </w:r>
      <w:r>
        <w:t xml:space="preserve">ene for AFP i offentlig sektor er oppfylt, er det derfor behov for å ha opplysninger om eventuelle andre inntekter søkeren har hatt, søkerens </w:t>
      </w:r>
      <w:r w:rsidR="00046C58">
        <w:t xml:space="preserve">pensjonsbeholdning i </w:t>
      </w:r>
      <w:r>
        <w:t xml:space="preserve"> </w:t>
      </w:r>
      <w:r w:rsidR="008A1EB3">
        <w:t>folketrygd</w:t>
      </w:r>
      <w:r w:rsidR="00046C58">
        <w:t>en</w:t>
      </w:r>
      <w:r w:rsidR="008A1EB3">
        <w:t xml:space="preserve"> </w:t>
      </w:r>
      <w:r>
        <w:t xml:space="preserve">mv. </w:t>
      </w:r>
      <w:r w:rsidR="008A1EB3">
        <w:t>Etter forslag i Prop</w:t>
      </w:r>
      <w:r w:rsidR="00B53290">
        <w:t>.</w:t>
      </w:r>
      <w:r w:rsidR="008A1EB3">
        <w:t xml:space="preserve"> 35 L (2023-20</w:t>
      </w:r>
      <w:r w:rsidR="00B53290">
        <w:t>2</w:t>
      </w:r>
      <w:r w:rsidR="008A1EB3">
        <w:t xml:space="preserve">4) </w:t>
      </w:r>
      <w:r w:rsidR="00B53290">
        <w:t xml:space="preserve">som nevnt over, er det </w:t>
      </w:r>
      <w:r w:rsidR="008A1EB3">
        <w:t>vedtatt endringer i lov om avtalefestet pensjon for Statens pensjonskasse mv. som gir Statens pensjonskasse hjemler til å innhente slike nødvendige opplysninger. For at lever</w:t>
      </w:r>
      <w:r w:rsidR="00F26276">
        <w:t>andører</w:t>
      </w:r>
      <w:r w:rsidR="008A1EB3">
        <w:t xml:space="preserve"> av kommunal tjenestepensjon skal kunne vurdere søkn</w:t>
      </w:r>
      <w:r w:rsidR="00F26276">
        <w:t>a</w:t>
      </w:r>
      <w:r w:rsidR="008A1EB3">
        <w:t xml:space="preserve">der om AFP, er det derfor behov for lovhjemler </w:t>
      </w:r>
      <w:r w:rsidR="00B53290">
        <w:t xml:space="preserve">slik at disse leverandørene kan gis tilgang til opplysninger på lik linje med SPK. </w:t>
      </w:r>
    </w:p>
    <w:p w14:paraId="6739BE8D" w14:textId="75205FF1" w:rsidR="00F519AB" w:rsidRDefault="00F519AB" w:rsidP="00F519AB">
      <w:pPr>
        <w:spacing w:line="276" w:lineRule="auto"/>
      </w:pPr>
      <w:r>
        <w:t xml:space="preserve"> </w:t>
      </w:r>
    </w:p>
    <w:p w14:paraId="2D502388" w14:textId="07315B3F" w:rsidR="00F519AB" w:rsidRDefault="00F519AB" w:rsidP="00F519AB">
      <w:pPr>
        <w:spacing w:line="276" w:lineRule="auto"/>
      </w:pPr>
      <w:r>
        <w:t xml:space="preserve">Arbeids- og inkluderingsdepartementet uttalte i Prop. 35 L (2023-2024) </w:t>
      </w:r>
      <w:r w:rsidR="001A7904">
        <w:t xml:space="preserve">kap. 9.3 </w:t>
      </w:r>
      <w:r>
        <w:t>bl.a.:</w:t>
      </w:r>
    </w:p>
    <w:p w14:paraId="766FD8FE" w14:textId="21212558" w:rsidR="00F519AB" w:rsidRDefault="00F519AB" w:rsidP="00F519AB">
      <w:pPr>
        <w:pStyle w:val="Sitat"/>
        <w:spacing w:line="240" w:lineRule="auto"/>
        <w:ind w:left="862" w:right="862"/>
        <w:jc w:val="left"/>
      </w:pPr>
      <w:r>
        <w:t>«Både KLP, Oslo Pensjonsforsikring, Gabler og Arbeids- og velferdsdirektoratet viser i sine høringssvar til at tjenestepensjonslevera</w:t>
      </w:r>
      <w:r w:rsidR="008A1EB3">
        <w:t>n</w:t>
      </w:r>
      <w:r>
        <w:t xml:space="preserve">dørene mangler tilstrekkelig hjemmelsgrunnlag for informasjonsutveksling som er nødvendig for å kunne behandle søknader om AFP. Departementet bemerker at Finansdepartementet som rett departement har igangsatt et arbeid med et høringsforslag med sikte på å få nødvendig  hjemmelsgrunnlag på plass før 2025.» </w:t>
      </w:r>
    </w:p>
    <w:p w14:paraId="3BE47824" w14:textId="77777777" w:rsidR="00F519AB" w:rsidRDefault="00F519AB" w:rsidP="00F519AB">
      <w:pPr>
        <w:spacing w:line="276" w:lineRule="auto"/>
      </w:pPr>
    </w:p>
    <w:p w14:paraId="339AD5D4" w14:textId="05440BF9" w:rsidR="00A632BD" w:rsidRDefault="006E6ECE" w:rsidP="00F519AB">
      <w:pPr>
        <w:spacing w:line="276" w:lineRule="auto"/>
      </w:pPr>
      <w:r>
        <w:t>Fi</w:t>
      </w:r>
      <w:r w:rsidR="00F519AB">
        <w:t xml:space="preserve">nansdepartementet </w:t>
      </w:r>
      <w:r w:rsidR="00764222">
        <w:t xml:space="preserve">foreslår </w:t>
      </w:r>
      <w:r w:rsidR="00F519AB">
        <w:t xml:space="preserve">i dette høringsnotatet hjemmelsgrunnlag som er nødvendige for at leverandører av kommunal tjenestepensjon skal kunne behandle søknader om AFP. </w:t>
      </w:r>
    </w:p>
    <w:bookmarkEnd w:id="8"/>
    <w:p w14:paraId="1C3495FC" w14:textId="77777777" w:rsidR="006E6ECE" w:rsidRDefault="006E6ECE" w:rsidP="00F519AB">
      <w:pPr>
        <w:spacing w:line="276" w:lineRule="auto"/>
      </w:pPr>
    </w:p>
    <w:p w14:paraId="1808D27C" w14:textId="23FBB676" w:rsidR="005F1F97" w:rsidRPr="00DA0BB5" w:rsidRDefault="00A632BD" w:rsidP="005F1F97">
      <w:pPr>
        <w:spacing w:line="276" w:lineRule="auto"/>
      </w:pPr>
      <w:r>
        <w:t xml:space="preserve">I </w:t>
      </w:r>
      <w:r w:rsidR="006E6ECE">
        <w:t>kap.</w:t>
      </w:r>
      <w:r>
        <w:t xml:space="preserve"> 2.2 ned</w:t>
      </w:r>
      <w:r w:rsidR="0037691C">
        <w:t>enfor</w:t>
      </w:r>
      <w:r>
        <w:t xml:space="preserve"> omtales forslag om hjemmel for pensjon</w:t>
      </w:r>
      <w:r w:rsidR="0037691C">
        <w:t>s</w:t>
      </w:r>
      <w:r>
        <w:t>lever</w:t>
      </w:r>
      <w:r w:rsidR="00524537">
        <w:t>a</w:t>
      </w:r>
      <w:r>
        <w:t>ndøren til å få utlevert oppl</w:t>
      </w:r>
      <w:r w:rsidR="00524537">
        <w:t>ysninger om medlemmets tidligere lønn</w:t>
      </w:r>
      <w:r w:rsidR="001E2A11">
        <w:t>sforhold</w:t>
      </w:r>
      <w:r w:rsidR="00383191" w:rsidRPr="00383191">
        <w:t xml:space="preserve"> </w:t>
      </w:r>
      <w:r w:rsidR="00383191">
        <w:t>fra Skatteetaten</w:t>
      </w:r>
      <w:r w:rsidR="001E2A11">
        <w:t xml:space="preserve">, og om medlemmets tidligere </w:t>
      </w:r>
      <w:r w:rsidR="00524537">
        <w:t>arbeidsforhold</w:t>
      </w:r>
      <w:r w:rsidR="00383191" w:rsidRPr="00383191">
        <w:t xml:space="preserve"> </w:t>
      </w:r>
      <w:r w:rsidR="00383191">
        <w:t>fra Arbeids- og velferdsetaten</w:t>
      </w:r>
      <w:r w:rsidR="00524537">
        <w:t xml:space="preserve">. Det foreslås endring i skatteforvaltningsloven § 3-6 </w:t>
      </w:r>
      <w:r w:rsidR="001E2A11">
        <w:t>nytt fjerde ledd</w:t>
      </w:r>
      <w:r w:rsidR="004E3F7E">
        <w:t xml:space="preserve"> </w:t>
      </w:r>
      <w:r w:rsidR="008B2102">
        <w:t xml:space="preserve">og i forskrift om </w:t>
      </w:r>
      <w:r w:rsidR="006E6ECE">
        <w:t>A</w:t>
      </w:r>
      <w:r w:rsidR="008B2102">
        <w:t>rbeidsgiver- og arbeidstakerregisteret § 10</w:t>
      </w:r>
      <w:r w:rsidR="008B2102" w:rsidRPr="00DA0BB5">
        <w:t xml:space="preserve">. </w:t>
      </w:r>
      <w:r w:rsidR="008E15CA" w:rsidRPr="00DA0BB5">
        <w:t xml:space="preserve">Det foreslås også at </w:t>
      </w:r>
      <w:r w:rsidR="005F1F97" w:rsidRPr="00DA0BB5">
        <w:t xml:space="preserve">arbeidsgivere </w:t>
      </w:r>
      <w:r w:rsidR="008E15CA" w:rsidRPr="00DA0BB5">
        <w:t xml:space="preserve">med kommunal tjenestepensjon </w:t>
      </w:r>
      <w:r w:rsidR="005F1F97" w:rsidRPr="00DA0BB5">
        <w:t>får en plikt til å innrapportere hvilken pensjonsinnretning som skal beregne avtalefestet pensjon for de ansatte, jf.  forsikringsvirksomhetsloven § 4-18.</w:t>
      </w:r>
    </w:p>
    <w:p w14:paraId="27B17AD8" w14:textId="22337E41" w:rsidR="005F1F97" w:rsidRDefault="005F1F97" w:rsidP="005F1F97">
      <w:pPr>
        <w:spacing w:line="276" w:lineRule="auto"/>
      </w:pPr>
      <w:r w:rsidRPr="00DA0BB5">
        <w:t xml:space="preserve">Det foreslås </w:t>
      </w:r>
      <w:r w:rsidR="008422A0" w:rsidRPr="00D70B4B">
        <w:t xml:space="preserve">videre </w:t>
      </w:r>
      <w:r w:rsidRPr="00DA0BB5">
        <w:t xml:space="preserve">en hjemmel for pensjonsleverandøren til å få utlevert opplysninger fra nåværende eller tidligere arbeidsgivere om </w:t>
      </w:r>
      <w:r w:rsidR="00551BD5" w:rsidRPr="00D70B4B">
        <w:t>medlemmets</w:t>
      </w:r>
      <w:r w:rsidRPr="00DA0BB5">
        <w:t xml:space="preserve"> arbeids- og inntektsforhold, jf.  forsikringsvirksomhetsloven § 4-17 </w:t>
      </w:r>
      <w:r w:rsidR="00761BB0">
        <w:t>annet</w:t>
      </w:r>
      <w:r w:rsidRPr="00DA0BB5">
        <w:t xml:space="preserve"> ledd.</w:t>
      </w:r>
    </w:p>
    <w:p w14:paraId="601E4C66" w14:textId="22E25152" w:rsidR="00A632BD" w:rsidRDefault="00524537" w:rsidP="005D0109">
      <w:pPr>
        <w:spacing w:line="276" w:lineRule="auto"/>
      </w:pPr>
      <w:r>
        <w:lastRenderedPageBreak/>
        <w:t xml:space="preserve">I </w:t>
      </w:r>
      <w:r w:rsidR="00FC780C">
        <w:t xml:space="preserve">kap. </w:t>
      </w:r>
      <w:r>
        <w:t>2.3 omtales forslag om hjemmel for pensjonslever</w:t>
      </w:r>
      <w:r w:rsidR="006E6ECE">
        <w:t>andøren</w:t>
      </w:r>
      <w:r>
        <w:t xml:space="preserve"> til få utlevert opplysninger fra Arbeids- og velferdsetaten om opptjent pensjon</w:t>
      </w:r>
      <w:r w:rsidR="00572117">
        <w:t>sbeholdning</w:t>
      </w:r>
      <w:r w:rsidR="00740919">
        <w:t xml:space="preserve"> </w:t>
      </w:r>
      <w:r>
        <w:t>i folketrygden og andre nødvendige opplysninger</w:t>
      </w:r>
      <w:r w:rsidR="00764222">
        <w:t xml:space="preserve"> for å kunne beregne AFP</w:t>
      </w:r>
      <w:r>
        <w:t>. En slik hjemmel foreslås i forsik</w:t>
      </w:r>
      <w:r w:rsidR="00291D72">
        <w:t>r</w:t>
      </w:r>
      <w:r>
        <w:t>ingsvirksom</w:t>
      </w:r>
      <w:r w:rsidR="00291D72">
        <w:t>hets</w:t>
      </w:r>
      <w:r>
        <w:t>loven</w:t>
      </w:r>
      <w:r w:rsidR="008422A0">
        <w:t xml:space="preserve"> § 4-17 første ledd</w:t>
      </w:r>
      <w:r w:rsidR="00FA0EBA">
        <w:t>.</w:t>
      </w:r>
      <w:r>
        <w:t xml:space="preserve"> </w:t>
      </w:r>
    </w:p>
    <w:p w14:paraId="4C687711" w14:textId="77777777" w:rsidR="005D0109" w:rsidRDefault="005D0109" w:rsidP="005D0109">
      <w:pPr>
        <w:spacing w:line="276" w:lineRule="auto"/>
      </w:pPr>
    </w:p>
    <w:p w14:paraId="50057B5E" w14:textId="2B92D943" w:rsidR="00723C16" w:rsidRPr="00D70B4B" w:rsidRDefault="005D0109" w:rsidP="005D0109">
      <w:pPr>
        <w:spacing w:line="276" w:lineRule="auto"/>
      </w:pPr>
      <w:r>
        <w:t xml:space="preserve">I </w:t>
      </w:r>
      <w:r w:rsidR="00FC780C">
        <w:t>kap.</w:t>
      </w:r>
      <w:r>
        <w:t xml:space="preserve"> 2.4 </w:t>
      </w:r>
      <w:r w:rsidR="008422A0">
        <w:t xml:space="preserve">omtales forslag </w:t>
      </w:r>
      <w:r w:rsidR="008422A0" w:rsidRPr="00D70B4B">
        <w:t>om hjemmel for pensjonsleverandørene til å få utlevert opplysninger fra Fellesordningen for AFP i privat sektor</w:t>
      </w:r>
      <w:r w:rsidR="00294041" w:rsidRPr="00D70B4B">
        <w:t xml:space="preserve"> </w:t>
      </w:r>
      <w:r w:rsidR="00613D3A" w:rsidRPr="00D70B4B">
        <w:t xml:space="preserve">(Fellesordningen for AFP) </w:t>
      </w:r>
      <w:r w:rsidR="00294041" w:rsidRPr="00D70B4B">
        <w:t xml:space="preserve">som gjør det mulig </w:t>
      </w:r>
      <w:r w:rsidR="002F3916" w:rsidRPr="00D70B4B">
        <w:t xml:space="preserve">å </w:t>
      </w:r>
      <w:r w:rsidR="00294041" w:rsidRPr="00D70B4B">
        <w:t>medregn</w:t>
      </w:r>
      <w:r w:rsidR="002F3916" w:rsidRPr="00D70B4B">
        <w:t>e</w:t>
      </w:r>
      <w:r w:rsidR="00294041" w:rsidRPr="00D70B4B">
        <w:t xml:space="preserve"> ansiennitet </w:t>
      </w:r>
      <w:r w:rsidR="008422A0" w:rsidRPr="00D70B4B">
        <w:t>mellom AFP-ordningene i offentlig og privat sektor</w:t>
      </w:r>
      <w:r w:rsidR="00383191" w:rsidRPr="00D70B4B">
        <w:t xml:space="preserve">. Forslaget følger av </w:t>
      </w:r>
      <w:r w:rsidR="008422A0" w:rsidRPr="00D70B4B">
        <w:t xml:space="preserve">forsikringsvirksomhetsloven § 4-17 </w:t>
      </w:r>
      <w:r w:rsidR="00761BB0" w:rsidRPr="00D70B4B">
        <w:t>tredje</w:t>
      </w:r>
      <w:r w:rsidR="00706438" w:rsidRPr="00D70B4B">
        <w:t xml:space="preserve"> ledd</w:t>
      </w:r>
      <w:r w:rsidR="008422A0" w:rsidRPr="00D70B4B">
        <w:t xml:space="preserve">. </w:t>
      </w:r>
    </w:p>
    <w:p w14:paraId="187B229F" w14:textId="77777777" w:rsidR="00723C16" w:rsidRPr="00D70B4B" w:rsidRDefault="00723C16" w:rsidP="005D0109">
      <w:pPr>
        <w:spacing w:line="276" w:lineRule="auto"/>
      </w:pPr>
    </w:p>
    <w:p w14:paraId="379F92FD" w14:textId="714B2F59" w:rsidR="0037691C" w:rsidRDefault="00046C58" w:rsidP="00F519AB">
      <w:pPr>
        <w:spacing w:line="276" w:lineRule="auto"/>
      </w:pPr>
      <w:r>
        <w:t>Departementets vurdering, herunder drøfting av</w:t>
      </w:r>
      <w:r w:rsidR="0037691C">
        <w:t xml:space="preserve"> personvernkonsekvenser av forslagene, fremgår av </w:t>
      </w:r>
      <w:r w:rsidR="00FC780C">
        <w:t xml:space="preserve">kap. </w:t>
      </w:r>
      <w:r w:rsidR="0037691C">
        <w:t>2.</w:t>
      </w:r>
      <w:r>
        <w:t>5</w:t>
      </w:r>
      <w:r w:rsidR="0037691C">
        <w:t xml:space="preserve">. </w:t>
      </w:r>
    </w:p>
    <w:p w14:paraId="672B38C5" w14:textId="77777777" w:rsidR="00C55BEE" w:rsidRDefault="00C55BEE" w:rsidP="00FD33D5">
      <w:pPr>
        <w:spacing w:line="276" w:lineRule="auto"/>
      </w:pPr>
    </w:p>
    <w:p w14:paraId="5B56DA11" w14:textId="1FC34E60" w:rsidR="00E43A3C" w:rsidRPr="00E43A3C" w:rsidRDefault="005A509A" w:rsidP="009A4847">
      <w:pPr>
        <w:pStyle w:val="Overskrift2"/>
      </w:pPr>
      <w:bookmarkStart w:id="9" w:name="_Toc170468727"/>
      <w:r>
        <w:t xml:space="preserve">Deling av opplysninger </w:t>
      </w:r>
      <w:r w:rsidR="00F519AB">
        <w:t>om inntekts- og arbeidsforhold f</w:t>
      </w:r>
      <w:r>
        <w:t>ra</w:t>
      </w:r>
      <w:r w:rsidR="001E2A11">
        <w:t xml:space="preserve"> Skatteetaten og Arbe</w:t>
      </w:r>
      <w:r w:rsidR="00302240">
        <w:t>i</w:t>
      </w:r>
      <w:r w:rsidR="001E2A11">
        <w:t>ds- og velferdsetaten</w:t>
      </w:r>
      <w:r w:rsidR="00A31258">
        <w:t xml:space="preserve"> mv.</w:t>
      </w:r>
      <w:bookmarkEnd w:id="9"/>
      <w:r>
        <w:t xml:space="preserve"> </w:t>
      </w:r>
    </w:p>
    <w:p w14:paraId="18C281AF" w14:textId="699E300B" w:rsidR="0089042A" w:rsidRDefault="0089042A" w:rsidP="0089042A">
      <w:pPr>
        <w:pStyle w:val="Overskrift3"/>
      </w:pPr>
      <w:bookmarkStart w:id="10" w:name="_Toc170468728"/>
      <w:r>
        <w:t>Innledning</w:t>
      </w:r>
      <w:bookmarkEnd w:id="10"/>
    </w:p>
    <w:p w14:paraId="481FCF3D" w14:textId="44FA9FA2" w:rsidR="0050676D" w:rsidRDefault="002130EA" w:rsidP="005D71FA">
      <w:pPr>
        <w:spacing w:line="276" w:lineRule="auto"/>
      </w:pPr>
      <w:r>
        <w:t xml:space="preserve">Et av vilkårene for å få </w:t>
      </w:r>
      <w:r w:rsidR="00764222">
        <w:t xml:space="preserve">ny </w:t>
      </w:r>
      <w:r>
        <w:t>A</w:t>
      </w:r>
      <w:r w:rsidR="0089042A">
        <w:t xml:space="preserve">FP </w:t>
      </w:r>
      <w:r w:rsidR="00764222">
        <w:t xml:space="preserve">i offentlig sektor </w:t>
      </w:r>
      <w:r w:rsidR="0089042A">
        <w:t xml:space="preserve">er at medlemmet ved 62 år har vært arbeidstaker i 7 av de siste 9 årene hos en arbeidsgiver med tariffavtale hvor staten er part eller tilsvarende tariffavtale om avtalefestet pensjon. Som nevnt under punkt 2.1 inngår også tid arbeidstakeren har vært omfattet av privat AFP i denne perioden, dersom dette gjør at ansiennitetskravet oppfylles. Videre er det vilkår om at vedkommende i de samme 7 av de siste 9 årene ikke har hatt annen inntekt som overstiger pensjonsgivende inntekt fra arbeidsgivere som nevnt over. </w:t>
      </w:r>
      <w:r>
        <w:t xml:space="preserve">For å kunne avgjøre </w:t>
      </w:r>
      <w:r w:rsidR="005040BA">
        <w:t xml:space="preserve">om medlemmer oppfyller disse kvalifikasjonskravene </w:t>
      </w:r>
      <w:r w:rsidR="0089042A">
        <w:t xml:space="preserve">trenger pensjonsleverandøren derfor tilgang til opplysninger om medlemmets </w:t>
      </w:r>
      <w:r w:rsidR="0050676D">
        <w:t>inntekter og arbeidsforhold i denne perioden.</w:t>
      </w:r>
    </w:p>
    <w:p w14:paraId="75FCD92C" w14:textId="77777777" w:rsidR="00376742" w:rsidRDefault="00376742" w:rsidP="005D71FA">
      <w:pPr>
        <w:spacing w:line="276" w:lineRule="auto"/>
      </w:pPr>
    </w:p>
    <w:p w14:paraId="4488DC34" w14:textId="70AD5BA3" w:rsidR="00EB0D0D" w:rsidRPr="00D70B4B" w:rsidRDefault="003F7D48" w:rsidP="005D71FA">
      <w:pPr>
        <w:spacing w:line="276" w:lineRule="auto"/>
      </w:pPr>
      <w:r w:rsidRPr="00D70B4B">
        <w:t xml:space="preserve">De kommunale pensjonsleverandørene vil selv ha opplysninger om søkernes arbeids- og inntektsforhold fra </w:t>
      </w:r>
      <w:r w:rsidR="00EB0D0D" w:rsidRPr="00D70B4B">
        <w:t>medlemskapet i den kommunale ordningen.</w:t>
      </w:r>
      <w:r w:rsidRPr="00D70B4B">
        <w:t xml:space="preserve"> I høringen av forslaget til endringer i lov om avtalefestet pensjon for medlemmer av Statens pensjonskasse mv., som ble fulgt opp i Prop 35 L (2023-2024)</w:t>
      </w:r>
      <w:r w:rsidR="00EB0D0D" w:rsidRPr="00D70B4B">
        <w:t>,</w:t>
      </w:r>
      <w:r w:rsidRPr="00D70B4B">
        <w:t xml:space="preserve"> </w:t>
      </w:r>
      <w:r w:rsidR="00DF24B5" w:rsidRPr="00D70B4B">
        <w:t>viste K</w:t>
      </w:r>
      <w:r w:rsidRPr="00D70B4B">
        <w:t xml:space="preserve">LP </w:t>
      </w:r>
      <w:r w:rsidR="00DF24B5" w:rsidRPr="00D70B4B">
        <w:t xml:space="preserve">til </w:t>
      </w:r>
      <w:r w:rsidRPr="00D70B4B">
        <w:t>at i overkant av 85 prosent av de yrkesaktive medlemmene med aldersgrense 70 år vil være kvalifisert for AFP kun basert</w:t>
      </w:r>
      <w:r w:rsidR="00EB0D0D" w:rsidRPr="00D70B4B">
        <w:t xml:space="preserve"> </w:t>
      </w:r>
      <w:r w:rsidRPr="00D70B4B">
        <w:t>på opptjening i KLP.  Opp</w:t>
      </w:r>
      <w:r w:rsidR="00EB0D0D" w:rsidRPr="00D70B4B">
        <w:t>lysninger om opptjening i andre deler av offentlig sektor antas å bli dekket av en digital utvekslingstjeneste mellom partene i overføringsavtalen.</w:t>
      </w:r>
    </w:p>
    <w:p w14:paraId="3849821C" w14:textId="77777777" w:rsidR="00EB0D0D" w:rsidRPr="00D70B4B" w:rsidRDefault="00EB0D0D" w:rsidP="005D71FA">
      <w:pPr>
        <w:spacing w:line="276" w:lineRule="auto"/>
      </w:pPr>
    </w:p>
    <w:p w14:paraId="48294D4A" w14:textId="0F1EBD23" w:rsidR="00406EAF" w:rsidRPr="00D70B4B" w:rsidRDefault="00294041" w:rsidP="005D71FA">
      <w:pPr>
        <w:spacing w:line="276" w:lineRule="auto"/>
      </w:pPr>
      <w:r w:rsidRPr="00D70B4B">
        <w:t>A</w:t>
      </w:r>
      <w:r w:rsidR="008F2C12" w:rsidRPr="00D70B4B">
        <w:t>rbeid</w:t>
      </w:r>
      <w:r w:rsidR="00E27AE7" w:rsidRPr="00D70B4B">
        <w:t>stid</w:t>
      </w:r>
      <w:r w:rsidR="008F2C12" w:rsidRPr="00D70B4B">
        <w:t xml:space="preserve"> i private bedrifter med AFP-avtale skal </w:t>
      </w:r>
      <w:r w:rsidR="002F3916" w:rsidRPr="00D70B4B">
        <w:t xml:space="preserve">som nevnt over </w:t>
      </w:r>
      <w:r w:rsidR="008F2C12" w:rsidRPr="00D70B4B">
        <w:t xml:space="preserve">kunne medregnes i vurderingen av om ansiennitetsvilkåret ved 62 år er oppfylt for ny offentlig AFP. For å </w:t>
      </w:r>
      <w:r w:rsidR="0001660F" w:rsidRPr="00D70B4B">
        <w:lastRenderedPageBreak/>
        <w:t>kunne</w:t>
      </w:r>
      <w:r w:rsidR="002F3916" w:rsidRPr="00D70B4B">
        <w:t xml:space="preserve"> </w:t>
      </w:r>
      <w:r w:rsidR="008F2C12" w:rsidRPr="00D70B4B">
        <w:t>m</w:t>
      </w:r>
      <w:r w:rsidR="00AC24FD" w:rsidRPr="00D70B4B">
        <w:t>edregn</w:t>
      </w:r>
      <w:r w:rsidR="0001660F" w:rsidRPr="00D70B4B">
        <w:t xml:space="preserve">e slik </w:t>
      </w:r>
      <w:r w:rsidR="008F2C12" w:rsidRPr="00D70B4B">
        <w:t xml:space="preserve">ansiennitet </w:t>
      </w:r>
      <w:r w:rsidR="002F3916" w:rsidRPr="00D70B4B">
        <w:t>foreslås en hjemmel som gir Fellesordningen for AFP plikt til å utlevere opplysninger til de kommunale pensjons</w:t>
      </w:r>
      <w:r w:rsidR="008F2C12" w:rsidRPr="00D70B4B">
        <w:t>lever</w:t>
      </w:r>
      <w:r w:rsidR="002F3916" w:rsidRPr="00D70B4B">
        <w:t>a</w:t>
      </w:r>
      <w:r w:rsidR="008F2C12" w:rsidRPr="00D70B4B">
        <w:t>ndørene</w:t>
      </w:r>
      <w:r w:rsidR="0001660F" w:rsidRPr="00D70B4B">
        <w:t xml:space="preserve"> som gjør d</w:t>
      </w:r>
      <w:r w:rsidR="002F3916" w:rsidRPr="00D70B4B">
        <w:t>et mulig å vurdere om vilkårene for ny AFP i offentlig sektor er oppfylt.</w:t>
      </w:r>
      <w:r w:rsidR="0001660F" w:rsidRPr="00D70B4B">
        <w:t xml:space="preserve"> </w:t>
      </w:r>
      <w:r w:rsidR="00406EAF" w:rsidRPr="00D70B4B">
        <w:t xml:space="preserve">Det vises til nærmere omtale i </w:t>
      </w:r>
      <w:r w:rsidR="00EE7C33" w:rsidRPr="00D70B4B">
        <w:t>k</w:t>
      </w:r>
      <w:r w:rsidR="00406EAF" w:rsidRPr="00D70B4B">
        <w:t xml:space="preserve">ap. 2.4. </w:t>
      </w:r>
    </w:p>
    <w:p w14:paraId="762727C9" w14:textId="6B5AD12E" w:rsidR="00406EAF" w:rsidRPr="00D70B4B" w:rsidRDefault="00406EAF" w:rsidP="004E1BDE">
      <w:pPr>
        <w:spacing w:line="276" w:lineRule="auto"/>
      </w:pPr>
    </w:p>
    <w:p w14:paraId="3EDC5804" w14:textId="4F540E70" w:rsidR="00DB2462" w:rsidRDefault="0010397A" w:rsidP="004E1BDE">
      <w:pPr>
        <w:spacing w:line="276" w:lineRule="auto"/>
      </w:pPr>
      <w:r w:rsidRPr="00D70B4B">
        <w:t xml:space="preserve">For å avklare </w:t>
      </w:r>
      <w:r w:rsidR="00EE7C33" w:rsidRPr="00D70B4B">
        <w:t>om søkeren har hatt «annen inntekt» s</w:t>
      </w:r>
      <w:r w:rsidRPr="00D70B4B">
        <w:t xml:space="preserve">om </w:t>
      </w:r>
      <w:r w:rsidR="00EE7C33" w:rsidRPr="00D70B4B">
        <w:t xml:space="preserve">overstiger pensjonsgivende inntekt fra arbeidsgivere i offentlig sektor eller fra private AFP-bedrifter, vil det være behov for å innhente opplysninger fra </w:t>
      </w:r>
      <w:r w:rsidR="004E1BDE" w:rsidRPr="00D70B4B">
        <w:t>Skatteetateen om inntektsforhold.</w:t>
      </w:r>
      <w:r w:rsidR="00EE7C33" w:rsidRPr="00D70B4B">
        <w:t xml:space="preserve"> Dette kan være inntekter fra private bedrifter som ikke har AFP, næringsinntek</w:t>
      </w:r>
      <w:r w:rsidR="00B43B9F" w:rsidRPr="00D70B4B">
        <w:t>ter, dagpenger ved permittering mv. Som omtalt under kap. 2.5.</w:t>
      </w:r>
      <w:r w:rsidR="00761BB0" w:rsidRPr="00D70B4B">
        <w:t>1</w:t>
      </w:r>
      <w:r w:rsidR="00B43B9F" w:rsidRPr="00D70B4B">
        <w:t xml:space="preserve">, vil det kunne være tilfeller hvor opplysninger som må innhentes ligger langt tilbake i tid, og at Skatteetaten av den grunn ikke kan fremskaffe opplysningene. Det foreslås </w:t>
      </w:r>
      <w:r w:rsidR="004E1BDE" w:rsidRPr="00D70B4B">
        <w:t xml:space="preserve">på denne bakgrunn </w:t>
      </w:r>
      <w:r w:rsidR="00B43B9F" w:rsidRPr="00D70B4B">
        <w:t>at de kommunale pensjonsleverandørene gis hjemmel til å innhente opplysnin</w:t>
      </w:r>
      <w:r w:rsidR="004E1BDE" w:rsidRPr="00D70B4B">
        <w:t>g</w:t>
      </w:r>
      <w:r w:rsidR="00B43B9F" w:rsidRPr="00D70B4B">
        <w:t>er om inntekts- og arbeidsforhold direkte fra nåværende og tidl</w:t>
      </w:r>
      <w:r w:rsidR="004E1BDE" w:rsidRPr="00D70B4B">
        <w:t>igere</w:t>
      </w:r>
      <w:r w:rsidR="00B43B9F" w:rsidRPr="00D70B4B">
        <w:t xml:space="preserve"> arbeidsgivere</w:t>
      </w:r>
      <w:r w:rsidR="004E1BDE" w:rsidRPr="00D70B4B">
        <w:t xml:space="preserve">. </w:t>
      </w:r>
    </w:p>
    <w:p w14:paraId="3BEF5F98" w14:textId="77777777" w:rsidR="00E43A3C" w:rsidRPr="00D70B4B" w:rsidRDefault="00E43A3C" w:rsidP="004E1BDE">
      <w:pPr>
        <w:spacing w:line="276" w:lineRule="auto"/>
      </w:pPr>
    </w:p>
    <w:p w14:paraId="4518336E" w14:textId="25205AE3" w:rsidR="005A509A" w:rsidRDefault="002130EA" w:rsidP="005A509A">
      <w:pPr>
        <w:pStyle w:val="Overskrift3"/>
      </w:pPr>
      <w:bookmarkStart w:id="11" w:name="_Toc170468729"/>
      <w:r>
        <w:t xml:space="preserve">Nærmere om </w:t>
      </w:r>
      <w:r w:rsidR="001E2A11">
        <w:t>inntektsopplysninger</w:t>
      </w:r>
      <w:bookmarkEnd w:id="11"/>
    </w:p>
    <w:p w14:paraId="276F03E9" w14:textId="25B2FC21" w:rsidR="00135528" w:rsidRDefault="00403ACB" w:rsidP="00403ACB">
      <w:pPr>
        <w:spacing w:line="276" w:lineRule="auto"/>
      </w:pPr>
      <w:r>
        <w:t>Arbeidsgivere er pliktige til å innrapportere arbeidstakeres inntekt til Skatteetaten i medhold av skatteforvaltningsloven § 7-2</w:t>
      </w:r>
      <w:r w:rsidRPr="00416DD5">
        <w:t>.</w:t>
      </w:r>
      <w:r w:rsidR="00416DD5">
        <w:t xml:space="preserve"> </w:t>
      </w:r>
      <w:r w:rsidR="00E45B96">
        <w:t xml:space="preserve">Opplysningene skal bl.a. omfatte lønn og annen godtgjøring for arbeid. </w:t>
      </w:r>
      <w:r w:rsidR="00416DD5">
        <w:t>Arbeidsgiver plikter videre å sende melding o</w:t>
      </w:r>
      <w:r w:rsidR="00E45B96">
        <w:t xml:space="preserve">m </w:t>
      </w:r>
      <w:r w:rsidR="00416DD5">
        <w:t xml:space="preserve"> arbeids</w:t>
      </w:r>
      <w:r w:rsidR="001E2A11">
        <w:t>forhold</w:t>
      </w:r>
      <w:r w:rsidR="00416DD5">
        <w:t xml:space="preserve"> og nærmere oppl</w:t>
      </w:r>
      <w:r w:rsidR="00E45B96">
        <w:t xml:space="preserve">ysninger om </w:t>
      </w:r>
      <w:r w:rsidR="00416DD5">
        <w:t>arbeidsforholdet til Arbeidsgiver- og arbeidstakerregisteret, jf. fo</w:t>
      </w:r>
      <w:r w:rsidR="00E45B96">
        <w:t xml:space="preserve">lketrygdloven § 25-1 og </w:t>
      </w:r>
      <w:r w:rsidR="00D07AB0">
        <w:t xml:space="preserve">nærmere regler i </w:t>
      </w:r>
      <w:r w:rsidR="00E45B96">
        <w:t>fo</w:t>
      </w:r>
      <w:r w:rsidR="00416DD5">
        <w:t>rsk</w:t>
      </w:r>
      <w:r w:rsidR="00E45B96">
        <w:t>r</w:t>
      </w:r>
      <w:r w:rsidR="00416DD5">
        <w:t xml:space="preserve">ift </w:t>
      </w:r>
      <w:r w:rsidR="00716AFC">
        <w:t>om Arbeidsgiver- og arbeidstakerregisteret</w:t>
      </w:r>
      <w:r w:rsidR="00D07AB0">
        <w:t>.</w:t>
      </w:r>
      <w:r w:rsidR="00716AFC">
        <w:t xml:space="preserve"> Det er Arbeids-og velferdsdirektoratet </w:t>
      </w:r>
      <w:r w:rsidR="00E45B96">
        <w:t>(NAV)</w:t>
      </w:r>
      <w:r w:rsidR="007D70FE">
        <w:t xml:space="preserve"> </w:t>
      </w:r>
      <w:r w:rsidR="00716AFC">
        <w:t xml:space="preserve">som er ansvarlig for registeret.  </w:t>
      </w:r>
    </w:p>
    <w:p w14:paraId="36E16489" w14:textId="77777777" w:rsidR="00135528" w:rsidRDefault="00135528" w:rsidP="00403ACB">
      <w:pPr>
        <w:spacing w:line="276" w:lineRule="auto"/>
      </w:pPr>
    </w:p>
    <w:p w14:paraId="710F7270" w14:textId="50ADF1F6" w:rsidR="00403ACB" w:rsidRDefault="001E2A11" w:rsidP="00403ACB">
      <w:pPr>
        <w:spacing w:line="276" w:lineRule="auto"/>
      </w:pPr>
      <w:r>
        <w:rPr>
          <w:rFonts w:cs="Arial"/>
          <w:color w:val="1A1A1A"/>
        </w:rPr>
        <w:t>Rapporteringen skjer i begge tilfeller via a</w:t>
      </w:r>
      <w:r w:rsidR="00716AFC" w:rsidRPr="00FD33D5">
        <w:rPr>
          <w:rFonts w:cs="Arial"/>
          <w:color w:val="1A1A1A"/>
        </w:rPr>
        <w:t>-ordningen</w:t>
      </w:r>
      <w:r>
        <w:rPr>
          <w:rFonts w:cs="Arial"/>
          <w:color w:val="1A1A1A"/>
        </w:rPr>
        <w:t>, som</w:t>
      </w:r>
      <w:r w:rsidR="00716AFC" w:rsidRPr="00FD33D5">
        <w:rPr>
          <w:rFonts w:cs="Arial"/>
          <w:color w:val="1A1A1A"/>
        </w:rPr>
        <w:t xml:space="preserve"> er en samordnet måte for arbeidsgivere å rapportere opplysninger om inntekt og </w:t>
      </w:r>
      <w:r>
        <w:rPr>
          <w:rFonts w:cs="Arial"/>
          <w:color w:val="1A1A1A"/>
        </w:rPr>
        <w:t xml:space="preserve">arbeidsforhold </w:t>
      </w:r>
      <w:r w:rsidR="00716AFC" w:rsidRPr="00FD33D5">
        <w:rPr>
          <w:rFonts w:cs="Arial"/>
          <w:color w:val="1A1A1A"/>
        </w:rPr>
        <w:t xml:space="preserve">til </w:t>
      </w:r>
      <w:r w:rsidR="00716AFC">
        <w:rPr>
          <w:rFonts w:cs="Arial"/>
          <w:color w:val="1A1A1A"/>
        </w:rPr>
        <w:t xml:space="preserve">Skatteetaten, </w:t>
      </w:r>
      <w:r w:rsidR="00716AFC" w:rsidRPr="00FD33D5">
        <w:rPr>
          <w:rFonts w:cs="Arial"/>
          <w:color w:val="1A1A1A"/>
        </w:rPr>
        <w:t>NAV</w:t>
      </w:r>
      <w:r w:rsidR="00716AFC">
        <w:rPr>
          <w:rFonts w:cs="Arial"/>
          <w:color w:val="1A1A1A"/>
        </w:rPr>
        <w:t xml:space="preserve"> og SS</w:t>
      </w:r>
      <w:r w:rsidR="00716AFC" w:rsidRPr="00FD33D5">
        <w:rPr>
          <w:rFonts w:cs="Arial"/>
          <w:color w:val="1A1A1A"/>
        </w:rPr>
        <w:t>B</w:t>
      </w:r>
      <w:r w:rsidR="00716AFC">
        <w:rPr>
          <w:rFonts w:cs="Arial"/>
          <w:color w:val="1A1A1A"/>
        </w:rPr>
        <w:t xml:space="preserve">. </w:t>
      </w:r>
      <w:r w:rsidR="00D07AB0">
        <w:rPr>
          <w:rFonts w:cs="Arial"/>
          <w:color w:val="1A1A1A"/>
        </w:rPr>
        <w:t xml:space="preserve">Arbeidsgiver skal </w:t>
      </w:r>
      <w:r w:rsidR="00BC5BD0">
        <w:rPr>
          <w:rFonts w:cs="Arial"/>
          <w:color w:val="1A1A1A"/>
        </w:rPr>
        <w:t xml:space="preserve">hver måned </w:t>
      </w:r>
      <w:r w:rsidR="00D07AB0">
        <w:rPr>
          <w:rFonts w:cs="Arial"/>
          <w:color w:val="1A1A1A"/>
        </w:rPr>
        <w:t xml:space="preserve">sende opplysninger om </w:t>
      </w:r>
      <w:r w:rsidR="00BC5BD0">
        <w:rPr>
          <w:rFonts w:cs="Arial"/>
          <w:color w:val="1A1A1A"/>
        </w:rPr>
        <w:t xml:space="preserve">bl.a. </w:t>
      </w:r>
      <w:r w:rsidR="00D07AB0">
        <w:rPr>
          <w:rFonts w:cs="Arial"/>
          <w:color w:val="1A1A1A"/>
        </w:rPr>
        <w:t>inntekt etter skatteforvaltningsloven § 7-2 og om arb</w:t>
      </w:r>
      <w:r w:rsidR="00BC5BD0">
        <w:rPr>
          <w:rFonts w:cs="Arial"/>
          <w:color w:val="1A1A1A"/>
        </w:rPr>
        <w:t>eid</w:t>
      </w:r>
      <w:r w:rsidR="00D07AB0">
        <w:rPr>
          <w:rFonts w:cs="Arial"/>
          <w:color w:val="1A1A1A"/>
        </w:rPr>
        <w:t xml:space="preserve">sforhold etter folketrygdeloven § 25-1 elektronisk </w:t>
      </w:r>
      <w:r w:rsidR="00BC5BD0">
        <w:rPr>
          <w:rFonts w:cs="Arial"/>
          <w:color w:val="1A1A1A"/>
        </w:rPr>
        <w:t xml:space="preserve">gjennom </w:t>
      </w:r>
      <w:r w:rsidR="00D07AB0">
        <w:rPr>
          <w:rFonts w:cs="Arial"/>
          <w:color w:val="1A1A1A"/>
        </w:rPr>
        <w:t>a-meldingen</w:t>
      </w:r>
      <w:r w:rsidR="00BC5BD0">
        <w:rPr>
          <w:rFonts w:cs="Arial"/>
          <w:color w:val="1A1A1A"/>
        </w:rPr>
        <w:t xml:space="preserve">, enten </w:t>
      </w:r>
      <w:r w:rsidR="00716AFC" w:rsidRPr="00FD33D5">
        <w:rPr>
          <w:rFonts w:cs="Arial"/>
          <w:color w:val="1A1A1A"/>
        </w:rPr>
        <w:t xml:space="preserve">via arbeidsgivers lønnssystem eller via en tjeneste i Altinn. </w:t>
      </w:r>
      <w:r w:rsidR="00F244E2">
        <w:rPr>
          <w:rFonts w:cs="Arial"/>
          <w:color w:val="1A1A1A"/>
        </w:rPr>
        <w:t xml:space="preserve">Dette følger av </w:t>
      </w:r>
      <w:r w:rsidR="00F90E46">
        <w:rPr>
          <w:rFonts w:cs="Arial"/>
          <w:color w:val="1A1A1A"/>
        </w:rPr>
        <w:t>a</w:t>
      </w:r>
      <w:r w:rsidR="00F244E2">
        <w:t xml:space="preserve">-opplysningsloven § 3, som har regler om opplysningspliktens omfang. </w:t>
      </w:r>
      <w:r w:rsidR="00716AFC" w:rsidRPr="00FD33D5">
        <w:rPr>
          <w:rFonts w:cs="Arial"/>
          <w:color w:val="1A1A1A"/>
        </w:rPr>
        <w:t xml:space="preserve">Skatteetaten forvalter </w:t>
      </w:r>
      <w:r w:rsidR="00F90E46">
        <w:rPr>
          <w:rFonts w:cs="Arial"/>
          <w:color w:val="1A1A1A"/>
        </w:rPr>
        <w:t>a</w:t>
      </w:r>
      <w:r w:rsidR="00F244E2">
        <w:rPr>
          <w:rFonts w:cs="Arial"/>
          <w:color w:val="1A1A1A"/>
        </w:rPr>
        <w:t>-</w:t>
      </w:r>
      <w:r w:rsidR="00716AFC" w:rsidRPr="00FD33D5">
        <w:rPr>
          <w:rFonts w:cs="Arial"/>
          <w:color w:val="1A1A1A"/>
        </w:rPr>
        <w:t xml:space="preserve">ordningen </w:t>
      </w:r>
      <w:r w:rsidR="00964107">
        <w:rPr>
          <w:rFonts w:cs="Arial"/>
          <w:color w:val="1A1A1A"/>
        </w:rPr>
        <w:t>og har behandlingsansvar etter a-opplysningsloven § 6.</w:t>
      </w:r>
      <w:r w:rsidR="00BC5BD0">
        <w:rPr>
          <w:rFonts w:cs="Arial"/>
          <w:color w:val="1A1A1A"/>
        </w:rPr>
        <w:t xml:space="preserve"> </w:t>
      </w:r>
    </w:p>
    <w:p w14:paraId="78A62613" w14:textId="77777777" w:rsidR="00403ACB" w:rsidRDefault="00403ACB" w:rsidP="00403ACB">
      <w:pPr>
        <w:spacing w:line="276" w:lineRule="auto"/>
      </w:pPr>
    </w:p>
    <w:p w14:paraId="4DED8591" w14:textId="676E42FD" w:rsidR="00964107" w:rsidRDefault="00403ACB" w:rsidP="00964107">
      <w:pPr>
        <w:spacing w:line="276" w:lineRule="auto"/>
      </w:pPr>
      <w:r>
        <w:t xml:space="preserve">Opplysninger som arbeidsgiver gir </w:t>
      </w:r>
      <w:r w:rsidR="00964107">
        <w:t xml:space="preserve">etter a-opplysningsloven § 3 er omfattet av taushetsplikten etter samme lov § 7. Skatteetaten som ansvarlig for fellesforvaltningen av ordningen kan kun utlevere opplysninger etter a-opplysningsloven § 8 til en av de tre etatene som deltar i ordningen, dvs. her henholdsvis Arbeids- og velferdsetaten og Skatteetaten. Det fremgår av forarbeidene at dersom andre enn de tre eieretatene har </w:t>
      </w:r>
      <w:r w:rsidR="00964107">
        <w:lastRenderedPageBreak/>
        <w:t>behov for opplysninger, skal det skje ved innhenting fra den etaten som har tilgang til opplysningene etter § 8, jf. punkt 9.10.4.1 i</w:t>
      </w:r>
      <w:r w:rsidR="00964107" w:rsidRPr="007F4D32">
        <w:t xml:space="preserve"> </w:t>
      </w:r>
      <w:hyperlink r:id="rId15" w:anchor="kap9-10-4-1" w:history="1">
        <w:r w:rsidR="00964107" w:rsidRPr="00D60CEC">
          <w:rPr>
            <w:color w:val="0000FF"/>
            <w:u w:val="single"/>
          </w:rPr>
          <w:t>Prop. 112 L (2011–2012)</w:t>
        </w:r>
        <w:r w:rsidR="00964107">
          <w:rPr>
            <w:color w:val="0000FF"/>
            <w:u w:val="single"/>
          </w:rPr>
          <w:t>.</w:t>
        </w:r>
      </w:hyperlink>
    </w:p>
    <w:p w14:paraId="53DEDC23" w14:textId="77777777" w:rsidR="00964107" w:rsidRDefault="00964107" w:rsidP="00964107">
      <w:pPr>
        <w:spacing w:line="276" w:lineRule="auto"/>
      </w:pPr>
    </w:p>
    <w:p w14:paraId="190F9C9E" w14:textId="5A674FF9" w:rsidR="00403ACB" w:rsidRDefault="00964107" w:rsidP="00403ACB">
      <w:pPr>
        <w:spacing w:line="276" w:lineRule="auto"/>
      </w:pPr>
      <w:r>
        <w:t xml:space="preserve">Deling av opplysninger for arbeid med kommunale pensjonsordninger må derfor vurderes etter skatteforvaltningsloven § 3-1 mv. for opplysninger om inntekt, og </w:t>
      </w:r>
      <w:r w:rsidR="00403ACB">
        <w:t xml:space="preserve">om </w:t>
      </w:r>
      <w:r w:rsidR="00BC5BD0">
        <w:t>arbeidsforhold etter folketrygdloven § 25-1, jf.</w:t>
      </w:r>
      <w:r w:rsidR="00B96DE5" w:rsidRPr="00B96DE5">
        <w:t xml:space="preserve"> </w:t>
      </w:r>
      <w:r w:rsidR="00B96DE5">
        <w:t>arbeids- og velferdsforvaltningsloven § 7</w:t>
      </w:r>
      <w:r w:rsidR="00BA622F">
        <w:t xml:space="preserve">. </w:t>
      </w:r>
      <w:r w:rsidR="00403ACB">
        <w:t>Skattetaten</w:t>
      </w:r>
      <w:r w:rsidR="00BA622F">
        <w:t xml:space="preserve"> og NAV</w:t>
      </w:r>
      <w:r w:rsidR="00403ACB">
        <w:t xml:space="preserve"> </w:t>
      </w:r>
      <w:r w:rsidR="00F244E2">
        <w:t>kan derfor bare ut</w:t>
      </w:r>
      <w:r w:rsidR="00403ACB">
        <w:t>levere slike opplysninger</w:t>
      </w:r>
      <w:r w:rsidR="00F244E2">
        <w:t xml:space="preserve"> til private og offentlige aktører som </w:t>
      </w:r>
      <w:r w:rsidR="006341E3">
        <w:t xml:space="preserve">har rettslig grunnlag </w:t>
      </w:r>
      <w:r w:rsidR="00F244E2">
        <w:t xml:space="preserve"> </w:t>
      </w:r>
      <w:r w:rsidR="006341E3">
        <w:t>for å innhente og behandle opplysningene</w:t>
      </w:r>
      <w:r w:rsidR="00F244E2">
        <w:t>.</w:t>
      </w:r>
      <w:r w:rsidR="00403ACB">
        <w:t xml:space="preserve"> </w:t>
      </w:r>
      <w:r w:rsidR="00F244E2">
        <w:t>Hjemmel for utlevering av opplysninger må</w:t>
      </w:r>
      <w:r w:rsidR="00403ACB">
        <w:t xml:space="preserve"> i så fall begrunnes i hensyn som veier tyngre enn hensynene bak taushetsplikten. </w:t>
      </w:r>
    </w:p>
    <w:p w14:paraId="25B24A4A" w14:textId="77777777" w:rsidR="00E43A3C" w:rsidRDefault="00E43A3C" w:rsidP="00403ACB">
      <w:pPr>
        <w:spacing w:line="276" w:lineRule="auto"/>
      </w:pPr>
    </w:p>
    <w:p w14:paraId="0246439F" w14:textId="7A38EB0B" w:rsidR="00943B16" w:rsidRDefault="00F244E2" w:rsidP="00AE6FFD">
      <w:pPr>
        <w:pStyle w:val="Overskrift3"/>
      </w:pPr>
      <w:bookmarkStart w:id="12" w:name="_Toc170468730"/>
      <w:r>
        <w:t>Gjeldende rett</w:t>
      </w:r>
      <w:bookmarkEnd w:id="12"/>
      <w:r>
        <w:t xml:space="preserve"> </w:t>
      </w:r>
    </w:p>
    <w:p w14:paraId="1ED916CC" w14:textId="237B7610" w:rsidR="00F05BB8" w:rsidRDefault="006341E3" w:rsidP="00F05BB8">
      <w:pPr>
        <w:spacing w:line="276" w:lineRule="auto"/>
      </w:pPr>
      <w:r>
        <w:t>O</w:t>
      </w:r>
      <w:r w:rsidR="00ED022C">
        <w:t xml:space="preserve">pplysninger om inntektsforhold som er innrapportert i henhold til skatteforvaltningsloven § 7-2, </w:t>
      </w:r>
      <w:r>
        <w:t xml:space="preserve">er omfattet av taushetsplikten etter skatteforvaltningsloven § 3-1. Det er gitt flere unntak fra bestemmelsen i skatteforvaltningsloven kapittel 3, for eksempel etter § 3-3 om utlevering til offentlige myndigheter og i § 3-6 om utlevering av opplysninger til bruk i arbeidet med pensjon.  </w:t>
      </w:r>
      <w:r w:rsidR="00F05BB8">
        <w:t>Etter skatteforvaltningsloven § 3-6 andre ledd er ikke taushetsplikten etter § 3-1 til hinder for at bl.a. pensjonsinnretninger som har offentlig tjenestepensjon kan få utlevert nødvendige lønnsopplysninger og opplysninger om pensjonsgivende inntekt for personer som mottar uførepensjon eller avtalefestet pensjon. Bestemmelsen gir hjemmel til å få utlevert opplysninger vedrørende personer som allerede mottar uførepensjon og/eller avtalefestet pensjon</w:t>
      </w:r>
      <w:r w:rsidR="007205A0">
        <w:t>.</w:t>
      </w:r>
      <w:r w:rsidR="00F05BB8">
        <w:t xml:space="preserve"> Opplysningene brukes til etteroppgjør av pensjon hvis det er avvik mellom den inntekt pensjonisten har oppgitt og den faktiske inntekten. </w:t>
      </w:r>
      <w:r w:rsidR="00CE2FE9">
        <w:t xml:space="preserve">Denne hjemmelen kan derfor ikke benyttes for å få tilgang til opplysninger </w:t>
      </w:r>
      <w:r w:rsidR="000B55D3">
        <w:t xml:space="preserve">som er nødvendige for å vurdere om </w:t>
      </w:r>
      <w:r w:rsidR="00CE2FE9">
        <w:t>søker</w:t>
      </w:r>
      <w:r w:rsidR="000B55D3">
        <w:t>en</w:t>
      </w:r>
      <w:r w:rsidR="00CE2FE9">
        <w:t xml:space="preserve"> har rett til AFP.</w:t>
      </w:r>
    </w:p>
    <w:p w14:paraId="7DDB6ECF" w14:textId="77777777" w:rsidR="00CE2FE9" w:rsidRDefault="00CE2FE9" w:rsidP="00CE2FE9">
      <w:pPr>
        <w:spacing w:line="276" w:lineRule="auto"/>
      </w:pPr>
    </w:p>
    <w:p w14:paraId="50924CF8" w14:textId="526D0D8B" w:rsidR="009813D3" w:rsidRDefault="000B55D3" w:rsidP="00CE2FE9">
      <w:pPr>
        <w:spacing w:line="276" w:lineRule="auto"/>
      </w:pPr>
      <w:r>
        <w:t xml:space="preserve">Gjeldende regler åpner mao. ikke for </w:t>
      </w:r>
      <w:r w:rsidR="009813D3">
        <w:t>at Skatteetaten kan dele opplysninger</w:t>
      </w:r>
      <w:r>
        <w:t xml:space="preserve"> </w:t>
      </w:r>
      <w:r w:rsidR="009813D3">
        <w:t xml:space="preserve">om inntektsforhold </w:t>
      </w:r>
      <w:r>
        <w:t xml:space="preserve">med kommunale </w:t>
      </w:r>
      <w:r w:rsidR="009813D3">
        <w:t>pensjonslever</w:t>
      </w:r>
      <w:r>
        <w:t>andører</w:t>
      </w:r>
      <w:r w:rsidR="009813D3">
        <w:t xml:space="preserve"> til bruk for deres arbeid med å v</w:t>
      </w:r>
      <w:r w:rsidR="00494EE5">
        <w:t>urdere om vilkårene for AF</w:t>
      </w:r>
      <w:r>
        <w:t>P</w:t>
      </w:r>
      <w:r w:rsidR="00494EE5">
        <w:t xml:space="preserve"> er oppfylt.</w:t>
      </w:r>
    </w:p>
    <w:p w14:paraId="7F1896F9" w14:textId="77777777" w:rsidR="009813D3" w:rsidRDefault="009813D3" w:rsidP="00CE2FE9">
      <w:pPr>
        <w:spacing w:line="276" w:lineRule="auto"/>
      </w:pPr>
    </w:p>
    <w:p w14:paraId="28803F02" w14:textId="3CAD5D25" w:rsidR="00494EE5" w:rsidRDefault="009813D3" w:rsidP="004C7E3C">
      <w:pPr>
        <w:spacing w:line="276" w:lineRule="auto"/>
      </w:pPr>
      <w:r>
        <w:t xml:space="preserve">Regler om Arbeids- og velferdsetatens adgang til å dele opplysninger </w:t>
      </w:r>
      <w:r w:rsidR="00494EE5">
        <w:t xml:space="preserve">om arbeidsforhold følger av forskrift om Arbeidsgiver- og arbeidstakerregisteret § 10. Arbeids- og velferdsetaten har i forskriften § 10 hjemmel til etter søknad å utlevere opplysninger til nærmere angitte formål nevnt i bokstav a til e. Private pensjonsinnretninger kan etter bokstav c gis tilgang til opplysninger om arbeidsforhold til bruk i arbeidet med pensjonsordning etter innskuddspensjonsloven, foretakspensjonsloven eller tjenestepensjonsloven. Pensjonsinnretninger som tilbyr kommunal pensjonsordning er </w:t>
      </w:r>
      <w:r w:rsidR="00494EE5">
        <w:lastRenderedPageBreak/>
        <w:t xml:space="preserve">ikke omfattet av denne bestemmelsen, og heller ikke opplysninger til bruk i arbeidet med AFP i offentlig sektor.  </w:t>
      </w:r>
    </w:p>
    <w:p w14:paraId="52D1C529" w14:textId="77777777" w:rsidR="00CE2FE9" w:rsidRDefault="00CE2FE9" w:rsidP="004C7E3C">
      <w:pPr>
        <w:spacing w:line="276" w:lineRule="auto"/>
      </w:pPr>
    </w:p>
    <w:p w14:paraId="0ABF9DB8" w14:textId="37C3CB95" w:rsidR="004C7E3C" w:rsidRPr="004C7E3C" w:rsidRDefault="00CA71AD" w:rsidP="004C7E3C">
      <w:pPr>
        <w:spacing w:line="276" w:lineRule="auto"/>
        <w:rPr>
          <w:rFonts w:ascii="Calibri" w:hAnsi="Calibri"/>
          <w:color w:val="333333"/>
          <w:sz w:val="22"/>
        </w:rPr>
      </w:pPr>
      <w:r>
        <w:t xml:space="preserve">Statens </w:t>
      </w:r>
      <w:r w:rsidR="004A1C42">
        <w:t>p</w:t>
      </w:r>
      <w:r>
        <w:t xml:space="preserve">ensjonskasse </w:t>
      </w:r>
      <w:r w:rsidR="00012A63">
        <w:t xml:space="preserve">har </w:t>
      </w:r>
      <w:r>
        <w:t xml:space="preserve">en egen hjemmel </w:t>
      </w:r>
      <w:r w:rsidR="00012A63">
        <w:t xml:space="preserve">i lov om Statens </w:t>
      </w:r>
      <w:r w:rsidR="004A1C42">
        <w:t>p</w:t>
      </w:r>
      <w:r w:rsidR="00012A63">
        <w:t xml:space="preserve">ensjonskasse § 45 til </w:t>
      </w:r>
      <w:r>
        <w:t xml:space="preserve">å innhente </w:t>
      </w:r>
      <w:r w:rsidR="00012A63">
        <w:t>nødvendige o</w:t>
      </w:r>
      <w:r>
        <w:t>ppl</w:t>
      </w:r>
      <w:r w:rsidR="00012A63">
        <w:t>ysninger</w:t>
      </w:r>
      <w:r>
        <w:t xml:space="preserve"> </w:t>
      </w:r>
      <w:r w:rsidR="00DB0A4D" w:rsidRPr="00DB0A4D">
        <w:rPr>
          <w:rFonts w:cs="Open Sans"/>
          <w:color w:val="333333"/>
        </w:rPr>
        <w:t>for å forvalte de ordningene SPK administrerer fra blant annet arbeidsgiver, offentlig myndighet og institusjon som administrerer annen pensjons- eller trygdeordning uten hinder av taushetsplikt</w:t>
      </w:r>
      <w:r w:rsidR="00DB0A4D" w:rsidRPr="004C7E3C">
        <w:rPr>
          <w:rFonts w:cs="Open Sans"/>
          <w:color w:val="333333"/>
        </w:rPr>
        <w:t>.</w:t>
      </w:r>
      <w:r w:rsidR="004C7E3C" w:rsidRPr="004C7E3C">
        <w:rPr>
          <w:color w:val="333333"/>
        </w:rPr>
        <w:t xml:space="preserve"> </w:t>
      </w:r>
      <w:r w:rsidR="004C7E3C" w:rsidRPr="004C7E3C">
        <w:t xml:space="preserve">Bestemmelsen i § 45 åpner ikke for tilgang til </w:t>
      </w:r>
      <w:r w:rsidR="004C7E3C" w:rsidRPr="004C7E3C">
        <w:rPr>
          <w:color w:val="333333"/>
        </w:rPr>
        <w:t xml:space="preserve">løpende innrapporterte inntektsopplysninger og grunnlaget for pensjonsgivende inntekt fra skatteoppgjøret. </w:t>
      </w:r>
      <w:r w:rsidR="004C7E3C" w:rsidRPr="004C7E3C">
        <w:t xml:space="preserve">Arbeids- og inkluderingsdepartementet vil derfor om kort tid sende på høring et forslag om at SPK gis hjemmel til å </w:t>
      </w:r>
      <w:r w:rsidR="004C7E3C" w:rsidRPr="004C7E3C">
        <w:rPr>
          <w:color w:val="333333"/>
        </w:rPr>
        <w:t>innhente nødvendige opplysninger som er gitt etter skatteforvaltningsloven § 7-2 og opplysninger om pensjonsgivende inntekt fra skattemyndighetene for å vurdere om søkeren har rett til avtalefestet pensjon.</w:t>
      </w:r>
    </w:p>
    <w:p w14:paraId="74124BCC" w14:textId="77777777" w:rsidR="004C7E3C" w:rsidRDefault="004C7E3C" w:rsidP="004C7E3C">
      <w:pPr>
        <w:spacing w:line="276" w:lineRule="auto"/>
      </w:pPr>
    </w:p>
    <w:p w14:paraId="4EF7DFA6" w14:textId="7DCC2971" w:rsidR="00CA71AD" w:rsidRDefault="00142EB8" w:rsidP="00770639">
      <w:pPr>
        <w:spacing w:line="276" w:lineRule="auto"/>
      </w:pPr>
      <w:r>
        <w:t>Arbeids- og velferdsetaten har hjemmel til å utlevere opplysninger fra Aa-registeret til SPK i forskrift om Arbeidsgiver- og arbeidstakerregisteret § 10 bokstav e, jf. § 3 nr. 6, i kraft av at SPK utøver offentlig myndighet når de administrerer AFP etter lov om avtalefestet pensjon for medlemmer av Statens pensjon</w:t>
      </w:r>
      <w:r w:rsidR="00902529">
        <w:t xml:space="preserve">skasse </w:t>
      </w:r>
      <w:r>
        <w:t>og tjenestepensjoner etter lov om</w:t>
      </w:r>
      <w:r w:rsidR="00902529">
        <w:t xml:space="preserve"> </w:t>
      </w:r>
      <w:r>
        <w:t xml:space="preserve">Statens pensjonskasse. </w:t>
      </w:r>
      <w:r w:rsidR="00CA71AD" w:rsidRPr="00DB0A4D">
        <w:t>Leverandører av kommunal tjenestepensjon har ikke tilsvarende hjem</w:t>
      </w:r>
      <w:r w:rsidR="00C517DE">
        <w:t>mel</w:t>
      </w:r>
      <w:r w:rsidR="00CA71AD" w:rsidRPr="00DB0A4D">
        <w:t xml:space="preserve"> i dag</w:t>
      </w:r>
      <w:r w:rsidR="00CA71AD">
        <w:t>.</w:t>
      </w:r>
    </w:p>
    <w:p w14:paraId="607838E8" w14:textId="77777777" w:rsidR="004A1C42" w:rsidRDefault="004A1C42" w:rsidP="00770639">
      <w:pPr>
        <w:spacing w:line="276" w:lineRule="auto"/>
      </w:pPr>
    </w:p>
    <w:p w14:paraId="33BA4743" w14:textId="188B113E" w:rsidR="00990368" w:rsidRDefault="001370AF" w:rsidP="00990368">
      <w:pPr>
        <w:spacing w:line="276" w:lineRule="auto"/>
      </w:pPr>
      <w:r w:rsidRPr="00D70B4B">
        <w:t>Ved lov 12. april 2024 nr. 14 er det gjennomført endringer i lov om avtalefestet pensjon for medlemmer av Statens pensjonskasse, jf. forslag i Prop</w:t>
      </w:r>
      <w:r w:rsidR="00D7456D">
        <w:t>.</w:t>
      </w:r>
      <w:r w:rsidRPr="00D70B4B">
        <w:t xml:space="preserve"> </w:t>
      </w:r>
      <w:r w:rsidRPr="00A31258">
        <w:t>35 L (2023-2024). I loven § 13 tredje ledd har Statens pensjonsk</w:t>
      </w:r>
      <w:r w:rsidR="004A1C42" w:rsidRPr="00A31258">
        <w:t xml:space="preserve">asse </w:t>
      </w:r>
      <w:r w:rsidR="00990368" w:rsidRPr="00A31258">
        <w:t>rett til å innhente opplysninger fra nåværende eller tidligere arbeidsgivere om arbeidstakerens eller pensjonistens arbeids- og inntektsforhold som er nødvendige for å forvalte og beregne avtalefestet pensjon. Det følger av bestemmelsen at den som pålegges å gi opplysninger, plikter å gjøre dette uten godtgjørelse og uten hinder av taushetsplikt. Bestemmelsen trer i kraft 1. januar 2025. Det er ikke gitt tilsvarende bestemmelse for leverandører av kommunal tjenestepensjon.</w:t>
      </w:r>
      <w:r w:rsidR="00990368">
        <w:t xml:space="preserve"> </w:t>
      </w:r>
    </w:p>
    <w:p w14:paraId="672D6540" w14:textId="77777777" w:rsidR="00A76FE9" w:rsidRDefault="00A76FE9" w:rsidP="00990368">
      <w:pPr>
        <w:spacing w:line="276" w:lineRule="auto"/>
      </w:pPr>
    </w:p>
    <w:p w14:paraId="1348855A" w14:textId="4CB910DD" w:rsidR="00321271" w:rsidRDefault="00321271" w:rsidP="00203F3C">
      <w:pPr>
        <w:pStyle w:val="Overskrift2"/>
      </w:pPr>
      <w:bookmarkStart w:id="13" w:name="_Toc170468731"/>
      <w:r>
        <w:t xml:space="preserve">Deling av opplysninger om </w:t>
      </w:r>
      <w:r w:rsidR="009F0DF1">
        <w:t xml:space="preserve">opptjent </w:t>
      </w:r>
      <w:r w:rsidR="00572117">
        <w:t>pensjonsbeholdning</w:t>
      </w:r>
      <w:r w:rsidR="0019413A">
        <w:t xml:space="preserve"> i</w:t>
      </w:r>
      <w:r w:rsidR="00572117">
        <w:t xml:space="preserve"> </w:t>
      </w:r>
      <w:r w:rsidR="009F0DF1">
        <w:t>folketrygd</w:t>
      </w:r>
      <w:r w:rsidR="0019413A">
        <w:t>en</w:t>
      </w:r>
      <w:r w:rsidR="009F0DF1">
        <w:t xml:space="preserve"> mv. fra Arbeids- og velferdsetaten</w:t>
      </w:r>
      <w:bookmarkEnd w:id="13"/>
      <w:r w:rsidR="009F0DF1">
        <w:t xml:space="preserve"> </w:t>
      </w:r>
    </w:p>
    <w:p w14:paraId="702A51CB" w14:textId="584CF1B3" w:rsidR="00FF59C6" w:rsidRDefault="00FF59C6" w:rsidP="00FF59C6">
      <w:pPr>
        <w:pStyle w:val="Overskrift3"/>
      </w:pPr>
      <w:bookmarkStart w:id="14" w:name="_Toc170468732"/>
      <w:r>
        <w:t>Innledning</w:t>
      </w:r>
      <w:bookmarkEnd w:id="14"/>
    </w:p>
    <w:p w14:paraId="1FE43E1C" w14:textId="18B1BDE8" w:rsidR="009E7AFC" w:rsidRDefault="009E7AFC" w:rsidP="00367275">
      <w:pPr>
        <w:spacing w:line="276" w:lineRule="auto"/>
      </w:pPr>
      <w:r>
        <w:t xml:space="preserve">Ny AFP </w:t>
      </w:r>
      <w:r w:rsidR="00763D5E">
        <w:t xml:space="preserve">i offentlig sektor </w:t>
      </w:r>
      <w:r>
        <w:t xml:space="preserve">skal beregnes på grunnlag av </w:t>
      </w:r>
      <w:r w:rsidR="005A02E7">
        <w:t>de samme opptjeningselementene som inngår i beregning av alderspensjon etter folketrygdloven</w:t>
      </w:r>
      <w:r w:rsidR="00763D5E">
        <w:t xml:space="preserve"> kapittel 20. De </w:t>
      </w:r>
      <w:r w:rsidR="005A02E7">
        <w:t>samme opptjeningselemente</w:t>
      </w:r>
      <w:r>
        <w:t>ne</w:t>
      </w:r>
      <w:r w:rsidR="005A02E7">
        <w:t xml:space="preserve"> brukes </w:t>
      </w:r>
      <w:r w:rsidR="008D33FF">
        <w:t xml:space="preserve">også </w:t>
      </w:r>
      <w:r w:rsidR="005A02E7">
        <w:t>i beregningen av AFP i privat sektor. Det vises til nærmere omtale i Prop. 35 L (2023-2024) kap. 6.2</w:t>
      </w:r>
      <w:r>
        <w:t>.</w:t>
      </w:r>
    </w:p>
    <w:p w14:paraId="439FEA2E" w14:textId="77777777" w:rsidR="009E7AFC" w:rsidRDefault="009E7AFC" w:rsidP="00367275">
      <w:pPr>
        <w:spacing w:line="276" w:lineRule="auto"/>
      </w:pPr>
    </w:p>
    <w:p w14:paraId="161CF946" w14:textId="3947B3FA" w:rsidR="009E7AFC" w:rsidRDefault="009E7AFC" w:rsidP="00367275">
      <w:pPr>
        <w:spacing w:line="276" w:lineRule="auto"/>
      </w:pPr>
      <w:r>
        <w:t>Pensjonsleverandørene som skal vurdere og beh</w:t>
      </w:r>
      <w:r w:rsidR="00763D5E">
        <w:t>a</w:t>
      </w:r>
      <w:r>
        <w:t>ndle søknader om</w:t>
      </w:r>
      <w:r w:rsidR="00763D5E">
        <w:t xml:space="preserve"> </w:t>
      </w:r>
      <w:r>
        <w:t xml:space="preserve">AFP </w:t>
      </w:r>
      <w:r w:rsidR="00313666">
        <w:t xml:space="preserve">i offentlig sektor </w:t>
      </w:r>
      <w:r>
        <w:t>tre</w:t>
      </w:r>
      <w:r w:rsidR="00763D5E">
        <w:t xml:space="preserve">nger derfor </w:t>
      </w:r>
      <w:r>
        <w:t xml:space="preserve">opplysninger </w:t>
      </w:r>
      <w:r w:rsidR="00763D5E">
        <w:t xml:space="preserve">om </w:t>
      </w:r>
      <w:r w:rsidR="00367275">
        <w:t xml:space="preserve">søkerens opptjente pensjonsbeholdning mv. i folketrygden. </w:t>
      </w:r>
    </w:p>
    <w:p w14:paraId="6A4DD297" w14:textId="77777777" w:rsidR="009E7AFC" w:rsidRDefault="009E7AFC" w:rsidP="00367275">
      <w:pPr>
        <w:spacing w:line="276" w:lineRule="auto"/>
      </w:pPr>
    </w:p>
    <w:p w14:paraId="581086E2" w14:textId="58E50DBE" w:rsidR="009E7AFC" w:rsidRDefault="009E7AFC" w:rsidP="009E7AFC">
      <w:pPr>
        <w:pStyle w:val="Overskrift3"/>
      </w:pPr>
      <w:bookmarkStart w:id="15" w:name="_Toc170468733"/>
      <w:r>
        <w:t>Gjeldende re</w:t>
      </w:r>
      <w:r w:rsidR="00801F3D">
        <w:t>tt</w:t>
      </w:r>
      <w:bookmarkEnd w:id="15"/>
    </w:p>
    <w:p w14:paraId="36B4E456" w14:textId="4E86B1DC" w:rsidR="00B058BC" w:rsidRDefault="00C352F9" w:rsidP="00367275">
      <w:pPr>
        <w:spacing w:line="276" w:lineRule="auto"/>
      </w:pPr>
      <w:r>
        <w:t>F</w:t>
      </w:r>
      <w:r w:rsidR="00B058BC">
        <w:t xml:space="preserve">olketrygdloven § 20-4 </w:t>
      </w:r>
      <w:r>
        <w:t xml:space="preserve">gir regler om pensjonsbeholdning </w:t>
      </w:r>
      <w:r w:rsidR="00F33115">
        <w:t xml:space="preserve">i folketrygden </w:t>
      </w:r>
      <w:r>
        <w:t xml:space="preserve">og opptjening av denne. Medlemmets pensjonsbeholdning danner grunnlag for </w:t>
      </w:r>
      <w:r w:rsidR="00F33115">
        <w:t xml:space="preserve">den del av alderspensjon fra folketrygden som kalles inntektspensjon. Pensjonsbeholdningen </w:t>
      </w:r>
      <w:r>
        <w:t xml:space="preserve"> bygges opp </w:t>
      </w:r>
      <w:r w:rsidR="00F33115">
        <w:t>gjennom</w:t>
      </w:r>
      <w:r>
        <w:t xml:space="preserve"> årlig pensjonsopptjening. Pensjonsopptjening skjer på grunnlag av </w:t>
      </w:r>
      <w:r w:rsidR="00B058BC">
        <w:t xml:space="preserve">pensjonsgivende inntekt, avtjent førstegangstjeneste, mottak av dagpenger, mottak av uføretrygd og omsorgsarbeid. </w:t>
      </w:r>
    </w:p>
    <w:p w14:paraId="5ECA8738" w14:textId="77777777" w:rsidR="00B058BC" w:rsidRDefault="00B058BC" w:rsidP="00367275">
      <w:pPr>
        <w:spacing w:line="276" w:lineRule="auto"/>
      </w:pPr>
    </w:p>
    <w:p w14:paraId="473EF52B" w14:textId="62D87CBF" w:rsidR="001A4EBE" w:rsidRDefault="00763D5E" w:rsidP="00367275">
      <w:pPr>
        <w:spacing w:line="276" w:lineRule="auto"/>
        <w:rPr>
          <w:color w:val="333333"/>
          <w:szCs w:val="24"/>
          <w:shd w:val="clear" w:color="auto" w:fill="FFFFFF"/>
        </w:rPr>
      </w:pPr>
      <w:r>
        <w:t>Det er Arbeids-</w:t>
      </w:r>
      <w:r w:rsidR="000D5ED3">
        <w:t xml:space="preserve"> </w:t>
      </w:r>
      <w:r>
        <w:t>og ve</w:t>
      </w:r>
      <w:r w:rsidR="00CB7C1D">
        <w:t>l</w:t>
      </w:r>
      <w:r>
        <w:t>ferds</w:t>
      </w:r>
      <w:r w:rsidR="00CB7C1D">
        <w:t xml:space="preserve">etaten som forvalter opplysningene om ytelser og opptjening i folketrygden. </w:t>
      </w:r>
      <w:r w:rsidR="001A4EBE">
        <w:t xml:space="preserve">Etter arbeids- og velferdsforvaltningsloven § 7 har ansatte i Arbeids- og velferdsetaten taushetsplikt etter forvaltningsloven §§ 13 til 13 e og 13 g. Taushetsplikten gjelder også  </w:t>
      </w:r>
      <w:r w:rsidR="001A4EBE" w:rsidRPr="001A4EBE">
        <w:rPr>
          <w:color w:val="333333"/>
          <w:szCs w:val="24"/>
          <w:shd w:val="clear" w:color="auto" w:fill="FFFFFF"/>
        </w:rPr>
        <w:t>fødested, fødselsdato, personnummer, statsborgerforhold, sivilstand, yrke, bosted og arbeidssted. Det kan bare gjøres unntak fra taushetsplikten når dette følger av bestemmelsene i andre til fjerde ledd eller av andre bestemmelser gitt i eller i medhold av lov</w:t>
      </w:r>
      <w:r w:rsidR="001A4EBE">
        <w:rPr>
          <w:color w:val="333333"/>
          <w:szCs w:val="24"/>
          <w:shd w:val="clear" w:color="auto" w:fill="FFFFFF"/>
        </w:rPr>
        <w:t>.</w:t>
      </w:r>
    </w:p>
    <w:p w14:paraId="2E06C4F4" w14:textId="77777777" w:rsidR="001A4EBE" w:rsidRDefault="001A4EBE" w:rsidP="00367275">
      <w:pPr>
        <w:spacing w:line="276" w:lineRule="auto"/>
      </w:pPr>
    </w:p>
    <w:p w14:paraId="63FE35A2" w14:textId="254CB2D6" w:rsidR="00BE3F1E" w:rsidRDefault="00367275" w:rsidP="00367275">
      <w:pPr>
        <w:spacing w:line="276" w:lineRule="auto"/>
      </w:pPr>
      <w:r w:rsidRPr="00D70B4B">
        <w:rPr>
          <w:lang w:val="nn-NO"/>
        </w:rPr>
        <w:t>Etter forslag i Prop. 35 L</w:t>
      </w:r>
      <w:r w:rsidR="00F90E46" w:rsidRPr="00D70B4B">
        <w:rPr>
          <w:lang w:val="nn-NO"/>
        </w:rPr>
        <w:t xml:space="preserve"> (2023-2024),</w:t>
      </w:r>
      <w:r w:rsidRPr="00D70B4B">
        <w:rPr>
          <w:lang w:val="nn-NO"/>
        </w:rPr>
        <w:t xml:space="preserve"> jf. Innst. 231 L (2023-2024), er det </w:t>
      </w:r>
      <w:r w:rsidR="00192116" w:rsidRPr="00D70B4B">
        <w:rPr>
          <w:lang w:val="nn-NO"/>
        </w:rPr>
        <w:t xml:space="preserve">ved lov 12. april 2024 nr. 14 gjennomført endringer i </w:t>
      </w:r>
      <w:r w:rsidRPr="00D70B4B">
        <w:rPr>
          <w:lang w:val="nn-NO"/>
        </w:rPr>
        <w:t>lov 25. juni 2010 nr. 28 om avtalefestet pensjon for medlemmer av Statens pensjonskasse</w:t>
      </w:r>
      <w:r w:rsidR="00192116" w:rsidRPr="00D70B4B">
        <w:rPr>
          <w:lang w:val="nn-NO"/>
        </w:rPr>
        <w:t xml:space="preserve">. </w:t>
      </w:r>
      <w:r w:rsidR="00A66CA5" w:rsidRPr="00D70B4B">
        <w:t xml:space="preserve">Reglene trer i kraft 1. januar 2025. </w:t>
      </w:r>
      <w:r w:rsidR="00192116">
        <w:t xml:space="preserve">I § 13 annet ledd er det gitt regler om </w:t>
      </w:r>
      <w:r>
        <w:t>utlevering av opplysninger om pensjonsbeholdning etter folketrygden fra Arbeids- og vedferdsetaten til Statens pensjon</w:t>
      </w:r>
      <w:r w:rsidR="00313666">
        <w:t>s</w:t>
      </w:r>
      <w:r>
        <w:t>kasse. Etter bestemm</w:t>
      </w:r>
      <w:r w:rsidR="00236D0F">
        <w:t>elsen</w:t>
      </w:r>
      <w:r>
        <w:t xml:space="preserve"> skal Arbeids- og velferdsetaten utlevere nødvendige opplysninger om forhold som etaten forvalter, og som er nødvendige for vilkårsprøving og beregning av AFP,</w:t>
      </w:r>
      <w:r w:rsidR="00236D0F">
        <w:t xml:space="preserve"> </w:t>
      </w:r>
      <w:r>
        <w:t xml:space="preserve">samt for premieberegning og beregning av forventet pensjon. </w:t>
      </w:r>
      <w:r w:rsidR="00BE3F1E">
        <w:t xml:space="preserve">Lov 25. juni 2010 nr. 28 om avtalefestet pensjon for medlemmer av Statens pensjonskasse § 13 </w:t>
      </w:r>
      <w:r w:rsidR="00192116">
        <w:t>annet ledd lyder:</w:t>
      </w:r>
      <w:r w:rsidR="00BE3F1E">
        <w:t xml:space="preserve"> </w:t>
      </w:r>
    </w:p>
    <w:p w14:paraId="16F4DE00" w14:textId="77777777" w:rsidR="00367275" w:rsidRDefault="00367275" w:rsidP="00367275">
      <w:pPr>
        <w:spacing w:line="276" w:lineRule="auto"/>
        <w:rPr>
          <w:rFonts w:ascii="Berlingske Serif Text" w:hAnsi="Berlingske Serif Text"/>
          <w:color w:val="111720"/>
          <w:sz w:val="27"/>
          <w:szCs w:val="27"/>
          <w:shd w:val="clear" w:color="auto" w:fill="FFFFFF"/>
        </w:rPr>
      </w:pPr>
    </w:p>
    <w:p w14:paraId="4AF556A1" w14:textId="0D7A0958" w:rsidR="00367275" w:rsidRPr="00BF6A03" w:rsidRDefault="0061342F" w:rsidP="00BF6A03">
      <w:pPr>
        <w:spacing w:line="276" w:lineRule="auto"/>
        <w:ind w:left="567"/>
        <w:rPr>
          <w:i/>
          <w:iCs/>
          <w:color w:val="111720"/>
          <w:szCs w:val="24"/>
          <w:shd w:val="clear" w:color="auto" w:fill="FFFFFF"/>
        </w:rPr>
      </w:pPr>
      <w:r>
        <w:rPr>
          <w:i/>
          <w:iCs/>
          <w:color w:val="111720"/>
          <w:szCs w:val="24"/>
          <w:shd w:val="clear" w:color="auto" w:fill="FFFFFF"/>
        </w:rPr>
        <w:t>«</w:t>
      </w:r>
      <w:r w:rsidR="00367275" w:rsidRPr="00BF6A03">
        <w:rPr>
          <w:i/>
          <w:iCs/>
          <w:color w:val="111720"/>
          <w:szCs w:val="24"/>
          <w:shd w:val="clear" w:color="auto" w:fill="FFFFFF"/>
        </w:rPr>
        <w:t xml:space="preserve">Arbeids- og velferdsetaten skal levere den samlede pensjonsbeholdningen beregnet etter folketrygdloven § 20-4 og andre opplysninger som er nødvendige for premieberegningen, beregning av framtidig pensjon, vilkårsprøving og beregning av avtalefestet pensjon. Taushetsplikten etter arbeids- og velferdsforvaltningsloven § 7 er ikke til hinder for utveksling av opplysninger mellom Arbeids- og velferdsetaten og </w:t>
      </w:r>
      <w:r w:rsidR="00367275" w:rsidRPr="00BF6A03">
        <w:rPr>
          <w:i/>
          <w:iCs/>
          <w:color w:val="111720"/>
          <w:szCs w:val="24"/>
          <w:shd w:val="clear" w:color="auto" w:fill="FFFFFF"/>
        </w:rPr>
        <w:lastRenderedPageBreak/>
        <w:t>Statens pensjonskasse i den utstrekning dette er nødvendig for å fremme oppgaver etter loven her.</w:t>
      </w:r>
      <w:r>
        <w:rPr>
          <w:i/>
          <w:iCs/>
          <w:color w:val="111720"/>
          <w:szCs w:val="24"/>
          <w:shd w:val="clear" w:color="auto" w:fill="FFFFFF"/>
        </w:rPr>
        <w:t>»</w:t>
      </w:r>
    </w:p>
    <w:p w14:paraId="410933E8" w14:textId="77777777" w:rsidR="00367275" w:rsidRDefault="00367275" w:rsidP="00367275">
      <w:pPr>
        <w:spacing w:line="276" w:lineRule="auto"/>
        <w:rPr>
          <w:color w:val="111720"/>
          <w:szCs w:val="24"/>
          <w:shd w:val="clear" w:color="auto" w:fill="FFFFFF"/>
        </w:rPr>
      </w:pPr>
    </w:p>
    <w:p w14:paraId="75196346" w14:textId="5A8569FB" w:rsidR="00367275" w:rsidRDefault="005B7D7F" w:rsidP="00367275">
      <w:pPr>
        <w:spacing w:line="276" w:lineRule="auto"/>
      </w:pPr>
      <w:r>
        <w:rPr>
          <w:rFonts w:cs="Open Sans"/>
          <w:color w:val="333333"/>
        </w:rPr>
        <w:t>Det fremgår av bestemmelsen at Arbeids- og velferdsetaten i tillegg til opplysninger om samlet pensjonsbeholdning beregnet etter folketrygdloven § 20-4 skal utlevere «andre opplysninger» som</w:t>
      </w:r>
      <w:r w:rsidR="00CD391F">
        <w:rPr>
          <w:rFonts w:cs="Open Sans"/>
          <w:color w:val="333333"/>
        </w:rPr>
        <w:t xml:space="preserve"> </w:t>
      </w:r>
      <w:r>
        <w:rPr>
          <w:rFonts w:cs="Open Sans"/>
          <w:color w:val="333333"/>
        </w:rPr>
        <w:t xml:space="preserve">er nødvendige for premieberegningen mv. </w:t>
      </w:r>
      <w:r w:rsidR="00CD391F">
        <w:rPr>
          <w:rFonts w:cs="Open Sans"/>
          <w:color w:val="333333"/>
        </w:rPr>
        <w:t xml:space="preserve">I </w:t>
      </w:r>
      <w:r w:rsidR="00367275">
        <w:rPr>
          <w:color w:val="111720"/>
          <w:szCs w:val="24"/>
          <w:shd w:val="clear" w:color="auto" w:fill="FFFFFF"/>
        </w:rPr>
        <w:t xml:space="preserve">Prop. 35 L </w:t>
      </w:r>
      <w:r w:rsidR="00236D0F">
        <w:rPr>
          <w:color w:val="111720"/>
          <w:szCs w:val="24"/>
          <w:shd w:val="clear" w:color="auto" w:fill="FFFFFF"/>
        </w:rPr>
        <w:t>(2023-2024) k</w:t>
      </w:r>
      <w:r w:rsidR="00367275">
        <w:rPr>
          <w:color w:val="111720"/>
          <w:szCs w:val="24"/>
          <w:shd w:val="clear" w:color="auto" w:fill="FFFFFF"/>
        </w:rPr>
        <w:t xml:space="preserve">ap. </w:t>
      </w:r>
      <w:r w:rsidR="00BF5B53">
        <w:rPr>
          <w:color w:val="111720"/>
          <w:szCs w:val="24"/>
          <w:shd w:val="clear" w:color="auto" w:fill="FFFFFF"/>
        </w:rPr>
        <w:t>9.3</w:t>
      </w:r>
      <w:r w:rsidR="00367275">
        <w:rPr>
          <w:color w:val="111720"/>
          <w:szCs w:val="24"/>
          <w:shd w:val="clear" w:color="auto" w:fill="FFFFFF"/>
        </w:rPr>
        <w:t xml:space="preserve"> er det </w:t>
      </w:r>
      <w:r w:rsidR="0061342F">
        <w:rPr>
          <w:color w:val="111720"/>
          <w:szCs w:val="24"/>
          <w:shd w:val="clear" w:color="auto" w:fill="FFFFFF"/>
        </w:rPr>
        <w:t>utdypet nærmere hvilke</w:t>
      </w:r>
      <w:r w:rsidR="00367275">
        <w:rPr>
          <w:color w:val="111720"/>
          <w:szCs w:val="24"/>
          <w:shd w:val="clear" w:color="auto" w:fill="FFFFFF"/>
        </w:rPr>
        <w:t xml:space="preserve"> opplysninger</w:t>
      </w:r>
      <w:r w:rsidR="00D871D2">
        <w:rPr>
          <w:color w:val="111720"/>
          <w:szCs w:val="24"/>
          <w:shd w:val="clear" w:color="auto" w:fill="FFFFFF"/>
        </w:rPr>
        <w:t xml:space="preserve"> det kan være aktuelt å utlevere.</w:t>
      </w:r>
      <w:r w:rsidR="00CD391F">
        <w:rPr>
          <w:color w:val="111720"/>
          <w:szCs w:val="24"/>
          <w:shd w:val="clear" w:color="auto" w:fill="FFFFFF"/>
        </w:rPr>
        <w:t xml:space="preserve"> Opplysninger om f.eks. sykepenger, arbeidsavklaringspenger og uføretrygd </w:t>
      </w:r>
      <w:r w:rsidR="00D871D2">
        <w:rPr>
          <w:color w:val="111720"/>
          <w:szCs w:val="24"/>
          <w:shd w:val="clear" w:color="auto" w:fill="FFFFFF"/>
        </w:rPr>
        <w:t xml:space="preserve">vil </w:t>
      </w:r>
      <w:r w:rsidR="00CD391F">
        <w:rPr>
          <w:color w:val="111720"/>
          <w:szCs w:val="24"/>
          <w:shd w:val="clear" w:color="auto" w:fill="FFFFFF"/>
        </w:rPr>
        <w:t>kunne være slike «andre opplysninger». I kap. 9.3. uttales bl.a.:</w:t>
      </w:r>
    </w:p>
    <w:p w14:paraId="6A027946" w14:textId="77777777" w:rsidR="00367275" w:rsidRPr="002C2AA0" w:rsidRDefault="00367275" w:rsidP="00367275">
      <w:pPr>
        <w:pStyle w:val="Sitat"/>
        <w:spacing w:line="240" w:lineRule="auto"/>
        <w:jc w:val="left"/>
      </w:pPr>
      <w:r w:rsidRPr="002C2AA0">
        <w:t>«Departementet foreslår at Arbeids- og velferdsetaten må utlevere pensjonsbeholdningen beregnet etter reglene i folketrygdloven kapittel 20, det vil si beholdningen som består av summen av årlig pensjonsopptjening som er fastsatt på det tidspunktet tjenestepensjonsleverandørene spør, men kun medregnet opptjening for år til og med året den enkelte fyller 61 år. Videre må etaten ettersende tilvekst i opptjeningen for år til og med året pensjonisten fyller 61 år.</w:t>
      </w:r>
    </w:p>
    <w:p w14:paraId="7BF37494" w14:textId="77777777" w:rsidR="00367275" w:rsidRPr="002C2AA0" w:rsidRDefault="00367275" w:rsidP="00367275">
      <w:pPr>
        <w:pStyle w:val="Sitat"/>
        <w:spacing w:line="240" w:lineRule="auto"/>
        <w:jc w:val="left"/>
      </w:pPr>
      <w:r w:rsidRPr="002C2AA0">
        <w:t>I denne summen inngår alle opptjeningselementene: opptjening for pensjonsgivende inntekt, for perioder med mottak av uføretrygd og dagpenger, avtjening av førstegangstjeneste og omsorgsperioder. I Arbeids- og velferdsetatens beregning av pensjonsbeholdning er årlig opptjening 18,1 prosent av et beløp begrenset oppad til 7,1 G. Det vil si at begrensningen på årlig grunnlag som gir opptjening er likt opptjeningsgrunnlaget for ny AFP. Dette betyr at etaten kan utveksle opplysninger om beholdningen direkte, og at SPK selv kan omregne dette grunnlaget til en AFP-beholdning med satsene som går fram av loven.</w:t>
      </w:r>
    </w:p>
    <w:p w14:paraId="45CC3F29" w14:textId="77777777" w:rsidR="00367275" w:rsidRPr="002C2AA0" w:rsidRDefault="00367275" w:rsidP="00367275">
      <w:pPr>
        <w:pStyle w:val="Sitat"/>
        <w:spacing w:line="240" w:lineRule="auto"/>
        <w:jc w:val="left"/>
      </w:pPr>
      <w:r w:rsidRPr="002C2AA0">
        <w:t>Videre legges det opp til at Arbeids- og velferdsetaten utveksler informasjon med SPK om mottak av ytelser som etaten har oversikt over og som er nødvendig for vilkårsprøving av ny AFP. Dette kan for eksempel være mottak av uføretrygd, dagpenger, arbeidsavklaringspenger og sykepenger, samt opplysning om mottak av AFP fra andre ordninger.»</w:t>
      </w:r>
    </w:p>
    <w:p w14:paraId="479FE93A" w14:textId="77777777" w:rsidR="00367275" w:rsidRDefault="00367275" w:rsidP="00367275">
      <w:pPr>
        <w:pStyle w:val="NormalWeb"/>
        <w:shd w:val="clear" w:color="auto" w:fill="FFFFFF"/>
        <w:spacing w:before="0" w:beforeAutospacing="0" w:after="0" w:afterAutospacing="0" w:line="390" w:lineRule="atLeast"/>
        <w:rPr>
          <w:rFonts w:ascii="Open Sans" w:hAnsi="Open Sans" w:cs="Open Sans"/>
          <w:color w:val="333333"/>
        </w:rPr>
      </w:pPr>
    </w:p>
    <w:p w14:paraId="7358D33F" w14:textId="6AD31657" w:rsidR="00B46FFB" w:rsidRPr="005B7D7F" w:rsidRDefault="00622B9A" w:rsidP="00B46FFB">
      <w:pPr>
        <w:spacing w:line="276" w:lineRule="auto"/>
        <w:rPr>
          <w:color w:val="111720"/>
          <w:szCs w:val="24"/>
          <w:shd w:val="clear" w:color="auto" w:fill="FFFFFF"/>
        </w:rPr>
      </w:pPr>
      <w:r>
        <w:rPr>
          <w:color w:val="111720"/>
          <w:szCs w:val="24"/>
          <w:shd w:val="clear" w:color="auto" w:fill="FFFFFF"/>
        </w:rPr>
        <w:t>Det følger videre av lov o</w:t>
      </w:r>
      <w:r>
        <w:rPr>
          <w:rFonts w:cs="Open Sans"/>
          <w:color w:val="333333"/>
        </w:rPr>
        <w:t>m avtalefestet pensjon for medlemmer av Statens pensjonskasse</w:t>
      </w:r>
      <w:r>
        <w:rPr>
          <w:color w:val="111720"/>
          <w:szCs w:val="24"/>
          <w:shd w:val="clear" w:color="auto" w:fill="FFFFFF"/>
        </w:rPr>
        <w:t xml:space="preserve"> § 13 annet ledd at </w:t>
      </w:r>
      <w:r w:rsidR="005B7D7F">
        <w:rPr>
          <w:color w:val="111720"/>
          <w:szCs w:val="24"/>
          <w:shd w:val="clear" w:color="auto" w:fill="FFFFFF"/>
        </w:rPr>
        <w:t>Arbeids- og velferdsetatens t</w:t>
      </w:r>
      <w:r w:rsidR="00B46FFB" w:rsidRPr="005B7D7F">
        <w:rPr>
          <w:color w:val="111720"/>
          <w:szCs w:val="24"/>
          <w:shd w:val="clear" w:color="auto" w:fill="FFFFFF"/>
        </w:rPr>
        <w:t>aushetsplikt</w:t>
      </w:r>
      <w:r w:rsidR="005B7D7F">
        <w:rPr>
          <w:color w:val="111720"/>
          <w:szCs w:val="24"/>
          <w:shd w:val="clear" w:color="auto" w:fill="FFFFFF"/>
        </w:rPr>
        <w:t xml:space="preserve"> </w:t>
      </w:r>
      <w:r w:rsidR="00B46FFB" w:rsidRPr="005B7D7F">
        <w:rPr>
          <w:color w:val="111720"/>
          <w:szCs w:val="24"/>
          <w:shd w:val="clear" w:color="auto" w:fill="FFFFFF"/>
        </w:rPr>
        <w:t xml:space="preserve">etter arbeids- og velferdsforvaltningsloven § 7 </w:t>
      </w:r>
      <w:r w:rsidR="00CD391F">
        <w:rPr>
          <w:color w:val="111720"/>
          <w:szCs w:val="24"/>
          <w:shd w:val="clear" w:color="auto" w:fill="FFFFFF"/>
        </w:rPr>
        <w:t xml:space="preserve">ikke </w:t>
      </w:r>
      <w:r>
        <w:rPr>
          <w:color w:val="111720"/>
          <w:szCs w:val="24"/>
          <w:shd w:val="clear" w:color="auto" w:fill="FFFFFF"/>
        </w:rPr>
        <w:t xml:space="preserve">er </w:t>
      </w:r>
      <w:r w:rsidR="00CD391F">
        <w:rPr>
          <w:color w:val="111720"/>
          <w:szCs w:val="24"/>
          <w:shd w:val="clear" w:color="auto" w:fill="FFFFFF"/>
        </w:rPr>
        <w:t>t</w:t>
      </w:r>
      <w:r w:rsidR="00B46FFB" w:rsidRPr="005B7D7F">
        <w:rPr>
          <w:color w:val="111720"/>
          <w:szCs w:val="24"/>
          <w:shd w:val="clear" w:color="auto" w:fill="FFFFFF"/>
        </w:rPr>
        <w:t xml:space="preserve">il hinder for utveksling av opplysninger mellom Arbeids- og velferdsetaten og Statens pensjonskasse i den utstrekning dette er nødvendig for å fremme oppgaver etter </w:t>
      </w:r>
      <w:r w:rsidR="00CD391F">
        <w:rPr>
          <w:color w:val="111720"/>
          <w:szCs w:val="24"/>
          <w:shd w:val="clear" w:color="auto" w:fill="FFFFFF"/>
        </w:rPr>
        <w:t>loven.</w:t>
      </w:r>
    </w:p>
    <w:p w14:paraId="0581D069" w14:textId="77777777" w:rsidR="00BE3F1E" w:rsidRDefault="00BE3F1E" w:rsidP="00367275">
      <w:pPr>
        <w:spacing w:line="276" w:lineRule="auto"/>
        <w:rPr>
          <w:color w:val="111720"/>
          <w:szCs w:val="24"/>
          <w:shd w:val="clear" w:color="auto" w:fill="FFFFFF"/>
        </w:rPr>
      </w:pPr>
    </w:p>
    <w:p w14:paraId="2AB0019C" w14:textId="0F54E775" w:rsidR="007505AE" w:rsidRDefault="0093050C" w:rsidP="007505AE">
      <w:pPr>
        <w:pStyle w:val="Overskrift2"/>
      </w:pPr>
      <w:bookmarkStart w:id="16" w:name="_Toc170468734"/>
      <w:r>
        <w:lastRenderedPageBreak/>
        <w:t>Deling av opplysninger fra Fellesordningen for AFP</w:t>
      </w:r>
      <w:bookmarkEnd w:id="16"/>
      <w:r>
        <w:t xml:space="preserve"> </w:t>
      </w:r>
    </w:p>
    <w:p w14:paraId="715370A4" w14:textId="5B74D3EC" w:rsidR="007505AE" w:rsidRDefault="00DD4EA0" w:rsidP="007505AE">
      <w:pPr>
        <w:spacing w:line="276" w:lineRule="auto"/>
      </w:pPr>
      <w:r>
        <w:t>N</w:t>
      </w:r>
      <w:r w:rsidR="007505AE">
        <w:t xml:space="preserve">y AFP </w:t>
      </w:r>
      <w:r>
        <w:t>i offentlig sektor har regler om med</w:t>
      </w:r>
      <w:r w:rsidR="007505AE">
        <w:t>regning av ansiennitet mellom AFP i privat og offentlig sektor. De nærmere vilkårene for dette er omtalt i Prop. 35 L (2023-2024) punkt 7.4.5. Tjenestepensjonsleverandørene som skal vurdere om vilkårene for offentlig AFP er oppfylt, vil dermed ha behov for informasjon om arbeidstakerens eventuelle tjenestetid i privat</w:t>
      </w:r>
      <w:r w:rsidR="00AF1FC8">
        <w:t>e AFP-bedrifter</w:t>
      </w:r>
      <w:r w:rsidR="007505AE">
        <w:t xml:space="preserve">. </w:t>
      </w:r>
      <w:r w:rsidR="00AF1FC8">
        <w:t>På bakgrunn av forslag i</w:t>
      </w:r>
      <w:r w:rsidR="007505AE">
        <w:t xml:space="preserve"> Prop. 35 L </w:t>
      </w:r>
      <w:r w:rsidR="00FD61BA">
        <w:t>(2023-2024) og Innst. 231 L (2023-2024) er de</w:t>
      </w:r>
      <w:r w:rsidR="007211F3">
        <w:t xml:space="preserve">t ved lov 12. april 2024 nr. 14 gjennomført endring i </w:t>
      </w:r>
      <w:r w:rsidR="00FD61BA">
        <w:t xml:space="preserve">lov </w:t>
      </w:r>
      <w:r w:rsidR="007211F3">
        <w:t>19. februar 2010 nr. 5 om statstilskott til arbeidstakere som tar ut avtalefestet pensjon i privat sektor. Nytt fje</w:t>
      </w:r>
      <w:r w:rsidR="007505AE">
        <w:t xml:space="preserve">rde ledd i </w:t>
      </w:r>
      <w:r w:rsidR="007211F3">
        <w:t>statstilskottsloven §</w:t>
      </w:r>
      <w:r w:rsidR="007505AE">
        <w:t xml:space="preserve"> 18</w:t>
      </w:r>
      <w:r w:rsidR="007211F3">
        <w:t xml:space="preserve"> </w:t>
      </w:r>
      <w:r w:rsidR="00A66CA5">
        <w:t xml:space="preserve">(i kraft 1. januar 2025) </w:t>
      </w:r>
      <w:r w:rsidR="007211F3">
        <w:t>lyder</w:t>
      </w:r>
      <w:r w:rsidR="007505AE">
        <w:t>:</w:t>
      </w:r>
    </w:p>
    <w:p w14:paraId="29153FF6" w14:textId="2C964F32" w:rsidR="007505AE" w:rsidRDefault="008D33FF" w:rsidP="007505AE">
      <w:pPr>
        <w:pStyle w:val="Sitat"/>
        <w:spacing w:line="240" w:lineRule="auto"/>
        <w:jc w:val="left"/>
      </w:pPr>
      <w:r>
        <w:t>«</w:t>
      </w:r>
      <w:r w:rsidR="007505AE">
        <w:t>Det felles organet plikter å gi opplysninger som gjør det mulig å vurdere om vilkårene i lov om avtalefestet pensjon for medlemmer av Statens pensjonskasse § 7 andre ledd, § 8 første ledd bokstav a eller § 9 fjerde ledd, eller tilsvarende ordning, er oppfylt.</w:t>
      </w:r>
      <w:r>
        <w:t>»</w:t>
      </w:r>
    </w:p>
    <w:p w14:paraId="2F4387ED" w14:textId="77777777" w:rsidR="007505AE" w:rsidRPr="00C3691A" w:rsidRDefault="007505AE" w:rsidP="007505AE"/>
    <w:p w14:paraId="4CC2547B" w14:textId="33450877" w:rsidR="007505AE" w:rsidRDefault="005255B7" w:rsidP="007505AE">
      <w:pPr>
        <w:spacing w:line="276" w:lineRule="auto"/>
      </w:pPr>
      <w:r>
        <w:t xml:space="preserve">Bestemmelsen </w:t>
      </w:r>
      <w:r w:rsidR="004D539B">
        <w:t xml:space="preserve">pålegger Fellesordningen for AFP å gi opplysninger til SPK </w:t>
      </w:r>
      <w:r w:rsidR="008D6DAD">
        <w:t>som gjør det mulig å medregne ansiennitet i privat sektor, og dermed vurdere om vilkårene for offentlig AFP er oppfylt. Bestemmelsen anses</w:t>
      </w:r>
      <w:r w:rsidR="00015819">
        <w:t xml:space="preserve"> ikke å </w:t>
      </w:r>
      <w:r>
        <w:t xml:space="preserve">gi hjemmel for at </w:t>
      </w:r>
      <w:r w:rsidR="00015819">
        <w:t>kommunale pensjonsleverandører</w:t>
      </w:r>
      <w:r>
        <w:t xml:space="preserve"> kan f</w:t>
      </w:r>
      <w:r w:rsidR="00015819">
        <w:t xml:space="preserve">å </w:t>
      </w:r>
      <w:r w:rsidR="008D6DAD">
        <w:t xml:space="preserve">tilsvarende </w:t>
      </w:r>
      <w:r w:rsidR="00015819">
        <w:t>tilgang til opplysninger fra Fellesordningen</w:t>
      </w:r>
      <w:r w:rsidR="007C2849">
        <w:t xml:space="preserve"> </w:t>
      </w:r>
      <w:r w:rsidR="007E5237">
        <w:t xml:space="preserve">for AFP </w:t>
      </w:r>
      <w:r w:rsidR="007C2849">
        <w:t>for å kunne vurdere om vilkårene for offentlig AFP er oppfylt.</w:t>
      </w:r>
      <w:r w:rsidR="00015819">
        <w:t xml:space="preserve"> </w:t>
      </w:r>
    </w:p>
    <w:p w14:paraId="562FD42A" w14:textId="77777777" w:rsidR="007505AE" w:rsidRDefault="007505AE" w:rsidP="007505AE">
      <w:pPr>
        <w:spacing w:line="276" w:lineRule="auto"/>
      </w:pPr>
    </w:p>
    <w:p w14:paraId="15CC1CDC" w14:textId="77777777" w:rsidR="00DF4322" w:rsidRDefault="00DF4322" w:rsidP="00203F3C">
      <w:pPr>
        <w:pStyle w:val="Overskrift2"/>
      </w:pPr>
      <w:bookmarkStart w:id="17" w:name="_Toc170468735"/>
      <w:r>
        <w:t>Departementets vurdering</w:t>
      </w:r>
      <w:bookmarkEnd w:id="17"/>
    </w:p>
    <w:p w14:paraId="5B8FEEDA" w14:textId="62D29439" w:rsidR="00046F03" w:rsidRPr="00046F03" w:rsidRDefault="00CC489B" w:rsidP="003D6203">
      <w:pPr>
        <w:pStyle w:val="Overskrift3"/>
      </w:pPr>
      <w:bookmarkStart w:id="18" w:name="_Toc170468736"/>
      <w:r>
        <w:t xml:space="preserve">Forslag om deling av </w:t>
      </w:r>
      <w:r w:rsidR="00046F03" w:rsidRPr="00046F03">
        <w:t xml:space="preserve"> opplysninger om inntek</w:t>
      </w:r>
      <w:r w:rsidR="00046F03">
        <w:t>t</w:t>
      </w:r>
      <w:r w:rsidR="00046F03" w:rsidRPr="00046F03">
        <w:t>s- og arbeidsforhold</w:t>
      </w:r>
      <w:bookmarkEnd w:id="18"/>
      <w:r w:rsidR="00046F03" w:rsidRPr="00046F03">
        <w:t xml:space="preserve"> </w:t>
      </w:r>
    </w:p>
    <w:p w14:paraId="1AE3EB94" w14:textId="17650D82" w:rsidR="00046F03" w:rsidRDefault="00046F03" w:rsidP="00046F03">
      <w:pPr>
        <w:spacing w:line="276" w:lineRule="auto"/>
      </w:pPr>
      <w:r>
        <w:t>Departementet viser til at tilgang til opplysninger om annen inntekt og andre arbeidsforhold som arbeidstakere som søker om AFP i offentlig sektor kan ha hatt, er nødvendig for å kunne vurdere om vilkårene for AFP er oppfylt. Gjeldende regler åpner ikke for at Skatteetaten og Arbeids- og velferdsetaten kan utlevere slik opplysninger, jf. omtale i kap. 2.2.3. Det er derfor etter departementets vurdering behov for hjemler som gir unntak fra taushetsplikten om slike opplysninger</w:t>
      </w:r>
      <w:r w:rsidR="00D7456D">
        <w:t>,</w:t>
      </w:r>
      <w:r>
        <w:t xml:space="preserve"> slik at opplysningene kan deles med kommunale pensjonsleverandører til bruk i deres arbeid med å vurdere om vilkårene for AFP er oppfylt. </w:t>
      </w:r>
      <w:r w:rsidR="00BB207A">
        <w:t xml:space="preserve">Tilsvarende er det etter departementets vurdering behov for en hjemmel for at </w:t>
      </w:r>
      <w:r w:rsidR="007B3F69">
        <w:t xml:space="preserve">nåværende og </w:t>
      </w:r>
      <w:r w:rsidR="00BB207A">
        <w:t>tidligere arbeidsgivere kan dele opplysninger om inntekts- og arbeidsforhold for arbeidstakere eller pensjonister, slik at pensjonsleverandøren kan v</w:t>
      </w:r>
      <w:r w:rsidR="00F91A4E">
        <w:t>urdere</w:t>
      </w:r>
      <w:r w:rsidR="00BB207A">
        <w:t xml:space="preserve"> om vilkårene for AFP er oppfylt.</w:t>
      </w:r>
    </w:p>
    <w:p w14:paraId="00BE0502" w14:textId="77777777" w:rsidR="00F91A4E" w:rsidRDefault="00F91A4E" w:rsidP="00046F03">
      <w:pPr>
        <w:spacing w:line="276" w:lineRule="auto"/>
      </w:pPr>
    </w:p>
    <w:p w14:paraId="5C63593C" w14:textId="77777777" w:rsidR="0006606C" w:rsidRDefault="00AF51CC" w:rsidP="00AF51CC">
      <w:pPr>
        <w:spacing w:line="276" w:lineRule="auto"/>
      </w:pPr>
      <w:r>
        <w:t xml:space="preserve">Når det gjelder inntektsforhold legger departementet opp til at opplysninger som er innrapportert etter skatteforvaltningsloven § 7-2 utgjør en ytre ramme for hvilke </w:t>
      </w:r>
      <w:r>
        <w:lastRenderedPageBreak/>
        <w:t>opplysninger pensjonsinnretningene trenger å innhente. For at det ikke skal innhentes flere opplysninger enn det som er nødvendig for å oppfylle vilkårene</w:t>
      </w:r>
      <w:r w:rsidR="00DC5063">
        <w:t>, bør det etter departementets vurdering</w:t>
      </w:r>
      <w:r>
        <w:t xml:space="preserve"> gjøres en kartlegging i samarbeid med Skatteetaten, slik at det lages et utvalg av opplysninger som inngår i den nevnte bestemmelsen. Pensjonsinnretningene har for øvrig også behov for opplysninger om pensjonsgivende inntekt i dette arbeidet. </w:t>
      </w:r>
    </w:p>
    <w:p w14:paraId="26835577" w14:textId="77777777" w:rsidR="00FB5B00" w:rsidRDefault="00FB5B00" w:rsidP="00FB5B00">
      <w:pPr>
        <w:spacing w:line="276" w:lineRule="auto"/>
        <w:rPr>
          <w:highlight w:val="yellow"/>
        </w:rPr>
      </w:pPr>
    </w:p>
    <w:p w14:paraId="54E68FED" w14:textId="160A4EC6" w:rsidR="00AF51CC" w:rsidRDefault="0006606C" w:rsidP="00AF51CC">
      <w:pPr>
        <w:spacing w:line="276" w:lineRule="auto"/>
      </w:pPr>
      <w:r>
        <w:t>Departementet legger til grunn at det også for Arbeids- og velferdsetaten kan være aktuelt å gjennomføre en kartlegging sammen med de kommunale pensjonsleverand</w:t>
      </w:r>
      <w:r w:rsidR="0019413A">
        <w:t>ø</w:t>
      </w:r>
      <w:r>
        <w:t xml:space="preserve">rene om hvilke opplysninger om arbeidsforhold som er nødvendige å utveksle til arbeidet med ny AFP i offentlig sektor.  </w:t>
      </w:r>
    </w:p>
    <w:p w14:paraId="2C98ED24" w14:textId="77777777" w:rsidR="003D6203" w:rsidRDefault="003D6203" w:rsidP="00AF51CC">
      <w:pPr>
        <w:spacing w:line="276" w:lineRule="auto"/>
      </w:pPr>
    </w:p>
    <w:p w14:paraId="1865960D" w14:textId="7BFD4CFB" w:rsidR="003D6203" w:rsidRDefault="003D6203" w:rsidP="003D6203">
      <w:pPr>
        <w:pStyle w:val="NormalWeb"/>
        <w:shd w:val="clear" w:color="auto" w:fill="FFFFFF"/>
        <w:spacing w:before="0" w:beforeAutospacing="0" w:after="0" w:afterAutospacing="0" w:line="276" w:lineRule="auto"/>
        <w:rPr>
          <w:rFonts w:ascii="DepCentury Old Style" w:hAnsi="DepCentury Old Style" w:cs="Open Sans"/>
          <w:color w:val="333333"/>
        </w:rPr>
      </w:pPr>
      <w:r w:rsidRPr="003D6203">
        <w:rPr>
          <w:rFonts w:ascii="DepCentury Old Style" w:hAnsi="DepCentury Old Style"/>
        </w:rPr>
        <w:t xml:space="preserve">Som omtalt under </w:t>
      </w:r>
      <w:r w:rsidR="00DF4322">
        <w:rPr>
          <w:rFonts w:ascii="DepCentury Old Style" w:hAnsi="DepCentury Old Style"/>
        </w:rPr>
        <w:t>kap</w:t>
      </w:r>
      <w:r w:rsidR="00DF4322" w:rsidRPr="007E5237">
        <w:rPr>
          <w:rFonts w:ascii="DepCentury Old Style" w:hAnsi="DepCentury Old Style"/>
        </w:rPr>
        <w:t>.</w:t>
      </w:r>
      <w:r w:rsidRPr="007E5237">
        <w:rPr>
          <w:rFonts w:ascii="DepCentury Old Style" w:hAnsi="DepCentury Old Style"/>
        </w:rPr>
        <w:t xml:space="preserve"> 2.</w:t>
      </w:r>
      <w:r w:rsidR="00DF4322" w:rsidRPr="007E5237">
        <w:rPr>
          <w:rFonts w:ascii="DepCentury Old Style" w:hAnsi="DepCentury Old Style"/>
        </w:rPr>
        <w:t>5</w:t>
      </w:r>
      <w:r w:rsidRPr="007E5237">
        <w:rPr>
          <w:rFonts w:ascii="DepCentury Old Style" w:hAnsi="DepCentury Old Style"/>
        </w:rPr>
        <w:t>.</w:t>
      </w:r>
      <w:r w:rsidR="007E5237" w:rsidRPr="00D70B4B">
        <w:rPr>
          <w:rFonts w:ascii="DepCentury Old Style" w:hAnsi="DepCentury Old Style"/>
        </w:rPr>
        <w:t>2</w:t>
      </w:r>
      <w:r w:rsidRPr="007E5237">
        <w:rPr>
          <w:rFonts w:ascii="DepCentury Old Style" w:hAnsi="DepCentury Old Style"/>
        </w:rPr>
        <w:t>,</w:t>
      </w:r>
      <w:r w:rsidRPr="003D6203">
        <w:rPr>
          <w:rFonts w:ascii="DepCentury Old Style" w:hAnsi="DepCentury Old Style"/>
        </w:rPr>
        <w:t xml:space="preserve"> legger departementet til grunn at tilgang til opplysninger til </w:t>
      </w:r>
      <w:r w:rsidRPr="003D6203">
        <w:rPr>
          <w:rFonts w:ascii="DepCentury Old Style" w:hAnsi="DepCentury Old Style" w:cs="Open Sans"/>
          <w:color w:val="333333"/>
        </w:rPr>
        <w:t xml:space="preserve">pensjonsinnretninger eller leverandører av offentlig tjenestepensjon i lov- og </w:t>
      </w:r>
      <w:r>
        <w:rPr>
          <w:rFonts w:ascii="DepCentury Old Style" w:hAnsi="DepCentury Old Style" w:cs="Open Sans"/>
          <w:color w:val="333333"/>
        </w:rPr>
        <w:t>forskriftsforslagene i dette høringsnotatet, også omfatter de innretningene som administrerer, forvalter eller er underleverandører av systemer for kommunale pensjonsordninger.</w:t>
      </w:r>
    </w:p>
    <w:p w14:paraId="3162DA18" w14:textId="77777777" w:rsidR="00FB5B00" w:rsidRDefault="00FB5B00" w:rsidP="00FB5B00">
      <w:pPr>
        <w:spacing w:line="276" w:lineRule="auto"/>
        <w:rPr>
          <w:highlight w:val="yellow"/>
        </w:rPr>
      </w:pPr>
    </w:p>
    <w:p w14:paraId="60944C04" w14:textId="667CC7FC" w:rsidR="00B57945" w:rsidRDefault="00B57945" w:rsidP="00B57945">
      <w:pPr>
        <w:spacing w:line="276" w:lineRule="auto"/>
        <w:rPr>
          <w:rFonts w:cs="Open Sans"/>
          <w:color w:val="333333"/>
        </w:rPr>
      </w:pPr>
      <w:r>
        <w:rPr>
          <w:rFonts w:cs="Open Sans"/>
          <w:color w:val="333333"/>
        </w:rPr>
        <w:t>For å presisere at bestemmelsene gjelder ny avtalefestet pensjon foreslås at det vises til avtalefestet pensjon for arbeidstakere født i 1963 eller senere.</w:t>
      </w:r>
      <w:r w:rsidR="00D0268B">
        <w:rPr>
          <w:rFonts w:cs="Open Sans"/>
          <w:color w:val="333333"/>
        </w:rPr>
        <w:t xml:space="preserve"> </w:t>
      </w:r>
    </w:p>
    <w:p w14:paraId="6CD06051" w14:textId="77777777" w:rsidR="00572042" w:rsidRDefault="00572042" w:rsidP="00B57945">
      <w:pPr>
        <w:spacing w:line="276" w:lineRule="auto"/>
        <w:rPr>
          <w:rFonts w:cs="Open Sans"/>
          <w:color w:val="333333"/>
        </w:rPr>
      </w:pPr>
    </w:p>
    <w:p w14:paraId="11D4ED31" w14:textId="2761D9FB" w:rsidR="00572042" w:rsidRDefault="00572042" w:rsidP="00B57945">
      <w:pPr>
        <w:spacing w:line="276" w:lineRule="auto"/>
        <w:rPr>
          <w:rFonts w:cs="Open Sans"/>
          <w:color w:val="333333"/>
        </w:rPr>
      </w:pPr>
      <w:r>
        <w:t>I forslagene til endring av skatteforvaltningsloven og forskrift om Arbeidsgiver-og arbeidstakerrergisteret foreslås at tilgang til opplysninger skal gis til bruk for arbeidet med avtalefestet pensjon i «kommunal sektor». Begrepet «kommunal sektor» vil omfatte tjenestepensjonsordninger for ansatte i kommuner, fylkeskommuner, helseforetak og foretak med kommunal tilknytning, jf. omtale i kap. 1. Tilsv</w:t>
      </w:r>
      <w:r w:rsidR="00F730B0">
        <w:t>arende</w:t>
      </w:r>
      <w:r>
        <w:t xml:space="preserve"> presisering er ikke foreslått i </w:t>
      </w:r>
      <w:r w:rsidR="00F730B0">
        <w:t xml:space="preserve">endringene til </w:t>
      </w:r>
      <w:r>
        <w:t>forsikringsvirksomhetsloven kap</w:t>
      </w:r>
      <w:r w:rsidR="00F730B0">
        <w:t xml:space="preserve">ittel 4, da dette kapitlet bare gjelder for kommunale pensjonsordninger i tråd med begrepsbruken nevnt foran, jf. forsikringsvirksomhetsloven § 4-1. </w:t>
      </w:r>
    </w:p>
    <w:p w14:paraId="3782D3ED" w14:textId="77777777" w:rsidR="00D0268B" w:rsidRDefault="00D0268B" w:rsidP="00B57945">
      <w:pPr>
        <w:spacing w:line="276" w:lineRule="auto"/>
        <w:rPr>
          <w:rFonts w:cs="Open Sans"/>
          <w:color w:val="333333"/>
        </w:rPr>
      </w:pPr>
    </w:p>
    <w:p w14:paraId="5B8BD155" w14:textId="5BBE9EBC" w:rsidR="00046F03" w:rsidRDefault="00046F03" w:rsidP="00046F03">
      <w:pPr>
        <w:spacing w:line="276" w:lineRule="auto"/>
      </w:pPr>
      <w:r>
        <w:t>Departementet foreslår etter dette at skatteforvaltningsloven § 3-6 endres slik at</w:t>
      </w:r>
      <w:r w:rsidRPr="006C1BE9">
        <w:t xml:space="preserve"> </w:t>
      </w:r>
      <w:r>
        <w:t xml:space="preserve">Skatteetaten uten hinder av taushetsplikt kan utlevere nødvendige lønnsopplysninger til kommunale pensjonsleverandører til bruk i deres arbeid med avtalefestet pensjon. </w:t>
      </w:r>
      <w:r w:rsidR="00AF51CC">
        <w:t>Departementet foreslår at dette innarbeides i nytt fjerde ledd.</w:t>
      </w:r>
    </w:p>
    <w:p w14:paraId="1DEA825F" w14:textId="77777777" w:rsidR="00046F03" w:rsidRDefault="00046F03" w:rsidP="00046F03">
      <w:pPr>
        <w:spacing w:line="276" w:lineRule="auto"/>
      </w:pPr>
    </w:p>
    <w:p w14:paraId="46135210" w14:textId="7EEFE507" w:rsidR="0036354A" w:rsidRPr="00D7456D" w:rsidRDefault="0036354A" w:rsidP="0036354A">
      <w:pPr>
        <w:spacing w:line="276" w:lineRule="auto"/>
        <w:rPr>
          <w:szCs w:val="24"/>
        </w:rPr>
      </w:pPr>
      <w:r w:rsidRPr="00D70B4B">
        <w:t xml:space="preserve">Videre foreslår departementet en bestemmelse i forsikringsvirksomhetsloven § 4-18 som gir arbeidsgivere med kommunal tjenestepensjon en plikt til å innrapportere hvilken pensjonsinnretning som skal beregne avtalefestet pensjon for de ansatte som er født i 1963 eller senere. Dette gir Skatteetaten mulighet til å koble den enkelte </w:t>
      </w:r>
      <w:r w:rsidRPr="00D70B4B">
        <w:lastRenderedPageBreak/>
        <w:t>arbeidsgiver og pensjonsinnretning for å kontrollere at lønnsopplysninger om de ansatte det gjøres forespørsel om, blir gitt til rett pensjonsinnretning. Opplysningen skal gis i skattemeldingen etter skatteforvaltningsloven § 8-6</w:t>
      </w:r>
      <w:r w:rsidR="00D7456D" w:rsidRPr="00D70B4B">
        <w:t xml:space="preserve">. </w:t>
      </w:r>
      <w:r w:rsidRPr="00D70B4B">
        <w:t>Ved spørsmål om utlevering vil Skatteetaten kontrollere om pensjonsinnretningen er den samme som er meldt inn av arbeidsgiver, og vil da kunne utlevere opplysninger om de ansatte som pensjonsinnretningen ber om</w:t>
      </w:r>
      <w:r w:rsidRPr="00D70B4B">
        <w:rPr>
          <w:szCs w:val="24"/>
        </w:rPr>
        <w:t>.</w:t>
      </w:r>
      <w:r w:rsidR="00D7456D" w:rsidRPr="00D7456D">
        <w:t xml:space="preserve"> </w:t>
      </w:r>
      <w:r w:rsidR="00D7456D" w:rsidRPr="00D70B4B">
        <w:t xml:space="preserve">Skatteetaten vil dermed ikke uten videre utlevere opplysninger om alle ansatte til pensjonsleverandørene. </w:t>
      </w:r>
      <w:r w:rsidRPr="00D7456D">
        <w:rPr>
          <w:szCs w:val="24"/>
        </w:rPr>
        <w:t>Opplysningene som utleveres fra Skatteetaten vil ikke kunne brukes i arbeid med andre ordninger enn AFP i offentlig sektor.</w:t>
      </w:r>
    </w:p>
    <w:p w14:paraId="2142CE27" w14:textId="77777777" w:rsidR="007B3F69" w:rsidRPr="00D7456D" w:rsidRDefault="007B3F69" w:rsidP="007B3F69">
      <w:pPr>
        <w:spacing w:line="276" w:lineRule="auto"/>
      </w:pPr>
    </w:p>
    <w:p w14:paraId="57C2E0E3" w14:textId="77777777" w:rsidR="00B57945" w:rsidRPr="00D70B4B" w:rsidRDefault="007B3F69" w:rsidP="007B3F69">
      <w:pPr>
        <w:spacing w:line="276" w:lineRule="auto"/>
      </w:pPr>
      <w:r w:rsidRPr="00D7456D">
        <w:t xml:space="preserve">Departementet viser til at det ved vurderingen av om søkeren oppfyller vilkårene for AFP, skal tas utgangspunkt i at medlemmet ved 62 år har vært arbeidstaker i 7 av de siste 9 årene hos en arbeidsgiver med tariffavtale hvor staten er part eller tilsvarende tariffavtale om avtalefestet pensjon. Dette innebærer at det ved vurderingen skal innhentes en betydelig mengde personopplysninger fordelt per kalendermåned over opptil 9 år, om de ansatte. Dersom vilkårsvurderingen skal gjøres ved søknad om uttak for eksempel ved fylte 70 år, vil det være opplysninger som ligger opptil 18 år tilbake i tid, ettersom vurderingen skal gjøres i forhold til tidspunktet hvor søker var 62 år. Skatteeetaten har ikke grunnlag for å oppbevare og tilgjengeliggjøre opplysninger som ligger såvidt langt tilbake i tid. Slike opplysninger må derfor innhentes fra det enkelte medlem som søker om AFP eller fra de aktuelle arbeidsgiverne. </w:t>
      </w:r>
    </w:p>
    <w:p w14:paraId="38D6D31A" w14:textId="77777777" w:rsidR="00B57945" w:rsidRPr="00D70B4B" w:rsidRDefault="00B57945" w:rsidP="007B3F69">
      <w:pPr>
        <w:spacing w:line="276" w:lineRule="auto"/>
      </w:pPr>
    </w:p>
    <w:p w14:paraId="536EAAD4" w14:textId="6D3124CC" w:rsidR="007B3F69" w:rsidRDefault="007B3F69" w:rsidP="007B3F69">
      <w:pPr>
        <w:spacing w:line="276" w:lineRule="auto"/>
      </w:pPr>
      <w:r w:rsidRPr="00D7456D">
        <w:t xml:space="preserve">Departementet mener </w:t>
      </w:r>
      <w:r w:rsidR="00B57945" w:rsidRPr="00D70B4B">
        <w:t xml:space="preserve">på denne bakgrunn </w:t>
      </w:r>
      <w:r w:rsidRPr="00D7456D">
        <w:t xml:space="preserve">det er hensiktsmessig at de kommunale pensjonsleverandørene gis en generell hjemmel til å innhente opplysninger fra nåværende eller tidligere arbeidsgivere om arbeidstakerens eller pensjonistens arbeids- og inntektsforhold som er nødvendige for å forvalte og beregne avtalefestet pensjon. </w:t>
      </w:r>
      <w:r w:rsidR="002135B1">
        <w:t>Departementet legger til grunn at slike opplysninger bare vil innhentes dersom opplysningene ikke kan innhentes fra Skatteetaten, Arbeids- og velferdsetaten eller Fellesordningen for AFP. Det foreslås at a</w:t>
      </w:r>
      <w:r w:rsidRPr="00D7456D">
        <w:t>rbeidsgiver skal kunne utlevere disse opplysningen</w:t>
      </w:r>
      <w:r w:rsidR="002135B1">
        <w:t>e</w:t>
      </w:r>
      <w:r w:rsidRPr="00D7456D">
        <w:t xml:space="preserve"> uten hinder av taushetsplikt</w:t>
      </w:r>
      <w:r w:rsidR="002135B1">
        <w:t xml:space="preserve"> og uten godtgjørelse.</w:t>
      </w:r>
      <w:r w:rsidRPr="00D7456D">
        <w:t xml:space="preserve"> Tilsvarende bestemmelse er gitt for Statens pensjonskasse i lov om avtalefestet pensjon for Statens pensjonskasse § 13 tredje ledd. Det vises til forslag til forsikringsvirksomhetsloven § 4-17</w:t>
      </w:r>
      <w:r w:rsidR="008D6DAD">
        <w:t xml:space="preserve"> </w:t>
      </w:r>
      <w:r w:rsidR="00761BB0">
        <w:t>annet</w:t>
      </w:r>
      <w:r w:rsidRPr="00D7456D">
        <w:t xml:space="preserve"> ledd.</w:t>
      </w:r>
    </w:p>
    <w:p w14:paraId="00560F27" w14:textId="77777777" w:rsidR="00613FDC" w:rsidRDefault="00613FDC" w:rsidP="007B3F69">
      <w:pPr>
        <w:spacing w:line="276" w:lineRule="auto"/>
      </w:pPr>
    </w:p>
    <w:p w14:paraId="5C5C26D5" w14:textId="036A3559" w:rsidR="00613FDC" w:rsidRPr="00D70B4B" w:rsidRDefault="00613FDC" w:rsidP="007B3F69">
      <w:pPr>
        <w:spacing w:line="276" w:lineRule="auto"/>
      </w:pPr>
      <w:r>
        <w:t>Departementet</w:t>
      </w:r>
      <w:r w:rsidR="00C34154">
        <w:t xml:space="preserve"> ser videre behov for at kommunale pensjonsleverandører får en hjemmel til å innhente opplysninger fra Fellesordningen </w:t>
      </w:r>
      <w:r w:rsidR="00C34154" w:rsidRPr="00D70B4B">
        <w:t>for AFP om tjenestetid mv. i privat sektor, som gjør det mulig å vurdere om vilkårene for ny offentlig AFP er oppfylt,  jf. omtale i kap. 2.4.</w:t>
      </w:r>
      <w:r w:rsidR="00706438" w:rsidRPr="00D70B4B">
        <w:t xml:space="preserve"> Det vises til forslag til forsikringsvirksomhetsloven § 4-17 </w:t>
      </w:r>
      <w:r w:rsidR="00761BB0" w:rsidRPr="00D70B4B">
        <w:t>tredje</w:t>
      </w:r>
      <w:r w:rsidR="00706438" w:rsidRPr="00D70B4B">
        <w:t xml:space="preserve"> ledd.</w:t>
      </w:r>
    </w:p>
    <w:p w14:paraId="579C67AC" w14:textId="77777777" w:rsidR="007B3F69" w:rsidRDefault="007B3F69" w:rsidP="007B3F69">
      <w:pPr>
        <w:spacing w:line="276" w:lineRule="auto"/>
      </w:pPr>
    </w:p>
    <w:p w14:paraId="48983DD8" w14:textId="72A95DB4" w:rsidR="00046F03" w:rsidRDefault="00046F03" w:rsidP="00046F03">
      <w:pPr>
        <w:spacing w:line="276" w:lineRule="auto"/>
      </w:pPr>
      <w:r>
        <w:t xml:space="preserve">Departementet foreslår videre at forskrift om Arbeidsgiver- og arbeidstakerregisteret § 10 endres slik at Arbeids- og velferdsetaten gis adgang til uten hinder av taushetsplikt å dele opplysninger om arbeidsforhold med kommunale pensjonsleverandører til bruk i arbeidet med avtalefestet pensjon. Det vises til </w:t>
      </w:r>
      <w:r w:rsidR="00D0268B">
        <w:t xml:space="preserve">forslag til </w:t>
      </w:r>
      <w:r>
        <w:t xml:space="preserve">forskriften § 10 bokstav </w:t>
      </w:r>
      <w:r w:rsidR="00D0268B">
        <w:t>e</w:t>
      </w:r>
      <w:r>
        <w:t>.</w:t>
      </w:r>
    </w:p>
    <w:p w14:paraId="13895E50" w14:textId="77777777" w:rsidR="00046F03" w:rsidRDefault="00046F03" w:rsidP="00046F03">
      <w:pPr>
        <w:spacing w:line="276" w:lineRule="auto"/>
      </w:pPr>
    </w:p>
    <w:p w14:paraId="2EB957A1" w14:textId="5E0A2296" w:rsidR="00AC3534" w:rsidRPr="00AC3534" w:rsidRDefault="00A76FE9" w:rsidP="00AC3534">
      <w:pPr>
        <w:spacing w:line="276" w:lineRule="auto"/>
      </w:pPr>
      <w:r>
        <w:t>F</w:t>
      </w:r>
      <w:r w:rsidR="00AC3534" w:rsidRPr="00AC3534">
        <w:t>orslage</w:t>
      </w:r>
      <w:r w:rsidR="007B3F69">
        <w:t>n</w:t>
      </w:r>
      <w:r w:rsidR="00091640">
        <w:t>e</w:t>
      </w:r>
      <w:r w:rsidR="00AC3534" w:rsidRPr="00AC3534">
        <w:t xml:space="preserve"> </w:t>
      </w:r>
      <w:r>
        <w:t xml:space="preserve">anses </w:t>
      </w:r>
      <w:r w:rsidR="00AC3534" w:rsidRPr="00AC3534">
        <w:t xml:space="preserve">ikke å ha vesentlige eller uforholdsmessige personvernkonsekvenser, jf. omtale i kap. </w:t>
      </w:r>
      <w:r w:rsidR="00DF4322">
        <w:t>2.5.</w:t>
      </w:r>
      <w:r w:rsidR="00A908DC">
        <w:t>3</w:t>
      </w:r>
      <w:r w:rsidR="00AC3534" w:rsidRPr="00AC3534">
        <w:t>.</w:t>
      </w:r>
    </w:p>
    <w:p w14:paraId="4FCE137C" w14:textId="77777777" w:rsidR="00AC3534" w:rsidRDefault="00AC3534" w:rsidP="00046F03">
      <w:pPr>
        <w:spacing w:line="276" w:lineRule="auto"/>
      </w:pPr>
    </w:p>
    <w:p w14:paraId="09E1E270" w14:textId="3E403ECD" w:rsidR="00046F03" w:rsidRPr="00046F03" w:rsidRDefault="00CC489B" w:rsidP="003D6203">
      <w:pPr>
        <w:pStyle w:val="Overskrift3"/>
      </w:pPr>
      <w:bookmarkStart w:id="19" w:name="_Toc170468737"/>
      <w:r>
        <w:t xml:space="preserve">Forslag om deling av </w:t>
      </w:r>
      <w:r w:rsidR="00046F03" w:rsidRPr="00046F03">
        <w:t xml:space="preserve">opplysninger om opptjent </w:t>
      </w:r>
      <w:r w:rsidR="003F16A1">
        <w:t>pensjonsbeholdning</w:t>
      </w:r>
      <w:r w:rsidR="00046F03" w:rsidRPr="00046F03">
        <w:t xml:space="preserve"> og andre ytelser fra Arbeids- og velferdsetaten</w:t>
      </w:r>
      <w:bookmarkEnd w:id="19"/>
      <w:r w:rsidR="00046F03" w:rsidRPr="00046F03">
        <w:t xml:space="preserve"> </w:t>
      </w:r>
    </w:p>
    <w:p w14:paraId="6B4B70B3" w14:textId="0622531F" w:rsidR="008F610B" w:rsidRDefault="00FC780C" w:rsidP="00FC780C">
      <w:pPr>
        <w:pStyle w:val="NormalWeb"/>
        <w:shd w:val="clear" w:color="auto" w:fill="FFFFFF"/>
        <w:spacing w:before="0" w:beforeAutospacing="0" w:after="0" w:afterAutospacing="0" w:line="276" w:lineRule="auto"/>
        <w:rPr>
          <w:rFonts w:ascii="DepCentury Old Style" w:hAnsi="DepCentury Old Style" w:cs="Open Sans"/>
          <w:color w:val="333333"/>
        </w:rPr>
      </w:pPr>
      <w:r w:rsidRPr="00622B9A">
        <w:rPr>
          <w:rFonts w:ascii="DepCentury Old Style" w:hAnsi="DepCentury Old Style" w:cs="Open Sans"/>
          <w:color w:val="333333"/>
        </w:rPr>
        <w:t>Etter departementets vurdering</w:t>
      </w:r>
      <w:r>
        <w:rPr>
          <w:rFonts w:ascii="DepCentury Old Style" w:hAnsi="DepCentury Old Style" w:cs="Open Sans"/>
          <w:color w:val="333333"/>
        </w:rPr>
        <w:t xml:space="preserve"> er det behov for at leverandører av kommunal tjenestepensjon får tilgang til opplysninger fra Arbeids- og velferdsetaten om opptjent </w:t>
      </w:r>
      <w:r w:rsidR="003F16A1">
        <w:rPr>
          <w:rFonts w:ascii="DepCentury Old Style" w:hAnsi="DepCentury Old Style" w:cs="Open Sans"/>
          <w:color w:val="333333"/>
        </w:rPr>
        <w:t xml:space="preserve">pensjonsbeholdning </w:t>
      </w:r>
      <w:r>
        <w:rPr>
          <w:rFonts w:ascii="DepCentury Old Style" w:hAnsi="DepCentury Old Style" w:cs="Open Sans"/>
          <w:color w:val="333333"/>
        </w:rPr>
        <w:t xml:space="preserve">og andre ytelser på lik linje med SPK. Det vises til omtale i kap. 2.3. </w:t>
      </w:r>
    </w:p>
    <w:p w14:paraId="1A0C796C" w14:textId="77777777" w:rsidR="008F610B" w:rsidRDefault="008F610B" w:rsidP="00FC780C">
      <w:pPr>
        <w:pStyle w:val="NormalWeb"/>
        <w:shd w:val="clear" w:color="auto" w:fill="FFFFFF"/>
        <w:spacing w:before="0" w:beforeAutospacing="0" w:after="0" w:afterAutospacing="0" w:line="276" w:lineRule="auto"/>
        <w:rPr>
          <w:rFonts w:ascii="DepCentury Old Style" w:hAnsi="DepCentury Old Style" w:cs="Open Sans"/>
          <w:color w:val="333333"/>
        </w:rPr>
      </w:pPr>
    </w:p>
    <w:p w14:paraId="1D27F304" w14:textId="619EE59C" w:rsidR="0005604E" w:rsidRDefault="008F610B" w:rsidP="00FC780C">
      <w:pPr>
        <w:pStyle w:val="NormalWeb"/>
        <w:shd w:val="clear" w:color="auto" w:fill="FFFFFF"/>
        <w:spacing w:before="0" w:beforeAutospacing="0" w:after="0" w:afterAutospacing="0" w:line="276" w:lineRule="auto"/>
        <w:rPr>
          <w:rFonts w:ascii="DepCentury Old Style" w:hAnsi="DepCentury Old Style" w:cs="Open Sans"/>
          <w:color w:val="333333"/>
        </w:rPr>
      </w:pPr>
      <w:r>
        <w:rPr>
          <w:rFonts w:ascii="DepCentury Old Style" w:hAnsi="DepCentury Old Style" w:cs="Open Sans"/>
          <w:color w:val="333333"/>
        </w:rPr>
        <w:t xml:space="preserve">Departementet viser til at det kan være hensiktsmessig at </w:t>
      </w:r>
      <w:r w:rsidR="0006606C">
        <w:rPr>
          <w:rFonts w:ascii="DepCentury Old Style" w:hAnsi="DepCentury Old Style" w:cs="Open Sans"/>
          <w:color w:val="333333"/>
        </w:rPr>
        <w:t xml:space="preserve">Arbeids- og velferdsetaten sammen med </w:t>
      </w:r>
      <w:r>
        <w:rPr>
          <w:rFonts w:ascii="DepCentury Old Style" w:hAnsi="DepCentury Old Style" w:cs="Open Sans"/>
          <w:color w:val="333333"/>
        </w:rPr>
        <w:t>de kommunale pensjonsleverandørene vurderer detaljer om hvilke opplysninger som er nødvendige å utveksle til arbeidet med ny AFP i offentlig sektor. Herunder kan det vurderes til</w:t>
      </w:r>
      <w:r w:rsidR="00BE7E31">
        <w:rPr>
          <w:rFonts w:ascii="DepCentury Old Style" w:hAnsi="DepCentury Old Style" w:cs="Open Sans"/>
          <w:color w:val="333333"/>
        </w:rPr>
        <w:t>tak som er egnet til å sikre at det kun er nødvendige oppl</w:t>
      </w:r>
      <w:r w:rsidR="0005604E">
        <w:rPr>
          <w:rFonts w:ascii="DepCentury Old Style" w:hAnsi="DepCentury Old Style" w:cs="Open Sans"/>
          <w:color w:val="333333"/>
        </w:rPr>
        <w:t>ysninger</w:t>
      </w:r>
      <w:r w:rsidR="00BE7E31">
        <w:rPr>
          <w:rFonts w:ascii="DepCentury Old Style" w:hAnsi="DepCentury Old Style" w:cs="Open Sans"/>
          <w:color w:val="333333"/>
        </w:rPr>
        <w:t xml:space="preserve"> om medlemmer som innhentes, jf. at </w:t>
      </w:r>
      <w:r w:rsidR="0005604E">
        <w:rPr>
          <w:rFonts w:ascii="DepCentury Old Style" w:hAnsi="DepCentury Old Style" w:cs="Open Sans"/>
          <w:color w:val="333333"/>
        </w:rPr>
        <w:t xml:space="preserve">opplysningene kan omfatte personopplysninger som er gitt et særskilt vern etter personvernforordningen, som opplysninger om sykepenger og uføretrygd. </w:t>
      </w:r>
    </w:p>
    <w:p w14:paraId="7EEF9A91" w14:textId="77777777" w:rsidR="001B27B5" w:rsidRDefault="001B27B5" w:rsidP="00FC780C">
      <w:pPr>
        <w:pStyle w:val="NormalWeb"/>
        <w:shd w:val="clear" w:color="auto" w:fill="FFFFFF"/>
        <w:spacing w:before="0" w:beforeAutospacing="0" w:after="0" w:afterAutospacing="0" w:line="276" w:lineRule="auto"/>
        <w:rPr>
          <w:rFonts w:ascii="DepCentury Old Style" w:hAnsi="DepCentury Old Style" w:cs="Open Sans"/>
          <w:color w:val="333333"/>
        </w:rPr>
      </w:pPr>
    </w:p>
    <w:p w14:paraId="556032C1" w14:textId="5E7F3A27" w:rsidR="003D6203" w:rsidRDefault="001B27B5" w:rsidP="00FC780C">
      <w:pPr>
        <w:pStyle w:val="NormalWeb"/>
        <w:shd w:val="clear" w:color="auto" w:fill="FFFFFF"/>
        <w:spacing w:before="0" w:beforeAutospacing="0" w:after="0" w:afterAutospacing="0" w:line="276" w:lineRule="auto"/>
        <w:rPr>
          <w:rFonts w:ascii="DepCentury Old Style" w:hAnsi="DepCentury Old Style" w:cs="Open Sans"/>
          <w:color w:val="333333"/>
        </w:rPr>
      </w:pPr>
      <w:r>
        <w:rPr>
          <w:rFonts w:ascii="DepCentury Old Style" w:hAnsi="DepCentury Old Style" w:cs="Open Sans"/>
          <w:color w:val="333333"/>
        </w:rPr>
        <w:t xml:space="preserve">Når det gjelder hvilke pensjonsinnretninger som skal gis tilgang til opplysninger etter lovforslaget, har NAV i dag avtaler om elektronisk utveksling av samordningsdata og data for beregning av forventet fremtidig pensjon som dekker alle pensjonsordninger og leverandører av offentlig tjenestepensjon omfattet av samordningsloven. </w:t>
      </w:r>
      <w:r w:rsidR="00954343">
        <w:rPr>
          <w:rFonts w:ascii="DepCentury Old Style" w:hAnsi="DepCentury Old Style" w:cs="Open Sans"/>
          <w:color w:val="333333"/>
        </w:rPr>
        <w:t>Da</w:t>
      </w:r>
      <w:r w:rsidR="00CC489B">
        <w:rPr>
          <w:rFonts w:ascii="DepCentury Old Style" w:hAnsi="DepCentury Old Style" w:cs="Open Sans"/>
          <w:color w:val="333333"/>
        </w:rPr>
        <w:t>t</w:t>
      </w:r>
      <w:r w:rsidR="00954343">
        <w:rPr>
          <w:rFonts w:ascii="DepCentury Old Style" w:hAnsi="DepCentury Old Style" w:cs="Open Sans"/>
          <w:color w:val="333333"/>
        </w:rPr>
        <w:t xml:space="preserve">utvekslingen over disse avtalene foregår mellom NAV og seks leverandører av offentlig tjenestepensjon, i tillegg til SPK. Noen av disse er selvstendige tjenestepensjonsleverandører, mens andre administrerer og forvalter pensjonskasser og ordninger eller er underleverandører av systemer mv.  Departementet legger til grunn at </w:t>
      </w:r>
      <w:r w:rsidR="00935DA9">
        <w:rPr>
          <w:rFonts w:ascii="DepCentury Old Style" w:hAnsi="DepCentury Old Style" w:cs="Open Sans"/>
          <w:color w:val="333333"/>
        </w:rPr>
        <w:t xml:space="preserve">begrepene pensjonsinnretninger eller leverandører av offentlig tjenestepensjon i lov- og forskriftsforslagene i dette høringsnotatet, også omfatter </w:t>
      </w:r>
      <w:r w:rsidR="003D6203">
        <w:rPr>
          <w:rFonts w:ascii="DepCentury Old Style" w:hAnsi="DepCentury Old Style" w:cs="Open Sans"/>
          <w:color w:val="333333"/>
        </w:rPr>
        <w:t xml:space="preserve">de innretningene </w:t>
      </w:r>
      <w:r w:rsidR="00954343">
        <w:rPr>
          <w:rFonts w:ascii="DepCentury Old Style" w:hAnsi="DepCentury Old Style" w:cs="Open Sans"/>
          <w:color w:val="333333"/>
        </w:rPr>
        <w:t>som</w:t>
      </w:r>
      <w:r w:rsidR="00935DA9">
        <w:rPr>
          <w:rFonts w:ascii="DepCentury Old Style" w:hAnsi="DepCentury Old Style" w:cs="Open Sans"/>
          <w:color w:val="333333"/>
        </w:rPr>
        <w:t xml:space="preserve"> </w:t>
      </w:r>
      <w:r w:rsidR="00954343">
        <w:rPr>
          <w:rFonts w:ascii="DepCentury Old Style" w:hAnsi="DepCentury Old Style" w:cs="Open Sans"/>
          <w:color w:val="333333"/>
        </w:rPr>
        <w:t>administ</w:t>
      </w:r>
      <w:r w:rsidR="00935DA9">
        <w:rPr>
          <w:rFonts w:ascii="DepCentury Old Style" w:hAnsi="DepCentury Old Style" w:cs="Open Sans"/>
          <w:color w:val="333333"/>
        </w:rPr>
        <w:t>rerer, forvalter eller er underleverandører av systemer for kommunale pensjonsordninger</w:t>
      </w:r>
      <w:r w:rsidR="003D6203">
        <w:rPr>
          <w:rFonts w:ascii="DepCentury Old Style" w:hAnsi="DepCentury Old Style" w:cs="Open Sans"/>
          <w:color w:val="333333"/>
        </w:rPr>
        <w:t>.</w:t>
      </w:r>
    </w:p>
    <w:p w14:paraId="49D59FA7" w14:textId="77777777" w:rsidR="003D6203" w:rsidRDefault="003D6203" w:rsidP="00FC780C">
      <w:pPr>
        <w:pStyle w:val="NormalWeb"/>
        <w:shd w:val="clear" w:color="auto" w:fill="FFFFFF"/>
        <w:spacing w:before="0" w:beforeAutospacing="0" w:after="0" w:afterAutospacing="0" w:line="276" w:lineRule="auto"/>
        <w:rPr>
          <w:rFonts w:ascii="DepCentury Old Style" w:hAnsi="DepCentury Old Style" w:cs="Open Sans"/>
          <w:color w:val="333333"/>
        </w:rPr>
      </w:pPr>
    </w:p>
    <w:p w14:paraId="4DD29223" w14:textId="478F6C94" w:rsidR="00FC780C" w:rsidRDefault="00FC780C" w:rsidP="00D70B4B">
      <w:pPr>
        <w:spacing w:line="276" w:lineRule="auto"/>
        <w:rPr>
          <w:rFonts w:cs="Open Sans"/>
          <w:color w:val="333333"/>
        </w:rPr>
      </w:pPr>
      <w:r>
        <w:rPr>
          <w:rFonts w:cs="Open Sans"/>
          <w:color w:val="333333"/>
        </w:rPr>
        <w:lastRenderedPageBreak/>
        <w:t xml:space="preserve">Departementet foreslår en bestemmelse i forsikringsvirksomhetsloven </w:t>
      </w:r>
      <w:r w:rsidR="00E83716">
        <w:rPr>
          <w:rFonts w:cs="Open Sans"/>
          <w:color w:val="333333"/>
        </w:rPr>
        <w:t>§ 4-17 om at Arbeids- og velferdsetaten skal levere den samlede pensjonsbeholdningen beregnet etter folketrygdloven § 20-4 og andre opplysninger som er nødvendige for pensjonsinnretningens premieberegning, beregning av framtidig pensjon, vilkårsprøving og beregning av avtalefestet pensjon</w:t>
      </w:r>
      <w:r w:rsidR="008C3B34">
        <w:rPr>
          <w:rFonts w:cs="Open Sans"/>
          <w:color w:val="333333"/>
        </w:rPr>
        <w:t>.</w:t>
      </w:r>
      <w:r w:rsidR="00E83716">
        <w:rPr>
          <w:rFonts w:cs="Open Sans"/>
          <w:color w:val="333333"/>
        </w:rPr>
        <w:t xml:space="preserve"> For å presisere at bestemmelsen gjelder ny avtalefestet pensjon foreslås </w:t>
      </w:r>
      <w:r w:rsidR="008C3B34">
        <w:rPr>
          <w:rFonts w:cs="Open Sans"/>
          <w:color w:val="333333"/>
        </w:rPr>
        <w:t xml:space="preserve">at det vises til avtalefestet pensjon for arbeidstakere født i 1963 eller senere. Det vises til forslag til § 4-17 første ledd første punktum. I </w:t>
      </w:r>
      <w:r w:rsidR="002672C8">
        <w:rPr>
          <w:rFonts w:cs="Open Sans"/>
          <w:color w:val="333333"/>
        </w:rPr>
        <w:t xml:space="preserve">første </w:t>
      </w:r>
      <w:r w:rsidR="002672C8" w:rsidRPr="002672C8">
        <w:rPr>
          <w:rFonts w:cs="Open Sans"/>
          <w:color w:val="333333"/>
        </w:rPr>
        <w:t xml:space="preserve">ledd </w:t>
      </w:r>
      <w:r w:rsidR="007C2849">
        <w:rPr>
          <w:rFonts w:cs="Open Sans"/>
          <w:color w:val="333333"/>
        </w:rPr>
        <w:t>tredje</w:t>
      </w:r>
      <w:r w:rsidR="008C3B34" w:rsidRPr="002672C8">
        <w:rPr>
          <w:rFonts w:cs="Open Sans"/>
          <w:color w:val="333333"/>
        </w:rPr>
        <w:t xml:space="preserve"> </w:t>
      </w:r>
      <w:r w:rsidR="002672C8" w:rsidRPr="00D70B4B">
        <w:rPr>
          <w:rFonts w:cs="Open Sans"/>
          <w:color w:val="333333"/>
        </w:rPr>
        <w:t>punktum</w:t>
      </w:r>
      <w:r w:rsidR="002672C8" w:rsidRPr="002672C8">
        <w:rPr>
          <w:rFonts w:cs="Open Sans"/>
          <w:color w:val="333333"/>
        </w:rPr>
        <w:t xml:space="preserve"> </w:t>
      </w:r>
      <w:r w:rsidR="008C3B34" w:rsidRPr="002672C8">
        <w:rPr>
          <w:rFonts w:cs="Open Sans"/>
          <w:color w:val="333333"/>
        </w:rPr>
        <w:t>foreslås</w:t>
      </w:r>
      <w:r w:rsidR="008C3B34">
        <w:rPr>
          <w:rFonts w:cs="Open Sans"/>
          <w:color w:val="333333"/>
        </w:rPr>
        <w:t xml:space="preserve"> </w:t>
      </w:r>
      <w:r w:rsidR="0008592A">
        <w:rPr>
          <w:rFonts w:cs="Open Sans"/>
          <w:color w:val="333333"/>
        </w:rPr>
        <w:t>en bestemmelse om at Arbe</w:t>
      </w:r>
      <w:r w:rsidR="0008592A">
        <w:t xml:space="preserve">ids- og velferdsetatens taushetsplikt etter arbeids- og velferdsforvaltningsloven § 7 ikke er til hinder for </w:t>
      </w:r>
      <w:r w:rsidR="0008592A" w:rsidRPr="00B81649">
        <w:rPr>
          <w:color w:val="111720"/>
          <w:szCs w:val="24"/>
          <w:shd w:val="clear" w:color="auto" w:fill="FFFFFF"/>
        </w:rPr>
        <w:t xml:space="preserve">utveksling av opplysninger mellom </w:t>
      </w:r>
      <w:r w:rsidR="0008592A">
        <w:t xml:space="preserve">Arbeids- og velferdsetaten og kommunale pensjonsinnretninger i den utstrekning det er nødvendig for å fremme oppgaver etter bestemmelsen. </w:t>
      </w:r>
      <w:r w:rsidR="00CE5EDC">
        <w:rPr>
          <w:rFonts w:cs="Open Sans"/>
          <w:color w:val="333333"/>
        </w:rPr>
        <w:t>Bestemmelsen foreslås tatt inn i lovens</w:t>
      </w:r>
      <w:r w:rsidR="0019413A">
        <w:rPr>
          <w:rFonts w:cs="Open Sans"/>
          <w:color w:val="333333"/>
        </w:rPr>
        <w:t xml:space="preserve"> </w:t>
      </w:r>
      <w:r>
        <w:rPr>
          <w:rFonts w:cs="Open Sans"/>
          <w:color w:val="333333"/>
        </w:rPr>
        <w:t xml:space="preserve">kapittel 4, som gjelder for pensjonsinnretninger som tilbyr kommunale pensjonsordninger. </w:t>
      </w:r>
    </w:p>
    <w:p w14:paraId="0FFDE918" w14:textId="77777777" w:rsidR="00046F03" w:rsidRDefault="00046F03" w:rsidP="002A4144">
      <w:pPr>
        <w:spacing w:line="276" w:lineRule="auto"/>
      </w:pPr>
    </w:p>
    <w:p w14:paraId="6DB80FF9" w14:textId="37E28192" w:rsidR="00FC780C" w:rsidRDefault="00FC780C" w:rsidP="00FC780C">
      <w:pPr>
        <w:spacing w:line="276" w:lineRule="auto"/>
      </w:pPr>
      <w:r>
        <w:t>Forslaget anses ikke å ha vesentlige eller uforholdsmessige personvernkonsekvenser, jf. omtale i kap. 2.5.</w:t>
      </w:r>
      <w:r w:rsidR="00A908DC">
        <w:t>3 nedenfor.</w:t>
      </w:r>
    </w:p>
    <w:p w14:paraId="73AACF94" w14:textId="77777777" w:rsidR="00A94C92" w:rsidRDefault="00A94C92" w:rsidP="00DD5441">
      <w:pPr>
        <w:spacing w:line="276" w:lineRule="auto"/>
        <w:rPr>
          <w:rFonts w:cs="Arial"/>
          <w:color w:val="1A1A1A"/>
        </w:rPr>
      </w:pPr>
    </w:p>
    <w:p w14:paraId="2F57D51C" w14:textId="4CB7DAC0" w:rsidR="006A2BF3" w:rsidRDefault="006A2BF3" w:rsidP="00D70B4B">
      <w:pPr>
        <w:pStyle w:val="Overskrift3"/>
      </w:pPr>
      <w:bookmarkStart w:id="20" w:name="_Toc170468738"/>
      <w:r>
        <w:t>Personvernkonsekvenser av forslagene</w:t>
      </w:r>
      <w:bookmarkEnd w:id="20"/>
    </w:p>
    <w:p w14:paraId="28CD4CB1" w14:textId="77777777" w:rsidR="006A2BF3" w:rsidRDefault="006A2BF3" w:rsidP="006A2BF3">
      <w:pPr>
        <w:spacing w:line="276" w:lineRule="auto"/>
      </w:pPr>
      <w:r>
        <w:t xml:space="preserve">EUs personvernforordning (Europaparlaments- og rådsforordning (EU) 2016/679)  inneholder grunnleggende prinsipper og vilkår for å behandle personopplysninger, rettigheter for enkeltpersoner og plikter for behandlingsansvarlige og databehandlere. Forordningen er tatt inn i EØS-avtalen og er gjennomført i norsk rett gjennom inkorporasjon, dvs at forordningen er gjort til norsk rett gjennom en henvisningsbestemmelse i lov 15. juni 2018 nr. 38 om behandling av personopplysninger (personopplysningsloven) § 1. </w:t>
      </w:r>
    </w:p>
    <w:p w14:paraId="6703E2AA" w14:textId="77777777" w:rsidR="006A2BF3" w:rsidRDefault="006A2BF3" w:rsidP="006A2BF3">
      <w:pPr>
        <w:spacing w:line="276" w:lineRule="auto"/>
      </w:pPr>
    </w:p>
    <w:p w14:paraId="1B1B6EB9" w14:textId="7C000E65" w:rsidR="006A2BF3" w:rsidRDefault="006A2BF3" w:rsidP="006A2BF3">
      <w:pPr>
        <w:spacing w:line="276" w:lineRule="auto"/>
      </w:pPr>
      <w:r>
        <w:t>Med personopplysninger menes enhver opplysning om en identifisert eller identifiserbar fysisk person, jf. forordningen artikkel 4 nr. 1. Opplysninger om medlemmers inntekts- og arbeidsforhold (kap. 2.2</w:t>
      </w:r>
      <w:r w:rsidR="00DD145D">
        <w:t xml:space="preserve"> og 2.4</w:t>
      </w:r>
      <w:r>
        <w:t xml:space="preserve">) samt opplysninger om opptjent pensjonsbeholdning og ytelser i folketrygden (kap. 2.3) er å anse som personopplysninger. Behandling av disse opplysningene må derfor vurderes i forhold til personvernforordningen. </w:t>
      </w:r>
    </w:p>
    <w:p w14:paraId="06737651" w14:textId="77777777" w:rsidR="006A2BF3" w:rsidRDefault="006A2BF3" w:rsidP="006A2BF3">
      <w:pPr>
        <w:spacing w:line="276" w:lineRule="auto"/>
      </w:pPr>
    </w:p>
    <w:p w14:paraId="168EC35E" w14:textId="77777777" w:rsidR="006A2BF3" w:rsidRDefault="006A2BF3" w:rsidP="006A2BF3">
      <w:pPr>
        <w:spacing w:line="276" w:lineRule="auto"/>
      </w:pPr>
      <w:r>
        <w:t>Personvernforordningen artikkel 5 nr. 1 inneholder de grunnleggende prinsippene for behandling av personopplysninger. Artikkel 5 nr. 1 bokstav a bestemmer at behandlingen må oppfylle krav til lovlighet, rettferdighet og åpenhet.</w:t>
      </w:r>
    </w:p>
    <w:p w14:paraId="7DE99AA0" w14:textId="77777777" w:rsidR="006A2BF3" w:rsidRDefault="006A2BF3" w:rsidP="006A2BF3">
      <w:pPr>
        <w:spacing w:line="276" w:lineRule="auto"/>
      </w:pPr>
    </w:p>
    <w:p w14:paraId="05DDF626" w14:textId="7EB38741" w:rsidR="006A2BF3" w:rsidRDefault="006A2BF3" w:rsidP="006A2BF3">
      <w:pPr>
        <w:spacing w:line="276" w:lineRule="auto"/>
      </w:pPr>
      <w:r>
        <w:lastRenderedPageBreak/>
        <w:t xml:space="preserve">At behandlingen må oppfylle krav til lovlighet, innebærer at det må foreligge et behandlingsgrunnlag. Etter departementets vurdering vil Skatteetatens og Arbeids- og velferdsetatens utlevering av opplysninger til kommunale pensjonsleverandører til deres arbeid med ny AFP i offentlig sektor være utøvelse av offentlig myndighet etter personvernforordningen art. 6 nr. 1 bokstav e.  Etter forordningen art. 6 nr. 3 kreves det videre et supplerende behandlingsgrunnlag, ved at behandlingen skal være fastsatt i nasjonal rett som den behandlingsansvarlige er underlagt. Formålet med behandlingen skal også være fastsatt i det rettslige grunnlaget. For Skatteetaten vil supplerende behandlingsgrunnlag være skatteforvaltningsloven § 3-6 nytt fjerde ledd, jf. forslaget i dette høringsnotatet. For Arbeids- og velferdsetaten vil supplerende behandlingsgrunnlag være forsikringsvirksomhetsloven § 4-17 og forskrift om Arbeidsgiver- og arbeistakerregisteret § 10 bokstav </w:t>
      </w:r>
      <w:r w:rsidR="00F730B0">
        <w:t>e</w:t>
      </w:r>
      <w:r>
        <w:t xml:space="preserve">, jf. forslagene i høringsnotatet.  </w:t>
      </w:r>
    </w:p>
    <w:p w14:paraId="2F38B366" w14:textId="77777777" w:rsidR="006A2BF3" w:rsidRDefault="006A2BF3" w:rsidP="006A2BF3">
      <w:pPr>
        <w:spacing w:line="276" w:lineRule="auto"/>
      </w:pPr>
    </w:p>
    <w:p w14:paraId="2D470E3F" w14:textId="5CEC5F21" w:rsidR="006A2BF3" w:rsidRDefault="006A2BF3" w:rsidP="006A2BF3">
      <w:pPr>
        <w:pStyle w:val="NormalWeb"/>
        <w:shd w:val="clear" w:color="auto" w:fill="FFFFFF"/>
        <w:spacing w:before="0" w:beforeAutospacing="0" w:after="0" w:afterAutospacing="0" w:line="276" w:lineRule="auto"/>
        <w:rPr>
          <w:rFonts w:ascii="DepCentury Old Style" w:hAnsi="DepCentury Old Style"/>
        </w:rPr>
      </w:pPr>
      <w:r>
        <w:rPr>
          <w:rFonts w:ascii="DepCentury Old Style" w:hAnsi="DepCentury Old Style"/>
        </w:rPr>
        <w:t>Departmentet viser til at opplysninger fra Arbeids- og velferdsetaten om den samlede pensjonsbeholdningen beregnet etter folketrygdloven § 20-4 og andre opplysninger som er nødvendige for premieberegning, vilkårsprøving og beregning av ny offentlig AFP, også vil omfatte særlige kategorier av personopplysninger etter personvernforordningen art. 9. Dette gjelder bl.a. opplysninger om mottak av uføretrygd, arbeidsavklaringspenger og sykepenger, som vil være å anse som «helseopplysninger» etter art. 9. Departementet legger til grunn at Arbeids- og velferdsetatens utlevering av slike opplysninger vil ha lovlig grunnlag i art. 9 nr. 2 bokstav b, om at «behandlingen er nødvendig for at den behandlingsansvarlige eller den registrerte skal kunne oppfylle sine forpliktelser og utøve særlige rettigheter på området arbeidsrett, trygderett og sosialrett i den grad dette er tillatt i henhold til […] medlemssstatenes nasjonale rett</w:t>
      </w:r>
      <w:r w:rsidR="00A67C16">
        <w:rPr>
          <w:rFonts w:ascii="DepCentury Old Style" w:hAnsi="DepCentury Old Style"/>
        </w:rPr>
        <w:t>»</w:t>
      </w:r>
      <w:r>
        <w:rPr>
          <w:rFonts w:ascii="DepCentury Old Style" w:hAnsi="DepCentury Old Style"/>
        </w:rPr>
        <w:t>. Hjemmelen i nasjonal rett vil være de supplerende behandlingsgrunnlagene for Arbeids- og velferdsetaten som angitt over.</w:t>
      </w:r>
    </w:p>
    <w:p w14:paraId="19FA5796" w14:textId="77777777" w:rsidR="006A2BF3" w:rsidRDefault="006A2BF3" w:rsidP="006A2BF3">
      <w:pPr>
        <w:spacing w:line="276" w:lineRule="auto"/>
      </w:pPr>
    </w:p>
    <w:p w14:paraId="33FEE105" w14:textId="6C7BBC9F" w:rsidR="006A2BF3" w:rsidRDefault="006A2BF3" w:rsidP="006A2BF3">
      <w:pPr>
        <w:spacing w:line="276" w:lineRule="auto"/>
      </w:pPr>
      <w:r w:rsidRPr="00D70B4B">
        <w:t>Også utlevering av opplysninger om inntekts- og arbeidsforhold fra arbeidsgivere  krever et behandlingsgrunnlag for å være lovlig. Behandlingsgrunnlaget vil være den foreslåtte lovbestemmelsen i forsikringsvirksomhetsloven § 4-17</w:t>
      </w:r>
      <w:r w:rsidR="00DD145D" w:rsidRPr="00D70B4B">
        <w:t xml:space="preserve"> </w:t>
      </w:r>
      <w:r w:rsidR="00761BB0" w:rsidRPr="00D70B4B">
        <w:t>annet</w:t>
      </w:r>
      <w:r w:rsidRPr="00D70B4B">
        <w:t xml:space="preserve"> ledd, som pålegger arbeidsgiver å utlevere disse opplysningene til bruk for pensjonsinnretningens beregning mv. av ny offentlig AFP. For nåværende arbeidsgiver som har avtale om tjenestepensjonsordning med den kommunale pensjonsleverandøren, vil avtalen regulere slik utveksling av opplysninger.</w:t>
      </w:r>
      <w:r w:rsidRPr="00DD145D">
        <w:t xml:space="preserve"> </w:t>
      </w:r>
      <w:r w:rsidR="00E60389" w:rsidRPr="00DD145D">
        <w:t xml:space="preserve">Utlevering av opplysninger fra Fellesordningen for AFP </w:t>
      </w:r>
      <w:r w:rsidR="00DD145D" w:rsidRPr="00DD145D">
        <w:t xml:space="preserve">vil ha behandlingsgrunnlag i den foreslåtte lovbestemmelsen i </w:t>
      </w:r>
      <w:r w:rsidR="00DD145D" w:rsidRPr="00D70B4B">
        <w:t>forsikringsvirksomhetsloven § 4-17 tredje ledd.</w:t>
      </w:r>
    </w:p>
    <w:p w14:paraId="540B5A40" w14:textId="77777777" w:rsidR="006A2BF3" w:rsidRDefault="006A2BF3" w:rsidP="006A2BF3">
      <w:pPr>
        <w:spacing w:line="276" w:lineRule="auto"/>
      </w:pPr>
    </w:p>
    <w:p w14:paraId="5292367F" w14:textId="25673412" w:rsidR="006A2BF3" w:rsidRDefault="006A2BF3" w:rsidP="006A2BF3">
      <w:pPr>
        <w:spacing w:line="276" w:lineRule="auto"/>
      </w:pPr>
      <w:r>
        <w:t xml:space="preserve">Departementet legger videre til grunn at behandlingen for det formål som er beskrevet i høringsnotatet, vil anses som rettferdig. Det vises til at forslagene om utlevering av </w:t>
      </w:r>
      <w:r>
        <w:lastRenderedPageBreak/>
        <w:t>opplysninger fra Skatteetaten</w:t>
      </w:r>
      <w:r w:rsidR="000C27C1">
        <w:t>,</w:t>
      </w:r>
      <w:r>
        <w:t xml:space="preserve"> Arbeids- og velferdsetaten</w:t>
      </w:r>
      <w:r w:rsidR="000C27C1">
        <w:t xml:space="preserve">, Fellesordningen for AFP </w:t>
      </w:r>
      <w:r>
        <w:t xml:space="preserve"> samt fra nåværende eller tidligere arbeidsgivere vil bidra til mest mulig riktig informasjon om søkerens tidligere lønns- og arbeidsforhold for å kunne vurdere om søkeren oppfyller vilkårene for AFP i offentlig sektor. Videre vil opplysninger fra Arbeids- og velferdsetaten om opptjent </w:t>
      </w:r>
      <w:r w:rsidR="007D70FE">
        <w:t xml:space="preserve">pensjonsbeholdning i </w:t>
      </w:r>
      <w:r>
        <w:t>folketrygd</w:t>
      </w:r>
      <w:r w:rsidR="007D70FE">
        <w:t>en</w:t>
      </w:r>
      <w:r>
        <w:t xml:space="preserve"> og andre ytelser bidra til et mest mulig riktig grunnlag for vilkårsprøving og beregning av AFP i offentlig sektor.</w:t>
      </w:r>
      <w:r w:rsidRPr="00B60118">
        <w:t xml:space="preserve"> </w:t>
      </w:r>
      <w:r>
        <w:t xml:space="preserve">Departementet legger derfor til grunn at utleveringen vil være forholdsmessig og nødvendig. </w:t>
      </w:r>
    </w:p>
    <w:p w14:paraId="4E417988" w14:textId="77777777" w:rsidR="006A2BF3" w:rsidRDefault="006A2BF3" w:rsidP="006A2BF3">
      <w:pPr>
        <w:spacing w:line="276" w:lineRule="auto"/>
      </w:pPr>
    </w:p>
    <w:p w14:paraId="40E0369D" w14:textId="7D271B68" w:rsidR="006A2BF3" w:rsidRDefault="006A2BF3" w:rsidP="006A2BF3">
      <w:pPr>
        <w:spacing w:line="276" w:lineRule="auto"/>
      </w:pPr>
      <w:r>
        <w:t>Prinsippet om åpenhet innebærer at de registrertes rettigheter til blant annet innsyn og informasjon skal være ivaretatt. Departementet viser til at a-opplysningsloven § 9 allerede gir inntektsmottakere rett til innsyn i opplysninger om inntekts- og arbeidsforhold som er innsamlet gjennom a-ordningen. I</w:t>
      </w:r>
      <w:r w:rsidR="000C27C1">
        <w:t xml:space="preserve"> </w:t>
      </w:r>
      <w:r>
        <w:t xml:space="preserve">innsynsløsningen vil det også legges til rette for innsyn i opplysninger om den pensjonsinnretning som er innrapportert fra arbeidsgiver etter forsikringsvirksomhetsoven § 4-18, og som har rett til å innhente opplysninger etter skatteforvaltningsloven § 3-6 nytt fjerde ledd. </w:t>
      </w:r>
    </w:p>
    <w:p w14:paraId="749C0790" w14:textId="77777777" w:rsidR="006A2BF3" w:rsidRDefault="006A2BF3" w:rsidP="006A2BF3">
      <w:pPr>
        <w:spacing w:line="276" w:lineRule="auto"/>
      </w:pPr>
    </w:p>
    <w:p w14:paraId="20DB1A0C" w14:textId="77777777" w:rsidR="006A2BF3" w:rsidRDefault="006A2BF3" w:rsidP="006A2BF3">
      <w:pPr>
        <w:spacing w:line="276" w:lineRule="auto"/>
      </w:pPr>
      <w:r>
        <w:t>Prinsippet om formålsbegrensning etter forordningen artikkel 5 nr. 1 bokstav b innebærer at personopplysninger skal «samles inn for spesifikke, uttrykkelig angitte og berettigede formål og ikke viderebehandles på en måte som er uforenlig med disse formålene. Viderebehandling for nye, uforenlige formål er etter forordningen artikkel 6 nr. 4 tillatt dersom den bygger på medlemsstatenes nasjonale rett som utgjør et nødvendig og forholdsmessig tiltak i et demokratisk samfunn for å sikre målene som nevnt i artikkel 23 nr. 1. Blant formålene som er nevnt er viktige mål av generell allmenn interesse for en medlemsstat (herunder skattesaker og trygdespørsmål) i bokstav e, og vern av den registrertes rettigheter i bokstav i.</w:t>
      </w:r>
      <w:r w:rsidRPr="001662FF">
        <w:t xml:space="preserve"> </w:t>
      </w:r>
    </w:p>
    <w:p w14:paraId="10830638" w14:textId="77777777" w:rsidR="006A2BF3" w:rsidRDefault="006A2BF3" w:rsidP="006A2BF3">
      <w:pPr>
        <w:spacing w:line="276" w:lineRule="auto"/>
      </w:pPr>
    </w:p>
    <w:p w14:paraId="0D924D3E" w14:textId="480E3411" w:rsidR="006A2BF3" w:rsidRDefault="006A2BF3" w:rsidP="006A2BF3">
      <w:pPr>
        <w:spacing w:line="276" w:lineRule="auto"/>
      </w:pPr>
      <w:r>
        <w:t>Departementet viser til at forslagene i dette kapitlet i høringsnotatet innebærer videreformidling av opplysninger som Skatteetaten og Arbeids- og velferdsetaten har rettslig grunnlag for å behandle på angitte måter, og forslaget må derfor vurderes iht. forordningen art. 6 nr. 4. Tilsvarende gjelder for opplysninger om inntekts- og arbeidsforhold fra nåværende eller tidligere arbeidsgiver</w:t>
      </w:r>
      <w:r w:rsidR="00DD145D">
        <w:t xml:space="preserve"> og opplysninger fra Fellesordningen for AFP</w:t>
      </w:r>
      <w:r>
        <w:t>. Departementet legger til grunn at bestemmelsene som ovenfor er angitt som supplerende behandlingsgrunnlag for Skatteetaten og Arbeids- og velferdsetaten, samt bestemmelsen</w:t>
      </w:r>
      <w:r w:rsidR="00DD145D">
        <w:t>e</w:t>
      </w:r>
      <w:r>
        <w:t xml:space="preserve"> i forsikringsvirksomhetsloven § 4-17 </w:t>
      </w:r>
      <w:r w:rsidR="00DD145D">
        <w:t xml:space="preserve">annet og </w:t>
      </w:r>
      <w:r>
        <w:t xml:space="preserve">tredje ledd, også hjemler adgang for viderebruk av personopplysningene til nye og uforenlige formål. Etter departementets vurdering vil viderebehandling av opplysningene bidra til mest mulig riktig grunnlag for vilkårsprøving og beregning av AFP i offentlig sektor. Det vil også bidra til en mer effektiv og ressursbesparende </w:t>
      </w:r>
      <w:r>
        <w:lastRenderedPageBreak/>
        <w:t xml:space="preserve">saksbehandling at pensjonsinnretningen kan innhente opplysninger uten at søkeren må gi samtykke i hvert enkelt tilfelle. Departementet vurderer at dette er viktige mål av generell allmenn interesse, og at utleveringen av opplysningene er et nødvendig og forholdsmessig tiltak for å fremme disse målene. </w:t>
      </w:r>
    </w:p>
    <w:p w14:paraId="40A9EE28" w14:textId="77777777" w:rsidR="006A2BF3" w:rsidRDefault="006A2BF3" w:rsidP="006A2BF3">
      <w:pPr>
        <w:spacing w:line="276" w:lineRule="auto"/>
      </w:pPr>
    </w:p>
    <w:p w14:paraId="52225BEE" w14:textId="77777777" w:rsidR="006A2BF3" w:rsidRDefault="006A2BF3" w:rsidP="006A2BF3">
      <w:pPr>
        <w:spacing w:line="276" w:lineRule="auto"/>
      </w:pPr>
      <w:r>
        <w:t xml:space="preserve">Prinsippet om dataminimering følger av personvernforordningen artikkel 5 nr. 1 bokstav c. Etter dette prinsippet skal behandling av personopplysninger begrenses til det som er nødvendig og relevant for formålet. Departementet viser til at forslagene i kap. 2 i høringsnotatet kun legger opp til at det skal utleveres nødvendige opplysninger for å kunne vilkårsprøve og beregne AFP. Departementet legger til grunn at pensjonsinnretningene ikke vil innhente opplysninger om medlemmer som ikke søker om AFP.  </w:t>
      </w:r>
    </w:p>
    <w:p w14:paraId="0B2DACC7" w14:textId="77777777" w:rsidR="006A2BF3" w:rsidRDefault="006A2BF3" w:rsidP="006A2BF3">
      <w:pPr>
        <w:spacing w:line="276" w:lineRule="auto"/>
      </w:pPr>
    </w:p>
    <w:p w14:paraId="724A16AC" w14:textId="77777777" w:rsidR="006A2BF3" w:rsidRDefault="006A2BF3" w:rsidP="006A2BF3">
      <w:pPr>
        <w:spacing w:line="276" w:lineRule="auto"/>
      </w:pPr>
      <w:r>
        <w:t xml:space="preserve">Prinsippet om riktighet i personvernforordningen artikkel 5 nr. 1 bokstav d innebærer at personopplysninger skal være korrekte og oppdaterte. Opplysninger om inntekts- og arbeidsforhold som arbeidsgiver rapporterer gjennom a-meldingen og som er delt med eieretatene, samt opplysninger som Arbeids- og velferdsetaten forvalter om opptjent folketrygd mv., vurderes å være av høy kvalitet som bidrar til å ivareta prinsippet om korrekte og oppdaterte opplysninger. </w:t>
      </w:r>
    </w:p>
    <w:p w14:paraId="1F54B029" w14:textId="77777777" w:rsidR="006A2BF3" w:rsidRDefault="006A2BF3" w:rsidP="006A2BF3">
      <w:pPr>
        <w:pStyle w:val="NormalWeb"/>
        <w:shd w:val="clear" w:color="auto" w:fill="FFFFFF"/>
        <w:spacing w:before="0" w:beforeAutospacing="0" w:after="0" w:afterAutospacing="0" w:line="276" w:lineRule="auto"/>
        <w:rPr>
          <w:rFonts w:ascii="DepCentury Old Style" w:hAnsi="DepCentury Old Style" w:cs="Open Sans"/>
          <w:color w:val="333333"/>
        </w:rPr>
      </w:pPr>
    </w:p>
    <w:p w14:paraId="0EF6C91F" w14:textId="0CB37A70" w:rsidR="006A2BF3" w:rsidRDefault="006A2BF3" w:rsidP="006A2BF3">
      <w:pPr>
        <w:pStyle w:val="NormalWeb"/>
        <w:shd w:val="clear" w:color="auto" w:fill="FFFFFF"/>
        <w:spacing w:before="0" w:beforeAutospacing="0" w:after="0" w:afterAutospacing="0" w:line="276" w:lineRule="auto"/>
        <w:rPr>
          <w:rFonts w:ascii="DepCentury Old Style" w:hAnsi="DepCentury Old Style"/>
        </w:rPr>
      </w:pPr>
      <w:r>
        <w:rPr>
          <w:rFonts w:ascii="DepCentury Old Style" w:hAnsi="DepCentury Old Style" w:cs="Open Sans"/>
          <w:color w:val="333333"/>
        </w:rPr>
        <w:t xml:space="preserve">Departementet forutsetter at pensjonsinnretningene sørger for at </w:t>
      </w:r>
      <w:r w:rsidRPr="00BF6A03">
        <w:rPr>
          <w:rFonts w:ascii="DepCentury Old Style" w:hAnsi="DepCentury Old Style" w:cs="Open Sans"/>
          <w:color w:val="333333"/>
        </w:rPr>
        <w:t xml:space="preserve">personopplysningene underlegges tilstrekkelig informasjonssikkerhet og at de slettes når formålet er oppfylt, og at </w:t>
      </w:r>
      <w:r>
        <w:rPr>
          <w:rFonts w:ascii="DepCentury Old Style" w:hAnsi="DepCentury Old Style" w:cs="Open Sans"/>
          <w:color w:val="333333"/>
        </w:rPr>
        <w:t xml:space="preserve">pensjonsinnretningene </w:t>
      </w:r>
      <w:r w:rsidRPr="00BF6A03">
        <w:rPr>
          <w:rFonts w:ascii="DepCentury Old Style" w:hAnsi="DepCentury Old Style" w:cs="Open Sans"/>
          <w:color w:val="333333"/>
        </w:rPr>
        <w:t xml:space="preserve">sørger for å iverksette tiltak mot utilsiktet og ulovlig ødeleggelse, tap og endringer av personopplysninger. </w:t>
      </w:r>
      <w:r>
        <w:rPr>
          <w:rFonts w:ascii="DepCentury Old Style" w:hAnsi="DepCentury Old Style" w:cs="Open Sans"/>
          <w:color w:val="333333"/>
        </w:rPr>
        <w:t xml:space="preserve">Det vises til prinsippene om lagringsbegrensning  i forordningen art. 5 bokstav e ) og sikkerhet for personopplysningene i art. 5 bokstav f. </w:t>
      </w:r>
      <w:r w:rsidRPr="00BF6A03">
        <w:rPr>
          <w:rFonts w:ascii="DepCentury Old Style" w:hAnsi="DepCentury Old Style" w:cs="Open Sans"/>
          <w:color w:val="333333"/>
        </w:rPr>
        <w:t xml:space="preserve">Departementet viser til at </w:t>
      </w:r>
      <w:r>
        <w:rPr>
          <w:rFonts w:ascii="DepCentury Old Style" w:hAnsi="DepCentury Old Style" w:cs="Open Sans"/>
          <w:color w:val="333333"/>
        </w:rPr>
        <w:t xml:space="preserve">både Skatteetaten, </w:t>
      </w:r>
      <w:r w:rsidRPr="00AE2A08">
        <w:rPr>
          <w:rFonts w:ascii="DepCentury Old Style" w:hAnsi="DepCentury Old Style" w:cs="Open Sans"/>
          <w:color w:val="333333"/>
        </w:rPr>
        <w:t>Arbeids- og velferdsetaten</w:t>
      </w:r>
      <w:r w:rsidR="00E60389">
        <w:rPr>
          <w:rFonts w:ascii="DepCentury Old Style" w:hAnsi="DepCentury Old Style" w:cs="Open Sans"/>
          <w:color w:val="333333"/>
        </w:rPr>
        <w:t>, Fellesordningen for AFP, arbeidsgivere og</w:t>
      </w:r>
      <w:r w:rsidRPr="00AE2A08">
        <w:rPr>
          <w:rFonts w:ascii="DepCentury Old Style" w:hAnsi="DepCentury Old Style" w:cs="Open Sans"/>
          <w:color w:val="333333"/>
        </w:rPr>
        <w:t xml:space="preserve"> pensjonsinnretningene har taushetsplikt, noe som er viktig for borgernes rettssikkerhet og personvern. Taushetsplikten for pensjonsinnretningene og deres ansatte følger av </w:t>
      </w:r>
      <w:r w:rsidRPr="00AE2A08">
        <w:rPr>
          <w:rFonts w:ascii="DepCentury Old Style" w:hAnsi="DepCentury Old Style"/>
        </w:rPr>
        <w:t>finansforetaksloven §§ 9-6 og 16-2</w:t>
      </w:r>
      <w:r>
        <w:rPr>
          <w:rFonts w:ascii="DepCentury Old Style" w:hAnsi="DepCentury Old Style"/>
        </w:rPr>
        <w:t>, noe som reduserer risikoen for at opplysningene kommer på avveie</w:t>
      </w:r>
      <w:r w:rsidRPr="00AE2A08">
        <w:rPr>
          <w:rFonts w:ascii="DepCentury Old Style" w:hAnsi="DepCentury Old Style"/>
        </w:rPr>
        <w:t>.</w:t>
      </w:r>
    </w:p>
    <w:p w14:paraId="2C8E74E4" w14:textId="77777777" w:rsidR="006A2BF3" w:rsidRDefault="006A2BF3" w:rsidP="006A2BF3">
      <w:pPr>
        <w:pStyle w:val="NormalWeb"/>
        <w:shd w:val="clear" w:color="auto" w:fill="FFFFFF"/>
        <w:spacing w:before="0" w:beforeAutospacing="0" w:after="0" w:afterAutospacing="0" w:line="276" w:lineRule="auto"/>
        <w:rPr>
          <w:rFonts w:ascii="DepCentury Old Style" w:hAnsi="DepCentury Old Style"/>
        </w:rPr>
      </w:pPr>
    </w:p>
    <w:p w14:paraId="7027255E" w14:textId="18838FB0" w:rsidR="006A2BF3" w:rsidRPr="00863D67" w:rsidRDefault="006A2BF3" w:rsidP="006A2BF3">
      <w:pPr>
        <w:spacing w:line="276" w:lineRule="auto"/>
        <w:rPr>
          <w:color w:val="FF0000"/>
        </w:rPr>
      </w:pPr>
      <w:r>
        <w:t xml:space="preserve">Etter departementets vurdering innebærer ikke forslagene i kap. 2 i høringsnotatet vesentlige eller uforholdsmessige personvernkonsekvenser. </w:t>
      </w:r>
      <w:r w:rsidRPr="009916E7">
        <w:t xml:space="preserve">Departementet vurderer at tilgangen til </w:t>
      </w:r>
      <w:r w:rsidRPr="009916E7">
        <w:rPr>
          <w:rFonts w:cs="Open Sans"/>
        </w:rPr>
        <w:t xml:space="preserve">opplysninger fra </w:t>
      </w:r>
      <w:r>
        <w:rPr>
          <w:rFonts w:cs="Open Sans"/>
        </w:rPr>
        <w:t>Skatteetaten</w:t>
      </w:r>
      <w:r w:rsidR="000C27C1">
        <w:rPr>
          <w:rFonts w:cs="Open Sans"/>
        </w:rPr>
        <w:t>,</w:t>
      </w:r>
      <w:r>
        <w:rPr>
          <w:rFonts w:cs="Open Sans"/>
        </w:rPr>
        <w:t xml:space="preserve"> </w:t>
      </w:r>
      <w:r w:rsidRPr="009916E7">
        <w:rPr>
          <w:rFonts w:cs="Open Sans"/>
        </w:rPr>
        <w:t>Arbeids- og velferdsforvaltningen</w:t>
      </w:r>
      <w:r w:rsidR="000C27C1">
        <w:rPr>
          <w:rFonts w:cs="Open Sans"/>
        </w:rPr>
        <w:t>, Fellesordningen</w:t>
      </w:r>
      <w:r w:rsidRPr="009916E7">
        <w:rPr>
          <w:rFonts w:cs="Open Sans"/>
        </w:rPr>
        <w:t xml:space="preserve"> </w:t>
      </w:r>
      <w:r w:rsidR="000C27C1">
        <w:rPr>
          <w:rFonts w:cs="Open Sans"/>
        </w:rPr>
        <w:t xml:space="preserve">for AFP </w:t>
      </w:r>
      <w:r>
        <w:rPr>
          <w:rFonts w:cs="Open Sans"/>
        </w:rPr>
        <w:t xml:space="preserve">samt fra </w:t>
      </w:r>
      <w:r w:rsidR="000C27C1">
        <w:rPr>
          <w:rFonts w:cs="Open Sans"/>
        </w:rPr>
        <w:t xml:space="preserve">nåværende og </w:t>
      </w:r>
      <w:r>
        <w:rPr>
          <w:rFonts w:cs="Open Sans"/>
        </w:rPr>
        <w:t xml:space="preserve">tidligere arbeidsgivere </w:t>
      </w:r>
      <w:r w:rsidRPr="009916E7">
        <w:rPr>
          <w:rFonts w:cs="Open Sans"/>
        </w:rPr>
        <w:t xml:space="preserve">er nødvendige for at kommunale tjenestepensjonsleverandører skal kunne behandle krav om avtalefestet pensjon og utføre oppgaver som følger av lovforslaget. En effektiv </w:t>
      </w:r>
      <w:r w:rsidRPr="009916E7">
        <w:rPr>
          <w:rFonts w:cs="Open Sans"/>
        </w:rPr>
        <w:lastRenderedPageBreak/>
        <w:t>behandling av søknadene og at riktige opplysninger legges til grunn vil også være i søkernes interesse</w:t>
      </w:r>
      <w:r>
        <w:rPr>
          <w:rFonts w:cs="Open Sans"/>
        </w:rPr>
        <w:t>.</w:t>
      </w:r>
    </w:p>
    <w:p w14:paraId="532876F6" w14:textId="77777777" w:rsidR="006A2BF3" w:rsidRDefault="006A2BF3" w:rsidP="00DD5441">
      <w:pPr>
        <w:spacing w:line="276" w:lineRule="auto"/>
        <w:rPr>
          <w:rFonts w:cs="Arial"/>
          <w:color w:val="1A1A1A"/>
        </w:rPr>
      </w:pPr>
    </w:p>
    <w:p w14:paraId="41D35608" w14:textId="3A7A2A15" w:rsidR="00F35D08" w:rsidRDefault="00F35D08" w:rsidP="00F35D08">
      <w:pPr>
        <w:pStyle w:val="Overskrift3"/>
      </w:pPr>
      <w:bookmarkStart w:id="21" w:name="_Toc170468739"/>
      <w:r>
        <w:t>Oppsummering</w:t>
      </w:r>
      <w:bookmarkEnd w:id="21"/>
    </w:p>
    <w:p w14:paraId="750481CA" w14:textId="3F37DC0D" w:rsidR="00F35D08" w:rsidRDefault="00F35D08" w:rsidP="00F35D08">
      <w:pPr>
        <w:spacing w:line="276" w:lineRule="auto"/>
      </w:pPr>
      <w:r>
        <w:t xml:space="preserve">Departementet foreslår hjemmel for </w:t>
      </w:r>
      <w:r w:rsidR="0092409A">
        <w:t xml:space="preserve">Skatteetaten til å utlevere </w:t>
      </w:r>
      <w:r>
        <w:t>opplysninger om medlemmets tidligere lønnsforhold</w:t>
      </w:r>
      <w:r w:rsidRPr="00383191">
        <w:t xml:space="preserve"> </w:t>
      </w:r>
      <w:r w:rsidR="0092409A">
        <w:t xml:space="preserve">og for Arbeids- og velferdsetaten til å utlevere opplysninger om </w:t>
      </w:r>
      <w:r>
        <w:t>medlemmets tidligere arbeidsforhold</w:t>
      </w:r>
      <w:r w:rsidRPr="00383191">
        <w:t xml:space="preserve"> </w:t>
      </w:r>
      <w:r w:rsidR="0092409A">
        <w:t>som er nødvendige for at  kommunale pensjonsleverandører kan vurdere søknader om AFP.</w:t>
      </w:r>
      <w:r>
        <w:t xml:space="preserve"> Det vises til forslag til endring i skatteforvaltningsloven § 3-6 nytt fjerde ledd</w:t>
      </w:r>
      <w:r w:rsidR="00DD30F0">
        <w:t xml:space="preserve"> </w:t>
      </w:r>
      <w:r>
        <w:t>og i forskrift om Arbeidsgiver- og arbeidstakerregisteret § 10</w:t>
      </w:r>
      <w:r w:rsidRPr="00DA0BB5">
        <w:t>. Det foreslås at arbeidsgivere med kommunal tjenestepensjon får en plikt til å innrapportere hvilken pensjonsinnretning som skal beregne avtalefestet pensjon for de ansatte, jf. forsikringsvirksomhetsloven § 4-18.</w:t>
      </w:r>
    </w:p>
    <w:p w14:paraId="77174FD1" w14:textId="77777777" w:rsidR="00F35D08" w:rsidRPr="00DA0BB5" w:rsidRDefault="00F35D08" w:rsidP="00F35D08">
      <w:pPr>
        <w:spacing w:line="276" w:lineRule="auto"/>
      </w:pPr>
    </w:p>
    <w:p w14:paraId="48F41B18" w14:textId="314D9F0C" w:rsidR="00F35D08" w:rsidRDefault="00F35D08" w:rsidP="00F35D08">
      <w:pPr>
        <w:spacing w:line="276" w:lineRule="auto"/>
      </w:pPr>
      <w:r w:rsidRPr="00DA0BB5">
        <w:t xml:space="preserve">Det foreslås en hjemmel for pensjonsleverandøren til å få utlevert opplysninger fra nåværende eller tidligere arbeidsgivere om </w:t>
      </w:r>
      <w:r w:rsidRPr="00744855">
        <w:t>medlemmets</w:t>
      </w:r>
      <w:r w:rsidRPr="00DA0BB5">
        <w:t xml:space="preserve"> arbeids- og inntektsforhold, jf.  forsikringsvirksomhetsloven § 4-17 </w:t>
      </w:r>
      <w:r>
        <w:t>annet</w:t>
      </w:r>
      <w:r w:rsidRPr="00DA0BB5">
        <w:t xml:space="preserve"> ledd.</w:t>
      </w:r>
    </w:p>
    <w:p w14:paraId="72BF7015" w14:textId="77777777" w:rsidR="00075A9D" w:rsidRDefault="00075A9D" w:rsidP="00F35D08">
      <w:pPr>
        <w:spacing w:line="276" w:lineRule="auto"/>
      </w:pPr>
    </w:p>
    <w:p w14:paraId="1EB96205" w14:textId="38AC25EE" w:rsidR="00075A9D" w:rsidRDefault="00075A9D" w:rsidP="00F35D08">
      <w:pPr>
        <w:spacing w:line="276" w:lineRule="auto"/>
      </w:pPr>
      <w:r>
        <w:t>Det foreslås også at Fellesordningen for AFP plikter å gi nødvendige opplysninger til kommunale pensjonsleverandører slik at medregning av ansiennitet mellom AFP-ordningene i privat og offentlig sektor blir mulig, jf. forsikringsvirksomhetsloven § 4-17 tredje ledd.</w:t>
      </w:r>
    </w:p>
    <w:p w14:paraId="2014FC92" w14:textId="77777777" w:rsidR="00075A9D" w:rsidRDefault="00075A9D" w:rsidP="00F35D08">
      <w:pPr>
        <w:spacing w:line="276" w:lineRule="auto"/>
      </w:pPr>
    </w:p>
    <w:p w14:paraId="3856D52B" w14:textId="23BE398C" w:rsidR="00075A9D" w:rsidRDefault="00075A9D" w:rsidP="00F35D08">
      <w:pPr>
        <w:spacing w:line="276" w:lineRule="auto"/>
      </w:pPr>
      <w:r>
        <w:t xml:space="preserve">Det foreslås at </w:t>
      </w:r>
      <w:r>
        <w:rPr>
          <w:rFonts w:cs="Open Sans"/>
          <w:color w:val="333333"/>
        </w:rPr>
        <w:t>Arbeids- og velferdsetaten skal levere den samlede pensjonsbeholdningen beregnet etter folketrygdloven § 20-4 og andre opplysninger som er nødvendige for pensjonsinnretningens premieberegning, beregning av framtidig pensjon, vilkårsprøving og beregning av avtalefestet pensjon. Det vises til forslag til forsikringsvirksomhetsloven § 4-17 første ledd første punktum jf. tredje punktum.</w:t>
      </w:r>
    </w:p>
    <w:p w14:paraId="4EB51815" w14:textId="57C0332C" w:rsidR="00F35D08" w:rsidRPr="00F35D08" w:rsidRDefault="00F35D08" w:rsidP="00D70B4B"/>
    <w:p w14:paraId="54BB10F3" w14:textId="36D69E1E" w:rsidR="00E37212" w:rsidRDefault="00E37212" w:rsidP="00367275">
      <w:pPr>
        <w:pStyle w:val="Overskrift1"/>
      </w:pPr>
      <w:bookmarkStart w:id="22" w:name="_Toc170468740"/>
      <w:r>
        <w:t xml:space="preserve">Deling av opplysninger om opptjent </w:t>
      </w:r>
      <w:r w:rsidR="00F76EDD">
        <w:t>pensjonsbeholdning</w:t>
      </w:r>
      <w:r w:rsidR="00270B8C">
        <w:t xml:space="preserve"> mv.</w:t>
      </w:r>
      <w:r>
        <w:t xml:space="preserve"> til bruk for </w:t>
      </w:r>
      <w:r w:rsidR="00CC3791">
        <w:t>beregning</w:t>
      </w:r>
      <w:r>
        <w:t xml:space="preserve"> av f</w:t>
      </w:r>
      <w:r w:rsidR="00500C76">
        <w:t>r</w:t>
      </w:r>
      <w:r w:rsidR="005822C6">
        <w:t>e</w:t>
      </w:r>
      <w:r w:rsidR="00500C76">
        <w:t>mtidige</w:t>
      </w:r>
      <w:r>
        <w:t xml:space="preserve"> pensjonsytelser</w:t>
      </w:r>
      <w:bookmarkEnd w:id="22"/>
      <w:r>
        <w:t xml:space="preserve"> </w:t>
      </w:r>
    </w:p>
    <w:p w14:paraId="4CACBE6F" w14:textId="4CF6AEDF" w:rsidR="003F6692" w:rsidRDefault="003F6692" w:rsidP="003F6692">
      <w:pPr>
        <w:pStyle w:val="Overskrift2"/>
      </w:pPr>
      <w:bookmarkStart w:id="23" w:name="_Toc170468741"/>
      <w:r>
        <w:t>Innledning</w:t>
      </w:r>
      <w:bookmarkEnd w:id="23"/>
    </w:p>
    <w:p w14:paraId="6392DD32" w14:textId="31119DD4" w:rsidR="00BA4738" w:rsidRPr="003F6692" w:rsidRDefault="00E23822" w:rsidP="00BD7EF5">
      <w:pPr>
        <w:spacing w:line="276" w:lineRule="auto"/>
      </w:pPr>
      <w:bookmarkStart w:id="24" w:name="_Hlk168221119"/>
      <w:r>
        <w:t xml:space="preserve">I dette kapitlet foreslår departementet hjemmelsgrunnlag slik at Arbeids- og velferdsetaten kan dele </w:t>
      </w:r>
      <w:r w:rsidR="00BD7EF5">
        <w:t xml:space="preserve">opplysninger om opptjent </w:t>
      </w:r>
      <w:r w:rsidR="00F76EDD">
        <w:t>pensjonsbeholdning</w:t>
      </w:r>
      <w:r w:rsidR="00D502A9">
        <w:t xml:space="preserve"> </w:t>
      </w:r>
      <w:r w:rsidR="00615143">
        <w:t>og andre nødvendige opplysninger fra</w:t>
      </w:r>
      <w:r w:rsidR="00D502A9">
        <w:t xml:space="preserve"> </w:t>
      </w:r>
      <w:r w:rsidR="00BD7EF5">
        <w:t>folketrygd</w:t>
      </w:r>
      <w:r w:rsidR="00D502A9">
        <w:t>en</w:t>
      </w:r>
      <w:r w:rsidR="00BD7EF5">
        <w:t xml:space="preserve"> til bruk for kommunale pensjonslever</w:t>
      </w:r>
      <w:r w:rsidR="00500C76">
        <w:t>andørers</w:t>
      </w:r>
      <w:r w:rsidR="00BD7EF5">
        <w:t xml:space="preserve"> </w:t>
      </w:r>
      <w:r w:rsidR="00CC3791">
        <w:t xml:space="preserve">beregning </w:t>
      </w:r>
      <w:r w:rsidR="00BD7EF5">
        <w:t xml:space="preserve">av forventede </w:t>
      </w:r>
      <w:r w:rsidR="00500C76">
        <w:t>fr</w:t>
      </w:r>
      <w:r w:rsidR="005822C6">
        <w:t>e</w:t>
      </w:r>
      <w:r w:rsidR="00500C76">
        <w:t xml:space="preserve">mtidige </w:t>
      </w:r>
      <w:r w:rsidR="00BD7EF5">
        <w:t xml:space="preserve">pensjonsytelser. </w:t>
      </w:r>
      <w:r w:rsidR="003663DA">
        <w:t xml:space="preserve">Dette vil </w:t>
      </w:r>
      <w:r w:rsidR="00BD7EF5">
        <w:t xml:space="preserve">være aktuelt </w:t>
      </w:r>
      <w:r w:rsidR="00500C76">
        <w:t xml:space="preserve">i situasjoner </w:t>
      </w:r>
      <w:r w:rsidR="00BD7EF5">
        <w:t xml:space="preserve">når medlemmer </w:t>
      </w:r>
      <w:r w:rsidR="00E625E3">
        <w:t xml:space="preserve">(arbeidstakere) </w:t>
      </w:r>
      <w:r w:rsidR="00BD7EF5">
        <w:t xml:space="preserve">i de kommunale </w:t>
      </w:r>
      <w:r w:rsidR="00BD7EF5">
        <w:lastRenderedPageBreak/>
        <w:t>pensjonsordningene ber om informasjon</w:t>
      </w:r>
      <w:r w:rsidR="00683BBE">
        <w:t xml:space="preserve"> eller prognoser </w:t>
      </w:r>
      <w:r w:rsidR="00BD7EF5">
        <w:t>om forventet fr</w:t>
      </w:r>
      <w:r w:rsidR="005822C6">
        <w:t>e</w:t>
      </w:r>
      <w:r w:rsidR="00BD7EF5">
        <w:t xml:space="preserve">mtidig pensjon. </w:t>
      </w:r>
      <w:r w:rsidR="00683BBE">
        <w:t>I noen sammenhenger har begrepet «simulering» av fremtidig pensjon blitt benyttet</w:t>
      </w:r>
      <w:r w:rsidR="006C6C83">
        <w:t xml:space="preserve"> om det å gi slike prognoser om forventet framtidig pensjon. I</w:t>
      </w:r>
      <w:r w:rsidR="00BA4738">
        <w:t xml:space="preserve"> det følgende benyttes begrepet «beregning» av fremtidig pensjon, men meningsinnholdet </w:t>
      </w:r>
      <w:r w:rsidR="006C6C83">
        <w:t xml:space="preserve">i de to begrepene er </w:t>
      </w:r>
      <w:r w:rsidR="00BA4738">
        <w:t>det samme, nemlig at pensjon</w:t>
      </w:r>
      <w:r w:rsidR="008D6C8E">
        <w:t>s</w:t>
      </w:r>
      <w:r w:rsidR="00BA4738">
        <w:t xml:space="preserve">leverandørene gir prognoser om forventede fremtidige pensjonsytelser. </w:t>
      </w:r>
    </w:p>
    <w:p w14:paraId="3995962E" w14:textId="51198CFA" w:rsidR="00EC52B5" w:rsidRDefault="00EC52B5" w:rsidP="00EC52B5">
      <w:pPr>
        <w:pStyle w:val="Overskrift2"/>
      </w:pPr>
      <w:bookmarkStart w:id="25" w:name="_Toc170468742"/>
      <w:r>
        <w:t>Bakgrunn</w:t>
      </w:r>
      <w:bookmarkEnd w:id="25"/>
    </w:p>
    <w:p w14:paraId="2786298C" w14:textId="0BE09D4B" w:rsidR="00E37212" w:rsidRDefault="00E37212" w:rsidP="00E37212">
      <w:pPr>
        <w:spacing w:line="276" w:lineRule="auto"/>
      </w:pPr>
      <w:r>
        <w:t xml:space="preserve">KLP og Pensjonskasseforeningen tok i henvendelser datert 25. februar 2019 til daværende Arbeids- og sosialdepartementet opp spørsmål om tilgang til opplysninger om opptjening i folketrygden fra Arbeids- og velferdsdirektoratet.  Dette er opplysninger som Arbeids- og velferdsetaten har taushetsplikt om, jf. </w:t>
      </w:r>
      <w:r w:rsidRPr="008607C3">
        <w:rPr>
          <w:color w:val="111720"/>
          <w:szCs w:val="24"/>
          <w:shd w:val="clear" w:color="auto" w:fill="FFFFFF"/>
        </w:rPr>
        <w:t>arbeids- og velferdsforvaltningsloven § 7</w:t>
      </w:r>
      <w:r>
        <w:rPr>
          <w:color w:val="111720"/>
          <w:szCs w:val="24"/>
          <w:shd w:val="clear" w:color="auto" w:fill="FFFFFF"/>
        </w:rPr>
        <w:t>.</w:t>
      </w:r>
      <w:r w:rsidRPr="008607C3">
        <w:rPr>
          <w:color w:val="111720"/>
          <w:szCs w:val="24"/>
          <w:shd w:val="clear" w:color="auto" w:fill="FFFFFF"/>
        </w:rPr>
        <w:t xml:space="preserve"> </w:t>
      </w:r>
      <w:r>
        <w:t xml:space="preserve"> KLP og Pensjonskasseforeningen viste til at de har </w:t>
      </w:r>
      <w:bookmarkStart w:id="26" w:name="_Hlk164627582"/>
      <w:r>
        <w:t>behov for tilgang til slike opplysninger i forbindelse med at medlemmer av kommunale pensjonsordnin</w:t>
      </w:r>
      <w:r w:rsidR="00E00353">
        <w:t>g</w:t>
      </w:r>
      <w:r>
        <w:t xml:space="preserve">er ønsker å få beregnet hvilken fremtidig pensjon de vil få. For å kunne foreta en slik beregning av forventet fremtidig pensjon er det i tillegg til opplysninger om opptjent pensjon i den kommunale pensjonsordningen, behov for å innhente opplysninger om bl.a. opptjent pensjon i folketrygden. </w:t>
      </w:r>
      <w:bookmarkEnd w:id="26"/>
      <w:r>
        <w:t>KLP uttaler i sitt brev 25. februar 2019 bl.a.:</w:t>
      </w:r>
    </w:p>
    <w:p w14:paraId="60F4AF95" w14:textId="77777777" w:rsidR="00E37212" w:rsidRDefault="00E37212" w:rsidP="00E37212">
      <w:pPr>
        <w:spacing w:line="276" w:lineRule="auto"/>
      </w:pPr>
    </w:p>
    <w:p w14:paraId="2600CB29" w14:textId="77777777" w:rsidR="00E37212" w:rsidRDefault="00E37212" w:rsidP="00E37212">
      <w:pPr>
        <w:pStyle w:val="Sitat"/>
        <w:spacing w:line="240" w:lineRule="auto"/>
        <w:jc w:val="left"/>
      </w:pPr>
      <w:r>
        <w:t>«Når et medlem av tjenestepensjonsordningen henvender seg til KLP med spørsmål om fremtidig pensjon, vil vedkommende alltid være ute etter å få et mest mulig totalt bilde av sin fremtidige økonomi. Uten at KLP kjenner opptjeningsdata fra folketrygden, vil KLP ikke kunne gi noen fullstendig informasjon. Både hensynet til KLP, som tredjemann, og hensynet til den registrerte selv tilsier derfor at det som utgangspunkt foreligger en berettiget interesse for at aktuelle opplysninger kan utleveres til KLP.»</w:t>
      </w:r>
    </w:p>
    <w:p w14:paraId="077EAA2E" w14:textId="77777777" w:rsidR="00E37212" w:rsidRDefault="00E37212" w:rsidP="00E37212">
      <w:pPr>
        <w:spacing w:line="276" w:lineRule="auto"/>
      </w:pPr>
    </w:p>
    <w:p w14:paraId="55080B59" w14:textId="4D33623F" w:rsidR="00E37212" w:rsidRDefault="00E37212" w:rsidP="00E37212">
      <w:pPr>
        <w:spacing w:line="276" w:lineRule="auto"/>
      </w:pPr>
      <w:r>
        <w:t xml:space="preserve">Daværende Arbeids- og sosialdepartementet oversendte henvendelsene fra KLP og Pensjonskasseforeningen til Finansdepartementet ved brev 29. mars 2019. Arbeids- og sosialdepartementet vurderte det slik at det foreligger et behov for å regulere at kommunale pensjonsleverandører kan gis tilgang til personopplysninger til bruk for simulering av fremtidige ytelser. </w:t>
      </w:r>
      <w:r w:rsidR="00847385">
        <w:t xml:space="preserve">Det ble vist til at for </w:t>
      </w:r>
      <w:r>
        <w:t>Statens pensjonskasse ble tilsvarende spørsmål behandlet i  Prop. 135 L (2019-2020) Endringer i arbeids- og velferdsforvaltningsloven, sosialtjenesteloven, lov om Statens pensjonskasse og enkelte andre lover (behandling av personopplysninger)</w:t>
      </w:r>
      <w:r w:rsidR="00235296">
        <w:t xml:space="preserve">, jf. </w:t>
      </w:r>
      <w:r>
        <w:t xml:space="preserve">nærmere omtale i proposisjonen kapittel 8.4.6.3. </w:t>
      </w:r>
    </w:p>
    <w:p w14:paraId="03FCBA1C" w14:textId="77777777" w:rsidR="00E00353" w:rsidRDefault="00E00353" w:rsidP="00E37212">
      <w:pPr>
        <w:spacing w:line="276" w:lineRule="auto"/>
      </w:pPr>
    </w:p>
    <w:p w14:paraId="02538ADE" w14:textId="7B67FCAB" w:rsidR="007A12DC" w:rsidRDefault="007A12DC" w:rsidP="00E37212">
      <w:pPr>
        <w:spacing w:line="276" w:lineRule="auto"/>
      </w:pPr>
      <w:r w:rsidRPr="00DF4322">
        <w:rPr>
          <w:lang w:val="nn-NO"/>
        </w:rPr>
        <w:lastRenderedPageBreak/>
        <w:t xml:space="preserve">Forslagene i Prop 135 L (2019-2020), jf. Innst. </w:t>
      </w:r>
      <w:r>
        <w:t xml:space="preserve">70 L (2020-2021) ble vedtatt i Stortinget 17. november 2020 og og sanksjonert </w:t>
      </w:r>
      <w:r w:rsidR="00E625E3">
        <w:t xml:space="preserve">ved </w:t>
      </w:r>
      <w:r>
        <w:t>lov 4. desember 2020 nr. 132.</w:t>
      </w:r>
    </w:p>
    <w:bookmarkEnd w:id="24"/>
    <w:p w14:paraId="4FAA95EF" w14:textId="77777777" w:rsidR="00921BD0" w:rsidRDefault="00921BD0" w:rsidP="00E37212">
      <w:pPr>
        <w:spacing w:line="276" w:lineRule="auto"/>
      </w:pPr>
    </w:p>
    <w:p w14:paraId="30A845E0" w14:textId="3B226B32" w:rsidR="00E37212" w:rsidRDefault="003F6692" w:rsidP="003F6692">
      <w:pPr>
        <w:pStyle w:val="Overskrift2"/>
      </w:pPr>
      <w:bookmarkStart w:id="27" w:name="_Toc170468743"/>
      <w:r>
        <w:t>Gjeldende rett</w:t>
      </w:r>
      <w:bookmarkEnd w:id="27"/>
    </w:p>
    <w:p w14:paraId="40E0494D" w14:textId="5BEBDEDF" w:rsidR="007415E6" w:rsidRDefault="007A12DC" w:rsidP="007415E6">
      <w:pPr>
        <w:spacing w:line="276" w:lineRule="auto"/>
      </w:pPr>
      <w:r>
        <w:t>Statens pensjonskasse har hjemmel til å innhente opplys</w:t>
      </w:r>
      <w:r w:rsidR="00C04B69">
        <w:t>n</w:t>
      </w:r>
      <w:r>
        <w:t xml:space="preserve">inger </w:t>
      </w:r>
      <w:r w:rsidR="00D2530F">
        <w:t>som er nødvendige for å forvalte de ordningene SPK administrerer, bl.a. fra offentlig myndighet. Dette følger av lov om Statens pensjonskasse § 45 første ledd, og omfatter bl</w:t>
      </w:r>
      <w:r w:rsidR="00E625E3">
        <w:t>.</w:t>
      </w:r>
      <w:r w:rsidR="00D2530F">
        <w:t xml:space="preserve">a. opplysninger om </w:t>
      </w:r>
      <w:r w:rsidR="00D2530F" w:rsidRPr="001B27B5">
        <w:t xml:space="preserve">beregnet </w:t>
      </w:r>
      <w:r w:rsidR="001B27B5" w:rsidRPr="003D6203">
        <w:t xml:space="preserve">pensjonsbeholdning mv. i </w:t>
      </w:r>
      <w:r w:rsidR="00D2530F" w:rsidRPr="001B27B5">
        <w:t>folketrygd</w:t>
      </w:r>
      <w:r w:rsidR="001B27B5" w:rsidRPr="001B27B5">
        <w:t>en</w:t>
      </w:r>
      <w:r w:rsidR="00D2530F">
        <w:t>. De</w:t>
      </w:r>
      <w:r w:rsidR="007415E6">
        <w:t>t fremgår av Prop. 135 L (2019-2020) kap. 8.4.6.3 at dersom</w:t>
      </w:r>
      <w:r w:rsidR="00D2530F">
        <w:t xml:space="preserve"> formålet med innhentingen av opplysningene er å beregne </w:t>
      </w:r>
      <w:r w:rsidR="007415E6">
        <w:t>forventet pensjon, vil  hjemmelen for dette være lovens § 45 b første ledd. Dersom opplysninger som Statens pensjonskasse allerede har innhentet til andre formål skal benyttes til å beregne forventet pensjon, er hjemmelen lovens § 45 b tredje ledd.</w:t>
      </w:r>
    </w:p>
    <w:p w14:paraId="6F6B4162" w14:textId="77777777" w:rsidR="005D11E3" w:rsidRDefault="005D11E3" w:rsidP="007415E6">
      <w:pPr>
        <w:spacing w:line="276" w:lineRule="auto"/>
      </w:pPr>
    </w:p>
    <w:p w14:paraId="189FD721" w14:textId="70790B0D" w:rsidR="005D11E3" w:rsidRDefault="005D11E3" w:rsidP="007415E6">
      <w:pPr>
        <w:spacing w:line="276" w:lineRule="auto"/>
      </w:pPr>
      <w:r>
        <w:t xml:space="preserve">I lov om avtalefestet pensjon for medlemmer av Statens pensjonskasse § 13 annet ledd har SPK hjemmel til å innhente opplysninger </w:t>
      </w:r>
      <w:r w:rsidR="00F3322E">
        <w:t>fra Arbeids- og velferdsetaten om d</w:t>
      </w:r>
      <w:r w:rsidRPr="00B81649">
        <w:rPr>
          <w:color w:val="111720"/>
          <w:szCs w:val="24"/>
          <w:shd w:val="clear" w:color="auto" w:fill="FFFFFF"/>
        </w:rPr>
        <w:t xml:space="preserve">en samlede pensjonsbeholdningen beregnet etter folketrygdloven § 20-4 og andre opplysninger som er nødvendige for </w:t>
      </w:r>
      <w:r w:rsidR="00F3322E">
        <w:rPr>
          <w:color w:val="111720"/>
          <w:szCs w:val="24"/>
          <w:shd w:val="clear" w:color="auto" w:fill="FFFFFF"/>
        </w:rPr>
        <w:t xml:space="preserve">bl.a. </w:t>
      </w:r>
      <w:r>
        <w:rPr>
          <w:color w:val="111720"/>
          <w:szCs w:val="24"/>
          <w:shd w:val="clear" w:color="auto" w:fill="FFFFFF"/>
        </w:rPr>
        <w:t xml:space="preserve">pensjonsinnretningens </w:t>
      </w:r>
      <w:r w:rsidR="00F3322E">
        <w:rPr>
          <w:color w:val="111720"/>
          <w:szCs w:val="24"/>
          <w:shd w:val="clear" w:color="auto" w:fill="FFFFFF"/>
        </w:rPr>
        <w:t xml:space="preserve">beregning av </w:t>
      </w:r>
      <w:r>
        <w:rPr>
          <w:color w:val="111720"/>
          <w:szCs w:val="24"/>
          <w:shd w:val="clear" w:color="auto" w:fill="FFFFFF"/>
        </w:rPr>
        <w:t>framtidig pensjon</w:t>
      </w:r>
      <w:r w:rsidR="00F3322E">
        <w:rPr>
          <w:color w:val="111720"/>
          <w:szCs w:val="24"/>
          <w:shd w:val="clear" w:color="auto" w:fill="FFFFFF"/>
        </w:rPr>
        <w:t xml:space="preserve">. Opplysningene som nevnt kan dermed brukes </w:t>
      </w:r>
      <w:r w:rsidR="00F3322E">
        <w:t>å beregne forventet fremtidig AFP for medlemmer av SPK.</w:t>
      </w:r>
    </w:p>
    <w:p w14:paraId="213F82EF" w14:textId="77777777" w:rsidR="007415E6" w:rsidRDefault="007415E6" w:rsidP="007415E6">
      <w:pPr>
        <w:spacing w:line="276" w:lineRule="auto"/>
      </w:pPr>
    </w:p>
    <w:p w14:paraId="6FACE6E4" w14:textId="500854B7" w:rsidR="007415E6" w:rsidRDefault="007415E6" w:rsidP="007415E6">
      <w:pPr>
        <w:spacing w:line="276" w:lineRule="auto"/>
      </w:pPr>
      <w:r>
        <w:t xml:space="preserve">Det er ikke gitt regler som gir hjemmel for kommunale pensjonsleverandører til å innhente opplysninger om </w:t>
      </w:r>
      <w:r w:rsidR="009978B8">
        <w:t>opptjent</w:t>
      </w:r>
      <w:r>
        <w:t xml:space="preserve"> </w:t>
      </w:r>
      <w:r w:rsidR="0037590D">
        <w:t xml:space="preserve">pensjonsbeholdning </w:t>
      </w:r>
      <w:r w:rsidR="00F3322E">
        <w:t>og andre nødvendige opplysninger</w:t>
      </w:r>
      <w:r>
        <w:t xml:space="preserve"> til bruk for beregning av forventet fr</w:t>
      </w:r>
      <w:r w:rsidR="005822C6">
        <w:t>e</w:t>
      </w:r>
      <w:r>
        <w:t xml:space="preserve">mtidig pensjon. </w:t>
      </w:r>
      <w:r w:rsidR="00954343">
        <w:t>Lever</w:t>
      </w:r>
      <w:r w:rsidR="00B50363">
        <w:t>a</w:t>
      </w:r>
      <w:r w:rsidR="00954343">
        <w:t xml:space="preserve">ndørene har først adgang til å innhente slike opplysninger </w:t>
      </w:r>
      <w:r w:rsidR="00B50363">
        <w:t>ved</w:t>
      </w:r>
      <w:r w:rsidR="00954343">
        <w:t xml:space="preserve"> faktisk pensjonering. </w:t>
      </w:r>
    </w:p>
    <w:p w14:paraId="220B12C4" w14:textId="77777777" w:rsidR="00E625E3" w:rsidRDefault="00E625E3" w:rsidP="007415E6">
      <w:pPr>
        <w:spacing w:line="276" w:lineRule="auto"/>
      </w:pPr>
    </w:p>
    <w:p w14:paraId="6666289C" w14:textId="77777777" w:rsidR="006477B4" w:rsidRDefault="006477B4" w:rsidP="007415E6">
      <w:pPr>
        <w:pStyle w:val="Overskrift2"/>
      </w:pPr>
      <w:bookmarkStart w:id="28" w:name="_Toc170468744"/>
      <w:r>
        <w:t>Departementets vurdering</w:t>
      </w:r>
      <w:bookmarkEnd w:id="28"/>
      <w:r>
        <w:t xml:space="preserve"> </w:t>
      </w:r>
    </w:p>
    <w:p w14:paraId="6BAA6EA9" w14:textId="5F0AFAF5" w:rsidR="00A908DC" w:rsidRDefault="00A908DC" w:rsidP="00A908DC">
      <w:pPr>
        <w:spacing w:line="276" w:lineRule="auto"/>
      </w:pPr>
      <w:r w:rsidRPr="00992921">
        <w:t>Departementet foreslår</w:t>
      </w:r>
      <w:r>
        <w:t xml:space="preserve"> en bestemmelse i forsikringsvirksomhetsloven § 4-17 om at  Arbeids- og velferdsetaten skal levere den samlede pensjonsbeholdningen beregnet etter folketrygdloven § 20-4 og andre opplysninger som er nødvendige til bruk for pensjonsinnretningens beregning av forventede fremtidige pensjonsytelser for sine medlemmer. Det vises til forslaget til § 4-17 første ledd </w:t>
      </w:r>
      <w:r w:rsidR="00F112C0">
        <w:t xml:space="preserve">annet </w:t>
      </w:r>
      <w:r>
        <w:t xml:space="preserve">punktum. I § 4-17 </w:t>
      </w:r>
      <w:r w:rsidR="007C2849">
        <w:t xml:space="preserve">første ledd tredje punktum </w:t>
      </w:r>
      <w:r>
        <w:t xml:space="preserve">foreslås at </w:t>
      </w:r>
      <w:r w:rsidR="0008592A">
        <w:t xml:space="preserve">Arbeids- og velferdsetatens taushetsplikt etter arbeids- og velferdsforvaltningsloven § 7 ikke er til hinder for </w:t>
      </w:r>
      <w:r w:rsidR="0008592A" w:rsidRPr="00B81649">
        <w:rPr>
          <w:color w:val="111720"/>
          <w:szCs w:val="24"/>
          <w:shd w:val="clear" w:color="auto" w:fill="FFFFFF"/>
        </w:rPr>
        <w:t xml:space="preserve">utveksling av opplysninger mellom </w:t>
      </w:r>
      <w:r w:rsidR="0008592A">
        <w:t xml:space="preserve">Arbeids- og velferdsetaten og kommunale pensjonsinnretninger i den utstrekning det er nødvendig for å fremme oppgaver etter bestemmelsen. </w:t>
      </w:r>
    </w:p>
    <w:p w14:paraId="04643BF7" w14:textId="77777777" w:rsidR="00A908DC" w:rsidRDefault="00A908DC" w:rsidP="00A908DC">
      <w:pPr>
        <w:spacing w:line="276" w:lineRule="auto"/>
      </w:pPr>
    </w:p>
    <w:p w14:paraId="5AF2F5D1" w14:textId="16E6DB02" w:rsidR="00995420" w:rsidRDefault="001245E9" w:rsidP="00995420">
      <w:pPr>
        <w:spacing w:line="276" w:lineRule="auto"/>
      </w:pPr>
      <w:r>
        <w:lastRenderedPageBreak/>
        <w:t xml:space="preserve">I det følgende vurderes personvernkonsekvenser av at </w:t>
      </w:r>
      <w:r w:rsidR="00E37212">
        <w:t>kommunale tjenestepensjonsleverandører</w:t>
      </w:r>
      <w:r w:rsidR="006C7C23">
        <w:t xml:space="preserve"> </w:t>
      </w:r>
      <w:r>
        <w:t xml:space="preserve">får tilgang til opplysninger som Arbeids- og velferdsetaten forvalter </w:t>
      </w:r>
      <w:r w:rsidR="007415E6">
        <w:t xml:space="preserve">om </w:t>
      </w:r>
      <w:r w:rsidR="009978B8">
        <w:t>opptjent</w:t>
      </w:r>
      <w:r w:rsidR="007415E6">
        <w:t xml:space="preserve"> </w:t>
      </w:r>
      <w:r w:rsidR="00DF4679">
        <w:t>pensjonsbeholdning</w:t>
      </w:r>
      <w:r w:rsidR="00F3322E">
        <w:t xml:space="preserve"> og andre nødvendige opplysninger</w:t>
      </w:r>
      <w:r w:rsidR="00615143">
        <w:t xml:space="preserve"> fra folketrygden </w:t>
      </w:r>
      <w:r w:rsidR="007415E6">
        <w:t xml:space="preserve"> for </w:t>
      </w:r>
      <w:r w:rsidR="005465D3">
        <w:t xml:space="preserve">et medlem, slik at </w:t>
      </w:r>
      <w:r w:rsidR="00863D67">
        <w:rPr>
          <w:rFonts w:cs="Open Sans"/>
          <w:color w:val="333333"/>
        </w:rPr>
        <w:t xml:space="preserve">pensjonsleverandører skal kunne gi </w:t>
      </w:r>
      <w:r w:rsidR="00E625E3">
        <w:rPr>
          <w:rFonts w:cs="Open Sans"/>
          <w:color w:val="333333"/>
        </w:rPr>
        <w:t xml:space="preserve">medlemmet </w:t>
      </w:r>
      <w:r w:rsidR="00863D67">
        <w:rPr>
          <w:rFonts w:cs="Open Sans"/>
          <w:color w:val="333333"/>
        </w:rPr>
        <w:t>opplysninger om fremtidig forventet pensjon.</w:t>
      </w:r>
    </w:p>
    <w:p w14:paraId="0CEDFE29" w14:textId="77777777" w:rsidR="00741B7E" w:rsidRDefault="00741B7E" w:rsidP="00556188">
      <w:pPr>
        <w:spacing w:line="276" w:lineRule="auto"/>
        <w:rPr>
          <w:rFonts w:cs="Open Sans"/>
          <w:color w:val="333333"/>
        </w:rPr>
      </w:pPr>
    </w:p>
    <w:p w14:paraId="3E3362CC" w14:textId="77777777" w:rsidR="005465D3" w:rsidRDefault="005465D3" w:rsidP="005465D3">
      <w:pPr>
        <w:spacing w:line="276" w:lineRule="auto"/>
      </w:pPr>
      <w:r>
        <w:t>Personvernforordningen artikkel 5 nr. 1 bokstav a bestemmer at behandlingen må oppfylle krav til lovlighet, rettferdighet og åpenhet.</w:t>
      </w:r>
    </w:p>
    <w:p w14:paraId="5461FC6E" w14:textId="77777777" w:rsidR="005465D3" w:rsidRDefault="005465D3" w:rsidP="005465D3">
      <w:pPr>
        <w:spacing w:line="276" w:lineRule="auto"/>
      </w:pPr>
    </w:p>
    <w:p w14:paraId="4E1DFD5F" w14:textId="3008C9AC" w:rsidR="005465D3" w:rsidRDefault="005465D3" w:rsidP="005465D3">
      <w:pPr>
        <w:spacing w:line="276" w:lineRule="auto"/>
      </w:pPr>
      <w:r>
        <w:t xml:space="preserve">At behandlingen må oppfylle krav til lovlighet, innebærer at det må foreligge et behandlingsgrunnlag. </w:t>
      </w:r>
      <w:r w:rsidR="00386EE5">
        <w:t xml:space="preserve">Etter departementets vurdering vil Arbeids- og velferdsetatens utlevering av opplysninger til kommunale pensjonsleverandører til </w:t>
      </w:r>
      <w:r w:rsidR="000D45D2">
        <w:t>bruk for beregning av forventet fr</w:t>
      </w:r>
      <w:r w:rsidR="005822C6">
        <w:t>e</w:t>
      </w:r>
      <w:r w:rsidR="000D45D2">
        <w:t>mtid</w:t>
      </w:r>
      <w:r w:rsidR="005D11E3">
        <w:t>i</w:t>
      </w:r>
      <w:r w:rsidR="000D45D2">
        <w:t>g pensjon v</w:t>
      </w:r>
      <w:r w:rsidR="00386EE5">
        <w:t>ære utøvelse av offentlig myndighet etter personvernforordningen art. 6 nr. 1 bokstav e.  Etter forordningen art. 6 nr. 3 kreves det videre et supplerende behandlingsgrunnlag, ved at behandlingen skal være fastsatt i nasjonal rett som den behandlingsansvarlige er underlagt. Formålet med behandlingen skal også være fastsatt i det rettslige grunnlaget. De</w:t>
      </w:r>
      <w:r w:rsidR="00D96AC2">
        <w:t>partementet viser til at det</w:t>
      </w:r>
      <w:r w:rsidR="00386EE5">
        <w:t xml:space="preserve"> supplerende behandlingsgrunnlaget for Arbeids- og velferdsdirektoratet vil være  forsikringsvirksomhetsloven § 4-</w:t>
      </w:r>
      <w:r w:rsidR="000D45D2">
        <w:t>17</w:t>
      </w:r>
      <w:r w:rsidR="00494CF8">
        <w:t xml:space="preserve"> første ledd</w:t>
      </w:r>
      <w:r w:rsidR="00AE79D9">
        <w:t xml:space="preserve"> annet punktum jf. tredje punktum ,</w:t>
      </w:r>
      <w:r w:rsidR="00386EE5">
        <w:t xml:space="preserve"> jf. forslaget i </w:t>
      </w:r>
      <w:r w:rsidR="00864AB3">
        <w:t xml:space="preserve">dette </w:t>
      </w:r>
      <w:r w:rsidR="00386EE5">
        <w:t xml:space="preserve">høringsnotatet.  </w:t>
      </w:r>
    </w:p>
    <w:p w14:paraId="3D34E8C0" w14:textId="77777777" w:rsidR="000D45D2" w:rsidRDefault="000D45D2" w:rsidP="005465D3">
      <w:pPr>
        <w:spacing w:line="276" w:lineRule="auto"/>
      </w:pPr>
    </w:p>
    <w:p w14:paraId="7528ED96" w14:textId="7477CD51" w:rsidR="000D45D2" w:rsidRDefault="000D45D2" w:rsidP="005465D3">
      <w:pPr>
        <w:spacing w:line="276" w:lineRule="auto"/>
      </w:pPr>
      <w:r>
        <w:t>Alternativet til at Arbeids- og velferdsdirektratet gis rettslig grunnlag for å utlevere opplsyningene som nevnt over, vil være at det enkelte medlem må samtykke til at opplysningene utleveres</w:t>
      </w:r>
      <w:r w:rsidR="000941E3">
        <w:t>.</w:t>
      </w:r>
      <w:r w:rsidR="000941E3" w:rsidRPr="000941E3">
        <w:t xml:space="preserve"> </w:t>
      </w:r>
      <w:r w:rsidR="000941E3">
        <w:t xml:space="preserve">Med forslaget i høringsnotatet her vil det ikke være nødvendig for pensjonsinnretningen å innhente slikt samtykke i hvert enkelt tilfelle. Dette vil bidra til mer effektiv behandling og veiledning overfor medlemmene, noe som også vil være i medlemmenes interesse. </w:t>
      </w:r>
      <w:r w:rsidR="002F5570">
        <w:t xml:space="preserve">Departementet viser til at det vil være vanskelig for Arbeids- og velferdsetaten å påse at innhenting av opplysninger </w:t>
      </w:r>
      <w:r w:rsidR="000F29C6">
        <w:t>gjelder et medlem i den aktuelle pensjonsordningen. De kommunale pensjonsleverandørene vil derfor ha plikt til å besørge og eventuelt dokumentere at personopplysninger som innhentes gjelder et medlem i den aktuelle pensjon</w:t>
      </w:r>
      <w:r w:rsidR="003D0FFC">
        <w:t>s</w:t>
      </w:r>
      <w:r w:rsidR="000F29C6">
        <w:t>ordningen.</w:t>
      </w:r>
    </w:p>
    <w:p w14:paraId="0C44E389" w14:textId="77777777" w:rsidR="000D45D2" w:rsidRDefault="000D45D2" w:rsidP="000D45D2">
      <w:pPr>
        <w:pStyle w:val="NormalWeb"/>
        <w:shd w:val="clear" w:color="auto" w:fill="FFFFFF"/>
        <w:spacing w:before="0" w:beforeAutospacing="0" w:after="0" w:afterAutospacing="0" w:line="276" w:lineRule="auto"/>
        <w:rPr>
          <w:rFonts w:ascii="DepCentury Old Style" w:hAnsi="DepCentury Old Style"/>
        </w:rPr>
      </w:pPr>
    </w:p>
    <w:p w14:paraId="022D90F5" w14:textId="42934597" w:rsidR="000D45D2" w:rsidRDefault="000D45D2" w:rsidP="000D45D2">
      <w:pPr>
        <w:pStyle w:val="NormalWeb"/>
        <w:shd w:val="clear" w:color="auto" w:fill="FFFFFF"/>
        <w:spacing w:before="0" w:beforeAutospacing="0" w:after="0" w:afterAutospacing="0" w:line="276" w:lineRule="auto"/>
        <w:rPr>
          <w:rFonts w:ascii="DepCentury Old Style" w:hAnsi="DepCentury Old Style"/>
        </w:rPr>
      </w:pPr>
      <w:r>
        <w:rPr>
          <w:rFonts w:ascii="DepCentury Old Style" w:hAnsi="DepCentury Old Style"/>
        </w:rPr>
        <w:t xml:space="preserve">Som omtalt under </w:t>
      </w:r>
      <w:r w:rsidRPr="00494CF8">
        <w:rPr>
          <w:rFonts w:ascii="DepCentury Old Style" w:hAnsi="DepCentury Old Style"/>
        </w:rPr>
        <w:t>kap. 2.5</w:t>
      </w:r>
      <w:r w:rsidR="00494CF8" w:rsidRPr="00D70B4B">
        <w:rPr>
          <w:rFonts w:ascii="DepCentury Old Style" w:hAnsi="DepCentury Old Style"/>
        </w:rPr>
        <w:t>.3</w:t>
      </w:r>
      <w:r w:rsidRPr="00494CF8">
        <w:rPr>
          <w:rFonts w:ascii="DepCentury Old Style" w:hAnsi="DepCentury Old Style"/>
        </w:rPr>
        <w:t>,</w:t>
      </w:r>
      <w:r>
        <w:rPr>
          <w:rFonts w:ascii="DepCentury Old Style" w:hAnsi="DepCentury Old Style"/>
        </w:rPr>
        <w:t xml:space="preserve"> vil opplysninger fra Arbeids- og velferdsetaten om den samlede pensjonsbeholdningen beregnet etter folketrygdloven § 20-4 og andre opplysninger som er nødvendige for premieberegning, vilkårsprøving og beregning av ny offentlig AFP, også omfatte særlige kategorier av personopplysninger etter personvernforordningen art. 9. Departementet legger til grunn at Arbeids- og velferdsetatens utlevering av slike opplysninger vil ha lovlig grunnlag i art. 9 nr. 2 </w:t>
      </w:r>
      <w:r>
        <w:rPr>
          <w:rFonts w:ascii="DepCentury Old Style" w:hAnsi="DepCentury Old Style"/>
        </w:rPr>
        <w:lastRenderedPageBreak/>
        <w:t>bokstav b, og at hjemmelen i nasjonal rett vil være forsikringsvirksomhetsloven § 4-17</w:t>
      </w:r>
      <w:r w:rsidR="00494CF8">
        <w:rPr>
          <w:rFonts w:ascii="DepCentury Old Style" w:hAnsi="DepCentury Old Style"/>
        </w:rPr>
        <w:t xml:space="preserve"> første ledd</w:t>
      </w:r>
      <w:r w:rsidR="00AE79D9">
        <w:rPr>
          <w:rFonts w:ascii="DepCentury Old Style" w:hAnsi="DepCentury Old Style"/>
        </w:rPr>
        <w:t xml:space="preserve"> annet jf. tredje punktum.</w:t>
      </w:r>
    </w:p>
    <w:p w14:paraId="6F8E178D" w14:textId="77777777" w:rsidR="005465D3" w:rsidRDefault="005465D3" w:rsidP="005465D3">
      <w:pPr>
        <w:spacing w:line="276" w:lineRule="auto"/>
      </w:pPr>
    </w:p>
    <w:p w14:paraId="2AD5174C" w14:textId="688B3194" w:rsidR="005465D3" w:rsidRDefault="005465D3" w:rsidP="00567317">
      <w:pPr>
        <w:spacing w:line="276" w:lineRule="auto"/>
      </w:pPr>
      <w:r>
        <w:t xml:space="preserve">Departementet legger videre til grunn at behandlingen for det formål som er beskrevet i høringsnotatet, vil anses som </w:t>
      </w:r>
      <w:r w:rsidRPr="00781BCB">
        <w:t xml:space="preserve">rettferdig. </w:t>
      </w:r>
      <w:r w:rsidR="00E625E3">
        <w:t xml:space="preserve">Det vises til at adgang til innhenting av opplysninger om </w:t>
      </w:r>
      <w:r w:rsidR="009978B8">
        <w:t>opptjent</w:t>
      </w:r>
      <w:r w:rsidR="00E625E3">
        <w:t xml:space="preserve"> </w:t>
      </w:r>
      <w:r w:rsidR="003109AB">
        <w:t xml:space="preserve">pensjonsbeholdning </w:t>
      </w:r>
      <w:r w:rsidR="00615143">
        <w:t xml:space="preserve">i folketrygden mv. </w:t>
      </w:r>
      <w:r w:rsidR="00E625E3">
        <w:t>fra Arbeids- og velferdsetaten vil bidra til mest mulig ko</w:t>
      </w:r>
      <w:r w:rsidR="00E625E3" w:rsidRPr="00884ADC">
        <w:t>rrekte og oppdaterte opplysninger</w:t>
      </w:r>
      <w:r w:rsidR="00E625E3">
        <w:t xml:space="preserve"> </w:t>
      </w:r>
      <w:r w:rsidR="00567317">
        <w:t xml:space="preserve">til bruk for beregning av forventet fremtidig pensjon. Dette vil være i medlemmets interesse. </w:t>
      </w:r>
    </w:p>
    <w:p w14:paraId="6E828916" w14:textId="77777777" w:rsidR="00567317" w:rsidRDefault="00567317" w:rsidP="00567317">
      <w:pPr>
        <w:spacing w:line="276" w:lineRule="auto"/>
      </w:pPr>
    </w:p>
    <w:p w14:paraId="4BEB99B9" w14:textId="3EBD41F7" w:rsidR="005465D3" w:rsidRDefault="005465D3" w:rsidP="005465D3">
      <w:pPr>
        <w:spacing w:line="276" w:lineRule="auto"/>
      </w:pPr>
      <w:r>
        <w:t xml:space="preserve">Prinsippet om åpenhet innebærer at de registrertes rettigheter til blant annet innsyn og informasjon skal være ivaretatt. Departementet viser til at deling av opplysninger om </w:t>
      </w:r>
      <w:r w:rsidR="009978B8">
        <w:t>opptjent</w:t>
      </w:r>
      <w:r>
        <w:t xml:space="preserve"> </w:t>
      </w:r>
      <w:r w:rsidR="003109AB">
        <w:t xml:space="preserve">pensjonsbeholdning </w:t>
      </w:r>
      <w:r w:rsidR="00615143">
        <w:t xml:space="preserve">i folketrygden mv. </w:t>
      </w:r>
      <w:r>
        <w:t xml:space="preserve">bare vil </w:t>
      </w:r>
      <w:r w:rsidR="00D96AC2">
        <w:t>være aktuelt</w:t>
      </w:r>
      <w:r>
        <w:t xml:space="preserve"> </w:t>
      </w:r>
      <w:r w:rsidR="00567317">
        <w:t>når</w:t>
      </w:r>
      <w:r>
        <w:t xml:space="preserve"> </w:t>
      </w:r>
      <w:r w:rsidR="00567317">
        <w:t xml:space="preserve">medlemmet selv forespør beregning av forventet fremtidig pensjon. </w:t>
      </w:r>
      <w:r w:rsidR="00525BB0">
        <w:t xml:space="preserve">Prinsippet om åpenhet vil </w:t>
      </w:r>
      <w:r w:rsidR="00A927C0">
        <w:t xml:space="preserve">i så fall </w:t>
      </w:r>
      <w:r w:rsidR="00525BB0">
        <w:t xml:space="preserve">være oppfylt. </w:t>
      </w:r>
      <w:r w:rsidR="00A927C0">
        <w:t xml:space="preserve">Departementet viser til at pensjonsleverandøren </w:t>
      </w:r>
      <w:r w:rsidR="002F5570">
        <w:t xml:space="preserve">er ansvarlig for å gi nødvendig informasjon til medlemmer som etterspør en beregning av forventet fremtidig pensjon, om at opplysninger vil innhentes fra NAV. </w:t>
      </w:r>
    </w:p>
    <w:p w14:paraId="28752341" w14:textId="77777777" w:rsidR="005465D3" w:rsidRDefault="005465D3" w:rsidP="005465D3">
      <w:pPr>
        <w:spacing w:line="276" w:lineRule="auto"/>
      </w:pPr>
    </w:p>
    <w:p w14:paraId="30D62E4F" w14:textId="77777777" w:rsidR="005465D3" w:rsidRDefault="005465D3" w:rsidP="005465D3">
      <w:pPr>
        <w:spacing w:line="276" w:lineRule="auto"/>
      </w:pPr>
      <w:r>
        <w:t>Prinsippet om formålsbegrensning etter forordningen artikkel 5 nr. 1 bokstav b innebærer at personopplysninger skal «samles inn for spesifikke, uttrykkelig angitte og berettigede formål og ikke viderebehandles på en måte som er uforenlig med disse formålene. Viderebehandling for nye, uforenlige formål er etter forordningen artikkel 6 nr. 4 tillatt dersom den bygger på medlemsstatenes nasjonale rett som utgjør et nødvendig og forholdsmessig tiltak i et demokratisk samfunn for å sikre målene som nevnt i artikkel 23 nr. 1. Blant formålene som er nevnt er viktige mål av generell allmenn interesse for en medlemsstat (herunder skattesaker og trygdespørsmål) i bokstav e, og vern av den registrertes rettigheter i bokstav i.</w:t>
      </w:r>
      <w:r w:rsidRPr="001662FF">
        <w:t xml:space="preserve"> </w:t>
      </w:r>
    </w:p>
    <w:p w14:paraId="23BB614C" w14:textId="77777777" w:rsidR="005465D3" w:rsidRDefault="005465D3" w:rsidP="005465D3">
      <w:pPr>
        <w:spacing w:line="276" w:lineRule="auto"/>
      </w:pPr>
    </w:p>
    <w:p w14:paraId="669056DB" w14:textId="5CA61017" w:rsidR="005465D3" w:rsidRDefault="005465D3" w:rsidP="005465D3">
      <w:pPr>
        <w:spacing w:line="276" w:lineRule="auto"/>
      </w:pPr>
      <w:r>
        <w:t xml:space="preserve">Departementet viser til at forslagene i kapitlet innebærer videreformidling av opplysninger som Arbeids- og velferdsetaten har rettslig grunnlag for å behandle på angitte måter, og forslaget må derfor vurderes iht. forordningen art. 6 nr. 4. Departementet legger til grunn at </w:t>
      </w:r>
      <w:r w:rsidR="00D96AC2">
        <w:t>forsikringsvirksomhetsloven § 4-17</w:t>
      </w:r>
      <w:r w:rsidR="00AE79D9">
        <w:t xml:space="preserve"> første ledd annet jf. tredje punktum</w:t>
      </w:r>
      <w:r w:rsidR="00D96AC2">
        <w:t xml:space="preserve">, som ovenfor er angitt som supplerende behandlingsgrunnlag for Arbeids- og velferdsetaten,  </w:t>
      </w:r>
      <w:r>
        <w:t xml:space="preserve">også hjemler adgang for viderebruk av personopplysningene til nye og uforenlige formål. Etter departementets vurdering vil viderebehandling av opplysningene bidra til mest mulig riktig grunnlag for </w:t>
      </w:r>
      <w:r w:rsidR="00B97483">
        <w:t>pensjonslevera</w:t>
      </w:r>
      <w:r w:rsidR="00567317">
        <w:t>n</w:t>
      </w:r>
      <w:r w:rsidR="00B97483">
        <w:t>dørens ber</w:t>
      </w:r>
      <w:r w:rsidR="00567317">
        <w:t>e</w:t>
      </w:r>
      <w:r w:rsidR="00B97483">
        <w:t xml:space="preserve">gning av forventede framtidige pensjonsytelser. </w:t>
      </w:r>
      <w:r>
        <w:t xml:space="preserve">Det vil også bidra til en mer effektiv saksbehandling at pensjonsinnretningen kan innhente opplysninger uten at </w:t>
      </w:r>
      <w:r w:rsidR="00B97483">
        <w:t>medlemmet</w:t>
      </w:r>
      <w:r>
        <w:t xml:space="preserve"> må gi samtykke i hvert enkelt tilfelle. Departementet </w:t>
      </w:r>
      <w:r>
        <w:lastRenderedPageBreak/>
        <w:t xml:space="preserve">vurderer at dette er viktige mål av generell allmenn interesse, og at utleveringen av opplysningene er et nødvendig og forholdsmessig tiltak for å fremme disse målene. </w:t>
      </w:r>
    </w:p>
    <w:p w14:paraId="4A60FCE1" w14:textId="77777777" w:rsidR="005465D3" w:rsidRDefault="005465D3" w:rsidP="005465D3">
      <w:pPr>
        <w:spacing w:line="276" w:lineRule="auto"/>
      </w:pPr>
    </w:p>
    <w:p w14:paraId="5D22E727" w14:textId="63A3E933" w:rsidR="00B2676C" w:rsidRDefault="005465D3" w:rsidP="00B2676C">
      <w:pPr>
        <w:spacing w:line="276" w:lineRule="auto"/>
      </w:pPr>
      <w:r>
        <w:t xml:space="preserve">Prinsippet om dataminimering følger av personvernforordningen artikkel 5 nr. 1 bokstav c. Etter dette prinsippet skal behandling av personopplysninger begrenses til det som er nødvendig og relevant for formålet. Departementet </w:t>
      </w:r>
      <w:r w:rsidR="000F29C6">
        <w:t xml:space="preserve">viser til at </w:t>
      </w:r>
      <w:r w:rsidR="00506769">
        <w:t>formålet med forslaget er å gi</w:t>
      </w:r>
      <w:r w:rsidR="000F29C6">
        <w:t xml:space="preserve"> </w:t>
      </w:r>
      <w:r w:rsidR="00DE2D4D">
        <w:t xml:space="preserve">tilgang til </w:t>
      </w:r>
      <w:r w:rsidR="00506769">
        <w:t>op</w:t>
      </w:r>
      <w:r w:rsidR="00DE2D4D">
        <w:t xml:space="preserve">plysninger </w:t>
      </w:r>
      <w:r w:rsidR="00506769">
        <w:t>på linje med den tilgang SPK har i dag. I lov om Statens pensjonskasse § 45 er det ikke presisert hvilke opplysninger SPK har tilgang til til bruk for beregning av forventet fr</w:t>
      </w:r>
      <w:r w:rsidR="005822C6">
        <w:t>e</w:t>
      </w:r>
      <w:r w:rsidR="00506769">
        <w:t>mtidig pensjon, men departementet legger til grunn at både opplysninger om beregnet pensjonsbeholdning og andre nødvendige opplysninger fra folketrygden er omfattet.</w:t>
      </w:r>
      <w:r w:rsidR="0024227F">
        <w:t xml:space="preserve"> Forslaget vil også gi tilgang til opplysninger på linje med opplysninger som skal gis til bruk for arbeidet med ny offentlig AFP, jf forslag til forsikringsvir</w:t>
      </w:r>
      <w:r w:rsidR="00506769">
        <w:t>ksom</w:t>
      </w:r>
      <w:r w:rsidR="0024227F">
        <w:t>h</w:t>
      </w:r>
      <w:r w:rsidR="00506769">
        <w:t>etsloven § 4-17 første ledd første punktum</w:t>
      </w:r>
      <w:r w:rsidR="0024227F">
        <w:t>. I arbeidet med ny offentlig AFP inngår også beregning av forventet fr</w:t>
      </w:r>
      <w:r w:rsidR="005822C6">
        <w:t>e</w:t>
      </w:r>
      <w:r w:rsidR="0024227F">
        <w:t xml:space="preserve">mtidig pensjon fra AFP. Bestemmelsen </w:t>
      </w:r>
      <w:r w:rsidR="00270B8C">
        <w:t xml:space="preserve">i § 4-17 første ledd første punktum </w:t>
      </w:r>
      <w:r w:rsidR="0024227F">
        <w:t>er utformet på tilsvarende måte som lov om avtalefestet pensjon for medlemmer av Statens pensjon</w:t>
      </w:r>
      <w:r w:rsidR="003B4BF8">
        <w:t>ska</w:t>
      </w:r>
      <w:r w:rsidR="0024227F">
        <w:t>sse § 13 annet ledd.</w:t>
      </w:r>
      <w:r w:rsidR="003B4BF8">
        <w:t xml:space="preserve"> Departementet mener derfor at personopplysningene som skal behandles vil være nødvendige og relevante for formålet.</w:t>
      </w:r>
      <w:r w:rsidR="0024227F">
        <w:t xml:space="preserve"> </w:t>
      </w:r>
    </w:p>
    <w:p w14:paraId="68D9A788" w14:textId="77777777" w:rsidR="005465D3" w:rsidRDefault="005465D3" w:rsidP="005465D3">
      <w:pPr>
        <w:spacing w:line="276" w:lineRule="auto"/>
      </w:pPr>
    </w:p>
    <w:p w14:paraId="0275A0EA" w14:textId="223646CF" w:rsidR="005465D3" w:rsidRDefault="005465D3" w:rsidP="00B97483">
      <w:pPr>
        <w:spacing w:line="276" w:lineRule="auto"/>
      </w:pPr>
      <w:r>
        <w:t xml:space="preserve">Prinsippet om riktighet i personvernforordningen artikkel 5 nr. 1 bokstav d innebærer at personopplysninger skal være korrekte og oppdaterte. </w:t>
      </w:r>
      <w:r w:rsidR="00B97483">
        <w:t>Adgang til innhenting av o</w:t>
      </w:r>
      <w:r>
        <w:t xml:space="preserve">pplysninger om </w:t>
      </w:r>
      <w:r w:rsidR="00654CA4">
        <w:t>opptjent</w:t>
      </w:r>
      <w:r w:rsidR="00B2676C">
        <w:t xml:space="preserve"> </w:t>
      </w:r>
      <w:r w:rsidR="00DE2D4D">
        <w:t xml:space="preserve">pensjonsbeholdning </w:t>
      </w:r>
      <w:r w:rsidR="00615143">
        <w:t xml:space="preserve">i folketrygden og andre nødvendige opplysninger </w:t>
      </w:r>
      <w:r w:rsidR="00B2676C">
        <w:t xml:space="preserve">fra Arbeids- og velferdsetaten vil </w:t>
      </w:r>
      <w:r w:rsidR="00B97483">
        <w:t>bidra til mest mulig ko</w:t>
      </w:r>
      <w:r w:rsidRPr="00884ADC">
        <w:t>rrekte og oppdaterte opplysninger</w:t>
      </w:r>
      <w:r w:rsidR="00B97483">
        <w:t>.</w:t>
      </w:r>
    </w:p>
    <w:p w14:paraId="57BAF640" w14:textId="77777777" w:rsidR="00B97483" w:rsidRDefault="00B97483" w:rsidP="00B97483">
      <w:pPr>
        <w:spacing w:line="276" w:lineRule="auto"/>
        <w:rPr>
          <w:rFonts w:cs="Open Sans"/>
          <w:color w:val="333333"/>
        </w:rPr>
      </w:pPr>
    </w:p>
    <w:p w14:paraId="75AAE41B" w14:textId="48AD2A4B" w:rsidR="005465D3" w:rsidRPr="00BF6A03" w:rsidRDefault="005465D3" w:rsidP="005465D3">
      <w:pPr>
        <w:pStyle w:val="NormalWeb"/>
        <w:shd w:val="clear" w:color="auto" w:fill="FFFFFF"/>
        <w:spacing w:before="0" w:beforeAutospacing="0" w:after="0" w:afterAutospacing="0" w:line="276" w:lineRule="auto"/>
        <w:rPr>
          <w:rFonts w:ascii="DepCentury Old Style" w:hAnsi="DepCentury Old Style" w:cs="Open Sans"/>
          <w:color w:val="333333"/>
        </w:rPr>
      </w:pPr>
      <w:r>
        <w:rPr>
          <w:rFonts w:ascii="DepCentury Old Style" w:hAnsi="DepCentury Old Style" w:cs="Open Sans"/>
          <w:color w:val="333333"/>
        </w:rPr>
        <w:t>Departementet foru</w:t>
      </w:r>
      <w:r w:rsidR="00567317">
        <w:rPr>
          <w:rFonts w:ascii="DepCentury Old Style" w:hAnsi="DepCentury Old Style" w:cs="Open Sans"/>
          <w:color w:val="333333"/>
        </w:rPr>
        <w:t>t</w:t>
      </w:r>
      <w:r>
        <w:rPr>
          <w:rFonts w:ascii="DepCentury Old Style" w:hAnsi="DepCentury Old Style" w:cs="Open Sans"/>
          <w:color w:val="333333"/>
        </w:rPr>
        <w:t xml:space="preserve">setter at pensjonsinnretningene sørger for at </w:t>
      </w:r>
      <w:r w:rsidRPr="00BF6A03">
        <w:rPr>
          <w:rFonts w:ascii="DepCentury Old Style" w:hAnsi="DepCentury Old Style" w:cs="Open Sans"/>
          <w:color w:val="333333"/>
        </w:rPr>
        <w:t xml:space="preserve">personopplysningene underlegges tilstrekkelig informasjonssikkerhet og at de slettes når formålet er oppfylt, og at </w:t>
      </w:r>
      <w:r>
        <w:rPr>
          <w:rFonts w:ascii="DepCentury Old Style" w:hAnsi="DepCentury Old Style" w:cs="Open Sans"/>
          <w:color w:val="333333"/>
        </w:rPr>
        <w:t xml:space="preserve">pensjonsinnretningene </w:t>
      </w:r>
      <w:r w:rsidRPr="00BF6A03">
        <w:rPr>
          <w:rFonts w:ascii="DepCentury Old Style" w:hAnsi="DepCentury Old Style" w:cs="Open Sans"/>
          <w:color w:val="333333"/>
        </w:rPr>
        <w:t xml:space="preserve">sørger for å iverksette tiltak mot utilsiktet og ulovlig ødeleggelse, tap og endringer av personopplysninger. </w:t>
      </w:r>
      <w:r>
        <w:rPr>
          <w:rFonts w:ascii="DepCentury Old Style" w:hAnsi="DepCentury Old Style" w:cs="Open Sans"/>
          <w:color w:val="333333"/>
        </w:rPr>
        <w:t xml:space="preserve">Det vises til prinsippene om lagringsbegrensning  i forordningen art. 5 bokstav e og sikkerhet for personopplysningene i art. 5 bokstav f. </w:t>
      </w:r>
      <w:r w:rsidRPr="00BF6A03">
        <w:rPr>
          <w:rFonts w:ascii="DepCentury Old Style" w:hAnsi="DepCentury Old Style" w:cs="Open Sans"/>
          <w:color w:val="333333"/>
        </w:rPr>
        <w:t xml:space="preserve">Departementet viser til at </w:t>
      </w:r>
      <w:r>
        <w:rPr>
          <w:rFonts w:ascii="DepCentury Old Style" w:hAnsi="DepCentury Old Style" w:cs="Open Sans"/>
          <w:color w:val="333333"/>
        </w:rPr>
        <w:t xml:space="preserve">både Arbeids- og velferdsetaten og pensjonsinnretningene har taushetsplikt, noe som er </w:t>
      </w:r>
      <w:r w:rsidRPr="00BF6A03">
        <w:rPr>
          <w:rFonts w:ascii="DepCentury Old Style" w:hAnsi="DepCentury Old Style" w:cs="Open Sans"/>
          <w:color w:val="333333"/>
        </w:rPr>
        <w:t>viktig for borgernes rettssikkerhet og personvern.</w:t>
      </w:r>
    </w:p>
    <w:p w14:paraId="37FDE6DE" w14:textId="77777777" w:rsidR="005465D3" w:rsidRDefault="005465D3" w:rsidP="005465D3">
      <w:pPr>
        <w:spacing w:line="276" w:lineRule="auto"/>
      </w:pPr>
    </w:p>
    <w:p w14:paraId="1E1589A0" w14:textId="23AE5DF7" w:rsidR="00001F6C" w:rsidRDefault="005465D3" w:rsidP="00B2676C">
      <w:pPr>
        <w:spacing w:line="276" w:lineRule="auto"/>
      </w:pPr>
      <w:r>
        <w:t>Etter departementets vurdering innebærer ikke forslage</w:t>
      </w:r>
      <w:r w:rsidR="00525BB0">
        <w:t>t</w:t>
      </w:r>
      <w:r>
        <w:t xml:space="preserve"> vesentlige eller uforholdsmessige personvernkonsekvenser. </w:t>
      </w:r>
      <w:r w:rsidR="00525BB0">
        <w:rPr>
          <w:rFonts w:cs="Open Sans"/>
          <w:color w:val="333333"/>
        </w:rPr>
        <w:t xml:space="preserve">Formålet med forslaget er at kommunale tjenestepensjonsleverandører skal kunne gi sine medlemmer opplysninger om fremtidig forventet pensjon. </w:t>
      </w:r>
      <w:r w:rsidR="00B2676C">
        <w:t>Den utvidede bruken av opplysningene anses ikke å være uforholdsmessig, ettersom ut</w:t>
      </w:r>
      <w:r w:rsidR="00525BB0">
        <w:rPr>
          <w:rFonts w:cs="Open Sans"/>
          <w:color w:val="333333"/>
        </w:rPr>
        <w:t xml:space="preserve">levering av opplysninger fra Arbeids- og velferdsetaten </w:t>
      </w:r>
      <w:r w:rsidR="00B2676C">
        <w:rPr>
          <w:rFonts w:cs="Open Sans"/>
          <w:color w:val="333333"/>
        </w:rPr>
        <w:lastRenderedPageBreak/>
        <w:t xml:space="preserve">bare </w:t>
      </w:r>
      <w:r w:rsidR="00DE2D4D">
        <w:rPr>
          <w:rFonts w:cs="Open Sans"/>
          <w:color w:val="333333"/>
        </w:rPr>
        <w:t xml:space="preserve">synes å </w:t>
      </w:r>
      <w:r w:rsidR="00B2676C">
        <w:rPr>
          <w:rFonts w:cs="Open Sans"/>
          <w:color w:val="333333"/>
        </w:rPr>
        <w:t xml:space="preserve"> </w:t>
      </w:r>
      <w:r w:rsidR="00525BB0">
        <w:rPr>
          <w:rFonts w:cs="Open Sans"/>
          <w:color w:val="333333"/>
        </w:rPr>
        <w:t xml:space="preserve">være aktuelt når medlemmet </w:t>
      </w:r>
      <w:r w:rsidR="00B2676C">
        <w:rPr>
          <w:rFonts w:cs="Open Sans"/>
          <w:color w:val="333333"/>
        </w:rPr>
        <w:t xml:space="preserve">selv </w:t>
      </w:r>
      <w:r w:rsidR="00567317">
        <w:rPr>
          <w:rFonts w:cs="Open Sans"/>
          <w:color w:val="333333"/>
        </w:rPr>
        <w:t xml:space="preserve">ber om </w:t>
      </w:r>
      <w:r w:rsidR="00356D6B">
        <w:rPr>
          <w:rFonts w:cs="Open Sans"/>
          <w:color w:val="333333"/>
        </w:rPr>
        <w:t xml:space="preserve">veiledning om forventet fremtidig pensjon fra </w:t>
      </w:r>
      <w:r w:rsidR="00525BB0">
        <w:rPr>
          <w:rFonts w:cs="Open Sans"/>
          <w:color w:val="333333"/>
        </w:rPr>
        <w:t xml:space="preserve">sin pensjonsleverandør. </w:t>
      </w:r>
      <w:r w:rsidR="00B2676C">
        <w:rPr>
          <w:rFonts w:cs="Open Sans"/>
          <w:color w:val="333333"/>
        </w:rPr>
        <w:t>Forslaget vil også effektivisere pensjonsleverandørens behandling av forespø</w:t>
      </w:r>
      <w:r w:rsidR="00356D6B">
        <w:rPr>
          <w:rFonts w:cs="Open Sans"/>
          <w:color w:val="333333"/>
        </w:rPr>
        <w:t>r</w:t>
      </w:r>
      <w:r w:rsidR="00B2676C">
        <w:rPr>
          <w:rFonts w:cs="Open Sans"/>
          <w:color w:val="333333"/>
        </w:rPr>
        <w:t xml:space="preserve">sler om beregning av forventet </w:t>
      </w:r>
      <w:r w:rsidR="00356D6B">
        <w:rPr>
          <w:rFonts w:cs="Open Sans"/>
          <w:color w:val="333333"/>
        </w:rPr>
        <w:t xml:space="preserve">fremtidig </w:t>
      </w:r>
      <w:r w:rsidR="00B2676C">
        <w:rPr>
          <w:rFonts w:cs="Open Sans"/>
          <w:color w:val="333333"/>
        </w:rPr>
        <w:t xml:space="preserve">pensjon, noe som vil være i medlemmenes interesse. </w:t>
      </w:r>
    </w:p>
    <w:p w14:paraId="126E2E30" w14:textId="2720B960" w:rsidR="009D630E" w:rsidRDefault="009D630E" w:rsidP="00101E8E">
      <w:pPr>
        <w:spacing w:line="276" w:lineRule="auto"/>
      </w:pPr>
    </w:p>
    <w:p w14:paraId="7467FDF7" w14:textId="73578C57" w:rsidR="00494CF8" w:rsidRDefault="00494CF8" w:rsidP="00101E8E">
      <w:pPr>
        <w:spacing w:line="276" w:lineRule="auto"/>
      </w:pPr>
      <w:r>
        <w:t>Det vises til forslag til forsikringsvirksomhetsloven § 4-17 første ledd annet og tredje punktum.</w:t>
      </w:r>
    </w:p>
    <w:p w14:paraId="1B20DE9E" w14:textId="267C9E39" w:rsidR="00DE6255" w:rsidRDefault="009603FD" w:rsidP="00DE6255">
      <w:pPr>
        <w:spacing w:line="276" w:lineRule="auto"/>
      </w:pPr>
      <w:r>
        <w:t xml:space="preserve"> </w:t>
      </w:r>
    </w:p>
    <w:p w14:paraId="61F76D6A" w14:textId="2D820534" w:rsidR="009603FD" w:rsidRDefault="00D22D82" w:rsidP="00C719B7">
      <w:pPr>
        <w:pStyle w:val="Overskrift1"/>
        <w:numPr>
          <w:ilvl w:val="0"/>
          <w:numId w:val="1"/>
        </w:numPr>
        <w:spacing w:line="276" w:lineRule="auto"/>
      </w:pPr>
      <w:bookmarkStart w:id="29" w:name="_Toc170468745"/>
      <w:r>
        <w:t>A</w:t>
      </w:r>
      <w:r w:rsidR="0014408D">
        <w:t xml:space="preserve">dgang til å treffe </w:t>
      </w:r>
      <w:r w:rsidR="00BA26E4">
        <w:t xml:space="preserve">automatiserte </w:t>
      </w:r>
      <w:r w:rsidR="00DB17BB">
        <w:t>avgjørelser</w:t>
      </w:r>
      <w:bookmarkEnd w:id="29"/>
    </w:p>
    <w:p w14:paraId="26D8F356" w14:textId="3A572583" w:rsidR="009603FD" w:rsidRDefault="009603FD" w:rsidP="009603FD">
      <w:pPr>
        <w:pStyle w:val="Overskrift2"/>
      </w:pPr>
      <w:bookmarkStart w:id="30" w:name="_Toc170468746"/>
      <w:r>
        <w:t>Innledning</w:t>
      </w:r>
      <w:bookmarkEnd w:id="30"/>
    </w:p>
    <w:p w14:paraId="619F47E7" w14:textId="3CEA99C6" w:rsidR="00F4582A" w:rsidRDefault="00232DF2" w:rsidP="00F4582A">
      <w:pPr>
        <w:spacing w:line="276" w:lineRule="auto"/>
      </w:pPr>
      <w:bookmarkStart w:id="31" w:name="_Hlk168221182"/>
      <w:r>
        <w:t xml:space="preserve">I dette kapitlet foreslår departementet </w:t>
      </w:r>
      <w:r w:rsidR="002D627D">
        <w:t>en hjemmel for kommunale pensjonsleverandører til å treffe helautomatis</w:t>
      </w:r>
      <w:r w:rsidR="00B1512E">
        <w:t>erte</w:t>
      </w:r>
      <w:r w:rsidR="002D627D">
        <w:t xml:space="preserve"> avgjørelser. </w:t>
      </w:r>
      <w:r w:rsidR="00F4582A">
        <w:t>I personvernforordningen artikkel 22 defineres helautomatiske avgjørelser som</w:t>
      </w:r>
      <w:r w:rsidR="005F5660">
        <w:t xml:space="preserve"> </w:t>
      </w:r>
      <w:r w:rsidR="00F4582A">
        <w:t xml:space="preserve">avgjørelser hvor det behandles personopplysninger, og hvor avgjørelsen utelukkende er basert på automatisert behandling. Avgjørelsen må også ha rettsvirkning for eller på tilsvarende måte i betydelig grad påvirke den registrerte. </w:t>
      </w:r>
      <w:r w:rsidR="000B39AE">
        <w:t xml:space="preserve">I det følgende brukes begrepet automatiserte avgjørelser om helautomatiserte </w:t>
      </w:r>
      <w:r w:rsidR="00F4582A">
        <w:t>avgjørelser</w:t>
      </w:r>
      <w:r w:rsidR="000B39AE">
        <w:t>.</w:t>
      </w:r>
      <w:r w:rsidR="00F4582A">
        <w:t xml:space="preserve"> </w:t>
      </w:r>
    </w:p>
    <w:p w14:paraId="371A4A09" w14:textId="77777777" w:rsidR="00E43A3C" w:rsidRDefault="00E43A3C" w:rsidP="00F4582A">
      <w:pPr>
        <w:spacing w:line="276" w:lineRule="auto"/>
      </w:pPr>
    </w:p>
    <w:p w14:paraId="256DCDE2" w14:textId="77777777" w:rsidR="002B7F1A" w:rsidRDefault="002B7F1A" w:rsidP="002B7F1A">
      <w:pPr>
        <w:pStyle w:val="Overskrift2"/>
        <w:numPr>
          <w:ilvl w:val="1"/>
          <w:numId w:val="1"/>
        </w:numPr>
        <w:spacing w:line="276" w:lineRule="auto"/>
        <w:ind w:left="567" w:hanging="567"/>
      </w:pPr>
      <w:bookmarkStart w:id="32" w:name="_Toc170468747"/>
      <w:r>
        <w:t>Bakgrunn</w:t>
      </w:r>
      <w:bookmarkEnd w:id="32"/>
    </w:p>
    <w:p w14:paraId="6CF67E3A" w14:textId="3B82A38B" w:rsidR="002B7F1A" w:rsidRDefault="002B7F1A" w:rsidP="002B7F1A">
      <w:pPr>
        <w:spacing w:line="276" w:lineRule="auto"/>
      </w:pPr>
      <w:r>
        <w:t>For Statens pensjonskasse, Pensjonstrygden for sjømenn og andre lovbestemte pensjonsordninger ble det i Prop. 135 L (2019-2020) Endringer i arbeids- og velferdsforvaltningsloven, sosialtjenesteloven, lov om Statens pensjonskasse og enkelte andre lover (behandling av personopplysninger)</w:t>
      </w:r>
      <w:r w:rsidRPr="004E42FC">
        <w:t xml:space="preserve"> </w:t>
      </w:r>
      <w:r>
        <w:t xml:space="preserve">foreslått bestemmelser for å gjennomføre nye krav og vilkår til behandling av personopplysninger i personvernforordningen. </w:t>
      </w:r>
      <w:r w:rsidR="00235296">
        <w:t xml:space="preserve">Proposisjonen ble fremmet av daværende Arbeids- og sosialdepartementet. </w:t>
      </w:r>
      <w:r>
        <w:t xml:space="preserve">Lovforslaget ble </w:t>
      </w:r>
      <w:r w:rsidR="000976AC">
        <w:t xml:space="preserve">vedtatt i </w:t>
      </w:r>
      <w:r>
        <w:t xml:space="preserve">Stortinget </w:t>
      </w:r>
      <w:r w:rsidR="000976AC">
        <w:t>1</w:t>
      </w:r>
      <w:r w:rsidR="00235296">
        <w:t>7</w:t>
      </w:r>
      <w:r w:rsidR="000976AC">
        <w:t xml:space="preserve">. november </w:t>
      </w:r>
      <w:r w:rsidR="00235296">
        <w:t xml:space="preserve">2020 </w:t>
      </w:r>
      <w:r w:rsidR="000976AC">
        <w:t>etter avgitt innstilling i Innst. 70 L (2020-2021)</w:t>
      </w:r>
      <w:r w:rsidR="00235296">
        <w:t>.</w:t>
      </w:r>
      <w:r>
        <w:t xml:space="preserve"> </w:t>
      </w:r>
    </w:p>
    <w:p w14:paraId="47557300" w14:textId="77777777" w:rsidR="002B7F1A" w:rsidRDefault="002B7F1A" w:rsidP="002B7F1A">
      <w:pPr>
        <w:spacing w:line="276" w:lineRule="auto"/>
      </w:pPr>
    </w:p>
    <w:p w14:paraId="3E900CCF" w14:textId="317838EE" w:rsidR="002B7F1A" w:rsidRDefault="000976AC" w:rsidP="002B7F1A">
      <w:pPr>
        <w:spacing w:line="276" w:lineRule="auto"/>
      </w:pPr>
      <w:r>
        <w:t>Lovendringene p</w:t>
      </w:r>
      <w:r w:rsidR="002D627D">
        <w:t xml:space="preserve">å bakgrunn av </w:t>
      </w:r>
      <w:r w:rsidR="002B7F1A">
        <w:t xml:space="preserve">forslagene i proposisjonen </w:t>
      </w:r>
      <w:r>
        <w:t xml:space="preserve">følger av lov 4. desember 2020 nr. 132. Loven endrer bl.a. lov </w:t>
      </w:r>
      <w:r w:rsidR="002B7F1A">
        <w:t xml:space="preserve">om Statens Pensjonskassse </w:t>
      </w:r>
      <w:r>
        <w:t xml:space="preserve">slik at SPK </w:t>
      </w:r>
      <w:r w:rsidR="002B7F1A">
        <w:t xml:space="preserve">skal kunne treffe automatiserte avgjørelser. </w:t>
      </w:r>
      <w:r w:rsidR="00471F35">
        <w:t>Det vises til at slike a</w:t>
      </w:r>
      <w:r w:rsidR="00AF3701">
        <w:t>vgjørelse</w:t>
      </w:r>
      <w:r w:rsidR="00471F35">
        <w:t>r</w:t>
      </w:r>
      <w:r w:rsidR="00AF3701">
        <w:t xml:space="preserve"> </w:t>
      </w:r>
      <w:r w:rsidR="00471F35">
        <w:t xml:space="preserve">f.eks. </w:t>
      </w:r>
      <w:r w:rsidR="00AF3701">
        <w:t>kan være vedtak om å innvilge eller avslå en ytelse.</w:t>
      </w:r>
      <w:r w:rsidR="007106B3">
        <w:t xml:space="preserve"> </w:t>
      </w:r>
    </w:p>
    <w:p w14:paraId="37483831" w14:textId="77777777" w:rsidR="002B7F1A" w:rsidRDefault="002B7F1A" w:rsidP="002B7F1A">
      <w:pPr>
        <w:spacing w:line="276" w:lineRule="auto"/>
      </w:pPr>
    </w:p>
    <w:p w14:paraId="7CA04B16" w14:textId="6DCFD019" w:rsidR="002B7F1A" w:rsidRDefault="002B7F1A" w:rsidP="002B7F1A">
      <w:pPr>
        <w:spacing w:line="276" w:lineRule="auto"/>
      </w:pPr>
      <w:r>
        <w:t xml:space="preserve">I </w:t>
      </w:r>
      <w:r w:rsidR="0045045F">
        <w:t>P</w:t>
      </w:r>
      <w:r>
        <w:t>rop</w:t>
      </w:r>
      <w:r w:rsidR="0045045F">
        <w:t xml:space="preserve">. </w:t>
      </w:r>
      <w:r>
        <w:t xml:space="preserve">135 L (2019-2020) kap. 4.3 er det vist til at </w:t>
      </w:r>
      <w:bookmarkStart w:id="33" w:name="_Hlk164627821"/>
      <w:r>
        <w:t>KLP i sin høringsuttalelse har pekt på at selskapets virksomhet når det gjelder offentlig tjenestepensjon har store likhetstrekk med SPK. KLP viste til at det er de samme pr</w:t>
      </w:r>
      <w:r w:rsidR="006C6C83">
        <w:t>o</w:t>
      </w:r>
      <w:r>
        <w:t xml:space="preserve">dukter som tilbys med et regelverk som i </w:t>
      </w:r>
      <w:r>
        <w:lastRenderedPageBreak/>
        <w:t xml:space="preserve">stor grad er sammenfallende. Etter Overføringsavtalens regelverk er det den pensjonsinnretning pensjonisten sist var tilknyttet som skal utbetale samlet pensjon. KLP mener derfor det er nødvendig at pensjonsinnretninger som tilbyr samme pensjonsprodukt som SPK, får tilsvarende hjemmel for behandling av personopplysninger og automatiserte avgjørelser. </w:t>
      </w:r>
      <w:bookmarkEnd w:id="33"/>
      <w:r>
        <w:t>KLP b</w:t>
      </w:r>
      <w:r w:rsidR="002D627D">
        <w:t>a</w:t>
      </w:r>
      <w:r>
        <w:t xml:space="preserve"> derfor om at departementet tar initiativ til at et slikt lovarbeid blir iverksatt.</w:t>
      </w:r>
      <w:r w:rsidR="002D627D">
        <w:t xml:space="preserve"> </w:t>
      </w:r>
      <w:r w:rsidR="00D119DC">
        <w:t xml:space="preserve">Daværende Arbeids- og sosialdepartementet </w:t>
      </w:r>
      <w:r w:rsidR="000C3C1C">
        <w:t xml:space="preserve">viste </w:t>
      </w:r>
      <w:r w:rsidR="00D119DC">
        <w:t xml:space="preserve">i proposisjonen </w:t>
      </w:r>
      <w:r w:rsidR="000C3C1C">
        <w:t xml:space="preserve">til </w:t>
      </w:r>
      <w:r>
        <w:t>at departementet vil følge opp dette spørsmålet i samråd med Finan</w:t>
      </w:r>
      <w:r w:rsidR="00235296">
        <w:t>s</w:t>
      </w:r>
      <w:r>
        <w:t xml:space="preserve">departementet. </w:t>
      </w:r>
    </w:p>
    <w:p w14:paraId="7520A924" w14:textId="77777777" w:rsidR="00F120B3" w:rsidRDefault="00F120B3" w:rsidP="002B7F1A">
      <w:pPr>
        <w:spacing w:line="276" w:lineRule="auto"/>
      </w:pPr>
    </w:p>
    <w:p w14:paraId="305A54A2" w14:textId="77777777" w:rsidR="00E43A3C" w:rsidRDefault="00F120B3" w:rsidP="002B7F1A">
      <w:pPr>
        <w:spacing w:line="276" w:lineRule="auto"/>
      </w:pPr>
      <w:r>
        <w:t xml:space="preserve">KLP </w:t>
      </w:r>
      <w:r w:rsidR="00291D59">
        <w:t xml:space="preserve">har også </w:t>
      </w:r>
      <w:r>
        <w:t xml:space="preserve">i brev til Finansdepartementet 9. september 2020 </w:t>
      </w:r>
      <w:r w:rsidR="00291D59">
        <w:t xml:space="preserve">tatt </w:t>
      </w:r>
      <w:r>
        <w:t xml:space="preserve">opp </w:t>
      </w:r>
      <w:r w:rsidR="002D627D">
        <w:t>spørsmålet om hjemmel til å treffe automatiserte avgjørelser.</w:t>
      </w:r>
    </w:p>
    <w:p w14:paraId="53457F53" w14:textId="15D53B8D" w:rsidR="00F120B3" w:rsidRDefault="00F120B3" w:rsidP="002B7F1A">
      <w:pPr>
        <w:spacing w:line="276" w:lineRule="auto"/>
      </w:pPr>
      <w:r>
        <w:t xml:space="preserve"> </w:t>
      </w:r>
    </w:p>
    <w:p w14:paraId="1375EC89" w14:textId="73AA7B2D" w:rsidR="009603FD" w:rsidRDefault="009603FD" w:rsidP="009603FD">
      <w:pPr>
        <w:pStyle w:val="Overskrift2"/>
      </w:pPr>
      <w:bookmarkStart w:id="34" w:name="_Toc170468748"/>
      <w:bookmarkEnd w:id="31"/>
      <w:r>
        <w:t>Gjeldende rett</w:t>
      </w:r>
      <w:bookmarkEnd w:id="34"/>
    </w:p>
    <w:p w14:paraId="34806DA2" w14:textId="3D435A23" w:rsidR="000C3C1C" w:rsidRDefault="000C3C1C" w:rsidP="002C5DDB">
      <w:pPr>
        <w:spacing w:line="276" w:lineRule="auto"/>
      </w:pPr>
      <w:r>
        <w:t xml:space="preserve">For kommunale pensjonsordninger er det ikke gitt regler om adgang til å treffe automatiserte avgjørelser. </w:t>
      </w:r>
    </w:p>
    <w:p w14:paraId="55201F14" w14:textId="77777777" w:rsidR="000C3C1C" w:rsidRDefault="000C3C1C" w:rsidP="002C5DDB">
      <w:pPr>
        <w:spacing w:line="276" w:lineRule="auto"/>
      </w:pPr>
    </w:p>
    <w:p w14:paraId="4766DA47" w14:textId="5BE5BF03" w:rsidR="00181E7D" w:rsidRDefault="00CB0D6C" w:rsidP="002C5DDB">
      <w:pPr>
        <w:spacing w:line="276" w:lineRule="auto"/>
      </w:pPr>
      <w:r>
        <w:t>For Statens pensjonskasse er det i lov om Statens pensjon</w:t>
      </w:r>
      <w:r w:rsidR="002C5DDB">
        <w:t>s</w:t>
      </w:r>
      <w:r>
        <w:t>kasse § 4</w:t>
      </w:r>
      <w:r w:rsidR="00181E7D">
        <w:t>5 b</w:t>
      </w:r>
      <w:r>
        <w:t xml:space="preserve"> </w:t>
      </w:r>
      <w:r w:rsidR="002C5DDB">
        <w:t xml:space="preserve">annet ledd gitt en bestemmelse om adgang til å treffe automatiserte </w:t>
      </w:r>
      <w:r w:rsidR="00E36218">
        <w:t>avgjørelser</w:t>
      </w:r>
      <w:r w:rsidR="007C1DA7">
        <w:t>, jf. forslag i Prop.135 L (2019-2020) og Innst. 70 L (2020-2021)</w:t>
      </w:r>
      <w:r w:rsidR="002C5DDB">
        <w:t xml:space="preserve">. </w:t>
      </w:r>
      <w:r w:rsidR="00E36218">
        <w:t>Det følger av bestemmelsen at SPK kan treffe avgjørelser som ut</w:t>
      </w:r>
      <w:r w:rsidR="002C5DDB">
        <w:t>elukkende er basert på automatisert behandling av personopplysninger, herunder personopplysnin</w:t>
      </w:r>
      <w:r w:rsidR="00A315BC">
        <w:t>g</w:t>
      </w:r>
      <w:r w:rsidR="002C5DDB">
        <w:t xml:space="preserve">er som nevnt i personvernforordningen artikkel </w:t>
      </w:r>
      <w:r w:rsidR="002C5DDB" w:rsidRPr="00E36218">
        <w:t>9 og 10</w:t>
      </w:r>
      <w:r w:rsidR="00E36218">
        <w:t>, som bl.a. omfatter helseopplysninger</w:t>
      </w:r>
      <w:r w:rsidR="002C5DDB" w:rsidRPr="00E36218">
        <w:t>.</w:t>
      </w:r>
      <w:r w:rsidR="002C5DDB">
        <w:t xml:space="preserve"> Behandlingen må sikre partens krav til forsvarlig saksbehandling og være forenlig med retten til vern av personopplysninger. Avgjørelsen kan ikke bygge på skjønnsmessige vilkår i lov eller forskrift, med mindre avgjørelsen er utvilsom. Den registrerte har rett til manuell overprøving av avgjørelsen. </w:t>
      </w:r>
      <w:r w:rsidR="00AF3701">
        <w:t>En hjemmel for departementet til å gi forskrift bl.a. om bruk av automatiserte avgjørelser, er gitt i § 45 b siste ledd.</w:t>
      </w:r>
    </w:p>
    <w:p w14:paraId="154D5BC0" w14:textId="77777777" w:rsidR="00181E7D" w:rsidRDefault="00181E7D" w:rsidP="002C5DDB">
      <w:pPr>
        <w:spacing w:line="276" w:lineRule="auto"/>
      </w:pPr>
    </w:p>
    <w:p w14:paraId="51B5B159" w14:textId="17DDCF2D" w:rsidR="009603FD" w:rsidRDefault="005555F7" w:rsidP="002C5DDB">
      <w:pPr>
        <w:spacing w:line="276" w:lineRule="auto"/>
      </w:pPr>
      <w:r>
        <w:t xml:space="preserve">I lov om pensjonsordning for sykepleiere </w:t>
      </w:r>
      <w:r w:rsidR="00181E7D">
        <w:t xml:space="preserve">§ 36 fjerde ledd er lov om Statens pensjonskasse § 45 b om behandling av personopplysninger, herunder adgangen til å treffe automatiserte </w:t>
      </w:r>
      <w:r w:rsidR="00097337">
        <w:t>avgjørelser</w:t>
      </w:r>
      <w:r w:rsidR="00181E7D">
        <w:t xml:space="preserve">, gitt tilsvarende anvendelse for KLPs forvaltning av pensjonsordningen for sykepleiere.  </w:t>
      </w:r>
    </w:p>
    <w:p w14:paraId="36D589ED" w14:textId="77777777" w:rsidR="000C3C1C" w:rsidRDefault="000C3C1C" w:rsidP="002C5DDB">
      <w:pPr>
        <w:spacing w:line="276" w:lineRule="auto"/>
      </w:pPr>
    </w:p>
    <w:p w14:paraId="0689D96B" w14:textId="77777777" w:rsidR="003109AB" w:rsidRDefault="003109AB" w:rsidP="009603FD">
      <w:pPr>
        <w:pStyle w:val="Overskrift2"/>
      </w:pPr>
      <w:bookmarkStart w:id="35" w:name="_Toc170468749"/>
      <w:r>
        <w:t>Departementets vurdering</w:t>
      </w:r>
      <w:bookmarkEnd w:id="35"/>
    </w:p>
    <w:p w14:paraId="5CE6F7FE" w14:textId="0F1A0A36" w:rsidR="00F3584E" w:rsidRDefault="00441D2D" w:rsidP="002B7F1A">
      <w:pPr>
        <w:spacing w:line="276" w:lineRule="auto"/>
      </w:pPr>
      <w:r w:rsidRPr="007106B3">
        <w:t>Departementet foreslår</w:t>
      </w:r>
      <w:r>
        <w:t xml:space="preserve"> en lovbestemmelse i forsikringsvirksomhetsloven</w:t>
      </w:r>
      <w:r w:rsidR="00CA1197">
        <w:t xml:space="preserve"> § 4-1</w:t>
      </w:r>
      <w:r w:rsidR="00DD30F0">
        <w:t>9</w:t>
      </w:r>
      <w:r w:rsidR="00CA1197">
        <w:t xml:space="preserve"> om at kommunale pensjonslever</w:t>
      </w:r>
      <w:r w:rsidR="007106B3">
        <w:t>a</w:t>
      </w:r>
      <w:r w:rsidR="00CA1197">
        <w:t>ndører kan treffe automatiserte avgjørelser</w:t>
      </w:r>
      <w:r w:rsidR="007106B3">
        <w:t xml:space="preserve">. </w:t>
      </w:r>
      <w:r w:rsidR="00F3584E">
        <w:t xml:space="preserve">Det vises til lovforslaget om at </w:t>
      </w:r>
      <w:r w:rsidR="004C19E4">
        <w:t xml:space="preserve">pensjonsinnretningen kan treffe avgjørelser </w:t>
      </w:r>
      <w:r w:rsidR="00746E42">
        <w:t xml:space="preserve">som utelukkende er </w:t>
      </w:r>
      <w:r w:rsidR="00746E42">
        <w:lastRenderedPageBreak/>
        <w:t>basert på automatisert behandling av personopplysninger</w:t>
      </w:r>
      <w:r w:rsidR="004C19E4">
        <w:t xml:space="preserve">. Det foreslås at dette også omfatter </w:t>
      </w:r>
      <w:r w:rsidR="00746E42">
        <w:t>personopplysninger som nevnt i personvernforordningen artikkel 9 og 10</w:t>
      </w:r>
      <w:r w:rsidR="004C19E4">
        <w:t>, som bl.a. omfatter helseopplysninger.</w:t>
      </w:r>
      <w:r w:rsidR="00F3584E">
        <w:t xml:space="preserve"> </w:t>
      </w:r>
    </w:p>
    <w:p w14:paraId="5E6402F7" w14:textId="77777777" w:rsidR="00F3584E" w:rsidRDefault="00F3584E" w:rsidP="002B7F1A">
      <w:pPr>
        <w:spacing w:line="276" w:lineRule="auto"/>
      </w:pPr>
    </w:p>
    <w:p w14:paraId="55A9C781" w14:textId="3CE1E05B" w:rsidR="00F3584E" w:rsidRDefault="00F3584E" w:rsidP="002B7F1A">
      <w:pPr>
        <w:spacing w:line="276" w:lineRule="auto"/>
      </w:pPr>
      <w:r>
        <w:t>Det foreslås videre at b</w:t>
      </w:r>
      <w:r w:rsidR="00746E42">
        <w:t xml:space="preserve">ehandlingen må sikre partens krav til forsvarlig saksbehandling og være forenlig med retten til vern av personopplysninger. </w:t>
      </w:r>
      <w:r>
        <w:t>Videre følger det av lovforslaget at a</w:t>
      </w:r>
      <w:r w:rsidR="00746E42">
        <w:t xml:space="preserve">vgjørelsen ikke </w:t>
      </w:r>
      <w:r>
        <w:t xml:space="preserve">kan </w:t>
      </w:r>
      <w:r w:rsidR="00746E42">
        <w:t xml:space="preserve">bygge på skjønnsmessige vilkår i lov eller forskrift, med mindre avgjørelsen er utvilsom. Den registrerte </w:t>
      </w:r>
      <w:r>
        <w:t>skal etter forslaget ha</w:t>
      </w:r>
      <w:r w:rsidR="00746E42">
        <w:t xml:space="preserve"> rett til manuell overprøving av avgjørelsen. </w:t>
      </w:r>
      <w:r>
        <w:t>Det foreslås også en hjemmel til at d</w:t>
      </w:r>
      <w:r w:rsidR="00746E42">
        <w:t xml:space="preserve">epartementet i forskrift </w:t>
      </w:r>
      <w:r>
        <w:t xml:space="preserve">kan </w:t>
      </w:r>
      <w:r w:rsidR="00746E42">
        <w:t>gi nærmere regler om bruk av automatiserte avgjørelser.</w:t>
      </w:r>
    </w:p>
    <w:p w14:paraId="2C6D8FFE" w14:textId="1302568C" w:rsidR="002B7F1A" w:rsidRDefault="007106B3" w:rsidP="002B7F1A">
      <w:pPr>
        <w:spacing w:line="276" w:lineRule="auto"/>
      </w:pPr>
      <w:r>
        <w:t xml:space="preserve">Bestemmelsen </w:t>
      </w:r>
      <w:r w:rsidR="00F3584E">
        <w:t xml:space="preserve">er utformet i tråd med og er ment å gi </w:t>
      </w:r>
      <w:r w:rsidR="000402D7">
        <w:t xml:space="preserve"> tilsvarende hjemmel for å treffe automatiserte avgjørelser som Statens pensjonskasse har i lo</w:t>
      </w:r>
      <w:r>
        <w:t>v om Statens pensjonskasse § 45 b annet ledd.</w:t>
      </w:r>
      <w:r w:rsidR="00CA1197">
        <w:t xml:space="preserve"> </w:t>
      </w:r>
    </w:p>
    <w:p w14:paraId="0A1CF652" w14:textId="77777777" w:rsidR="00C418EB" w:rsidRDefault="00C418EB" w:rsidP="00C418EB">
      <w:pPr>
        <w:spacing w:line="276" w:lineRule="auto"/>
      </w:pPr>
    </w:p>
    <w:p w14:paraId="5CEE838E" w14:textId="04B40B2A" w:rsidR="00C418EB" w:rsidRDefault="00C418EB" w:rsidP="00C418EB">
      <w:pPr>
        <w:spacing w:line="276" w:lineRule="auto"/>
      </w:pPr>
      <w:r>
        <w:t xml:space="preserve">Personvernforordningen artikkel 22 gir særskilte regler for behandling av personopplysninger ved helautomatiserte avgjørelser. Dette er som nevnt i kap. 4.1 avgjørelser hvor det behandles personopplysninger, og hvor avgjørelsen utelukkende er basert på automatisert behandling. Delvis automatiserte avgjørelser omfattes ikke. Avgjørelsen må også ha rettsvirkning for eller på tilsvarende måte i betydelig grad påvirke den registrerte. </w:t>
      </w:r>
    </w:p>
    <w:p w14:paraId="4539CA1C" w14:textId="77777777" w:rsidR="00C418EB" w:rsidRDefault="00C418EB" w:rsidP="00C418EB">
      <w:pPr>
        <w:spacing w:line="276" w:lineRule="auto"/>
      </w:pPr>
    </w:p>
    <w:p w14:paraId="550B60BF" w14:textId="77777777" w:rsidR="00C418EB" w:rsidRDefault="00C418EB" w:rsidP="00C418EB">
      <w:pPr>
        <w:spacing w:line="276" w:lineRule="auto"/>
      </w:pPr>
      <w:r>
        <w:t>Etter personvernforordningen er helautomatiserte avgjørelser tillatt dersom slik behandling er hjemlet i nasjonal rett, og det er fastsatt egnede tiltak for å verne den registrertes rettigheter, friheter og berettigede interesser, jf. forordningen artikkel 22 nr. 2 bokstav b. I lov om Statens pensjonskasse § 45 b er det på denne bakgrunn stilt krav om at behandlingen må sikre partens krav til forsvarlig saksbehandling og være forenlig med retten til vern av personopplysninger. Det er videre presisert at avgjørelsen ikke kan bygge på skjønnsmessige vilkår i lov eller forskrift, med mindre avgjørelsen er utvilsom. I bestemmelsen stilles det også krav om at den registrerte skal ha rett til manuell overprøving av avgjørelsen.</w:t>
      </w:r>
    </w:p>
    <w:p w14:paraId="308B71A7" w14:textId="77777777" w:rsidR="00C418EB" w:rsidRDefault="00C418EB" w:rsidP="00C418EB">
      <w:pPr>
        <w:spacing w:line="276" w:lineRule="auto"/>
      </w:pPr>
    </w:p>
    <w:p w14:paraId="7093ED94" w14:textId="77777777" w:rsidR="00C418EB" w:rsidRDefault="00C418EB" w:rsidP="00C418EB">
      <w:pPr>
        <w:spacing w:line="276" w:lineRule="auto"/>
      </w:pPr>
      <w:r>
        <w:t>Departementet foreslår at automatiserte avgjørelser også kan omfatte særlige kategorier av personopplysninger som nevnt i personvernforordningen artikkel 9 og 10, som bl.a. omfatter helseopplysninger. Dette vil gi tilsvarende regel som for Statens pensjonskasse.</w:t>
      </w:r>
    </w:p>
    <w:p w14:paraId="760E45C4" w14:textId="77777777" w:rsidR="00C418EB" w:rsidRDefault="00C418EB" w:rsidP="00C418EB">
      <w:pPr>
        <w:spacing w:line="276" w:lineRule="auto"/>
      </w:pPr>
    </w:p>
    <w:p w14:paraId="32F24755" w14:textId="29217CDA" w:rsidR="00882FCD" w:rsidRDefault="00C418EB" w:rsidP="002B7F1A">
      <w:pPr>
        <w:spacing w:line="276" w:lineRule="auto"/>
      </w:pPr>
      <w:r>
        <w:t xml:space="preserve">Et lovforslag som gir hjemmel for kommunale pensjonsleverandører til å treffe automatiserte avgjørelser i tråd med tilsvarende lovhjemmel for Statens pensjonskasse vil etter departementets vurdering i tilstrekkelig grad ivareta den registrertes </w:t>
      </w:r>
      <w:r>
        <w:lastRenderedPageBreak/>
        <w:t>personvernrettigheter etter forordningen</w:t>
      </w:r>
      <w:r w:rsidR="00882FCD">
        <w:t>, og vil dermed ikke ha vesentlige eller uforholdsmessige personvernkonsekvenser</w:t>
      </w:r>
      <w:r>
        <w:t>.</w:t>
      </w:r>
      <w:r w:rsidR="00882FCD">
        <w:t xml:space="preserve"> </w:t>
      </w:r>
    </w:p>
    <w:p w14:paraId="67D7FCD0" w14:textId="77777777" w:rsidR="003D0FFC" w:rsidRDefault="003D0FFC" w:rsidP="002B7F1A">
      <w:pPr>
        <w:spacing w:line="276" w:lineRule="auto"/>
      </w:pPr>
    </w:p>
    <w:p w14:paraId="0A4CCAF9" w14:textId="7C1158CD" w:rsidR="003D0FFC" w:rsidRDefault="003D0FFC" w:rsidP="002B7F1A">
      <w:pPr>
        <w:spacing w:line="276" w:lineRule="auto"/>
      </w:pPr>
      <w:r>
        <w:t>Det vises til forslag til forsikringsvirksomhetsloven § 4-1</w:t>
      </w:r>
      <w:r w:rsidR="00DD30F0">
        <w:t>9</w:t>
      </w:r>
      <w:r>
        <w:t>.</w:t>
      </w:r>
    </w:p>
    <w:p w14:paraId="5D8C3C78" w14:textId="77777777" w:rsidR="00291D59" w:rsidRDefault="00291D59" w:rsidP="002B7F1A">
      <w:pPr>
        <w:spacing w:line="276" w:lineRule="auto"/>
      </w:pPr>
    </w:p>
    <w:p w14:paraId="6C7B23BB" w14:textId="58D1AC51" w:rsidR="00B47F8A" w:rsidRDefault="00B47F8A" w:rsidP="001E7F3B">
      <w:pPr>
        <w:pStyle w:val="Overskrift1"/>
      </w:pPr>
      <w:bookmarkStart w:id="36" w:name="_Toc170468750"/>
      <w:r>
        <w:t>Ø</w:t>
      </w:r>
      <w:r w:rsidR="0014348A">
        <w:t>k</w:t>
      </w:r>
      <w:r>
        <w:t>onomiske og administrative konsekvenser</w:t>
      </w:r>
      <w:bookmarkEnd w:id="36"/>
    </w:p>
    <w:p w14:paraId="18AC66B4" w14:textId="3B05700D" w:rsidR="00432C3C" w:rsidRDefault="00432C3C" w:rsidP="00432C3C">
      <w:pPr>
        <w:pStyle w:val="Overskrift2"/>
      </w:pPr>
      <w:bookmarkStart w:id="37" w:name="_Toc170468751"/>
      <w:r>
        <w:t xml:space="preserve">Deling av opplysninger fra </w:t>
      </w:r>
      <w:r w:rsidR="00AF51CC">
        <w:t>Skatteetaten</w:t>
      </w:r>
      <w:r>
        <w:t xml:space="preserve"> og Arbeids- og velferdsetaten </w:t>
      </w:r>
      <w:r w:rsidR="00B9633E">
        <w:t xml:space="preserve">mv. </w:t>
      </w:r>
      <w:r>
        <w:t>til bruk for arbeidet med AFP</w:t>
      </w:r>
      <w:bookmarkEnd w:id="37"/>
    </w:p>
    <w:p w14:paraId="19406A0D" w14:textId="659E2E08" w:rsidR="00654CA4" w:rsidRDefault="00D95C29" w:rsidP="00291D59">
      <w:pPr>
        <w:spacing w:line="276" w:lineRule="auto"/>
      </w:pPr>
      <w:r>
        <w:t xml:space="preserve">Forslaget vil </w:t>
      </w:r>
      <w:r w:rsidR="00B764E5">
        <w:t>ha</w:t>
      </w:r>
      <w:r w:rsidR="002E5A94">
        <w:t xml:space="preserve"> administrative konsekvenser for tjenestepensjonslever</w:t>
      </w:r>
      <w:r w:rsidR="00B764E5">
        <w:t>andørene</w:t>
      </w:r>
      <w:r w:rsidR="002E5A94">
        <w:t xml:space="preserve"> </w:t>
      </w:r>
      <w:r w:rsidR="00097337">
        <w:t>og for Skatteetaten</w:t>
      </w:r>
      <w:r w:rsidR="005F5660">
        <w:t>,</w:t>
      </w:r>
      <w:r w:rsidR="00097337">
        <w:t xml:space="preserve"> Arbeids- og velferds</w:t>
      </w:r>
      <w:r w:rsidR="00CF1DF0">
        <w:t>etaten</w:t>
      </w:r>
      <w:r w:rsidR="005F5660">
        <w:t xml:space="preserve"> og Fellesordningen for AFP</w:t>
      </w:r>
      <w:r w:rsidR="00CF1DF0">
        <w:t xml:space="preserve">. </w:t>
      </w:r>
    </w:p>
    <w:p w14:paraId="419BE4B9" w14:textId="77777777" w:rsidR="00A76FE9" w:rsidRDefault="00A76FE9" w:rsidP="00291D59">
      <w:pPr>
        <w:spacing w:line="276" w:lineRule="auto"/>
      </w:pPr>
    </w:p>
    <w:p w14:paraId="6E006CDC" w14:textId="2CAB0641" w:rsidR="00BC2B37" w:rsidRPr="00D70B4B" w:rsidRDefault="00942917" w:rsidP="00D70B4B">
      <w:pPr>
        <w:spacing w:line="276" w:lineRule="auto"/>
        <w:rPr>
          <w:sz w:val="22"/>
        </w:rPr>
      </w:pPr>
      <w:r>
        <w:t xml:space="preserve">Skatteetatens utlevering av inntektsopplysninger fra a-ordningen </w:t>
      </w:r>
      <w:r w:rsidR="00654CA4">
        <w:t xml:space="preserve">til kommunale pensjonsleverandører til bruk for arbeidet med AFP </w:t>
      </w:r>
      <w:r>
        <w:t xml:space="preserve">vil </w:t>
      </w:r>
      <w:r w:rsidR="00654CA4">
        <w:t xml:space="preserve">medføre </w:t>
      </w:r>
      <w:r w:rsidR="00B6669B">
        <w:t>etablering av og nye tekniske grensesnitt mot konsumenter. Det</w:t>
      </w:r>
      <w:r w:rsidR="00843864">
        <w:t>te</w:t>
      </w:r>
      <w:r w:rsidR="009D1B31">
        <w:t xml:space="preserve"> </w:t>
      </w:r>
      <w:r w:rsidR="00B6669B">
        <w:t xml:space="preserve">vil medføre endringer i Skatteetatens delingsløsninger. </w:t>
      </w:r>
      <w:r w:rsidR="00BC2B37" w:rsidRPr="00D70B4B">
        <w:t xml:space="preserve">Det legges til grunn at endringen ikke medfører behov for nye informasjonselementer i a-ordningen. Kostnadene for Skatteetaten </w:t>
      </w:r>
      <w:r w:rsidR="00C05F4B" w:rsidRPr="005822C6">
        <w:t xml:space="preserve">gjennomføres innenfor etatens gjeldende budsjettrammer. </w:t>
      </w:r>
    </w:p>
    <w:p w14:paraId="4DE3480A" w14:textId="215D38B2" w:rsidR="00EB4305" w:rsidRPr="00BC2B37" w:rsidRDefault="00EB4305" w:rsidP="00BC2B37">
      <w:pPr>
        <w:spacing w:line="276" w:lineRule="auto"/>
      </w:pPr>
    </w:p>
    <w:p w14:paraId="17A3F9FA" w14:textId="403C4D71" w:rsidR="00654CA4" w:rsidRDefault="00D300E0" w:rsidP="00291D59">
      <w:pPr>
        <w:spacing w:line="276" w:lineRule="auto"/>
      </w:pPr>
      <w:r>
        <w:t xml:space="preserve">For </w:t>
      </w:r>
      <w:r w:rsidR="00AC3015">
        <w:t>Arbeids- og velferdsetaten</w:t>
      </w:r>
      <w:r>
        <w:t xml:space="preserve"> vil innføringen av ny avtalefestet pensjon i offentlig sektor kreve betydelige endringer i NAVs IT-systemer. Arbeids- og velferdsdirektoratet er i gang med denne utviklingen, som vil foregå gjennom 2024 og 2025. </w:t>
      </w:r>
    </w:p>
    <w:p w14:paraId="20053F23" w14:textId="77777777" w:rsidR="005F63F8" w:rsidRDefault="005F63F8" w:rsidP="00291D59">
      <w:pPr>
        <w:spacing w:line="276" w:lineRule="auto"/>
      </w:pPr>
    </w:p>
    <w:p w14:paraId="41E69C79" w14:textId="45E55064" w:rsidR="00A12DE4" w:rsidRDefault="002430E1" w:rsidP="00291D59">
      <w:pPr>
        <w:spacing w:line="276" w:lineRule="auto"/>
      </w:pPr>
      <w:r>
        <w:t xml:space="preserve">For </w:t>
      </w:r>
      <w:r w:rsidR="00D70A93">
        <w:t xml:space="preserve">Arbeids- og velferdsetaten </w:t>
      </w:r>
      <w:r>
        <w:t xml:space="preserve">er det </w:t>
      </w:r>
      <w:r w:rsidR="00D70A93">
        <w:t>fra et administrativt og økonomisk perspektiv ønskelig at IT-løsningene kan utvikles likt uavhengig av om samhandlingen er med SPK eller de kommun</w:t>
      </w:r>
      <w:r w:rsidR="00D300E0">
        <w:t>ale</w:t>
      </w:r>
      <w:r w:rsidR="00D70A93">
        <w:t xml:space="preserve"> tjenestepensjonsordningene. </w:t>
      </w:r>
      <w:r>
        <w:t>At regelverket som ligger til grunn for datautvekslingen er mest mulig likt på tvers av SPK og de kommunale tjenestepensjonsleverandørene</w:t>
      </w:r>
      <w:r w:rsidR="00D300E0">
        <w:t>,</w:t>
      </w:r>
      <w:r>
        <w:t xml:space="preserve"> danner grunnlag for enhetlig og effektiv utvikling og forvaltning av IT-systemer og grensesnitt mellom NAV og leverandørene.</w:t>
      </w:r>
    </w:p>
    <w:p w14:paraId="0AFC264B" w14:textId="77777777" w:rsidR="00B9633E" w:rsidRDefault="00B9633E" w:rsidP="00291D59">
      <w:pPr>
        <w:spacing w:line="276" w:lineRule="auto"/>
      </w:pPr>
    </w:p>
    <w:p w14:paraId="477DA6E3" w14:textId="5AA870CC" w:rsidR="00A12DE4" w:rsidRDefault="003B4BF8" w:rsidP="00291D59">
      <w:pPr>
        <w:spacing w:line="276" w:lineRule="auto"/>
      </w:pPr>
      <w:r>
        <w:t>Ny AFP i offentlig sektor vil gi økte oppgaver til d</w:t>
      </w:r>
      <w:r w:rsidR="00A12DE4">
        <w:t>e kommunale pensjon</w:t>
      </w:r>
      <w:r w:rsidR="008D6C8E">
        <w:t>s</w:t>
      </w:r>
      <w:r w:rsidR="00A12DE4">
        <w:t>leverandørene</w:t>
      </w:r>
      <w:r>
        <w:t xml:space="preserve">, ettersom de skal vilkårsprøve og beregne ny AFP for medlemmene. </w:t>
      </w:r>
      <w:r w:rsidR="00173E1F">
        <w:t>I Prop. 35 L (2023-2024) Endringer i lov om avtalefestet pensjon for medlemmer av Statens pensjonskasse og enkelte andre lover (ny avtalefestet pensjon) er det i kapittel 14 Økonomiske og admin</w:t>
      </w:r>
      <w:r w:rsidR="007629D2">
        <w:t>i</w:t>
      </w:r>
      <w:r w:rsidR="00173E1F">
        <w:t xml:space="preserve">strative konsekvenser bl.a. vist til at det er for tidlig å gi et kvalifisert anslag på kostnadene knyttet til utvikling og drift av nødvendige tjenester for ny AFP. Leverandørene må enten hver for seg eller sammen utvikle og drifte nødvendige tjenester for ny AFP. </w:t>
      </w:r>
    </w:p>
    <w:p w14:paraId="1243B5DD" w14:textId="77777777" w:rsidR="007629D2" w:rsidRDefault="007629D2" w:rsidP="00291D59">
      <w:pPr>
        <w:spacing w:line="276" w:lineRule="auto"/>
      </w:pPr>
    </w:p>
    <w:p w14:paraId="74A0C4D9" w14:textId="030F01DD" w:rsidR="007629D2" w:rsidRDefault="007629D2" w:rsidP="00291D59">
      <w:pPr>
        <w:spacing w:line="276" w:lineRule="auto"/>
      </w:pPr>
      <w:r>
        <w:lastRenderedPageBreak/>
        <w:t xml:space="preserve">Medregning av ansiennitet fra privat sektor med AFP til offentlig AFP vil innebære nye systemer og oppgaver for Fellesordningen for AFP i privat sektor. Som vist til i Prop. 35 L (2023-2024) kapittel 14 vil det utløse ressursbruk til utvikling, oppsett og test av løsning for utveksling av data. </w:t>
      </w:r>
    </w:p>
    <w:p w14:paraId="21AAFA95" w14:textId="77777777" w:rsidR="00B9633E" w:rsidRDefault="00B9633E" w:rsidP="00291D59">
      <w:pPr>
        <w:spacing w:line="276" w:lineRule="auto"/>
      </w:pPr>
    </w:p>
    <w:p w14:paraId="2BF87E8B" w14:textId="7022846E" w:rsidR="009E31C9" w:rsidRDefault="009E31C9" w:rsidP="009E31C9">
      <w:pPr>
        <w:pStyle w:val="Overskrift2"/>
      </w:pPr>
      <w:bookmarkStart w:id="38" w:name="_Toc170468752"/>
      <w:r>
        <w:t xml:space="preserve">Deling av opplysninger fra Arbeids- og velferdsetaten til bruk for </w:t>
      </w:r>
      <w:r w:rsidR="000A7AFF">
        <w:t xml:space="preserve">beregning </w:t>
      </w:r>
      <w:r>
        <w:t xml:space="preserve">av </w:t>
      </w:r>
      <w:r w:rsidR="000A7AFF">
        <w:t xml:space="preserve">forventede </w:t>
      </w:r>
      <w:r>
        <w:t>framtidige pensjonsytelser</w:t>
      </w:r>
      <w:bookmarkEnd w:id="38"/>
    </w:p>
    <w:p w14:paraId="6E2A59C6" w14:textId="10B0AF2B" w:rsidR="009E31C9" w:rsidRDefault="00CA1B73" w:rsidP="004F0A9B">
      <w:pPr>
        <w:spacing w:line="276" w:lineRule="auto"/>
      </w:pPr>
      <w:r>
        <w:t>Pensjonsinnretningens behov for tilgang til op</w:t>
      </w:r>
      <w:r w:rsidR="006778E6">
        <w:t xml:space="preserve">plysninger </w:t>
      </w:r>
      <w:r w:rsidR="00242F03">
        <w:t>fra Arbeids- og velferdsetaten om</w:t>
      </w:r>
      <w:r w:rsidR="00654CA4">
        <w:t xml:space="preserve"> opptjent</w:t>
      </w:r>
      <w:r w:rsidR="00242F03">
        <w:t xml:space="preserve"> </w:t>
      </w:r>
      <w:r w:rsidR="005F5660">
        <w:t xml:space="preserve">pensjonsbeholdning i </w:t>
      </w:r>
      <w:r w:rsidR="00242F03">
        <w:t>folketrygd</w:t>
      </w:r>
      <w:r w:rsidR="005F5660">
        <w:t>en</w:t>
      </w:r>
      <w:r w:rsidR="00242F03">
        <w:t xml:space="preserve"> for et medlem, vil bare </w:t>
      </w:r>
      <w:r w:rsidR="00B50363">
        <w:t>være aktuelt</w:t>
      </w:r>
      <w:r w:rsidR="00242F03">
        <w:t xml:space="preserve"> i de tilfeller </w:t>
      </w:r>
      <w:r w:rsidR="00DD0BD9">
        <w:t>hvor</w:t>
      </w:r>
      <w:r>
        <w:t xml:space="preserve"> </w:t>
      </w:r>
      <w:r w:rsidR="006778E6">
        <w:t xml:space="preserve">et medlem av pensjonsordningen ber om veiledning om forventet </w:t>
      </w:r>
      <w:r w:rsidR="00DD0BD9">
        <w:t xml:space="preserve">fremtidig </w:t>
      </w:r>
      <w:r w:rsidR="006778E6">
        <w:t xml:space="preserve">pensjon. </w:t>
      </w:r>
      <w:r>
        <w:t xml:space="preserve">Forslaget </w:t>
      </w:r>
      <w:r w:rsidR="007F37BF">
        <w:t xml:space="preserve">vil innebære fordeler for berørte medlemmer, men </w:t>
      </w:r>
      <w:r>
        <w:t xml:space="preserve">antas </w:t>
      </w:r>
      <w:r w:rsidR="007F37BF">
        <w:t xml:space="preserve">for øvrig </w:t>
      </w:r>
      <w:r>
        <w:t xml:space="preserve">ikke å få nevneverdige økonomiske eller administrative konsekvenser. </w:t>
      </w:r>
    </w:p>
    <w:p w14:paraId="31ED7F76" w14:textId="340EE9E5" w:rsidR="00753D2E" w:rsidRDefault="00753D2E" w:rsidP="004F0A9B">
      <w:pPr>
        <w:spacing w:line="276" w:lineRule="auto"/>
      </w:pPr>
      <w:r>
        <w:t xml:space="preserve"> </w:t>
      </w:r>
    </w:p>
    <w:p w14:paraId="77771976" w14:textId="56D42E30" w:rsidR="009E31C9" w:rsidRDefault="009E31C9" w:rsidP="009E31C9">
      <w:pPr>
        <w:pStyle w:val="Overskrift2"/>
      </w:pPr>
      <w:bookmarkStart w:id="39" w:name="_Toc170468753"/>
      <w:r>
        <w:t xml:space="preserve">Adgang til </w:t>
      </w:r>
      <w:r w:rsidR="00BA26E4">
        <w:t>å treffe a</w:t>
      </w:r>
      <w:r>
        <w:t xml:space="preserve">utomatiserte </w:t>
      </w:r>
      <w:r w:rsidR="00BA26E4">
        <w:t>avgjørelser</w:t>
      </w:r>
      <w:bookmarkEnd w:id="39"/>
    </w:p>
    <w:p w14:paraId="6FE600F1" w14:textId="6B9014AB" w:rsidR="00E07631" w:rsidRDefault="00E07631" w:rsidP="008E3FC5">
      <w:pPr>
        <w:spacing w:line="276" w:lineRule="auto"/>
      </w:pPr>
      <w:r>
        <w:t xml:space="preserve">Forslaget </w:t>
      </w:r>
      <w:r w:rsidR="00CA1B73">
        <w:t xml:space="preserve">vil kunne gi effektiviseringsgevinster hos pensjonsleverandørene og vil kunne bidra til økt likebehandling av </w:t>
      </w:r>
      <w:r w:rsidR="008E3FC5">
        <w:t xml:space="preserve">medlemmene. </w:t>
      </w:r>
    </w:p>
    <w:p w14:paraId="203D8373" w14:textId="77777777" w:rsidR="00CF1DF0" w:rsidRPr="00E07631" w:rsidRDefault="00CF1DF0" w:rsidP="008E3FC5">
      <w:pPr>
        <w:spacing w:line="276" w:lineRule="auto"/>
      </w:pPr>
    </w:p>
    <w:p w14:paraId="02FBED7A" w14:textId="7EA6B349" w:rsidR="00D5505D" w:rsidRDefault="00D5505D" w:rsidP="001E7F3B">
      <w:pPr>
        <w:pStyle w:val="Overskrift1"/>
      </w:pPr>
      <w:bookmarkStart w:id="40" w:name="_Toc170468754"/>
      <w:r>
        <w:t>Merknader til de enkelte bestemmelser</w:t>
      </w:r>
      <w:bookmarkEnd w:id="40"/>
    </w:p>
    <w:p w14:paraId="5871A7EE" w14:textId="388173F2" w:rsidR="009E2038" w:rsidRDefault="009E2038" w:rsidP="00E74F9F">
      <w:pPr>
        <w:spacing w:line="276" w:lineRule="auto"/>
      </w:pPr>
      <w:r>
        <w:t>Merknader til endringer i forsikringsvirksomhetsloven:</w:t>
      </w:r>
    </w:p>
    <w:p w14:paraId="669D262A" w14:textId="198EAF30" w:rsidR="00E74F9F" w:rsidRPr="00E600E4" w:rsidRDefault="00E74F9F" w:rsidP="00E74F9F">
      <w:pPr>
        <w:spacing w:line="276" w:lineRule="auto"/>
        <w:rPr>
          <w:i/>
          <w:iCs/>
        </w:rPr>
      </w:pPr>
      <w:r w:rsidRPr="00E600E4">
        <w:rPr>
          <w:i/>
          <w:iCs/>
        </w:rPr>
        <w:t>Til § 4-17:</w:t>
      </w:r>
    </w:p>
    <w:p w14:paraId="3B5B3C8E" w14:textId="3BF92F93" w:rsidR="00BF35ED" w:rsidRDefault="00B42DBA" w:rsidP="00E74F9F">
      <w:pPr>
        <w:spacing w:line="276" w:lineRule="auto"/>
      </w:pPr>
      <w:r>
        <w:t xml:space="preserve">Bestemmelsen i første ledd første punktum </w:t>
      </w:r>
      <w:r w:rsidR="00FC38F8">
        <w:t xml:space="preserve">gir hjemmel for kommunale pensjonsleverandører til å få utlevert opplysninger fra Arbeids- og velferdsetaten om </w:t>
      </w:r>
      <w:r w:rsidR="00FC38F8">
        <w:rPr>
          <w:rFonts w:cs="Open Sans"/>
          <w:color w:val="333333"/>
        </w:rPr>
        <w:t xml:space="preserve">den samlede pensjonsbeholdningen beregnet etter folketrygdloven § 20-4 og andre opplysninger som er nødvendige for pensjonsinnretningens premieberegning, beregning av framtidig pensjon, vilkårsprøving og beregning av avtalefestet pensjon. </w:t>
      </w:r>
      <w:r w:rsidR="00FC38F8">
        <w:t xml:space="preserve">Bestemmelsen er utformet </w:t>
      </w:r>
      <w:r w:rsidR="00BF35ED">
        <w:t>på tilsvarende måte som lov om avtalefestet pensjon for medlemmer av Statens pensjonskasse § 13 annet ledd</w:t>
      </w:r>
      <w:r w:rsidR="009149EA">
        <w:t xml:space="preserve"> (i kraft 1.1.2025)</w:t>
      </w:r>
      <w:r w:rsidR="00BF35ED">
        <w:t xml:space="preserve">. </w:t>
      </w:r>
      <w:r w:rsidR="00D7011B">
        <w:t xml:space="preserve">For å presisere at bestemmelsen gjelder for beregning mv. av ny avtalefestet pensjon er det vist til avtalefestet pensjon for arbeidstakere født i 1963 eller senere. </w:t>
      </w:r>
      <w:r w:rsidR="00BF35ED">
        <w:t>Det vises til nærmere omtale i kap</w:t>
      </w:r>
      <w:r w:rsidR="00BF35ED" w:rsidRPr="001E4A54">
        <w:t>. 2.</w:t>
      </w:r>
      <w:r w:rsidR="001E4A54" w:rsidRPr="00D70B4B">
        <w:t>5</w:t>
      </w:r>
      <w:r w:rsidR="00BF35ED" w:rsidRPr="001E4A54">
        <w:t>.2.</w:t>
      </w:r>
      <w:r w:rsidR="00BF35ED">
        <w:t xml:space="preserve"> </w:t>
      </w:r>
    </w:p>
    <w:p w14:paraId="77CA90FE" w14:textId="77777777" w:rsidR="00BF35ED" w:rsidRDefault="00BF35ED" w:rsidP="00E74F9F">
      <w:pPr>
        <w:spacing w:line="276" w:lineRule="auto"/>
      </w:pPr>
    </w:p>
    <w:p w14:paraId="0D766922" w14:textId="745B2607" w:rsidR="00D5505D" w:rsidRDefault="00BF35ED" w:rsidP="00E74F9F">
      <w:pPr>
        <w:spacing w:line="276" w:lineRule="auto"/>
      </w:pPr>
      <w:r>
        <w:t>Be</w:t>
      </w:r>
      <w:r w:rsidR="00D7011B">
        <w:t>s</w:t>
      </w:r>
      <w:r>
        <w:t xml:space="preserve">temmelsen i </w:t>
      </w:r>
      <w:r w:rsidR="00BA0047">
        <w:t>f</w:t>
      </w:r>
      <w:r w:rsidR="00B42DBA">
        <w:t xml:space="preserve">ørste ledd annet punktum </w:t>
      </w:r>
      <w:r w:rsidR="00BA0047">
        <w:t xml:space="preserve">gir hjemmel for kommunale pensjonsleverandører til å få utlevert de samme opplysninger fra Arbeids- og velferdsetaten som angitt i første punktum, som er nødvendige for beregning av forventede fremtidige pensjonsytelser for sine medlemmer. Det vises til nærmere omtale i kap. </w:t>
      </w:r>
      <w:r w:rsidR="00BA0047" w:rsidRPr="001E4A54">
        <w:t>3.</w:t>
      </w:r>
      <w:r w:rsidR="001E4A54" w:rsidRPr="001E4A54">
        <w:t>4.</w:t>
      </w:r>
      <w:r w:rsidR="00B42DBA">
        <w:t xml:space="preserve"> </w:t>
      </w:r>
    </w:p>
    <w:p w14:paraId="4105B6F1" w14:textId="77777777" w:rsidR="009E2038" w:rsidRDefault="009E2038" w:rsidP="00E74F9F">
      <w:pPr>
        <w:spacing w:line="276" w:lineRule="auto"/>
      </w:pPr>
    </w:p>
    <w:p w14:paraId="51BA3E97" w14:textId="5C3707C3" w:rsidR="00BA0047" w:rsidRDefault="00243410" w:rsidP="00E74F9F">
      <w:pPr>
        <w:spacing w:line="276" w:lineRule="auto"/>
      </w:pPr>
      <w:r>
        <w:t xml:space="preserve">Det følger av </w:t>
      </w:r>
      <w:r w:rsidR="005B10B9">
        <w:t xml:space="preserve">første ledd tredje punktum </w:t>
      </w:r>
      <w:r>
        <w:t xml:space="preserve">at taushetsplikten etter arbeids- og velferdsforvaltningsloven § 7 ikke er til hinder for </w:t>
      </w:r>
      <w:r w:rsidRPr="00B81649">
        <w:rPr>
          <w:color w:val="111720"/>
          <w:szCs w:val="24"/>
          <w:shd w:val="clear" w:color="auto" w:fill="FFFFFF"/>
        </w:rPr>
        <w:t xml:space="preserve">utveksling av opplysninger mellom </w:t>
      </w:r>
      <w:r>
        <w:t xml:space="preserve">Arbeids- og velferdsetaten og kommunale pensjonsinnretninger i den utstrekning det er nødvendig for å fremme oppgaver etter bestemmelsen. Bestemmelsen er </w:t>
      </w:r>
      <w:r w:rsidR="009149EA">
        <w:t>utformet etter mønster av lov om avtalefestet pensjon for medlemmer av Statens pensjonskasse § 13 annet ledd (i kraft 1.1.2025). Det vises til nærmere omtale i kap</w:t>
      </w:r>
      <w:r w:rsidR="009149EA" w:rsidRPr="001E4A54">
        <w:t>. 2.5.</w:t>
      </w:r>
      <w:r w:rsidR="001E4A54" w:rsidRPr="00D70B4B">
        <w:t>2</w:t>
      </w:r>
      <w:r w:rsidR="009149EA" w:rsidRPr="001E4A54">
        <w:t xml:space="preserve"> og 3.4.</w:t>
      </w:r>
    </w:p>
    <w:p w14:paraId="64EB0625" w14:textId="77777777" w:rsidR="0043554F" w:rsidRDefault="0043554F" w:rsidP="00E74F9F">
      <w:pPr>
        <w:spacing w:line="276" w:lineRule="auto"/>
      </w:pPr>
    </w:p>
    <w:p w14:paraId="6D18A9AF" w14:textId="1AB71834" w:rsidR="00196CC9" w:rsidRDefault="00196CC9" w:rsidP="0043554F">
      <w:pPr>
        <w:spacing w:line="276" w:lineRule="auto"/>
      </w:pPr>
      <w:r>
        <w:t>Annet</w:t>
      </w:r>
      <w:r w:rsidR="0043554F">
        <w:t xml:space="preserve"> ledd gir pensjonsinnretningene hjemmel til å innhente opplysninger fra nåværende og tidligere arbeidsgivere om arbeidstakeres eller pensjonisters inntekts- og arbeidsforhold som er nødvendig for å forvalte og beregne avtalefestet pensjon. For å presisere at bestemmelsen gjelder for beregning mv. av ny avtalefestet pensjon er det vist til avtalefestet pensjon for arbeidstakere født i 1963 eller senere. </w:t>
      </w:r>
      <w:r w:rsidR="001C2D5A">
        <w:t xml:space="preserve">Bestemmelsen er utformet </w:t>
      </w:r>
      <w:r w:rsidR="00643C61">
        <w:t xml:space="preserve">på tilsvarende måte som </w:t>
      </w:r>
      <w:r w:rsidR="001C2D5A">
        <w:t>lov om avtalefestet pensjon for medlemmer av Statens pensjonskasse § 13 tredje ledd (i kraft 1.1.2025). Det vises til nærmere omtale i kap. 2.</w:t>
      </w:r>
      <w:r w:rsidR="00AC25EB">
        <w:t>5</w:t>
      </w:r>
      <w:r w:rsidR="001C2D5A">
        <w:t>.</w:t>
      </w:r>
      <w:r w:rsidR="00A73DA9">
        <w:t>1.</w:t>
      </w:r>
      <w:r w:rsidR="001C2D5A">
        <w:t xml:space="preserve"> </w:t>
      </w:r>
    </w:p>
    <w:p w14:paraId="1F433689" w14:textId="69514032" w:rsidR="0043554F" w:rsidRDefault="001C2D5A" w:rsidP="0043554F">
      <w:pPr>
        <w:spacing w:line="276" w:lineRule="auto"/>
      </w:pPr>
      <w:r>
        <w:t xml:space="preserve"> </w:t>
      </w:r>
    </w:p>
    <w:p w14:paraId="2239AB2A" w14:textId="653CC0C9" w:rsidR="00196CC9" w:rsidRDefault="00196CC9" w:rsidP="00196CC9">
      <w:pPr>
        <w:spacing w:line="276" w:lineRule="auto"/>
      </w:pPr>
      <w:r>
        <w:t xml:space="preserve">Etter tredje ledd plikter Fellesordningen for AFP å gi nødvendige opplysninger til kommunale pensjonsleverandører slik at medregning av ansiennitet mellom AFP-ordningene i privat og offentlig sektor blir blir mulig. Bestemmelsen er utformet </w:t>
      </w:r>
      <w:r w:rsidR="00643C61">
        <w:t xml:space="preserve">på tilsvarende måte som lov </w:t>
      </w:r>
      <w:r>
        <w:t>om statstilskott til arbeidstakere som tar ut avtalefe</w:t>
      </w:r>
      <w:r w:rsidR="00643C61">
        <w:t>stet</w:t>
      </w:r>
      <w:r>
        <w:t xml:space="preserve"> pensjon i privat sektor § 18 fjerde ledd, som gir tilsvarende hjemmel til å gi opplysninger til SPK. Det vises til nærmere omtale i kap. 2.5.1. </w:t>
      </w:r>
    </w:p>
    <w:p w14:paraId="24B021D3" w14:textId="77777777" w:rsidR="00196CC9" w:rsidRDefault="00196CC9" w:rsidP="0043554F">
      <w:pPr>
        <w:spacing w:line="276" w:lineRule="auto"/>
      </w:pPr>
    </w:p>
    <w:p w14:paraId="60F949C6" w14:textId="094AB2C9" w:rsidR="00E17A0A" w:rsidRDefault="00E17A0A" w:rsidP="00E17A0A">
      <w:pPr>
        <w:spacing w:line="276" w:lineRule="auto"/>
      </w:pPr>
      <w:r w:rsidRPr="00E61957">
        <w:rPr>
          <w:i/>
          <w:iCs/>
        </w:rPr>
        <w:t>Til § 4-1</w:t>
      </w:r>
      <w:r>
        <w:rPr>
          <w:i/>
          <w:iCs/>
        </w:rPr>
        <w:t>8</w:t>
      </w:r>
      <w:r>
        <w:t>:</w:t>
      </w:r>
    </w:p>
    <w:p w14:paraId="7824BD4B" w14:textId="79D9C3E5" w:rsidR="00E61957" w:rsidRPr="00970AFD" w:rsidRDefault="007B48C4" w:rsidP="00E74F9F">
      <w:pPr>
        <w:spacing w:line="276" w:lineRule="auto"/>
      </w:pPr>
      <w:r w:rsidRPr="00970AFD">
        <w:t>Det vises til nærmere omtale i kap. 2.5.</w:t>
      </w:r>
      <w:r w:rsidR="00A73DA9">
        <w:t>1</w:t>
      </w:r>
      <w:r w:rsidRPr="00970AFD">
        <w:t>.</w:t>
      </w:r>
    </w:p>
    <w:p w14:paraId="61834712" w14:textId="77777777" w:rsidR="00E61957" w:rsidRDefault="00E61957" w:rsidP="00E74F9F">
      <w:pPr>
        <w:spacing w:line="276" w:lineRule="auto"/>
        <w:rPr>
          <w:i/>
          <w:iCs/>
        </w:rPr>
      </w:pPr>
    </w:p>
    <w:p w14:paraId="144BB4B8" w14:textId="67CEC5FD" w:rsidR="009E2038" w:rsidRPr="00E600E4" w:rsidRDefault="009E2038" w:rsidP="00E74F9F">
      <w:pPr>
        <w:spacing w:line="276" w:lineRule="auto"/>
        <w:rPr>
          <w:i/>
          <w:iCs/>
        </w:rPr>
      </w:pPr>
      <w:r w:rsidRPr="00E600E4">
        <w:rPr>
          <w:i/>
          <w:iCs/>
        </w:rPr>
        <w:t>Til § 4-1</w:t>
      </w:r>
      <w:r w:rsidR="00E17A0A">
        <w:rPr>
          <w:i/>
          <w:iCs/>
        </w:rPr>
        <w:t>9</w:t>
      </w:r>
      <w:r w:rsidRPr="00E600E4">
        <w:rPr>
          <w:i/>
          <w:iCs/>
        </w:rPr>
        <w:t>:</w:t>
      </w:r>
    </w:p>
    <w:p w14:paraId="7F5B9A00" w14:textId="028E6709" w:rsidR="009E2038" w:rsidRDefault="00D82309" w:rsidP="00E74F9F">
      <w:pPr>
        <w:spacing w:line="276" w:lineRule="auto"/>
      </w:pPr>
      <w:r>
        <w:t xml:space="preserve">Det vises til nærmere omtale i kap. </w:t>
      </w:r>
      <w:r w:rsidR="0013091D">
        <w:t>4</w:t>
      </w:r>
      <w:r>
        <w:t xml:space="preserve">. </w:t>
      </w:r>
    </w:p>
    <w:p w14:paraId="2FF4C33A" w14:textId="77777777" w:rsidR="00A76FE9" w:rsidRDefault="00A76FE9" w:rsidP="00E74F9F">
      <w:pPr>
        <w:spacing w:line="276" w:lineRule="auto"/>
      </w:pPr>
    </w:p>
    <w:p w14:paraId="64B30C75" w14:textId="04C5B671" w:rsidR="009E2038" w:rsidRDefault="009E2038" w:rsidP="00E74F9F">
      <w:pPr>
        <w:spacing w:line="276" w:lineRule="auto"/>
      </w:pPr>
      <w:r>
        <w:t>Merknader til endring i skatteforvaltningsloven</w:t>
      </w:r>
      <w:r w:rsidR="00E600E4">
        <w:t>:</w:t>
      </w:r>
    </w:p>
    <w:p w14:paraId="382E9303" w14:textId="37B3A0D9" w:rsidR="00E600E4" w:rsidRPr="00E600E4" w:rsidRDefault="00E600E4" w:rsidP="00E74F9F">
      <w:pPr>
        <w:spacing w:line="276" w:lineRule="auto"/>
      </w:pPr>
      <w:r w:rsidRPr="00E600E4">
        <w:rPr>
          <w:i/>
          <w:iCs/>
        </w:rPr>
        <w:t>Til § 3-6</w:t>
      </w:r>
      <w:r>
        <w:t>:</w:t>
      </w:r>
      <w:r w:rsidRPr="00E600E4">
        <w:t xml:space="preserve"> </w:t>
      </w:r>
    </w:p>
    <w:p w14:paraId="2F748656" w14:textId="3531C76E" w:rsidR="00D82309" w:rsidRDefault="005F3941" w:rsidP="00E74F9F">
      <w:pPr>
        <w:spacing w:line="276" w:lineRule="auto"/>
      </w:pPr>
      <w:r>
        <w:t xml:space="preserve">I </w:t>
      </w:r>
      <w:r w:rsidR="00B6669B">
        <w:t>nytt fjerde</w:t>
      </w:r>
      <w:r>
        <w:t xml:space="preserve"> ledd er det tatt inn hjemler for kommunale pensjonsleverandører til å få utlevert nødvendige lønnsopplysninger</w:t>
      </w:r>
      <w:r w:rsidR="00793B7F" w:rsidRPr="00793B7F">
        <w:t xml:space="preserve"> </w:t>
      </w:r>
      <w:r w:rsidR="00793B7F">
        <w:t>som er innrapportert etter skatteforvaltningsloven § 7-2</w:t>
      </w:r>
      <w:r w:rsidR="00530AD1">
        <w:t>. T</w:t>
      </w:r>
      <w:r>
        <w:t xml:space="preserve">ilgang til lønnsopplysninger </w:t>
      </w:r>
      <w:r w:rsidR="00A4694A">
        <w:t>«</w:t>
      </w:r>
      <w:r>
        <w:t xml:space="preserve">til bruk i arbeidet med </w:t>
      </w:r>
      <w:r w:rsidR="00793B7F">
        <w:t xml:space="preserve">avtalefestet pensjon </w:t>
      </w:r>
      <w:r w:rsidRPr="000A27FA">
        <w:t>i kommunal sektor</w:t>
      </w:r>
      <w:r w:rsidR="00A4694A">
        <w:t xml:space="preserve">» </w:t>
      </w:r>
      <w:r w:rsidR="000A27FA" w:rsidRPr="000A27FA">
        <w:t>g</w:t>
      </w:r>
      <w:r w:rsidR="00530AD1">
        <w:t>ir</w:t>
      </w:r>
      <w:r w:rsidR="000A27FA" w:rsidRPr="000A27FA">
        <w:t xml:space="preserve"> adgang til å bruke lønnsopplysninger som arbeidsgiver har innrapportert til </w:t>
      </w:r>
      <w:r w:rsidR="00793B7F">
        <w:t>vilkårsvurderingen</w:t>
      </w:r>
      <w:r w:rsidR="00A4694A">
        <w:t xml:space="preserve"> for medlemmene av pen</w:t>
      </w:r>
      <w:r w:rsidR="000A27FA" w:rsidRPr="000A27FA">
        <w:t>s</w:t>
      </w:r>
      <w:r w:rsidR="00A4694A">
        <w:t xml:space="preserve">jonsordningen. </w:t>
      </w:r>
      <w:r w:rsidR="00F76002">
        <w:t xml:space="preserve">Her vil det være aktuelt å få tilgang til opplysninger om medlemmets tidligere inntekt som ledd i vurderingen av om medlemmet oppfyller </w:t>
      </w:r>
      <w:r w:rsidR="00F76002">
        <w:lastRenderedPageBreak/>
        <w:t xml:space="preserve">vilkårene for AFP. </w:t>
      </w:r>
      <w:r w:rsidR="00793B7F" w:rsidRPr="00B941FF">
        <w:t xml:space="preserve">I tillegg vil det gi adgang til å få utlevert opplysninger om pensjonsgivende inntekt. </w:t>
      </w:r>
      <w:r w:rsidR="00D82309" w:rsidRPr="000A27FA">
        <w:t>Det vises til nærmere omtale</w:t>
      </w:r>
      <w:r w:rsidR="00D82309">
        <w:t xml:space="preserve"> i kap</w:t>
      </w:r>
      <w:r w:rsidR="00D82309" w:rsidRPr="00E63CCD">
        <w:t xml:space="preserve">. </w:t>
      </w:r>
      <w:r w:rsidR="006A4A41" w:rsidRPr="00E63CCD">
        <w:t>2.</w:t>
      </w:r>
      <w:r w:rsidR="00E63CCD" w:rsidRPr="00D70B4B">
        <w:t>5.1</w:t>
      </w:r>
      <w:r w:rsidR="006A4A41" w:rsidRPr="00E63CCD">
        <w:t>.</w:t>
      </w:r>
    </w:p>
    <w:p w14:paraId="3AFB5975" w14:textId="77777777" w:rsidR="00F76002" w:rsidRDefault="00F76002" w:rsidP="00E74F9F">
      <w:pPr>
        <w:spacing w:line="276" w:lineRule="auto"/>
      </w:pPr>
    </w:p>
    <w:p w14:paraId="03CDAB12" w14:textId="765EBD89" w:rsidR="008D62B0" w:rsidRDefault="008D62B0" w:rsidP="00E74F9F">
      <w:pPr>
        <w:spacing w:line="276" w:lineRule="auto"/>
      </w:pPr>
      <w:r>
        <w:t>Merknader til endring i forskrift om Arbeidstaker- og arbeidsgiverregisteret</w:t>
      </w:r>
      <w:r w:rsidR="00291D59">
        <w:t>:</w:t>
      </w:r>
    </w:p>
    <w:p w14:paraId="7654E4AC" w14:textId="7E9083E8" w:rsidR="00D82309" w:rsidRDefault="00E600E4" w:rsidP="00E74F9F">
      <w:pPr>
        <w:spacing w:line="276" w:lineRule="auto"/>
        <w:rPr>
          <w:i/>
          <w:iCs/>
        </w:rPr>
      </w:pPr>
      <w:r w:rsidRPr="00E600E4">
        <w:rPr>
          <w:i/>
          <w:iCs/>
        </w:rPr>
        <w:t>Til § 10:</w:t>
      </w:r>
    </w:p>
    <w:p w14:paraId="1C60BF3D" w14:textId="63B31112" w:rsidR="00F76002" w:rsidRDefault="006A4A41" w:rsidP="006A4A41">
      <w:pPr>
        <w:spacing w:line="276" w:lineRule="auto"/>
      </w:pPr>
      <w:r>
        <w:t>Det vises til nærmere omtale i kap. 2.</w:t>
      </w:r>
      <w:r w:rsidR="00A66CA5">
        <w:t>5.</w:t>
      </w:r>
      <w:r w:rsidR="003D107B">
        <w:t>1.</w:t>
      </w:r>
    </w:p>
    <w:p w14:paraId="5C7E9EB9" w14:textId="4B1C6BCF" w:rsidR="006A4A41" w:rsidRDefault="006A4A41" w:rsidP="006A4A41">
      <w:pPr>
        <w:spacing w:line="276" w:lineRule="auto"/>
      </w:pPr>
      <w:r>
        <w:t xml:space="preserve">  </w:t>
      </w:r>
    </w:p>
    <w:p w14:paraId="242BA144" w14:textId="762A9810" w:rsidR="001E7F3B" w:rsidRDefault="001E7F3B" w:rsidP="001E7F3B">
      <w:pPr>
        <w:pStyle w:val="Overskrift1"/>
      </w:pPr>
      <w:bookmarkStart w:id="41" w:name="_Toc170468755"/>
      <w:r>
        <w:t>Forslag til lovendringer</w:t>
      </w:r>
      <w:bookmarkEnd w:id="41"/>
    </w:p>
    <w:p w14:paraId="16E9BE66" w14:textId="77777777" w:rsidR="00532516" w:rsidRDefault="00532516" w:rsidP="00532516">
      <w:pPr>
        <w:spacing w:line="276" w:lineRule="auto"/>
      </w:pPr>
    </w:p>
    <w:p w14:paraId="156C87AB" w14:textId="61D60B79" w:rsidR="008D62B0" w:rsidRDefault="008D62B0" w:rsidP="008D62B0">
      <w:pPr>
        <w:spacing w:line="276" w:lineRule="auto"/>
        <w:jc w:val="center"/>
      </w:pPr>
      <w:r>
        <w:t>I</w:t>
      </w:r>
    </w:p>
    <w:p w14:paraId="70E6BA61" w14:textId="18229928" w:rsidR="00532516" w:rsidRDefault="00532516" w:rsidP="00532516">
      <w:pPr>
        <w:spacing w:line="276" w:lineRule="auto"/>
      </w:pPr>
      <w:r>
        <w:t>I lov 1</w:t>
      </w:r>
      <w:r w:rsidR="003015D4">
        <w:t xml:space="preserve">0. juni 2005 nr. 44 om forsikringsvirksomhet skal ny </w:t>
      </w:r>
      <w:r w:rsidR="002E4401">
        <w:t>§</w:t>
      </w:r>
      <w:r w:rsidR="003015D4">
        <w:t>§ 4-17</w:t>
      </w:r>
      <w:r w:rsidR="0013091D">
        <w:t xml:space="preserve"> </w:t>
      </w:r>
      <w:r w:rsidR="00A92B80">
        <w:t>-</w:t>
      </w:r>
      <w:r w:rsidR="002E4401">
        <w:t xml:space="preserve"> 4-1</w:t>
      </w:r>
      <w:r w:rsidR="00A92B80">
        <w:t>9</w:t>
      </w:r>
      <w:r w:rsidR="002E4401">
        <w:t xml:space="preserve"> </w:t>
      </w:r>
      <w:r w:rsidR="003015D4">
        <w:t xml:space="preserve"> lyde:</w:t>
      </w:r>
    </w:p>
    <w:p w14:paraId="353FEFB1" w14:textId="77777777" w:rsidR="004D58FD" w:rsidRDefault="004D58FD" w:rsidP="00397F3B">
      <w:pPr>
        <w:spacing w:line="276" w:lineRule="auto"/>
      </w:pPr>
    </w:p>
    <w:p w14:paraId="264DACE5" w14:textId="6ABED00A" w:rsidR="00397F3B" w:rsidRDefault="00FB203E" w:rsidP="00397F3B">
      <w:pPr>
        <w:spacing w:line="276" w:lineRule="auto"/>
      </w:pPr>
      <w:r>
        <w:t>§ 4-17 Innhenting av opplysninger til bruk for arbeidet med avtalefestet pensjon og beregning av framtidig pensjon</w:t>
      </w:r>
    </w:p>
    <w:p w14:paraId="383BDE67" w14:textId="77777777" w:rsidR="00FB203E" w:rsidRDefault="00FB203E" w:rsidP="00397F3B">
      <w:pPr>
        <w:spacing w:line="276" w:lineRule="auto"/>
      </w:pPr>
    </w:p>
    <w:p w14:paraId="11870356" w14:textId="4782AB8D" w:rsidR="006252C9" w:rsidRDefault="00131289" w:rsidP="006252C9">
      <w:pPr>
        <w:spacing w:line="276" w:lineRule="auto"/>
      </w:pPr>
      <w:r>
        <w:t xml:space="preserve">(1) </w:t>
      </w:r>
      <w:r w:rsidR="00A76FE9">
        <w:tab/>
      </w:r>
      <w:r w:rsidR="00B81649" w:rsidRPr="00B81649">
        <w:rPr>
          <w:color w:val="111720"/>
          <w:szCs w:val="24"/>
          <w:shd w:val="clear" w:color="auto" w:fill="FFFFFF"/>
        </w:rPr>
        <w:t xml:space="preserve">Arbeids- og velferdsetaten skal </w:t>
      </w:r>
      <w:r w:rsidR="00B9633E">
        <w:rPr>
          <w:color w:val="111720"/>
          <w:szCs w:val="24"/>
          <w:shd w:val="clear" w:color="auto" w:fill="FFFFFF"/>
        </w:rPr>
        <w:t>ut</w:t>
      </w:r>
      <w:r w:rsidR="00B81649" w:rsidRPr="00B81649">
        <w:rPr>
          <w:color w:val="111720"/>
          <w:szCs w:val="24"/>
          <w:shd w:val="clear" w:color="auto" w:fill="FFFFFF"/>
        </w:rPr>
        <w:t xml:space="preserve">levere den samlede pensjonsbeholdningen beregnet etter folketrygdloven § 20-4 og andre opplysninger som er nødvendige for </w:t>
      </w:r>
      <w:r w:rsidR="005D1896">
        <w:rPr>
          <w:color w:val="111720"/>
          <w:szCs w:val="24"/>
          <w:shd w:val="clear" w:color="auto" w:fill="FFFFFF"/>
        </w:rPr>
        <w:t>pensjons</w:t>
      </w:r>
      <w:r w:rsidR="008A0EEE">
        <w:rPr>
          <w:color w:val="111720"/>
          <w:szCs w:val="24"/>
          <w:shd w:val="clear" w:color="auto" w:fill="FFFFFF"/>
        </w:rPr>
        <w:t xml:space="preserve">innretningens </w:t>
      </w:r>
      <w:r w:rsidR="00B81649" w:rsidRPr="00B81649">
        <w:rPr>
          <w:color w:val="111720"/>
          <w:szCs w:val="24"/>
          <w:shd w:val="clear" w:color="auto" w:fill="FFFFFF"/>
        </w:rPr>
        <w:t xml:space="preserve">premieberegning, </w:t>
      </w:r>
      <w:r w:rsidR="00A05C10">
        <w:rPr>
          <w:color w:val="111720"/>
          <w:szCs w:val="24"/>
          <w:shd w:val="clear" w:color="auto" w:fill="FFFFFF"/>
        </w:rPr>
        <w:t xml:space="preserve">beregning av framtidig pensjon, </w:t>
      </w:r>
      <w:r w:rsidR="00B81649" w:rsidRPr="00B81649">
        <w:rPr>
          <w:color w:val="111720"/>
          <w:szCs w:val="24"/>
          <w:shd w:val="clear" w:color="auto" w:fill="FFFFFF"/>
        </w:rPr>
        <w:t>vilkårsprøving og beregning av avtalefestet pensjon</w:t>
      </w:r>
      <w:r w:rsidR="00987760">
        <w:rPr>
          <w:color w:val="111720"/>
          <w:szCs w:val="24"/>
          <w:shd w:val="clear" w:color="auto" w:fill="FFFFFF"/>
        </w:rPr>
        <w:t xml:space="preserve"> for arbeidstakere født i 1963 eller senere</w:t>
      </w:r>
      <w:r w:rsidR="00B81649" w:rsidRPr="00B81649">
        <w:rPr>
          <w:color w:val="111720"/>
          <w:szCs w:val="24"/>
          <w:shd w:val="clear" w:color="auto" w:fill="FFFFFF"/>
        </w:rPr>
        <w:t xml:space="preserve">. </w:t>
      </w:r>
      <w:r w:rsidR="00FF141B">
        <w:t xml:space="preserve">Arbeids- og velferdsetaten skal </w:t>
      </w:r>
      <w:r w:rsidR="00C818E5">
        <w:t>ut</w:t>
      </w:r>
      <w:r w:rsidR="00FF141B">
        <w:t xml:space="preserve">levere </w:t>
      </w:r>
      <w:r w:rsidR="00531E31">
        <w:t>tilsvarende pensjonsbeholdning og andre opplysninger som nevnt i fø</w:t>
      </w:r>
      <w:r w:rsidR="00804059">
        <w:t xml:space="preserve">rste punktum </w:t>
      </w:r>
      <w:r w:rsidR="00340D54">
        <w:t xml:space="preserve">som er nødvendige </w:t>
      </w:r>
      <w:r>
        <w:t xml:space="preserve">for </w:t>
      </w:r>
      <w:r w:rsidR="00804059">
        <w:t xml:space="preserve">pensjonsinnretningens </w:t>
      </w:r>
      <w:r w:rsidR="00CC3791">
        <w:t xml:space="preserve">beregning </w:t>
      </w:r>
      <w:r>
        <w:t xml:space="preserve">av </w:t>
      </w:r>
      <w:r w:rsidR="00CC3791">
        <w:t xml:space="preserve">forventede </w:t>
      </w:r>
      <w:r>
        <w:t xml:space="preserve">fremtidige pensjonsytelser for </w:t>
      </w:r>
      <w:r w:rsidR="00AE1A51">
        <w:t xml:space="preserve">sine </w:t>
      </w:r>
      <w:r>
        <w:t xml:space="preserve">medlemmer. </w:t>
      </w:r>
      <w:r w:rsidR="00323218">
        <w:t>T</w:t>
      </w:r>
      <w:r w:rsidR="00397F3B">
        <w:t xml:space="preserve">aushetsplikten etter arbeids- og velferdsforvaltningsloven § 7 er ikke til hinder for </w:t>
      </w:r>
      <w:r w:rsidR="00B81649" w:rsidRPr="00B81649">
        <w:rPr>
          <w:color w:val="111720"/>
          <w:szCs w:val="24"/>
          <w:shd w:val="clear" w:color="auto" w:fill="FFFFFF"/>
        </w:rPr>
        <w:t xml:space="preserve">utveksling av opplysninger mellom </w:t>
      </w:r>
      <w:r w:rsidR="00397F3B">
        <w:t xml:space="preserve">Arbeids- og velferdsetaten </w:t>
      </w:r>
      <w:r w:rsidR="005D1896">
        <w:t>og kommunale pensjons</w:t>
      </w:r>
      <w:r w:rsidR="00CF652C">
        <w:t>innretninger</w:t>
      </w:r>
      <w:r w:rsidR="005D1896">
        <w:t xml:space="preserve"> i den utstrekning </w:t>
      </w:r>
      <w:r w:rsidR="00397F3B" w:rsidRPr="006252C9">
        <w:t>det er nød</w:t>
      </w:r>
      <w:r w:rsidR="004D58FD" w:rsidRPr="006252C9">
        <w:t xml:space="preserve">vendig for </w:t>
      </w:r>
      <w:r w:rsidR="001918B5" w:rsidRPr="006252C9">
        <w:t xml:space="preserve">å </w:t>
      </w:r>
      <w:r w:rsidR="005D1896" w:rsidRPr="006252C9">
        <w:t>fremme</w:t>
      </w:r>
      <w:r w:rsidR="001918B5" w:rsidRPr="006252C9">
        <w:t xml:space="preserve"> oppgaver etter denne bestemmelsen.</w:t>
      </w:r>
      <w:r w:rsidR="004D58FD" w:rsidRPr="006252C9">
        <w:t xml:space="preserve"> </w:t>
      </w:r>
    </w:p>
    <w:p w14:paraId="7F8DE5D3" w14:textId="34FC0D2C" w:rsidR="00433D81" w:rsidRDefault="00433D81" w:rsidP="006252C9">
      <w:pPr>
        <w:spacing w:line="276" w:lineRule="auto"/>
      </w:pPr>
      <w:r w:rsidRPr="006252C9">
        <w:t>(</w:t>
      </w:r>
      <w:r w:rsidR="00196CC9">
        <w:t>2</w:t>
      </w:r>
      <w:r w:rsidRPr="006252C9">
        <w:t xml:space="preserve">) </w:t>
      </w:r>
      <w:r w:rsidR="00A76FE9">
        <w:tab/>
      </w:r>
      <w:r w:rsidRPr="006252C9">
        <w:t>Pensjonsinnretningen har rett til å innhente opplysninger fra nåværende eller tidligere arbeidsgivere om arbeidstakerens eller pensjonistens arbeids- og inntektsforhold som er nødvendige for å forvalte og beregne avtalefestet pensjon</w:t>
      </w:r>
      <w:r w:rsidR="0043554F" w:rsidRPr="006252C9">
        <w:t xml:space="preserve"> for arbeidstakere født i 1963 eller senere.</w:t>
      </w:r>
      <w:r w:rsidRPr="006252C9">
        <w:t xml:space="preserve"> Den som pålegges å gi opplysninger, plikter å gjøre dette uten godtgjørelse og uten hinder av taushetsplikt.</w:t>
      </w:r>
      <w:r>
        <w:t xml:space="preserve"> </w:t>
      </w:r>
    </w:p>
    <w:p w14:paraId="7794AC89" w14:textId="449214CB" w:rsidR="00196CC9" w:rsidRPr="006252C9" w:rsidRDefault="00196CC9" w:rsidP="00196CC9">
      <w:pPr>
        <w:spacing w:line="276" w:lineRule="auto"/>
      </w:pPr>
      <w:r w:rsidRPr="00744855">
        <w:t>(</w:t>
      </w:r>
      <w:r>
        <w:t>3</w:t>
      </w:r>
      <w:r w:rsidRPr="00744855">
        <w:t xml:space="preserve">) </w:t>
      </w:r>
      <w:r w:rsidR="00A76FE9">
        <w:tab/>
      </w:r>
      <w:r w:rsidRPr="006252C9">
        <w:t xml:space="preserve">Det felles organet </w:t>
      </w:r>
      <w:r>
        <w:t xml:space="preserve">etter lov 19. februar 2010 nr. 5 om statstilskott til arbeidstakere som tar ut avtalefestet pensjon i privat sektor § 18 </w:t>
      </w:r>
      <w:r w:rsidRPr="006252C9">
        <w:t xml:space="preserve">plikter å gi </w:t>
      </w:r>
      <w:r>
        <w:t xml:space="preserve">pensjonsinnretningen </w:t>
      </w:r>
      <w:r w:rsidRPr="006252C9">
        <w:t xml:space="preserve">opplysninger som gjør det mulig å vurdere om vilkårene </w:t>
      </w:r>
      <w:r>
        <w:t xml:space="preserve">for avtalefestet pensjon for arbeidstakere født i 1963 eller senere, er </w:t>
      </w:r>
      <w:r w:rsidRPr="006252C9">
        <w:t>oppfylt.</w:t>
      </w:r>
    </w:p>
    <w:p w14:paraId="69464753" w14:textId="77777777" w:rsidR="00F47C5D" w:rsidRDefault="00F47C5D" w:rsidP="00AC3534">
      <w:pPr>
        <w:spacing w:line="276" w:lineRule="auto"/>
      </w:pPr>
    </w:p>
    <w:p w14:paraId="4F7D4B7F" w14:textId="77777777" w:rsidR="002135B1" w:rsidRDefault="002135B1" w:rsidP="00AC3534">
      <w:pPr>
        <w:spacing w:line="276" w:lineRule="auto"/>
      </w:pPr>
    </w:p>
    <w:p w14:paraId="12BD6809" w14:textId="77777777" w:rsidR="002135B1" w:rsidRDefault="002135B1" w:rsidP="00AC3534">
      <w:pPr>
        <w:spacing w:line="276" w:lineRule="auto"/>
      </w:pPr>
    </w:p>
    <w:p w14:paraId="55B0F41A" w14:textId="41B57495" w:rsidR="00AC3534" w:rsidRPr="00AC3534" w:rsidRDefault="00AC3534" w:rsidP="00AC3534">
      <w:pPr>
        <w:spacing w:line="276" w:lineRule="auto"/>
      </w:pPr>
      <w:r w:rsidRPr="00AC3534">
        <w:lastRenderedPageBreak/>
        <w:t xml:space="preserve">§ 4-18 Opplysninger i skattemeldingen for arbeidsgiveravgift og finansskatt på lønn </w:t>
      </w:r>
    </w:p>
    <w:p w14:paraId="00916E3A" w14:textId="7FE674C7" w:rsidR="00AC3534" w:rsidRPr="00AC3534" w:rsidRDefault="00AC3534" w:rsidP="00A76FE9">
      <w:pPr>
        <w:spacing w:line="276" w:lineRule="auto"/>
        <w:ind w:firstLine="567"/>
      </w:pPr>
      <w:r w:rsidRPr="00AC3534">
        <w:t xml:space="preserve">Arbeidsgivere med kommunal pensjonsordning skal gi opplysning </w:t>
      </w:r>
      <w:r w:rsidR="00835BF6">
        <w:t xml:space="preserve">i skattemeldingen etter skatteforvaltningsloven § 8-6 </w:t>
      </w:r>
      <w:r w:rsidRPr="00AC3534">
        <w:t xml:space="preserve">om identifikator på pensjonsinnretningen </w:t>
      </w:r>
      <w:r w:rsidR="00E17A0A">
        <w:t>som skal beregne avtalefestet pensjon for arbeidstakere født i 1963 eller senere</w:t>
      </w:r>
      <w:r w:rsidR="00835BF6">
        <w:t>.</w:t>
      </w:r>
    </w:p>
    <w:p w14:paraId="6B7ECCF3" w14:textId="4B2B1887" w:rsidR="00D5505D" w:rsidRDefault="00D5505D" w:rsidP="00532516">
      <w:pPr>
        <w:spacing w:line="276" w:lineRule="auto"/>
      </w:pPr>
    </w:p>
    <w:p w14:paraId="669417F0" w14:textId="471AF393" w:rsidR="00514884" w:rsidRDefault="00514884" w:rsidP="00532516">
      <w:pPr>
        <w:spacing w:line="276" w:lineRule="auto"/>
      </w:pPr>
      <w:r>
        <w:t>§ 4-1</w:t>
      </w:r>
      <w:r w:rsidR="00AC3534">
        <w:t>9</w:t>
      </w:r>
      <w:r>
        <w:t xml:space="preserve"> Adgang til å treffe automatiserte </w:t>
      </w:r>
      <w:r w:rsidR="00F9280A">
        <w:t>avgjørelser</w:t>
      </w:r>
      <w:r>
        <w:t xml:space="preserve">  </w:t>
      </w:r>
    </w:p>
    <w:p w14:paraId="76F95E2A" w14:textId="32602CAB" w:rsidR="002E4401" w:rsidRDefault="00514884" w:rsidP="00A76FE9">
      <w:pPr>
        <w:spacing w:line="276" w:lineRule="auto"/>
        <w:ind w:firstLine="567"/>
      </w:pPr>
      <w:r>
        <w:t>Pensjonsinnretningen kan tre</w:t>
      </w:r>
      <w:r w:rsidR="00E70BA0">
        <w:t>ff</w:t>
      </w:r>
      <w:r>
        <w:t xml:space="preserve">e </w:t>
      </w:r>
      <w:bookmarkStart w:id="42" w:name="_Hlk169004593"/>
      <w:r>
        <w:t>avgjørelser som</w:t>
      </w:r>
      <w:r w:rsidR="00E70BA0">
        <w:t xml:space="preserve"> </w:t>
      </w:r>
      <w:r>
        <w:t xml:space="preserve">utelukkende er </w:t>
      </w:r>
      <w:r w:rsidR="004104B1">
        <w:t>basert på automatisert behandling av personopplysnin</w:t>
      </w:r>
      <w:r w:rsidR="00E70BA0">
        <w:t>g</w:t>
      </w:r>
      <w:r w:rsidR="004104B1">
        <w:t xml:space="preserve">er, </w:t>
      </w:r>
      <w:bookmarkEnd w:id="42"/>
      <w:r w:rsidR="004104B1">
        <w:t>herunder personopplysnin</w:t>
      </w:r>
      <w:r w:rsidR="00A05C10">
        <w:t>g</w:t>
      </w:r>
      <w:r w:rsidR="004104B1">
        <w:t>er som</w:t>
      </w:r>
      <w:r w:rsidR="00E70BA0">
        <w:t xml:space="preserve"> </w:t>
      </w:r>
      <w:r w:rsidR="004104B1">
        <w:t>nevnt i personvernforordningen artikkel 9 og 10. Behandlingen må sikre partens krav til forsva</w:t>
      </w:r>
      <w:r w:rsidR="00E70BA0">
        <w:t>r</w:t>
      </w:r>
      <w:r w:rsidR="004104B1">
        <w:t>lig saksbehandling og være forenlig med retten til vern av personopplysninger. Avgjørelsen kan ikke bygge på skjønnsmessige vilkår i lov eller forskrift, med mindre avgjørelsen er utvilsom. Den regis</w:t>
      </w:r>
      <w:r w:rsidR="00E70BA0">
        <w:t>tr</w:t>
      </w:r>
      <w:r w:rsidR="004104B1">
        <w:t>erte har rett til manuell overprøvi</w:t>
      </w:r>
      <w:r w:rsidR="00E70BA0">
        <w:t>n</w:t>
      </w:r>
      <w:r w:rsidR="004104B1">
        <w:t>g av avgjørelsen.</w:t>
      </w:r>
      <w:r w:rsidR="00813DDB">
        <w:t xml:space="preserve"> </w:t>
      </w:r>
      <w:r w:rsidR="00F9280A">
        <w:t>Departementet kan i forskrift gi nærmere regler om bruk av automatiserte avgjørelser.</w:t>
      </w:r>
    </w:p>
    <w:p w14:paraId="1579002A" w14:textId="77777777" w:rsidR="004104B1" w:rsidRDefault="004104B1" w:rsidP="00532516">
      <w:pPr>
        <w:spacing w:line="276" w:lineRule="auto"/>
      </w:pPr>
    </w:p>
    <w:p w14:paraId="1E3C632D" w14:textId="2902B7DB" w:rsidR="00967D21" w:rsidRDefault="00967D21" w:rsidP="00532516">
      <w:pPr>
        <w:spacing w:line="276" w:lineRule="auto"/>
      </w:pPr>
      <w:r>
        <w:t>Nåværende §§ 4-17 og 4-18 blir nye §§ 4-</w:t>
      </w:r>
      <w:r w:rsidR="00A67C16">
        <w:t>20</w:t>
      </w:r>
      <w:r>
        <w:t xml:space="preserve"> og 4-</w:t>
      </w:r>
      <w:r w:rsidR="002E4401">
        <w:t>2</w:t>
      </w:r>
      <w:r w:rsidR="00A67C16">
        <w:t>1</w:t>
      </w:r>
      <w:r>
        <w:t>.</w:t>
      </w:r>
    </w:p>
    <w:p w14:paraId="5818970D" w14:textId="77777777" w:rsidR="0097265C" w:rsidRDefault="0097265C" w:rsidP="001E7F3B"/>
    <w:p w14:paraId="561FFE76" w14:textId="14BE6041" w:rsidR="008D62B0" w:rsidRDefault="008D62B0" w:rsidP="008D62B0">
      <w:pPr>
        <w:jc w:val="center"/>
      </w:pPr>
      <w:r>
        <w:t>II</w:t>
      </w:r>
    </w:p>
    <w:p w14:paraId="584A3799" w14:textId="7641DF18" w:rsidR="00DE6255" w:rsidRDefault="001E7F3B" w:rsidP="001E7F3B">
      <w:bookmarkStart w:id="43" w:name="_Hlk164626889"/>
      <w:r>
        <w:t xml:space="preserve">I lov </w:t>
      </w:r>
      <w:r w:rsidR="00853772">
        <w:t xml:space="preserve">27. mai 2016 nr. 14 </w:t>
      </w:r>
      <w:r>
        <w:t>om skatteforvaltning gjøres følgende endring:</w:t>
      </w:r>
    </w:p>
    <w:p w14:paraId="4372242D" w14:textId="68540C52" w:rsidR="001E7F3B" w:rsidRDefault="001E7F3B" w:rsidP="001E7F3B">
      <w:r>
        <w:t xml:space="preserve">§ 3-6 </w:t>
      </w:r>
      <w:r w:rsidR="00144DBF">
        <w:t>nytt fjerde</w:t>
      </w:r>
      <w:r>
        <w:t xml:space="preserve"> ledd skal lyde:</w:t>
      </w:r>
    </w:p>
    <w:p w14:paraId="3AFE4B17" w14:textId="33349859" w:rsidR="001E7F3B" w:rsidRPr="00144DBF" w:rsidRDefault="00853772" w:rsidP="00853772">
      <w:pPr>
        <w:spacing w:line="276" w:lineRule="auto"/>
      </w:pPr>
      <w:r>
        <w:t>(</w:t>
      </w:r>
      <w:r w:rsidR="00144DBF">
        <w:t>4</w:t>
      </w:r>
      <w:r>
        <w:t>)</w:t>
      </w:r>
      <w:r w:rsidR="00A76FE9">
        <w:t xml:space="preserve"> </w:t>
      </w:r>
      <w:r>
        <w:t xml:space="preserve"> Taushetsplikten etter § 3-1 er ikke til hinder </w:t>
      </w:r>
      <w:r w:rsidRPr="00144DBF">
        <w:t xml:space="preserve">for at pensjonsinnretning gis tilgang til nødvendige lønnsopplysninger som er gitt etter § 7-2 </w:t>
      </w:r>
      <w:r w:rsidR="00144DBF" w:rsidRPr="00144DBF">
        <w:t>og pensjonsgivende inntekt</w:t>
      </w:r>
      <w:r w:rsidR="00E1540A">
        <w:t>,</w:t>
      </w:r>
      <w:r w:rsidR="00144DBF" w:rsidRPr="00144DBF">
        <w:t xml:space="preserve"> </w:t>
      </w:r>
      <w:r w:rsidRPr="00144DBF">
        <w:t xml:space="preserve">til bruk i arbeidet med </w:t>
      </w:r>
      <w:r w:rsidR="005A6567" w:rsidRPr="00144DBF">
        <w:t>avtalefestet pensjon</w:t>
      </w:r>
      <w:r w:rsidR="00144DBF" w:rsidRPr="00144DBF">
        <w:t xml:space="preserve"> i kommunal sektor</w:t>
      </w:r>
      <w:r w:rsidR="00161D75">
        <w:t xml:space="preserve"> for arbeidstakere født i 1963 eller senere</w:t>
      </w:r>
      <w:r w:rsidR="00144DBF" w:rsidRPr="00144DBF">
        <w:t xml:space="preserve">. </w:t>
      </w:r>
    </w:p>
    <w:p w14:paraId="103701BB" w14:textId="77777777" w:rsidR="00160160" w:rsidRDefault="00160160" w:rsidP="00853772">
      <w:pPr>
        <w:spacing w:line="276" w:lineRule="auto"/>
      </w:pPr>
    </w:p>
    <w:p w14:paraId="44306EA2" w14:textId="450DE88C" w:rsidR="008D62B0" w:rsidRDefault="008D62B0" w:rsidP="008D62B0">
      <w:pPr>
        <w:spacing w:line="276" w:lineRule="auto"/>
        <w:jc w:val="center"/>
      </w:pPr>
      <w:r>
        <w:t>III</w:t>
      </w:r>
    </w:p>
    <w:p w14:paraId="55DA60E7" w14:textId="77777777" w:rsidR="00CE475D" w:rsidRDefault="00CE475D" w:rsidP="00853772">
      <w:pPr>
        <w:spacing w:line="276" w:lineRule="auto"/>
      </w:pPr>
    </w:p>
    <w:p w14:paraId="4C1654BB" w14:textId="64B8E492" w:rsidR="00CE475D" w:rsidRDefault="00CE475D" w:rsidP="00853772">
      <w:pPr>
        <w:spacing w:line="276" w:lineRule="auto"/>
      </w:pPr>
      <w:r>
        <w:t>Loven gjelder fra den tid Kongen bestemmer. Kongen kan sette i kraft de enkelte bestemmelsene til forskjellig tid. Kongen kan gi overgangsregler.</w:t>
      </w:r>
    </w:p>
    <w:p w14:paraId="51FDC75B" w14:textId="77777777" w:rsidR="00CE475D" w:rsidRDefault="00CE475D" w:rsidP="00853772">
      <w:pPr>
        <w:spacing w:line="276" w:lineRule="auto"/>
      </w:pPr>
    </w:p>
    <w:p w14:paraId="176E13B6" w14:textId="1026A51C" w:rsidR="00CE475D" w:rsidRDefault="00CE475D" w:rsidP="00CE475D">
      <w:pPr>
        <w:pStyle w:val="Overskrift1"/>
      </w:pPr>
      <w:bookmarkStart w:id="44" w:name="_Toc170468756"/>
      <w:r>
        <w:t>Forslag til forskriftsendring</w:t>
      </w:r>
      <w:bookmarkEnd w:id="44"/>
    </w:p>
    <w:bookmarkEnd w:id="43"/>
    <w:p w14:paraId="6E3F44E5" w14:textId="77777777" w:rsidR="00CE475D" w:rsidRDefault="00CE475D" w:rsidP="00853772">
      <w:pPr>
        <w:spacing w:line="276" w:lineRule="auto"/>
      </w:pPr>
    </w:p>
    <w:p w14:paraId="0FDAB3AD" w14:textId="4020C8BE" w:rsidR="008D62B0" w:rsidRDefault="004104B1" w:rsidP="008D62B0">
      <w:pPr>
        <w:spacing w:line="276" w:lineRule="auto"/>
        <w:jc w:val="center"/>
      </w:pPr>
      <w:r>
        <w:t>I</w:t>
      </w:r>
    </w:p>
    <w:p w14:paraId="598047A0" w14:textId="7EAF0284" w:rsidR="00915D39" w:rsidRDefault="00853772" w:rsidP="00853772">
      <w:pPr>
        <w:spacing w:line="276" w:lineRule="auto"/>
      </w:pPr>
      <w:r>
        <w:t>I forskrift</w:t>
      </w:r>
      <w:r w:rsidR="00F332B3">
        <w:t xml:space="preserve"> 18. august 2008 nr. 942 om </w:t>
      </w:r>
      <w:r w:rsidR="00915D39">
        <w:t>A</w:t>
      </w:r>
      <w:r w:rsidR="00F332B3">
        <w:t xml:space="preserve">rbeidsgiver- og arbeidstakerregisteret </w:t>
      </w:r>
      <w:r w:rsidR="00915D39">
        <w:t>skal § 10</w:t>
      </w:r>
      <w:r w:rsidR="00323218">
        <w:t xml:space="preserve"> </w:t>
      </w:r>
      <w:r w:rsidR="00915D39">
        <w:t xml:space="preserve"> bokstav </w:t>
      </w:r>
      <w:r w:rsidR="00323218">
        <w:t>e</w:t>
      </w:r>
      <w:r w:rsidR="00915D39">
        <w:t xml:space="preserve"> lyde:</w:t>
      </w:r>
    </w:p>
    <w:p w14:paraId="39F80615" w14:textId="261039B5" w:rsidR="00E65E09" w:rsidRDefault="00323218" w:rsidP="00915D39">
      <w:pPr>
        <w:spacing w:line="276" w:lineRule="auto"/>
        <w:ind w:left="567" w:hanging="567"/>
      </w:pPr>
      <w:r>
        <w:t>e</w:t>
      </w:r>
      <w:r w:rsidR="00915D39">
        <w:t>.</w:t>
      </w:r>
      <w:r w:rsidR="00915D39">
        <w:tab/>
      </w:r>
      <w:r>
        <w:t>p</w:t>
      </w:r>
      <w:r w:rsidR="00BC2852">
        <w:t xml:space="preserve">ensjonsinnretninger </w:t>
      </w:r>
      <w:r w:rsidR="00915D39">
        <w:t>om arbeidsforhold til bruk i arbeidet med administrasjon av avtalefestet pensjon</w:t>
      </w:r>
      <w:r w:rsidR="00987760">
        <w:t xml:space="preserve"> </w:t>
      </w:r>
      <w:r w:rsidR="00161D75">
        <w:t xml:space="preserve">i kommunal sektor </w:t>
      </w:r>
      <w:r w:rsidR="00987760">
        <w:t>for arbeidstakere født i 1963 eller senere</w:t>
      </w:r>
      <w:r w:rsidR="00BC2852">
        <w:t>.</w:t>
      </w:r>
      <w:r w:rsidR="00915D39">
        <w:t xml:space="preserve"> </w:t>
      </w:r>
    </w:p>
    <w:p w14:paraId="66A04C8B" w14:textId="77777777" w:rsidR="00E65E09" w:rsidRDefault="00E65E09" w:rsidP="00915D39">
      <w:pPr>
        <w:spacing w:line="276" w:lineRule="auto"/>
        <w:ind w:left="567" w:hanging="567"/>
      </w:pPr>
    </w:p>
    <w:p w14:paraId="5984AE2E" w14:textId="5F8E8C73" w:rsidR="00323218" w:rsidRDefault="00323218" w:rsidP="00915D39">
      <w:pPr>
        <w:spacing w:line="276" w:lineRule="auto"/>
        <w:ind w:left="567" w:hanging="567"/>
      </w:pPr>
      <w:r>
        <w:t>Nåværende bokstav e blir ny bokstav f.</w:t>
      </w:r>
    </w:p>
    <w:p w14:paraId="59F9FE01" w14:textId="77777777" w:rsidR="00B9633E" w:rsidRDefault="00B9633E" w:rsidP="00915D39">
      <w:pPr>
        <w:spacing w:line="276" w:lineRule="auto"/>
        <w:ind w:left="567" w:hanging="567"/>
      </w:pPr>
    </w:p>
    <w:p w14:paraId="1AAAE2AB" w14:textId="5D802776" w:rsidR="00E65E09" w:rsidRDefault="004104B1" w:rsidP="004104B1">
      <w:pPr>
        <w:spacing w:line="276" w:lineRule="auto"/>
        <w:ind w:left="567" w:hanging="567"/>
        <w:jc w:val="center"/>
      </w:pPr>
      <w:r>
        <w:t>II</w:t>
      </w:r>
    </w:p>
    <w:p w14:paraId="43EEFDF9" w14:textId="66B42CF7" w:rsidR="004104B1" w:rsidRDefault="004104B1" w:rsidP="004104B1">
      <w:pPr>
        <w:spacing w:line="276" w:lineRule="auto"/>
        <w:ind w:left="567" w:hanging="567"/>
      </w:pPr>
      <w:r>
        <w:t>Forskriften trer i kraft 1. januar 2025.</w:t>
      </w:r>
    </w:p>
    <w:sectPr w:rsidR="004104B1" w:rsidSect="007E17F7">
      <w:type w:val="continuous"/>
      <w:pgSz w:w="11907" w:h="16840" w:code="9"/>
      <w:pgMar w:top="1276" w:right="1134" w:bottom="1701" w:left="1701" w:header="567" w:footer="718" w:gutter="0"/>
      <w:cols w:space="708"/>
      <w:formProt w:val="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31F669F" w14:textId="77777777" w:rsidR="00617BAD" w:rsidRDefault="00617BAD">
      <w:r>
        <w:separator/>
      </w:r>
    </w:p>
  </w:endnote>
  <w:endnote w:type="continuationSeparator" w:id="0">
    <w:p w14:paraId="54593D48" w14:textId="77777777" w:rsidR="00617BAD" w:rsidRDefault="00617BA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DepCentury Old Style">
    <w:altName w:val="Times New Roman"/>
    <w:panose1 w:val="02030603060405030204"/>
    <w:charset w:val="00"/>
    <w:family w:val="roman"/>
    <w:pitch w:val="variable"/>
    <w:sig w:usb0="00000003" w:usb1="00000000" w:usb2="00000000" w:usb3="00000000" w:csb0="00000001"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 w:name="Open Sans">
    <w:panose1 w:val="020B0606030504020204"/>
    <w:charset w:val="00"/>
    <w:family w:val="swiss"/>
    <w:pitch w:val="variable"/>
    <w:sig w:usb0="E00002EF" w:usb1="4000205B" w:usb2="00000028" w:usb3="00000000" w:csb0="0000019F" w:csb1="00000000"/>
  </w:font>
  <w:font w:name="Berlingske Serif Text">
    <w:altName w:val="Cambria"/>
    <w:panose1 w:val="00000000000000000000"/>
    <w:charset w:val="00"/>
    <w:family w:val="roman"/>
    <w:notTrueType/>
    <w:pitch w:val="default"/>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F63DC6" w14:textId="77777777" w:rsidR="00DB03EE" w:rsidRDefault="00DB03EE" w:rsidP="0002465F">
    <w:pPr>
      <w:pStyle w:val="Bunntekst"/>
      <w:tabs>
        <w:tab w:val="clear" w:pos="9072"/>
        <w:tab w:val="right" w:pos="7938"/>
      </w:tabs>
      <w:ind w:left="-1134"/>
      <w:jc w:val="center"/>
    </w:pPr>
    <w:r>
      <w:t xml:space="preserve">Side </w:t>
    </w:r>
    <w:r>
      <w:rPr>
        <w:rStyle w:val="Sidetall"/>
      </w:rPr>
      <w:fldChar w:fldCharType="begin"/>
    </w:r>
    <w:r>
      <w:rPr>
        <w:rStyle w:val="Sidetall"/>
      </w:rPr>
      <w:instrText xml:space="preserve"> PAGE </w:instrText>
    </w:r>
    <w:r>
      <w:rPr>
        <w:rStyle w:val="Sidetall"/>
      </w:rPr>
      <w:fldChar w:fldCharType="separate"/>
    </w:r>
    <w:r w:rsidR="00936096">
      <w:rPr>
        <w:rStyle w:val="Sidetall"/>
        <w:noProof/>
      </w:rPr>
      <w:t>3</w:t>
    </w:r>
    <w:r>
      <w:rPr>
        <w:rStyle w:val="Sidetal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F4712F2" w14:textId="77777777" w:rsidR="00617BAD" w:rsidRDefault="00617BAD">
      <w:r>
        <w:separator/>
      </w:r>
    </w:p>
  </w:footnote>
  <w:footnote w:type="continuationSeparator" w:id="0">
    <w:p w14:paraId="11BB9FEC" w14:textId="77777777" w:rsidR="00617BAD" w:rsidRDefault="00617BA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6E7994" w14:textId="77777777" w:rsidR="00DB03EE" w:rsidRDefault="00DB03EE">
    <w:pPr>
      <w:pStyle w:val="Topptekst"/>
      <w:spacing w:after="140"/>
      <w:ind w:left="-1559"/>
      <w:jc w:val="center"/>
    </w:pPr>
    <w:r>
      <w:rPr>
        <w:noProof/>
      </w:rPr>
      <w:drawing>
        <wp:inline distT="0" distB="0" distL="0" distR="0" wp14:anchorId="345B40F6" wp14:editId="0F8BC616">
          <wp:extent cx="2125345" cy="664210"/>
          <wp:effectExtent l="0" t="0" r="0" b="0"/>
          <wp:docPr id="1" name="Bilde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e 1">
                    <a:extLst>
                      <a:ext uri="{C183D7F6-B498-43B3-948B-1728B52AA6E4}">
                        <adec:decorative xmlns:adec="http://schemas.microsoft.com/office/drawing/2017/decorative" val="1"/>
                      </a:ext>
                    </a:extLst>
                  </pic:cNvPr>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2125345" cy="664210"/>
                  </a:xfrm>
                  <a:prstGeom prst="rect">
                    <a:avLst/>
                  </a:prstGeom>
                  <a:noFill/>
                  <a:ln>
                    <a:noFill/>
                  </a:ln>
                </pic:spPr>
              </pic:pic>
            </a:graphicData>
          </a:graphic>
        </wp:inline>
      </w:drawing>
    </w:r>
  </w:p>
  <w:p w14:paraId="4F3B15EE" w14:textId="77777777" w:rsidR="00DB03EE" w:rsidRDefault="00DB03EE">
    <w:pPr>
      <w:pStyle w:val="Topptekst"/>
      <w:rPr>
        <w:sz w:val="16"/>
      </w:rPr>
    </w:pPr>
  </w:p>
  <w:p w14:paraId="28C52C45" w14:textId="77777777" w:rsidR="00DB03EE" w:rsidRDefault="004C7E3C" w:rsidP="00FF7361">
    <w:pPr>
      <w:pBdr>
        <w:between w:val="single" w:sz="4" w:space="1" w:color="auto"/>
      </w:pBdr>
      <w:spacing w:after="360" w:line="240" w:lineRule="auto"/>
      <w:ind w:left="-28"/>
      <w:rPr>
        <w:b/>
        <w:sz w:val="32"/>
      </w:rPr>
    </w:pPr>
    <w:r>
      <w:rPr>
        <w:b/>
        <w:sz w:val="32"/>
      </w:rPr>
      <w:pict w14:anchorId="17C05797">
        <v:rect id="_x0000_i1025" style="width:0;height:1.5pt" o:hralign="center" o:hrstd="t" o:hr="t" fillcolor="#a0a0a0" stroked="f"/>
      </w:pic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FB"/>
    <w:multiLevelType w:val="multilevel"/>
    <w:tmpl w:val="1A220B0A"/>
    <w:lvl w:ilvl="0">
      <w:start w:val="1"/>
      <w:numFmt w:val="decimal"/>
      <w:pStyle w:val="Overskrift1"/>
      <w:lvlText w:val="%1"/>
      <w:lvlJc w:val="left"/>
      <w:pPr>
        <w:ind w:left="360" w:hanging="360"/>
      </w:pPr>
      <w:rPr>
        <w:rFonts w:hint="default"/>
        <w:b/>
        <w:i w:val="0"/>
        <w:sz w:val="23"/>
      </w:rPr>
    </w:lvl>
    <w:lvl w:ilvl="1">
      <w:start w:val="1"/>
      <w:numFmt w:val="decimal"/>
      <w:pStyle w:val="Overskrift2"/>
      <w:lvlText w:val="%1.%2"/>
      <w:legacy w:legacy="1" w:legacySpace="57" w:legacyIndent="0"/>
      <w:lvlJc w:val="left"/>
      <w:pPr>
        <w:ind w:left="0" w:firstLine="0"/>
      </w:pPr>
      <w:rPr>
        <w:rFonts w:ascii="Times New Roman" w:hAnsi="Times New Roman" w:hint="default"/>
        <w:b/>
        <w:i w:val="0"/>
        <w:sz w:val="23"/>
      </w:rPr>
    </w:lvl>
    <w:lvl w:ilvl="2">
      <w:start w:val="1"/>
      <w:numFmt w:val="decimal"/>
      <w:pStyle w:val="Overskrift3"/>
      <w:lvlText w:val="%1.%2.%3"/>
      <w:legacy w:legacy="1" w:legacySpace="57" w:legacyIndent="0"/>
      <w:lvlJc w:val="left"/>
      <w:pPr>
        <w:ind w:left="0" w:firstLine="0"/>
      </w:pPr>
      <w:rPr>
        <w:rFonts w:ascii="Times New Roman" w:hAnsi="Times New Roman" w:hint="default"/>
        <w:b/>
        <w:i w:val="0"/>
        <w:sz w:val="23"/>
      </w:rPr>
    </w:lvl>
    <w:lvl w:ilvl="3">
      <w:start w:val="1"/>
      <w:numFmt w:val="decimal"/>
      <w:pStyle w:val="Overskrift4"/>
      <w:lvlText w:val="%1.%2.%3.%4"/>
      <w:legacy w:legacy="1" w:legacySpace="57" w:legacyIndent="0"/>
      <w:lvlJc w:val="left"/>
      <w:pPr>
        <w:ind w:left="1134" w:firstLine="0"/>
      </w:pPr>
      <w:rPr>
        <w:rFonts w:ascii="Times New Roman" w:hAnsi="Times New Roman" w:hint="default"/>
        <w:b/>
        <w:i w:val="0"/>
        <w:sz w:val="23"/>
      </w:rPr>
    </w:lvl>
    <w:lvl w:ilvl="4">
      <w:start w:val="1"/>
      <w:numFmt w:val="decimal"/>
      <w:pStyle w:val="Overskrift5"/>
      <w:lvlText w:val="%1.%2.%3.%4.%5"/>
      <w:legacy w:legacy="1" w:legacySpace="57" w:legacyIndent="0"/>
      <w:lvlJc w:val="left"/>
      <w:pPr>
        <w:ind w:left="1134" w:firstLine="0"/>
      </w:pPr>
      <w:rPr>
        <w:rFonts w:ascii="Times New Roman" w:hAnsi="Times New Roman" w:hint="default"/>
        <w:b/>
        <w:i w:val="0"/>
        <w:sz w:val="23"/>
      </w:rPr>
    </w:lvl>
    <w:lvl w:ilvl="5">
      <w:start w:val="1"/>
      <w:numFmt w:val="decimal"/>
      <w:pStyle w:val="Overskrift6"/>
      <w:lvlText w:val="%1.%2.%3.%4.%5.%6"/>
      <w:legacy w:legacy="1" w:legacySpace="144" w:legacyIndent="0"/>
      <w:lvlJc w:val="left"/>
    </w:lvl>
    <w:lvl w:ilvl="6">
      <w:start w:val="1"/>
      <w:numFmt w:val="decimal"/>
      <w:pStyle w:val="Overskrift7"/>
      <w:lvlText w:val="%1.%2.%3.%4.%5.%6.%7"/>
      <w:legacy w:legacy="1" w:legacySpace="144" w:legacyIndent="0"/>
      <w:lvlJc w:val="left"/>
    </w:lvl>
    <w:lvl w:ilvl="7">
      <w:start w:val="1"/>
      <w:numFmt w:val="decimal"/>
      <w:pStyle w:val="Overskrift8"/>
      <w:lvlText w:val="%1.%2.%3.%4.%5.%6.%7.%8"/>
      <w:legacy w:legacy="1" w:legacySpace="144" w:legacyIndent="0"/>
      <w:lvlJc w:val="left"/>
    </w:lvl>
    <w:lvl w:ilvl="8">
      <w:start w:val="1"/>
      <w:numFmt w:val="decimal"/>
      <w:pStyle w:val="Overskrift9"/>
      <w:lvlText w:val="%1.%2.%3.%4.%5.%6.%7.%8.%9"/>
      <w:legacy w:legacy="1" w:legacySpace="144" w:legacyIndent="0"/>
      <w:lvlJc w:val="left"/>
    </w:lvl>
  </w:abstractNum>
  <w:abstractNum w:abstractNumId="1" w15:restartNumberingAfterBreak="0">
    <w:nsid w:val="024C5E03"/>
    <w:multiLevelType w:val="hybridMultilevel"/>
    <w:tmpl w:val="A2761BF0"/>
    <w:lvl w:ilvl="0" w:tplc="04140001">
      <w:start w:val="1"/>
      <w:numFmt w:val="bullet"/>
      <w:lvlText w:val=""/>
      <w:lvlJc w:val="left"/>
      <w:pPr>
        <w:ind w:left="720" w:hanging="360"/>
      </w:pPr>
      <w:rPr>
        <w:rFonts w:ascii="Symbol" w:hAnsi="Symbol"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2" w15:restartNumberingAfterBreak="0">
    <w:nsid w:val="1B1F1BFF"/>
    <w:multiLevelType w:val="singleLevel"/>
    <w:tmpl w:val="6F92A4F6"/>
    <w:lvl w:ilvl="0">
      <w:start w:val="1"/>
      <w:numFmt w:val="lowerLetter"/>
      <w:lvlText w:val="%1."/>
      <w:legacy w:legacy="1" w:legacySpace="0" w:legacyIndent="567"/>
      <w:lvlJc w:val="left"/>
      <w:pPr>
        <w:ind w:left="567" w:hanging="567"/>
      </w:pPr>
    </w:lvl>
  </w:abstractNum>
  <w:abstractNum w:abstractNumId="3" w15:restartNumberingAfterBreak="0">
    <w:nsid w:val="212E2BB1"/>
    <w:multiLevelType w:val="hybridMultilevel"/>
    <w:tmpl w:val="505C41F8"/>
    <w:lvl w:ilvl="0" w:tplc="0414000F">
      <w:start w:val="1"/>
      <w:numFmt w:val="decimal"/>
      <w:lvlText w:val="%1."/>
      <w:lvlJc w:val="left"/>
      <w:pPr>
        <w:ind w:left="720" w:hanging="360"/>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4" w15:restartNumberingAfterBreak="0">
    <w:nsid w:val="2B0C2FE2"/>
    <w:multiLevelType w:val="hybridMultilevel"/>
    <w:tmpl w:val="D0284738"/>
    <w:lvl w:ilvl="0" w:tplc="80D26EDE">
      <w:start w:val="1"/>
      <w:numFmt w:val="decimal"/>
      <w:lvlText w:val="%1)"/>
      <w:lvlJc w:val="left"/>
      <w:pPr>
        <w:ind w:left="1065" w:hanging="705"/>
      </w:pPr>
    </w:lvl>
    <w:lvl w:ilvl="1" w:tplc="04140019">
      <w:start w:val="1"/>
      <w:numFmt w:val="lowerLetter"/>
      <w:lvlText w:val="%2."/>
      <w:lvlJc w:val="left"/>
      <w:pPr>
        <w:ind w:left="1440" w:hanging="360"/>
      </w:pPr>
    </w:lvl>
    <w:lvl w:ilvl="2" w:tplc="0414001B">
      <w:start w:val="1"/>
      <w:numFmt w:val="lowerRoman"/>
      <w:lvlText w:val="%3."/>
      <w:lvlJc w:val="right"/>
      <w:pPr>
        <w:ind w:left="2160" w:hanging="180"/>
      </w:pPr>
    </w:lvl>
    <w:lvl w:ilvl="3" w:tplc="0414000F">
      <w:start w:val="1"/>
      <w:numFmt w:val="decimal"/>
      <w:lvlText w:val="%4."/>
      <w:lvlJc w:val="left"/>
      <w:pPr>
        <w:ind w:left="2880" w:hanging="360"/>
      </w:pPr>
    </w:lvl>
    <w:lvl w:ilvl="4" w:tplc="04140019">
      <w:start w:val="1"/>
      <w:numFmt w:val="lowerLetter"/>
      <w:lvlText w:val="%5."/>
      <w:lvlJc w:val="left"/>
      <w:pPr>
        <w:ind w:left="3600" w:hanging="360"/>
      </w:pPr>
    </w:lvl>
    <w:lvl w:ilvl="5" w:tplc="0414001B">
      <w:start w:val="1"/>
      <w:numFmt w:val="lowerRoman"/>
      <w:lvlText w:val="%6."/>
      <w:lvlJc w:val="right"/>
      <w:pPr>
        <w:ind w:left="4320" w:hanging="180"/>
      </w:pPr>
    </w:lvl>
    <w:lvl w:ilvl="6" w:tplc="0414000F">
      <w:start w:val="1"/>
      <w:numFmt w:val="decimal"/>
      <w:lvlText w:val="%7."/>
      <w:lvlJc w:val="left"/>
      <w:pPr>
        <w:ind w:left="5040" w:hanging="360"/>
      </w:pPr>
    </w:lvl>
    <w:lvl w:ilvl="7" w:tplc="04140019">
      <w:start w:val="1"/>
      <w:numFmt w:val="lowerLetter"/>
      <w:lvlText w:val="%8."/>
      <w:lvlJc w:val="left"/>
      <w:pPr>
        <w:ind w:left="5760" w:hanging="360"/>
      </w:pPr>
    </w:lvl>
    <w:lvl w:ilvl="8" w:tplc="0414001B">
      <w:start w:val="1"/>
      <w:numFmt w:val="lowerRoman"/>
      <w:lvlText w:val="%9."/>
      <w:lvlJc w:val="right"/>
      <w:pPr>
        <w:ind w:left="6480" w:hanging="180"/>
      </w:pPr>
    </w:lvl>
  </w:abstractNum>
  <w:abstractNum w:abstractNumId="5" w15:restartNumberingAfterBreak="0">
    <w:nsid w:val="42B56BFC"/>
    <w:multiLevelType w:val="hybridMultilevel"/>
    <w:tmpl w:val="F32807A2"/>
    <w:lvl w:ilvl="0" w:tplc="FE1E4874">
      <w:start w:val="2"/>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6" w15:restartNumberingAfterBreak="0">
    <w:nsid w:val="56095F14"/>
    <w:multiLevelType w:val="multilevel"/>
    <w:tmpl w:val="950ED00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7" w15:restartNumberingAfterBreak="0">
    <w:nsid w:val="7A8814FB"/>
    <w:multiLevelType w:val="hybridMultilevel"/>
    <w:tmpl w:val="64B6F8E2"/>
    <w:lvl w:ilvl="0" w:tplc="B5121FC6">
      <w:start w:val="2"/>
      <w:numFmt w:val="bullet"/>
      <w:lvlText w:val="-"/>
      <w:lvlJc w:val="left"/>
      <w:pPr>
        <w:ind w:left="720" w:hanging="360"/>
      </w:pPr>
      <w:rPr>
        <w:rFonts w:ascii="DepCentury Old Style" w:eastAsia="Times New Roman" w:hAnsi="DepCentury Old Style" w:cs="Times New Roman" w:hint="default"/>
      </w:rPr>
    </w:lvl>
    <w:lvl w:ilvl="1" w:tplc="04140003" w:tentative="1">
      <w:start w:val="1"/>
      <w:numFmt w:val="bullet"/>
      <w:lvlText w:val="o"/>
      <w:lvlJc w:val="left"/>
      <w:pPr>
        <w:ind w:left="1440" w:hanging="360"/>
      </w:pPr>
      <w:rPr>
        <w:rFonts w:ascii="Courier New" w:hAnsi="Courier New" w:cs="Courier New" w:hint="default"/>
      </w:rPr>
    </w:lvl>
    <w:lvl w:ilvl="2" w:tplc="04140005" w:tentative="1">
      <w:start w:val="1"/>
      <w:numFmt w:val="bullet"/>
      <w:lvlText w:val=""/>
      <w:lvlJc w:val="left"/>
      <w:pPr>
        <w:ind w:left="2160" w:hanging="360"/>
      </w:pPr>
      <w:rPr>
        <w:rFonts w:ascii="Wingdings" w:hAnsi="Wingdings" w:hint="default"/>
      </w:rPr>
    </w:lvl>
    <w:lvl w:ilvl="3" w:tplc="04140001" w:tentative="1">
      <w:start w:val="1"/>
      <w:numFmt w:val="bullet"/>
      <w:lvlText w:val=""/>
      <w:lvlJc w:val="left"/>
      <w:pPr>
        <w:ind w:left="2880" w:hanging="360"/>
      </w:pPr>
      <w:rPr>
        <w:rFonts w:ascii="Symbol" w:hAnsi="Symbol" w:hint="default"/>
      </w:rPr>
    </w:lvl>
    <w:lvl w:ilvl="4" w:tplc="04140003" w:tentative="1">
      <w:start w:val="1"/>
      <w:numFmt w:val="bullet"/>
      <w:lvlText w:val="o"/>
      <w:lvlJc w:val="left"/>
      <w:pPr>
        <w:ind w:left="3600" w:hanging="360"/>
      </w:pPr>
      <w:rPr>
        <w:rFonts w:ascii="Courier New" w:hAnsi="Courier New" w:cs="Courier New" w:hint="default"/>
      </w:rPr>
    </w:lvl>
    <w:lvl w:ilvl="5" w:tplc="04140005" w:tentative="1">
      <w:start w:val="1"/>
      <w:numFmt w:val="bullet"/>
      <w:lvlText w:val=""/>
      <w:lvlJc w:val="left"/>
      <w:pPr>
        <w:ind w:left="4320" w:hanging="360"/>
      </w:pPr>
      <w:rPr>
        <w:rFonts w:ascii="Wingdings" w:hAnsi="Wingdings" w:hint="default"/>
      </w:rPr>
    </w:lvl>
    <w:lvl w:ilvl="6" w:tplc="04140001" w:tentative="1">
      <w:start w:val="1"/>
      <w:numFmt w:val="bullet"/>
      <w:lvlText w:val=""/>
      <w:lvlJc w:val="left"/>
      <w:pPr>
        <w:ind w:left="5040" w:hanging="360"/>
      </w:pPr>
      <w:rPr>
        <w:rFonts w:ascii="Symbol" w:hAnsi="Symbol" w:hint="default"/>
      </w:rPr>
    </w:lvl>
    <w:lvl w:ilvl="7" w:tplc="04140003" w:tentative="1">
      <w:start w:val="1"/>
      <w:numFmt w:val="bullet"/>
      <w:lvlText w:val="o"/>
      <w:lvlJc w:val="left"/>
      <w:pPr>
        <w:ind w:left="5760" w:hanging="360"/>
      </w:pPr>
      <w:rPr>
        <w:rFonts w:ascii="Courier New" w:hAnsi="Courier New" w:cs="Courier New" w:hint="default"/>
      </w:rPr>
    </w:lvl>
    <w:lvl w:ilvl="8" w:tplc="04140005" w:tentative="1">
      <w:start w:val="1"/>
      <w:numFmt w:val="bullet"/>
      <w:lvlText w:val=""/>
      <w:lvlJc w:val="left"/>
      <w:pPr>
        <w:ind w:left="6480" w:hanging="360"/>
      </w:pPr>
      <w:rPr>
        <w:rFonts w:ascii="Wingdings" w:hAnsi="Wingdings" w:hint="default"/>
      </w:rPr>
    </w:lvl>
  </w:abstractNum>
  <w:abstractNum w:abstractNumId="8" w15:restartNumberingAfterBreak="0">
    <w:nsid w:val="7AD35166"/>
    <w:multiLevelType w:val="hybridMultilevel"/>
    <w:tmpl w:val="1C4AA1E2"/>
    <w:lvl w:ilvl="0" w:tplc="0414000F">
      <w:start w:val="1"/>
      <w:numFmt w:val="decimal"/>
      <w:lvlText w:val="%1."/>
      <w:lvlJc w:val="left"/>
      <w:pPr>
        <w:ind w:left="720" w:hanging="360"/>
      </w:pPr>
    </w:lvl>
    <w:lvl w:ilvl="1" w:tplc="04140019" w:tentative="1">
      <w:start w:val="1"/>
      <w:numFmt w:val="lowerLetter"/>
      <w:lvlText w:val="%2."/>
      <w:lvlJc w:val="left"/>
      <w:pPr>
        <w:ind w:left="1440" w:hanging="360"/>
      </w:pPr>
    </w:lvl>
    <w:lvl w:ilvl="2" w:tplc="0414001B" w:tentative="1">
      <w:start w:val="1"/>
      <w:numFmt w:val="lowerRoman"/>
      <w:lvlText w:val="%3."/>
      <w:lvlJc w:val="right"/>
      <w:pPr>
        <w:ind w:left="2160" w:hanging="180"/>
      </w:pPr>
    </w:lvl>
    <w:lvl w:ilvl="3" w:tplc="0414000F" w:tentative="1">
      <w:start w:val="1"/>
      <w:numFmt w:val="decimal"/>
      <w:lvlText w:val="%4."/>
      <w:lvlJc w:val="left"/>
      <w:pPr>
        <w:ind w:left="2880" w:hanging="360"/>
      </w:pPr>
    </w:lvl>
    <w:lvl w:ilvl="4" w:tplc="04140019" w:tentative="1">
      <w:start w:val="1"/>
      <w:numFmt w:val="lowerLetter"/>
      <w:lvlText w:val="%5."/>
      <w:lvlJc w:val="left"/>
      <w:pPr>
        <w:ind w:left="3600" w:hanging="360"/>
      </w:pPr>
    </w:lvl>
    <w:lvl w:ilvl="5" w:tplc="0414001B" w:tentative="1">
      <w:start w:val="1"/>
      <w:numFmt w:val="lowerRoman"/>
      <w:lvlText w:val="%6."/>
      <w:lvlJc w:val="right"/>
      <w:pPr>
        <w:ind w:left="4320" w:hanging="180"/>
      </w:pPr>
    </w:lvl>
    <w:lvl w:ilvl="6" w:tplc="0414000F" w:tentative="1">
      <w:start w:val="1"/>
      <w:numFmt w:val="decimal"/>
      <w:lvlText w:val="%7."/>
      <w:lvlJc w:val="left"/>
      <w:pPr>
        <w:ind w:left="5040" w:hanging="360"/>
      </w:pPr>
    </w:lvl>
    <w:lvl w:ilvl="7" w:tplc="04140019" w:tentative="1">
      <w:start w:val="1"/>
      <w:numFmt w:val="lowerLetter"/>
      <w:lvlText w:val="%8."/>
      <w:lvlJc w:val="left"/>
      <w:pPr>
        <w:ind w:left="5760" w:hanging="360"/>
      </w:pPr>
    </w:lvl>
    <w:lvl w:ilvl="8" w:tplc="0414001B" w:tentative="1">
      <w:start w:val="1"/>
      <w:numFmt w:val="lowerRoman"/>
      <w:lvlText w:val="%9."/>
      <w:lvlJc w:val="right"/>
      <w:pPr>
        <w:ind w:left="6480" w:hanging="180"/>
      </w:pPr>
    </w:lvl>
  </w:abstractNum>
  <w:num w:numId="1" w16cid:durableId="19429830">
    <w:abstractNumId w:val="0"/>
  </w:num>
  <w:num w:numId="2" w16cid:durableId="368527553">
    <w:abstractNumId w:val="2"/>
  </w:num>
  <w:num w:numId="3" w16cid:durableId="1083187431">
    <w:abstractNumId w:val="0"/>
  </w:num>
  <w:num w:numId="4" w16cid:durableId="1445686361">
    <w:abstractNumId w:val="0"/>
  </w:num>
  <w:num w:numId="5" w16cid:durableId="54666329">
    <w:abstractNumId w:val="0"/>
  </w:num>
  <w:num w:numId="6" w16cid:durableId="322969805">
    <w:abstractNumId w:val="0"/>
  </w:num>
  <w:num w:numId="7" w16cid:durableId="145241733">
    <w:abstractNumId w:val="0"/>
  </w:num>
  <w:num w:numId="8" w16cid:durableId="417025393">
    <w:abstractNumId w:val="0"/>
  </w:num>
  <w:num w:numId="9" w16cid:durableId="131138670">
    <w:abstractNumId w:val="0"/>
  </w:num>
  <w:num w:numId="10" w16cid:durableId="1298755895">
    <w:abstractNumId w:val="0"/>
  </w:num>
  <w:num w:numId="11" w16cid:durableId="564027086">
    <w:abstractNumId w:val="0"/>
  </w:num>
  <w:num w:numId="12" w16cid:durableId="609354958">
    <w:abstractNumId w:val="8"/>
  </w:num>
  <w:num w:numId="13" w16cid:durableId="204567929">
    <w:abstractNumId w:val="6"/>
  </w:num>
  <w:num w:numId="14" w16cid:durableId="1023096525">
    <w:abstractNumId w:val="1"/>
  </w:num>
  <w:num w:numId="15" w16cid:durableId="2103604211">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16cid:durableId="1545017251">
    <w:abstractNumId w:val="5"/>
  </w:num>
  <w:num w:numId="17" w16cid:durableId="1226723702">
    <w:abstractNumId w:val="7"/>
  </w:num>
  <w:num w:numId="18" w16cid:durableId="1522014162">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10"/>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567"/>
  <w:hyphenationZone w:val="425"/>
  <w:displayHorizontalDrawingGridEvery w:val="0"/>
  <w:displayVerticalDrawingGridEvery w:val="0"/>
  <w:doNotUseMarginsForDrawingGridOrigin/>
  <w:doNotShadeFormData/>
  <w:noPunctuationKerning/>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unMacro" w:val="Done"/>
  </w:docVars>
  <w:rsids>
    <w:rsidRoot w:val="00FF7361"/>
    <w:rsid w:val="00001F6C"/>
    <w:rsid w:val="00010437"/>
    <w:rsid w:val="00012A63"/>
    <w:rsid w:val="00015819"/>
    <w:rsid w:val="0001660F"/>
    <w:rsid w:val="000170B8"/>
    <w:rsid w:val="000204B2"/>
    <w:rsid w:val="00021B18"/>
    <w:rsid w:val="0002465F"/>
    <w:rsid w:val="00032A21"/>
    <w:rsid w:val="00033D1B"/>
    <w:rsid w:val="00037444"/>
    <w:rsid w:val="000402D7"/>
    <w:rsid w:val="00046C58"/>
    <w:rsid w:val="00046F03"/>
    <w:rsid w:val="00052D7B"/>
    <w:rsid w:val="0005512D"/>
    <w:rsid w:val="0005604E"/>
    <w:rsid w:val="0006130F"/>
    <w:rsid w:val="00064AB3"/>
    <w:rsid w:val="00064F1E"/>
    <w:rsid w:val="0006606C"/>
    <w:rsid w:val="00066538"/>
    <w:rsid w:val="00071E76"/>
    <w:rsid w:val="00075A9D"/>
    <w:rsid w:val="00080694"/>
    <w:rsid w:val="0008592A"/>
    <w:rsid w:val="00086676"/>
    <w:rsid w:val="000914A1"/>
    <w:rsid w:val="00091640"/>
    <w:rsid w:val="00091B07"/>
    <w:rsid w:val="000941E3"/>
    <w:rsid w:val="00097337"/>
    <w:rsid w:val="000976AC"/>
    <w:rsid w:val="000A16B0"/>
    <w:rsid w:val="000A27FA"/>
    <w:rsid w:val="000A474C"/>
    <w:rsid w:val="000A4E00"/>
    <w:rsid w:val="000A7AFF"/>
    <w:rsid w:val="000B39AE"/>
    <w:rsid w:val="000B55D3"/>
    <w:rsid w:val="000C27C1"/>
    <w:rsid w:val="000C3C1C"/>
    <w:rsid w:val="000C524B"/>
    <w:rsid w:val="000D45D2"/>
    <w:rsid w:val="000D5ED3"/>
    <w:rsid w:val="000E2D2A"/>
    <w:rsid w:val="000E308D"/>
    <w:rsid w:val="000F29C6"/>
    <w:rsid w:val="000F618E"/>
    <w:rsid w:val="000F791B"/>
    <w:rsid w:val="001005B7"/>
    <w:rsid w:val="00100E9E"/>
    <w:rsid w:val="00101E8E"/>
    <w:rsid w:val="0010397A"/>
    <w:rsid w:val="00103A12"/>
    <w:rsid w:val="001046C3"/>
    <w:rsid w:val="00107586"/>
    <w:rsid w:val="001128C1"/>
    <w:rsid w:val="001129FF"/>
    <w:rsid w:val="00113B53"/>
    <w:rsid w:val="00116A63"/>
    <w:rsid w:val="00121679"/>
    <w:rsid w:val="001240F3"/>
    <w:rsid w:val="001245E9"/>
    <w:rsid w:val="0013091D"/>
    <w:rsid w:val="00131289"/>
    <w:rsid w:val="00135528"/>
    <w:rsid w:val="001370AF"/>
    <w:rsid w:val="00142104"/>
    <w:rsid w:val="00142EB8"/>
    <w:rsid w:val="0014348A"/>
    <w:rsid w:val="0014408D"/>
    <w:rsid w:val="00144DBF"/>
    <w:rsid w:val="0015410B"/>
    <w:rsid w:val="00155099"/>
    <w:rsid w:val="00155FBB"/>
    <w:rsid w:val="00160160"/>
    <w:rsid w:val="00161D75"/>
    <w:rsid w:val="00162D65"/>
    <w:rsid w:val="00165F0B"/>
    <w:rsid w:val="00165FD1"/>
    <w:rsid w:val="001662FF"/>
    <w:rsid w:val="00173E1F"/>
    <w:rsid w:val="00181E7D"/>
    <w:rsid w:val="001831A8"/>
    <w:rsid w:val="00183C67"/>
    <w:rsid w:val="00185729"/>
    <w:rsid w:val="001918B5"/>
    <w:rsid w:val="00191A4A"/>
    <w:rsid w:val="00192116"/>
    <w:rsid w:val="0019413A"/>
    <w:rsid w:val="00194A25"/>
    <w:rsid w:val="00194FE2"/>
    <w:rsid w:val="0019600B"/>
    <w:rsid w:val="00196CC9"/>
    <w:rsid w:val="00197B2E"/>
    <w:rsid w:val="001A4EBE"/>
    <w:rsid w:val="001A7904"/>
    <w:rsid w:val="001B27B5"/>
    <w:rsid w:val="001B3520"/>
    <w:rsid w:val="001B5392"/>
    <w:rsid w:val="001C2D5A"/>
    <w:rsid w:val="001C5076"/>
    <w:rsid w:val="001C5837"/>
    <w:rsid w:val="001D3A66"/>
    <w:rsid w:val="001E2A11"/>
    <w:rsid w:val="001E452D"/>
    <w:rsid w:val="001E4A54"/>
    <w:rsid w:val="001E7F3B"/>
    <w:rsid w:val="001F40C7"/>
    <w:rsid w:val="001F4675"/>
    <w:rsid w:val="001F79D7"/>
    <w:rsid w:val="00203F3C"/>
    <w:rsid w:val="00203F4E"/>
    <w:rsid w:val="002130EA"/>
    <w:rsid w:val="002135B1"/>
    <w:rsid w:val="002140F1"/>
    <w:rsid w:val="002163C6"/>
    <w:rsid w:val="00220040"/>
    <w:rsid w:val="00225BBB"/>
    <w:rsid w:val="0022603F"/>
    <w:rsid w:val="00231CCC"/>
    <w:rsid w:val="00231E6C"/>
    <w:rsid w:val="00232DF2"/>
    <w:rsid w:val="0023500C"/>
    <w:rsid w:val="00235296"/>
    <w:rsid w:val="00236D0F"/>
    <w:rsid w:val="0024227F"/>
    <w:rsid w:val="00242F03"/>
    <w:rsid w:val="002430E1"/>
    <w:rsid w:val="00243410"/>
    <w:rsid w:val="00247756"/>
    <w:rsid w:val="00250161"/>
    <w:rsid w:val="002518FD"/>
    <w:rsid w:val="00255316"/>
    <w:rsid w:val="00256727"/>
    <w:rsid w:val="00260803"/>
    <w:rsid w:val="00260EAF"/>
    <w:rsid w:val="00261FAA"/>
    <w:rsid w:val="00262E9F"/>
    <w:rsid w:val="00264514"/>
    <w:rsid w:val="00267279"/>
    <w:rsid w:val="002672C8"/>
    <w:rsid w:val="00267F46"/>
    <w:rsid w:val="00270B8C"/>
    <w:rsid w:val="0027157A"/>
    <w:rsid w:val="00273F88"/>
    <w:rsid w:val="0028559E"/>
    <w:rsid w:val="00291D59"/>
    <w:rsid w:val="00291D72"/>
    <w:rsid w:val="00294041"/>
    <w:rsid w:val="0029646D"/>
    <w:rsid w:val="00297631"/>
    <w:rsid w:val="002978B3"/>
    <w:rsid w:val="002A3007"/>
    <w:rsid w:val="002A4144"/>
    <w:rsid w:val="002A4285"/>
    <w:rsid w:val="002A533C"/>
    <w:rsid w:val="002A5F13"/>
    <w:rsid w:val="002A64C9"/>
    <w:rsid w:val="002B7F1A"/>
    <w:rsid w:val="002C2AA0"/>
    <w:rsid w:val="002C5DDB"/>
    <w:rsid w:val="002C7CF8"/>
    <w:rsid w:val="002D627D"/>
    <w:rsid w:val="002E4401"/>
    <w:rsid w:val="002E4635"/>
    <w:rsid w:val="002E5A94"/>
    <w:rsid w:val="002E5CC2"/>
    <w:rsid w:val="002E5DD9"/>
    <w:rsid w:val="002E75A5"/>
    <w:rsid w:val="002E79FF"/>
    <w:rsid w:val="002F3916"/>
    <w:rsid w:val="002F5570"/>
    <w:rsid w:val="002F631F"/>
    <w:rsid w:val="002F78FC"/>
    <w:rsid w:val="003008B5"/>
    <w:rsid w:val="003015D4"/>
    <w:rsid w:val="00302240"/>
    <w:rsid w:val="00307281"/>
    <w:rsid w:val="003109AB"/>
    <w:rsid w:val="00313666"/>
    <w:rsid w:val="003148AB"/>
    <w:rsid w:val="00321271"/>
    <w:rsid w:val="00323218"/>
    <w:rsid w:val="003256EC"/>
    <w:rsid w:val="00325E9C"/>
    <w:rsid w:val="003265BE"/>
    <w:rsid w:val="00327987"/>
    <w:rsid w:val="0033328A"/>
    <w:rsid w:val="00335D2C"/>
    <w:rsid w:val="00340D54"/>
    <w:rsid w:val="003425E0"/>
    <w:rsid w:val="00344FF0"/>
    <w:rsid w:val="00346C82"/>
    <w:rsid w:val="00350689"/>
    <w:rsid w:val="00353BD0"/>
    <w:rsid w:val="00354D72"/>
    <w:rsid w:val="00356D6B"/>
    <w:rsid w:val="0036080A"/>
    <w:rsid w:val="0036084F"/>
    <w:rsid w:val="0036354A"/>
    <w:rsid w:val="00364EE2"/>
    <w:rsid w:val="003663DA"/>
    <w:rsid w:val="00367275"/>
    <w:rsid w:val="0037172A"/>
    <w:rsid w:val="0037590D"/>
    <w:rsid w:val="00375982"/>
    <w:rsid w:val="00375DC9"/>
    <w:rsid w:val="00375FA9"/>
    <w:rsid w:val="00376742"/>
    <w:rsid w:val="0037691C"/>
    <w:rsid w:val="00377974"/>
    <w:rsid w:val="00380690"/>
    <w:rsid w:val="00383191"/>
    <w:rsid w:val="00386EE5"/>
    <w:rsid w:val="00387EB1"/>
    <w:rsid w:val="003912F0"/>
    <w:rsid w:val="00395B64"/>
    <w:rsid w:val="00397F3B"/>
    <w:rsid w:val="003A284A"/>
    <w:rsid w:val="003A2E80"/>
    <w:rsid w:val="003B1DAD"/>
    <w:rsid w:val="003B490B"/>
    <w:rsid w:val="003B4B7E"/>
    <w:rsid w:val="003B4BF8"/>
    <w:rsid w:val="003C1DDC"/>
    <w:rsid w:val="003C7ACB"/>
    <w:rsid w:val="003D0FFC"/>
    <w:rsid w:val="003D107B"/>
    <w:rsid w:val="003D52FF"/>
    <w:rsid w:val="003D6203"/>
    <w:rsid w:val="003D646C"/>
    <w:rsid w:val="003E3B14"/>
    <w:rsid w:val="003E515D"/>
    <w:rsid w:val="003F16A1"/>
    <w:rsid w:val="003F2B5C"/>
    <w:rsid w:val="003F5FAA"/>
    <w:rsid w:val="003F6692"/>
    <w:rsid w:val="003F7D48"/>
    <w:rsid w:val="00400DAC"/>
    <w:rsid w:val="00403ACB"/>
    <w:rsid w:val="00406EAF"/>
    <w:rsid w:val="004104B1"/>
    <w:rsid w:val="00416DD5"/>
    <w:rsid w:val="004173A1"/>
    <w:rsid w:val="00426FF3"/>
    <w:rsid w:val="00432C3C"/>
    <w:rsid w:val="00433D81"/>
    <w:rsid w:val="00434D3A"/>
    <w:rsid w:val="0043554F"/>
    <w:rsid w:val="00440BC5"/>
    <w:rsid w:val="00440D84"/>
    <w:rsid w:val="00441D2D"/>
    <w:rsid w:val="00447554"/>
    <w:rsid w:val="00450268"/>
    <w:rsid w:val="0045045F"/>
    <w:rsid w:val="00462AE2"/>
    <w:rsid w:val="00463AE5"/>
    <w:rsid w:val="00471F35"/>
    <w:rsid w:val="00474462"/>
    <w:rsid w:val="0048469A"/>
    <w:rsid w:val="00493C26"/>
    <w:rsid w:val="00494CF8"/>
    <w:rsid w:val="00494EE5"/>
    <w:rsid w:val="004A040B"/>
    <w:rsid w:val="004A1C42"/>
    <w:rsid w:val="004A70AB"/>
    <w:rsid w:val="004B1BA6"/>
    <w:rsid w:val="004B3849"/>
    <w:rsid w:val="004C10E0"/>
    <w:rsid w:val="004C19E4"/>
    <w:rsid w:val="004C6168"/>
    <w:rsid w:val="004C792E"/>
    <w:rsid w:val="004C7E3C"/>
    <w:rsid w:val="004D196B"/>
    <w:rsid w:val="004D539B"/>
    <w:rsid w:val="004D58FD"/>
    <w:rsid w:val="004E1B40"/>
    <w:rsid w:val="004E1BDE"/>
    <w:rsid w:val="004E3F7E"/>
    <w:rsid w:val="004F0A9B"/>
    <w:rsid w:val="004F1CAE"/>
    <w:rsid w:val="004F3729"/>
    <w:rsid w:val="004F3E5C"/>
    <w:rsid w:val="00500C76"/>
    <w:rsid w:val="00500F1B"/>
    <w:rsid w:val="005040BA"/>
    <w:rsid w:val="005050B1"/>
    <w:rsid w:val="005057C4"/>
    <w:rsid w:val="00505CE1"/>
    <w:rsid w:val="00506769"/>
    <w:rsid w:val="0050676D"/>
    <w:rsid w:val="005128D3"/>
    <w:rsid w:val="0051340C"/>
    <w:rsid w:val="00513864"/>
    <w:rsid w:val="00514521"/>
    <w:rsid w:val="00514884"/>
    <w:rsid w:val="00516987"/>
    <w:rsid w:val="00516A57"/>
    <w:rsid w:val="00517477"/>
    <w:rsid w:val="00524537"/>
    <w:rsid w:val="005255B7"/>
    <w:rsid w:val="005256F1"/>
    <w:rsid w:val="00525BB0"/>
    <w:rsid w:val="00526308"/>
    <w:rsid w:val="00530142"/>
    <w:rsid w:val="00530AD1"/>
    <w:rsid w:val="00531E31"/>
    <w:rsid w:val="00532516"/>
    <w:rsid w:val="00537687"/>
    <w:rsid w:val="005465D3"/>
    <w:rsid w:val="00551BD5"/>
    <w:rsid w:val="005555F7"/>
    <w:rsid w:val="00556188"/>
    <w:rsid w:val="00556DD9"/>
    <w:rsid w:val="00565353"/>
    <w:rsid w:val="00566E06"/>
    <w:rsid w:val="005671F1"/>
    <w:rsid w:val="00567317"/>
    <w:rsid w:val="0056763E"/>
    <w:rsid w:val="00570DA0"/>
    <w:rsid w:val="00572042"/>
    <w:rsid w:val="00572117"/>
    <w:rsid w:val="005822C6"/>
    <w:rsid w:val="00583F7A"/>
    <w:rsid w:val="0058531B"/>
    <w:rsid w:val="005915CD"/>
    <w:rsid w:val="005A02E7"/>
    <w:rsid w:val="005A09CA"/>
    <w:rsid w:val="005A4DF1"/>
    <w:rsid w:val="005A509A"/>
    <w:rsid w:val="005A6567"/>
    <w:rsid w:val="005A71B3"/>
    <w:rsid w:val="005B10B9"/>
    <w:rsid w:val="005B33B5"/>
    <w:rsid w:val="005B513C"/>
    <w:rsid w:val="005B66E6"/>
    <w:rsid w:val="005B7D7F"/>
    <w:rsid w:val="005C26FC"/>
    <w:rsid w:val="005C4416"/>
    <w:rsid w:val="005D0109"/>
    <w:rsid w:val="005D11E3"/>
    <w:rsid w:val="005D1896"/>
    <w:rsid w:val="005D425E"/>
    <w:rsid w:val="005D4C7A"/>
    <w:rsid w:val="005D5727"/>
    <w:rsid w:val="005D71FA"/>
    <w:rsid w:val="005E0EAE"/>
    <w:rsid w:val="005E122E"/>
    <w:rsid w:val="005E413C"/>
    <w:rsid w:val="005E4C2E"/>
    <w:rsid w:val="005E4FB9"/>
    <w:rsid w:val="005E75E0"/>
    <w:rsid w:val="005F09F5"/>
    <w:rsid w:val="005F0EBD"/>
    <w:rsid w:val="005F154F"/>
    <w:rsid w:val="005F1F97"/>
    <w:rsid w:val="005F3941"/>
    <w:rsid w:val="005F5660"/>
    <w:rsid w:val="005F5F5D"/>
    <w:rsid w:val="005F63F8"/>
    <w:rsid w:val="00603377"/>
    <w:rsid w:val="006054A8"/>
    <w:rsid w:val="006055BF"/>
    <w:rsid w:val="00607803"/>
    <w:rsid w:val="0061100A"/>
    <w:rsid w:val="006132FD"/>
    <w:rsid w:val="0061342F"/>
    <w:rsid w:val="00613D3A"/>
    <w:rsid w:val="00613FDC"/>
    <w:rsid w:val="00615143"/>
    <w:rsid w:val="00617BAD"/>
    <w:rsid w:val="00617C33"/>
    <w:rsid w:val="00622B9A"/>
    <w:rsid w:val="00624BD9"/>
    <w:rsid w:val="006252C9"/>
    <w:rsid w:val="00627D1C"/>
    <w:rsid w:val="00630B71"/>
    <w:rsid w:val="0063283B"/>
    <w:rsid w:val="006341E3"/>
    <w:rsid w:val="00636D60"/>
    <w:rsid w:val="00641595"/>
    <w:rsid w:val="00643C61"/>
    <w:rsid w:val="006477B4"/>
    <w:rsid w:val="006533D2"/>
    <w:rsid w:val="00654CA4"/>
    <w:rsid w:val="00666F39"/>
    <w:rsid w:val="0066756A"/>
    <w:rsid w:val="00671407"/>
    <w:rsid w:val="006778E6"/>
    <w:rsid w:val="00683BBE"/>
    <w:rsid w:val="00683C65"/>
    <w:rsid w:val="00690E27"/>
    <w:rsid w:val="00697EF3"/>
    <w:rsid w:val="00697FA5"/>
    <w:rsid w:val="006A212C"/>
    <w:rsid w:val="006A2BF3"/>
    <w:rsid w:val="006A4A41"/>
    <w:rsid w:val="006A54CE"/>
    <w:rsid w:val="006A75CB"/>
    <w:rsid w:val="006B2CBD"/>
    <w:rsid w:val="006C1BE9"/>
    <w:rsid w:val="006C6C83"/>
    <w:rsid w:val="006C7C23"/>
    <w:rsid w:val="006E547D"/>
    <w:rsid w:val="006E6ECE"/>
    <w:rsid w:val="006E76CA"/>
    <w:rsid w:val="006F30AA"/>
    <w:rsid w:val="006F582F"/>
    <w:rsid w:val="006F668C"/>
    <w:rsid w:val="006F747A"/>
    <w:rsid w:val="00706438"/>
    <w:rsid w:val="007106B3"/>
    <w:rsid w:val="007121AC"/>
    <w:rsid w:val="00714A1F"/>
    <w:rsid w:val="00716AFC"/>
    <w:rsid w:val="007205A0"/>
    <w:rsid w:val="00720804"/>
    <w:rsid w:val="007211F3"/>
    <w:rsid w:val="007217C4"/>
    <w:rsid w:val="00723C16"/>
    <w:rsid w:val="00724F55"/>
    <w:rsid w:val="007276F3"/>
    <w:rsid w:val="00731C7E"/>
    <w:rsid w:val="00737488"/>
    <w:rsid w:val="007375D1"/>
    <w:rsid w:val="00737633"/>
    <w:rsid w:val="00740919"/>
    <w:rsid w:val="007415E6"/>
    <w:rsid w:val="00741B7E"/>
    <w:rsid w:val="00746E42"/>
    <w:rsid w:val="007473DA"/>
    <w:rsid w:val="007505AE"/>
    <w:rsid w:val="007512F2"/>
    <w:rsid w:val="00753D2E"/>
    <w:rsid w:val="007600CE"/>
    <w:rsid w:val="00761BB0"/>
    <w:rsid w:val="007629D2"/>
    <w:rsid w:val="00763D5E"/>
    <w:rsid w:val="00764222"/>
    <w:rsid w:val="00770639"/>
    <w:rsid w:val="00776FA4"/>
    <w:rsid w:val="007772A7"/>
    <w:rsid w:val="00781116"/>
    <w:rsid w:val="007816EE"/>
    <w:rsid w:val="007816FB"/>
    <w:rsid w:val="00781BCB"/>
    <w:rsid w:val="0078272D"/>
    <w:rsid w:val="00782BDC"/>
    <w:rsid w:val="0078575D"/>
    <w:rsid w:val="007911E0"/>
    <w:rsid w:val="007919F5"/>
    <w:rsid w:val="00792649"/>
    <w:rsid w:val="0079354A"/>
    <w:rsid w:val="00793B7F"/>
    <w:rsid w:val="00794155"/>
    <w:rsid w:val="00794788"/>
    <w:rsid w:val="007948FB"/>
    <w:rsid w:val="0079753E"/>
    <w:rsid w:val="00797AB7"/>
    <w:rsid w:val="007A12DC"/>
    <w:rsid w:val="007B0414"/>
    <w:rsid w:val="007B1D08"/>
    <w:rsid w:val="007B23FE"/>
    <w:rsid w:val="007B3F69"/>
    <w:rsid w:val="007B48C4"/>
    <w:rsid w:val="007C0738"/>
    <w:rsid w:val="007C094A"/>
    <w:rsid w:val="007C1DA7"/>
    <w:rsid w:val="007C2849"/>
    <w:rsid w:val="007C30E3"/>
    <w:rsid w:val="007D16A8"/>
    <w:rsid w:val="007D1E8F"/>
    <w:rsid w:val="007D537F"/>
    <w:rsid w:val="007D70FE"/>
    <w:rsid w:val="007E122A"/>
    <w:rsid w:val="007E17F7"/>
    <w:rsid w:val="007E28E2"/>
    <w:rsid w:val="007E322B"/>
    <w:rsid w:val="007E5237"/>
    <w:rsid w:val="007E69AF"/>
    <w:rsid w:val="007E774B"/>
    <w:rsid w:val="007F1109"/>
    <w:rsid w:val="007F36B1"/>
    <w:rsid w:val="007F37BF"/>
    <w:rsid w:val="008013FA"/>
    <w:rsid w:val="00801F3D"/>
    <w:rsid w:val="00804059"/>
    <w:rsid w:val="008046F8"/>
    <w:rsid w:val="00804B35"/>
    <w:rsid w:val="0080567E"/>
    <w:rsid w:val="00806D21"/>
    <w:rsid w:val="0081227D"/>
    <w:rsid w:val="00812D5C"/>
    <w:rsid w:val="00813DDB"/>
    <w:rsid w:val="008153B3"/>
    <w:rsid w:val="00835BF6"/>
    <w:rsid w:val="008422A0"/>
    <w:rsid w:val="00843864"/>
    <w:rsid w:val="00847385"/>
    <w:rsid w:val="008519B3"/>
    <w:rsid w:val="00853772"/>
    <w:rsid w:val="008607C3"/>
    <w:rsid w:val="00863D67"/>
    <w:rsid w:val="00864AB3"/>
    <w:rsid w:val="00867054"/>
    <w:rsid w:val="0087690F"/>
    <w:rsid w:val="0087718E"/>
    <w:rsid w:val="00882744"/>
    <w:rsid w:val="00882F96"/>
    <w:rsid w:val="00882FCD"/>
    <w:rsid w:val="00884ADC"/>
    <w:rsid w:val="008900E0"/>
    <w:rsid w:val="0089042A"/>
    <w:rsid w:val="00891AA7"/>
    <w:rsid w:val="008934B0"/>
    <w:rsid w:val="00894FD4"/>
    <w:rsid w:val="00895159"/>
    <w:rsid w:val="00895CFC"/>
    <w:rsid w:val="008974D4"/>
    <w:rsid w:val="008A0EEE"/>
    <w:rsid w:val="008A0F5C"/>
    <w:rsid w:val="008A1EB3"/>
    <w:rsid w:val="008A2589"/>
    <w:rsid w:val="008A27F2"/>
    <w:rsid w:val="008A3D4F"/>
    <w:rsid w:val="008A4850"/>
    <w:rsid w:val="008B1539"/>
    <w:rsid w:val="008B2102"/>
    <w:rsid w:val="008B378C"/>
    <w:rsid w:val="008B3835"/>
    <w:rsid w:val="008C091F"/>
    <w:rsid w:val="008C321C"/>
    <w:rsid w:val="008C3521"/>
    <w:rsid w:val="008C3B34"/>
    <w:rsid w:val="008C6463"/>
    <w:rsid w:val="008D33FF"/>
    <w:rsid w:val="008D62B0"/>
    <w:rsid w:val="008D6C8E"/>
    <w:rsid w:val="008D6DAD"/>
    <w:rsid w:val="008E15CA"/>
    <w:rsid w:val="008E3B62"/>
    <w:rsid w:val="008E3FC5"/>
    <w:rsid w:val="008E48CD"/>
    <w:rsid w:val="008E7C10"/>
    <w:rsid w:val="008F0716"/>
    <w:rsid w:val="008F2032"/>
    <w:rsid w:val="008F2C12"/>
    <w:rsid w:val="008F379A"/>
    <w:rsid w:val="008F56A3"/>
    <w:rsid w:val="008F610B"/>
    <w:rsid w:val="008F63E0"/>
    <w:rsid w:val="00901F38"/>
    <w:rsid w:val="00902482"/>
    <w:rsid w:val="00902529"/>
    <w:rsid w:val="00904A46"/>
    <w:rsid w:val="009134B8"/>
    <w:rsid w:val="009149EA"/>
    <w:rsid w:val="00914B9B"/>
    <w:rsid w:val="00915D39"/>
    <w:rsid w:val="00921BD0"/>
    <w:rsid w:val="0092409A"/>
    <w:rsid w:val="00926690"/>
    <w:rsid w:val="009278BC"/>
    <w:rsid w:val="0093050C"/>
    <w:rsid w:val="009317FE"/>
    <w:rsid w:val="00935DA9"/>
    <w:rsid w:val="00936096"/>
    <w:rsid w:val="009411E9"/>
    <w:rsid w:val="00942917"/>
    <w:rsid w:val="00943B16"/>
    <w:rsid w:val="00945AA4"/>
    <w:rsid w:val="00945EC5"/>
    <w:rsid w:val="00947F1D"/>
    <w:rsid w:val="0095106F"/>
    <w:rsid w:val="00954343"/>
    <w:rsid w:val="009571C0"/>
    <w:rsid w:val="009603FD"/>
    <w:rsid w:val="00963CBD"/>
    <w:rsid w:val="00964107"/>
    <w:rsid w:val="00967D21"/>
    <w:rsid w:val="00970A8A"/>
    <w:rsid w:val="00970AFD"/>
    <w:rsid w:val="0097265C"/>
    <w:rsid w:val="0097281C"/>
    <w:rsid w:val="009766D5"/>
    <w:rsid w:val="00977845"/>
    <w:rsid w:val="00977F56"/>
    <w:rsid w:val="009813D3"/>
    <w:rsid w:val="00982CF2"/>
    <w:rsid w:val="009835C3"/>
    <w:rsid w:val="00985563"/>
    <w:rsid w:val="009857EE"/>
    <w:rsid w:val="00987760"/>
    <w:rsid w:val="00990368"/>
    <w:rsid w:val="009916E7"/>
    <w:rsid w:val="00992921"/>
    <w:rsid w:val="00995420"/>
    <w:rsid w:val="009966ED"/>
    <w:rsid w:val="009978B8"/>
    <w:rsid w:val="009A1EBC"/>
    <w:rsid w:val="009A2118"/>
    <w:rsid w:val="009A2AEA"/>
    <w:rsid w:val="009B0C8C"/>
    <w:rsid w:val="009B5C23"/>
    <w:rsid w:val="009C65F0"/>
    <w:rsid w:val="009C7996"/>
    <w:rsid w:val="009D1B31"/>
    <w:rsid w:val="009D38C5"/>
    <w:rsid w:val="009D4143"/>
    <w:rsid w:val="009D4EF6"/>
    <w:rsid w:val="009D630E"/>
    <w:rsid w:val="009D67CA"/>
    <w:rsid w:val="009E2038"/>
    <w:rsid w:val="009E31C9"/>
    <w:rsid w:val="009E5ACB"/>
    <w:rsid w:val="009E7AFC"/>
    <w:rsid w:val="009E7FD0"/>
    <w:rsid w:val="009F0DF1"/>
    <w:rsid w:val="00A010EC"/>
    <w:rsid w:val="00A02A9C"/>
    <w:rsid w:val="00A02EA9"/>
    <w:rsid w:val="00A05C10"/>
    <w:rsid w:val="00A107EE"/>
    <w:rsid w:val="00A10B96"/>
    <w:rsid w:val="00A12DE4"/>
    <w:rsid w:val="00A13107"/>
    <w:rsid w:val="00A14278"/>
    <w:rsid w:val="00A1589C"/>
    <w:rsid w:val="00A207E4"/>
    <w:rsid w:val="00A22A3E"/>
    <w:rsid w:val="00A24AA0"/>
    <w:rsid w:val="00A2615D"/>
    <w:rsid w:val="00A265C0"/>
    <w:rsid w:val="00A31258"/>
    <w:rsid w:val="00A315BC"/>
    <w:rsid w:val="00A34EC3"/>
    <w:rsid w:val="00A35749"/>
    <w:rsid w:val="00A408D3"/>
    <w:rsid w:val="00A443E3"/>
    <w:rsid w:val="00A4694A"/>
    <w:rsid w:val="00A53947"/>
    <w:rsid w:val="00A55823"/>
    <w:rsid w:val="00A62EF9"/>
    <w:rsid w:val="00A632BD"/>
    <w:rsid w:val="00A65B4D"/>
    <w:rsid w:val="00A66CA5"/>
    <w:rsid w:val="00A67C16"/>
    <w:rsid w:val="00A710CB"/>
    <w:rsid w:val="00A726E0"/>
    <w:rsid w:val="00A73021"/>
    <w:rsid w:val="00A73DA9"/>
    <w:rsid w:val="00A74BFA"/>
    <w:rsid w:val="00A76C2D"/>
    <w:rsid w:val="00A76FE9"/>
    <w:rsid w:val="00A830BC"/>
    <w:rsid w:val="00A854CF"/>
    <w:rsid w:val="00A908DC"/>
    <w:rsid w:val="00A927C0"/>
    <w:rsid w:val="00A92B80"/>
    <w:rsid w:val="00A94276"/>
    <w:rsid w:val="00A94C92"/>
    <w:rsid w:val="00AA165F"/>
    <w:rsid w:val="00AA1B4B"/>
    <w:rsid w:val="00AA1EF4"/>
    <w:rsid w:val="00AA1FD1"/>
    <w:rsid w:val="00AA3898"/>
    <w:rsid w:val="00AA631A"/>
    <w:rsid w:val="00AA6D47"/>
    <w:rsid w:val="00AB020C"/>
    <w:rsid w:val="00AB1A12"/>
    <w:rsid w:val="00AB6B50"/>
    <w:rsid w:val="00AC24FD"/>
    <w:rsid w:val="00AC25EB"/>
    <w:rsid w:val="00AC3015"/>
    <w:rsid w:val="00AC3534"/>
    <w:rsid w:val="00AC355C"/>
    <w:rsid w:val="00AC7C52"/>
    <w:rsid w:val="00AD0A41"/>
    <w:rsid w:val="00AE1A51"/>
    <w:rsid w:val="00AE2A08"/>
    <w:rsid w:val="00AE66A3"/>
    <w:rsid w:val="00AE6FFD"/>
    <w:rsid w:val="00AE79D9"/>
    <w:rsid w:val="00AE7B78"/>
    <w:rsid w:val="00AF09B9"/>
    <w:rsid w:val="00AF1FC8"/>
    <w:rsid w:val="00AF3701"/>
    <w:rsid w:val="00AF51CC"/>
    <w:rsid w:val="00AF5FD0"/>
    <w:rsid w:val="00AF61CA"/>
    <w:rsid w:val="00B0382C"/>
    <w:rsid w:val="00B058BC"/>
    <w:rsid w:val="00B0731D"/>
    <w:rsid w:val="00B1228D"/>
    <w:rsid w:val="00B128C8"/>
    <w:rsid w:val="00B13E3F"/>
    <w:rsid w:val="00B1512E"/>
    <w:rsid w:val="00B15615"/>
    <w:rsid w:val="00B16B63"/>
    <w:rsid w:val="00B20E33"/>
    <w:rsid w:val="00B232F2"/>
    <w:rsid w:val="00B257E1"/>
    <w:rsid w:val="00B2676C"/>
    <w:rsid w:val="00B26BA8"/>
    <w:rsid w:val="00B42DBA"/>
    <w:rsid w:val="00B43B9F"/>
    <w:rsid w:val="00B46FFB"/>
    <w:rsid w:val="00B47D5B"/>
    <w:rsid w:val="00B47F8A"/>
    <w:rsid w:val="00B50363"/>
    <w:rsid w:val="00B51EB2"/>
    <w:rsid w:val="00B5262B"/>
    <w:rsid w:val="00B53290"/>
    <w:rsid w:val="00B57945"/>
    <w:rsid w:val="00B60118"/>
    <w:rsid w:val="00B64A9F"/>
    <w:rsid w:val="00B6669B"/>
    <w:rsid w:val="00B66B3D"/>
    <w:rsid w:val="00B7278C"/>
    <w:rsid w:val="00B73AFA"/>
    <w:rsid w:val="00B764E5"/>
    <w:rsid w:val="00B7695E"/>
    <w:rsid w:val="00B804CC"/>
    <w:rsid w:val="00B81649"/>
    <w:rsid w:val="00B900B7"/>
    <w:rsid w:val="00B93DF3"/>
    <w:rsid w:val="00B94417"/>
    <w:rsid w:val="00B95A55"/>
    <w:rsid w:val="00B95E45"/>
    <w:rsid w:val="00B9633E"/>
    <w:rsid w:val="00B96DE5"/>
    <w:rsid w:val="00B97483"/>
    <w:rsid w:val="00BA0047"/>
    <w:rsid w:val="00BA2206"/>
    <w:rsid w:val="00BA26E4"/>
    <w:rsid w:val="00BA4738"/>
    <w:rsid w:val="00BA48C2"/>
    <w:rsid w:val="00BA622F"/>
    <w:rsid w:val="00BB207A"/>
    <w:rsid w:val="00BB3BA1"/>
    <w:rsid w:val="00BB60C2"/>
    <w:rsid w:val="00BB64C2"/>
    <w:rsid w:val="00BB6A9F"/>
    <w:rsid w:val="00BB74E4"/>
    <w:rsid w:val="00BC0F9F"/>
    <w:rsid w:val="00BC2852"/>
    <w:rsid w:val="00BC2B37"/>
    <w:rsid w:val="00BC39F8"/>
    <w:rsid w:val="00BC5BD0"/>
    <w:rsid w:val="00BD0339"/>
    <w:rsid w:val="00BD7EF5"/>
    <w:rsid w:val="00BE3F1E"/>
    <w:rsid w:val="00BE7281"/>
    <w:rsid w:val="00BE7E31"/>
    <w:rsid w:val="00BF35ED"/>
    <w:rsid w:val="00BF5B53"/>
    <w:rsid w:val="00BF6A03"/>
    <w:rsid w:val="00C020F3"/>
    <w:rsid w:val="00C035E1"/>
    <w:rsid w:val="00C04B69"/>
    <w:rsid w:val="00C059CB"/>
    <w:rsid w:val="00C05B0A"/>
    <w:rsid w:val="00C05F4B"/>
    <w:rsid w:val="00C06AF8"/>
    <w:rsid w:val="00C12833"/>
    <w:rsid w:val="00C13899"/>
    <w:rsid w:val="00C32224"/>
    <w:rsid w:val="00C324F1"/>
    <w:rsid w:val="00C34154"/>
    <w:rsid w:val="00C34472"/>
    <w:rsid w:val="00C352F9"/>
    <w:rsid w:val="00C3691A"/>
    <w:rsid w:val="00C418EB"/>
    <w:rsid w:val="00C42F90"/>
    <w:rsid w:val="00C4591F"/>
    <w:rsid w:val="00C517DE"/>
    <w:rsid w:val="00C54EF7"/>
    <w:rsid w:val="00C55BEE"/>
    <w:rsid w:val="00C56E53"/>
    <w:rsid w:val="00C62F7E"/>
    <w:rsid w:val="00C6441E"/>
    <w:rsid w:val="00C729AF"/>
    <w:rsid w:val="00C73C5E"/>
    <w:rsid w:val="00C74248"/>
    <w:rsid w:val="00C803FD"/>
    <w:rsid w:val="00C80707"/>
    <w:rsid w:val="00C8176C"/>
    <w:rsid w:val="00C818E5"/>
    <w:rsid w:val="00C84AAD"/>
    <w:rsid w:val="00C9210D"/>
    <w:rsid w:val="00C96F94"/>
    <w:rsid w:val="00C97F06"/>
    <w:rsid w:val="00CA0E3C"/>
    <w:rsid w:val="00CA1197"/>
    <w:rsid w:val="00CA1B73"/>
    <w:rsid w:val="00CA71AD"/>
    <w:rsid w:val="00CB0D6C"/>
    <w:rsid w:val="00CB2497"/>
    <w:rsid w:val="00CB7C1D"/>
    <w:rsid w:val="00CC325A"/>
    <w:rsid w:val="00CC3372"/>
    <w:rsid w:val="00CC3791"/>
    <w:rsid w:val="00CC489B"/>
    <w:rsid w:val="00CC6563"/>
    <w:rsid w:val="00CD3276"/>
    <w:rsid w:val="00CD391F"/>
    <w:rsid w:val="00CD4A21"/>
    <w:rsid w:val="00CE2FE9"/>
    <w:rsid w:val="00CE475D"/>
    <w:rsid w:val="00CE5EDC"/>
    <w:rsid w:val="00CE6D31"/>
    <w:rsid w:val="00CE7DE1"/>
    <w:rsid w:val="00CF1DF0"/>
    <w:rsid w:val="00CF50D7"/>
    <w:rsid w:val="00CF5204"/>
    <w:rsid w:val="00CF652C"/>
    <w:rsid w:val="00D005CE"/>
    <w:rsid w:val="00D0132A"/>
    <w:rsid w:val="00D0268B"/>
    <w:rsid w:val="00D0629C"/>
    <w:rsid w:val="00D07AB0"/>
    <w:rsid w:val="00D07EA3"/>
    <w:rsid w:val="00D119DC"/>
    <w:rsid w:val="00D177A0"/>
    <w:rsid w:val="00D17B25"/>
    <w:rsid w:val="00D21D27"/>
    <w:rsid w:val="00D22D82"/>
    <w:rsid w:val="00D2530F"/>
    <w:rsid w:val="00D300E0"/>
    <w:rsid w:val="00D34FC4"/>
    <w:rsid w:val="00D42813"/>
    <w:rsid w:val="00D502A9"/>
    <w:rsid w:val="00D5505D"/>
    <w:rsid w:val="00D641B1"/>
    <w:rsid w:val="00D663F2"/>
    <w:rsid w:val="00D671C1"/>
    <w:rsid w:val="00D7011B"/>
    <w:rsid w:val="00D70A93"/>
    <w:rsid w:val="00D70B4B"/>
    <w:rsid w:val="00D7456D"/>
    <w:rsid w:val="00D74E04"/>
    <w:rsid w:val="00D82309"/>
    <w:rsid w:val="00D830CC"/>
    <w:rsid w:val="00D871D2"/>
    <w:rsid w:val="00D87644"/>
    <w:rsid w:val="00D95C29"/>
    <w:rsid w:val="00D96AC2"/>
    <w:rsid w:val="00DA0BB5"/>
    <w:rsid w:val="00DA0E23"/>
    <w:rsid w:val="00DA1200"/>
    <w:rsid w:val="00DA1922"/>
    <w:rsid w:val="00DA4344"/>
    <w:rsid w:val="00DA6635"/>
    <w:rsid w:val="00DA799C"/>
    <w:rsid w:val="00DB03EE"/>
    <w:rsid w:val="00DB09C7"/>
    <w:rsid w:val="00DB0A4D"/>
    <w:rsid w:val="00DB17BB"/>
    <w:rsid w:val="00DB2462"/>
    <w:rsid w:val="00DB7ADF"/>
    <w:rsid w:val="00DC5063"/>
    <w:rsid w:val="00DD0BD9"/>
    <w:rsid w:val="00DD0FF0"/>
    <w:rsid w:val="00DD145D"/>
    <w:rsid w:val="00DD1ED7"/>
    <w:rsid w:val="00DD30F0"/>
    <w:rsid w:val="00DD487C"/>
    <w:rsid w:val="00DD4EA0"/>
    <w:rsid w:val="00DD5441"/>
    <w:rsid w:val="00DE1B28"/>
    <w:rsid w:val="00DE2D4D"/>
    <w:rsid w:val="00DE6255"/>
    <w:rsid w:val="00DE6A9C"/>
    <w:rsid w:val="00DF24B5"/>
    <w:rsid w:val="00DF4322"/>
    <w:rsid w:val="00DF4679"/>
    <w:rsid w:val="00E00353"/>
    <w:rsid w:val="00E015E6"/>
    <w:rsid w:val="00E02DA6"/>
    <w:rsid w:val="00E07631"/>
    <w:rsid w:val="00E12630"/>
    <w:rsid w:val="00E14D57"/>
    <w:rsid w:val="00E14F8E"/>
    <w:rsid w:val="00E1540A"/>
    <w:rsid w:val="00E1789C"/>
    <w:rsid w:val="00E17A0A"/>
    <w:rsid w:val="00E2066A"/>
    <w:rsid w:val="00E22918"/>
    <w:rsid w:val="00E23383"/>
    <w:rsid w:val="00E23822"/>
    <w:rsid w:val="00E27AE7"/>
    <w:rsid w:val="00E36218"/>
    <w:rsid w:val="00E36D88"/>
    <w:rsid w:val="00E37212"/>
    <w:rsid w:val="00E43A3C"/>
    <w:rsid w:val="00E43D0F"/>
    <w:rsid w:val="00E45B96"/>
    <w:rsid w:val="00E45E3C"/>
    <w:rsid w:val="00E46B50"/>
    <w:rsid w:val="00E51C96"/>
    <w:rsid w:val="00E52E6E"/>
    <w:rsid w:val="00E56282"/>
    <w:rsid w:val="00E600E4"/>
    <w:rsid w:val="00E60389"/>
    <w:rsid w:val="00E61957"/>
    <w:rsid w:val="00E625E3"/>
    <w:rsid w:val="00E63CCD"/>
    <w:rsid w:val="00E65E09"/>
    <w:rsid w:val="00E667C8"/>
    <w:rsid w:val="00E669F3"/>
    <w:rsid w:val="00E70BA0"/>
    <w:rsid w:val="00E7140A"/>
    <w:rsid w:val="00E74F9F"/>
    <w:rsid w:val="00E759D3"/>
    <w:rsid w:val="00E76F45"/>
    <w:rsid w:val="00E8137D"/>
    <w:rsid w:val="00E82673"/>
    <w:rsid w:val="00E835D1"/>
    <w:rsid w:val="00E83716"/>
    <w:rsid w:val="00E85DB0"/>
    <w:rsid w:val="00E862E4"/>
    <w:rsid w:val="00E91685"/>
    <w:rsid w:val="00E943BE"/>
    <w:rsid w:val="00EA3F7E"/>
    <w:rsid w:val="00EA63CE"/>
    <w:rsid w:val="00EB0BCA"/>
    <w:rsid w:val="00EB0D0D"/>
    <w:rsid w:val="00EB18B4"/>
    <w:rsid w:val="00EB3C17"/>
    <w:rsid w:val="00EB4305"/>
    <w:rsid w:val="00EB439E"/>
    <w:rsid w:val="00EC4687"/>
    <w:rsid w:val="00EC52B5"/>
    <w:rsid w:val="00ED022C"/>
    <w:rsid w:val="00ED7A24"/>
    <w:rsid w:val="00EE0E8C"/>
    <w:rsid w:val="00EE1662"/>
    <w:rsid w:val="00EE3F73"/>
    <w:rsid w:val="00EE7C33"/>
    <w:rsid w:val="00EF1383"/>
    <w:rsid w:val="00EF2376"/>
    <w:rsid w:val="00EF3E10"/>
    <w:rsid w:val="00EF661C"/>
    <w:rsid w:val="00F05BB8"/>
    <w:rsid w:val="00F112C0"/>
    <w:rsid w:val="00F120B3"/>
    <w:rsid w:val="00F12FFE"/>
    <w:rsid w:val="00F1392F"/>
    <w:rsid w:val="00F16F3A"/>
    <w:rsid w:val="00F1764E"/>
    <w:rsid w:val="00F244E2"/>
    <w:rsid w:val="00F26276"/>
    <w:rsid w:val="00F30C66"/>
    <w:rsid w:val="00F30EC4"/>
    <w:rsid w:val="00F33115"/>
    <w:rsid w:val="00F3322E"/>
    <w:rsid w:val="00F332B3"/>
    <w:rsid w:val="00F34127"/>
    <w:rsid w:val="00F3584E"/>
    <w:rsid w:val="00F35D08"/>
    <w:rsid w:val="00F3682E"/>
    <w:rsid w:val="00F37BCA"/>
    <w:rsid w:val="00F41AAB"/>
    <w:rsid w:val="00F4582A"/>
    <w:rsid w:val="00F47C5D"/>
    <w:rsid w:val="00F50E41"/>
    <w:rsid w:val="00F519AB"/>
    <w:rsid w:val="00F65154"/>
    <w:rsid w:val="00F730B0"/>
    <w:rsid w:val="00F76002"/>
    <w:rsid w:val="00F76EDD"/>
    <w:rsid w:val="00F80F2F"/>
    <w:rsid w:val="00F8215A"/>
    <w:rsid w:val="00F8289E"/>
    <w:rsid w:val="00F90E46"/>
    <w:rsid w:val="00F91A4E"/>
    <w:rsid w:val="00F9280A"/>
    <w:rsid w:val="00FA0EBA"/>
    <w:rsid w:val="00FA5C8E"/>
    <w:rsid w:val="00FA6700"/>
    <w:rsid w:val="00FA6B1F"/>
    <w:rsid w:val="00FB203E"/>
    <w:rsid w:val="00FB29EA"/>
    <w:rsid w:val="00FB3404"/>
    <w:rsid w:val="00FB570C"/>
    <w:rsid w:val="00FB5B00"/>
    <w:rsid w:val="00FB6D89"/>
    <w:rsid w:val="00FB751B"/>
    <w:rsid w:val="00FB7FDC"/>
    <w:rsid w:val="00FC053E"/>
    <w:rsid w:val="00FC2E31"/>
    <w:rsid w:val="00FC2FF8"/>
    <w:rsid w:val="00FC38F8"/>
    <w:rsid w:val="00FC4B9C"/>
    <w:rsid w:val="00FC6FAB"/>
    <w:rsid w:val="00FC780C"/>
    <w:rsid w:val="00FD2AAD"/>
    <w:rsid w:val="00FD33D5"/>
    <w:rsid w:val="00FD5B99"/>
    <w:rsid w:val="00FD61BA"/>
    <w:rsid w:val="00FD6E0A"/>
    <w:rsid w:val="00FE16CD"/>
    <w:rsid w:val="00FE2882"/>
    <w:rsid w:val="00FF141B"/>
    <w:rsid w:val="00FF1A20"/>
    <w:rsid w:val="00FF2163"/>
    <w:rsid w:val="00FF54A2"/>
    <w:rsid w:val="00FF59C6"/>
    <w:rsid w:val="00FF7361"/>
  </w:rsids>
  <m:mathPr>
    <m:mathFont m:val="Cambria Math"/>
    <m:brkBin m:val="before"/>
    <m:brkBinSub m:val="--"/>
    <m:smallFrac m:val="0"/>
    <m:dispDef/>
    <m:lMargin m:val="0"/>
    <m:rMargin m:val="0"/>
    <m:defJc m:val="centerGroup"/>
    <m:wrapIndent m:val="1440"/>
    <m:intLim m:val="subSup"/>
    <m:naryLim m:val="undOvr"/>
  </m:mathPr>
  <w:themeFontLang w:val="nb-NO"/>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48D0D192"/>
  <w15:docId w15:val="{C5AEE5A3-95BF-4A83-9448-046E3C8AA5B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nb-NO" w:eastAsia="nb-NO"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pPr>
      <w:spacing w:line="360" w:lineRule="auto"/>
    </w:pPr>
    <w:rPr>
      <w:rFonts w:ascii="DepCentury Old Style" w:hAnsi="DepCentury Old Style"/>
      <w:sz w:val="24"/>
    </w:rPr>
  </w:style>
  <w:style w:type="paragraph" w:styleId="Overskrift1">
    <w:name w:val="heading 1"/>
    <w:next w:val="Normal"/>
    <w:qFormat/>
    <w:rsid w:val="007217C4"/>
    <w:pPr>
      <w:keepNext/>
      <w:keepLines/>
      <w:numPr>
        <w:numId w:val="3"/>
      </w:numPr>
      <w:spacing w:before="240" w:after="120"/>
      <w:outlineLvl w:val="0"/>
    </w:pPr>
    <w:rPr>
      <w:rFonts w:ascii="DepCentury Old Style" w:hAnsi="DepCentury Old Style"/>
      <w:b/>
      <w:caps/>
      <w:kern w:val="28"/>
      <w:sz w:val="24"/>
    </w:rPr>
  </w:style>
  <w:style w:type="paragraph" w:styleId="Overskrift2">
    <w:name w:val="heading 2"/>
    <w:basedOn w:val="Overskrift1"/>
    <w:next w:val="Normal"/>
    <w:qFormat/>
    <w:pPr>
      <w:numPr>
        <w:ilvl w:val="1"/>
        <w:numId w:val="4"/>
      </w:numPr>
      <w:ind w:left="567" w:hanging="567"/>
      <w:outlineLvl w:val="1"/>
    </w:pPr>
    <w:rPr>
      <w:caps w:val="0"/>
    </w:rPr>
  </w:style>
  <w:style w:type="paragraph" w:styleId="Overskrift3">
    <w:name w:val="heading 3"/>
    <w:basedOn w:val="Overskrift2"/>
    <w:next w:val="Normal"/>
    <w:qFormat/>
    <w:rsid w:val="007E17F7"/>
    <w:pPr>
      <w:numPr>
        <w:ilvl w:val="2"/>
        <w:numId w:val="5"/>
      </w:numPr>
      <w:ind w:left="567" w:hanging="567"/>
      <w:outlineLvl w:val="2"/>
    </w:pPr>
  </w:style>
  <w:style w:type="paragraph" w:styleId="Overskrift4">
    <w:name w:val="heading 4"/>
    <w:basedOn w:val="Overskrift3"/>
    <w:next w:val="Normal"/>
    <w:qFormat/>
    <w:rsid w:val="00DB03EE"/>
    <w:pPr>
      <w:numPr>
        <w:ilvl w:val="3"/>
        <w:numId w:val="6"/>
      </w:numPr>
      <w:ind w:left="851" w:hanging="851"/>
      <w:outlineLvl w:val="3"/>
    </w:pPr>
  </w:style>
  <w:style w:type="paragraph" w:styleId="Overskrift5">
    <w:name w:val="heading 5"/>
    <w:basedOn w:val="Overskrift3"/>
    <w:next w:val="Normal"/>
    <w:qFormat/>
    <w:pPr>
      <w:numPr>
        <w:ilvl w:val="4"/>
        <w:numId w:val="7"/>
      </w:numPr>
      <w:ind w:hanging="1134"/>
      <w:outlineLvl w:val="4"/>
    </w:pPr>
  </w:style>
  <w:style w:type="paragraph" w:styleId="Overskrift6">
    <w:name w:val="heading 6"/>
    <w:basedOn w:val="Overskrift3"/>
    <w:next w:val="Normal"/>
    <w:qFormat/>
    <w:pPr>
      <w:numPr>
        <w:ilvl w:val="5"/>
        <w:numId w:val="8"/>
      </w:numPr>
      <w:outlineLvl w:val="5"/>
    </w:pPr>
  </w:style>
  <w:style w:type="paragraph" w:styleId="Overskrift7">
    <w:name w:val="heading 7"/>
    <w:basedOn w:val="Overskrift6"/>
    <w:next w:val="Normal"/>
    <w:qFormat/>
    <w:pPr>
      <w:numPr>
        <w:ilvl w:val="6"/>
        <w:numId w:val="9"/>
      </w:numPr>
      <w:outlineLvl w:val="6"/>
    </w:pPr>
  </w:style>
  <w:style w:type="paragraph" w:styleId="Overskrift8">
    <w:name w:val="heading 8"/>
    <w:basedOn w:val="Overskrift6"/>
    <w:next w:val="Normal"/>
    <w:qFormat/>
    <w:pPr>
      <w:numPr>
        <w:ilvl w:val="7"/>
        <w:numId w:val="10"/>
      </w:numPr>
      <w:outlineLvl w:val="7"/>
    </w:pPr>
  </w:style>
  <w:style w:type="paragraph" w:styleId="Overskrift9">
    <w:name w:val="heading 9"/>
    <w:basedOn w:val="Overskrift6"/>
    <w:next w:val="Normal"/>
    <w:qFormat/>
    <w:pPr>
      <w:numPr>
        <w:ilvl w:val="8"/>
        <w:numId w:val="11"/>
      </w:numPr>
      <w:tabs>
        <w:tab w:val="num" w:pos="360"/>
      </w:tabs>
      <w:outlineLvl w:val="8"/>
    </w:pPr>
  </w:style>
  <w:style w:type="character" w:default="1" w:styleId="Standardskriftforavsnitt">
    <w:name w:val="Default Paragraph Font"/>
    <w:uiPriority w:val="1"/>
    <w:semiHidden/>
    <w:unhideWhenUsed/>
  </w:style>
  <w:style w:type="table" w:default="1" w:styleId="Vanligtabell">
    <w:name w:val="Normal Table"/>
    <w:uiPriority w:val="99"/>
    <w:semiHidden/>
    <w:unhideWhenUsed/>
    <w:tblPr>
      <w:tblInd w:w="0" w:type="dxa"/>
      <w:tblCellMar>
        <w:top w:w="0" w:type="dxa"/>
        <w:left w:w="108" w:type="dxa"/>
        <w:bottom w:w="0" w:type="dxa"/>
        <w:right w:w="108" w:type="dxa"/>
      </w:tblCellMar>
    </w:tblPr>
  </w:style>
  <w:style w:type="numbering" w:default="1" w:styleId="Ingenliste">
    <w:name w:val="No List"/>
    <w:uiPriority w:val="99"/>
    <w:semiHidden/>
    <w:unhideWhenUsed/>
  </w:style>
  <w:style w:type="paragraph" w:styleId="Tittel">
    <w:name w:val="Title"/>
    <w:next w:val="Normal"/>
    <w:qFormat/>
    <w:pPr>
      <w:spacing w:after="120"/>
      <w:jc w:val="center"/>
    </w:pPr>
    <w:rPr>
      <w:rFonts w:ascii="DepCentury Old Style" w:hAnsi="DepCentury Old Style"/>
      <w:b/>
      <w:caps/>
      <w:kern w:val="28"/>
      <w:sz w:val="24"/>
    </w:rPr>
  </w:style>
  <w:style w:type="paragraph" w:styleId="INNH1">
    <w:name w:val="toc 1"/>
    <w:basedOn w:val="Normal"/>
    <w:next w:val="Normal"/>
    <w:uiPriority w:val="39"/>
    <w:qFormat/>
    <w:pPr>
      <w:tabs>
        <w:tab w:val="right" w:leader="dot" w:pos="9071"/>
      </w:tabs>
    </w:pPr>
  </w:style>
  <w:style w:type="paragraph" w:customStyle="1" w:styleId="Innrykk1">
    <w:name w:val="Innrykk_1"/>
    <w:basedOn w:val="Normal"/>
    <w:pPr>
      <w:ind w:left="567"/>
    </w:pPr>
  </w:style>
  <w:style w:type="paragraph" w:customStyle="1" w:styleId="Innrykk2">
    <w:name w:val="Innrykk_2"/>
    <w:basedOn w:val="Normal"/>
    <w:pPr>
      <w:ind w:left="1134"/>
    </w:pPr>
  </w:style>
  <w:style w:type="paragraph" w:styleId="Nummerertliste">
    <w:name w:val="List Number"/>
    <w:basedOn w:val="Normal"/>
    <w:pPr>
      <w:ind w:left="567" w:hanging="567"/>
    </w:pPr>
  </w:style>
  <w:style w:type="paragraph" w:customStyle="1" w:styleId="Nummerliste2">
    <w:name w:val="Nummerliste_2"/>
    <w:basedOn w:val="Nummerertliste"/>
  </w:style>
  <w:style w:type="paragraph" w:customStyle="1" w:styleId="DepHeading">
    <w:name w:val="DepHeading"/>
    <w:basedOn w:val="Normal"/>
    <w:pPr>
      <w:spacing w:before="20"/>
      <w:jc w:val="center"/>
    </w:pPr>
    <w:rPr>
      <w:b/>
      <w:color w:val="000000"/>
      <w:spacing w:val="10"/>
      <w:kern w:val="2"/>
      <w:sz w:val="23"/>
    </w:rPr>
  </w:style>
  <w:style w:type="paragraph" w:customStyle="1" w:styleId="Nummerliste3">
    <w:name w:val="Nummerliste_3"/>
    <w:basedOn w:val="Nummerliste2"/>
  </w:style>
  <w:style w:type="paragraph" w:customStyle="1" w:styleId="Nummerlisteluft">
    <w:name w:val="Nummerliste_luft"/>
    <w:basedOn w:val="Nummerertliste"/>
    <w:pPr>
      <w:spacing w:after="240"/>
    </w:pPr>
  </w:style>
  <w:style w:type="paragraph" w:customStyle="1" w:styleId="Nummerliste2luft">
    <w:name w:val="Nummerliste_2_luft"/>
    <w:basedOn w:val="Nummerliste2"/>
    <w:pPr>
      <w:spacing w:after="240"/>
    </w:pPr>
  </w:style>
  <w:style w:type="paragraph" w:customStyle="1" w:styleId="Nummerliste3luft">
    <w:name w:val="Nummerliste_3_luft"/>
    <w:basedOn w:val="Nummerliste3"/>
    <w:pPr>
      <w:spacing w:after="240"/>
    </w:pPr>
  </w:style>
  <w:style w:type="paragraph" w:styleId="INNH2">
    <w:name w:val="toc 2"/>
    <w:basedOn w:val="Normal"/>
    <w:next w:val="Normal"/>
    <w:uiPriority w:val="39"/>
    <w:qFormat/>
    <w:pPr>
      <w:tabs>
        <w:tab w:val="right" w:leader="dot" w:pos="9071"/>
      </w:tabs>
      <w:ind w:left="567"/>
    </w:pPr>
  </w:style>
  <w:style w:type="paragraph" w:styleId="INNH3">
    <w:name w:val="toc 3"/>
    <w:basedOn w:val="Normal"/>
    <w:next w:val="Normal"/>
    <w:uiPriority w:val="39"/>
    <w:qFormat/>
    <w:pPr>
      <w:tabs>
        <w:tab w:val="right" w:leader="dot" w:pos="9071"/>
      </w:tabs>
      <w:ind w:left="567"/>
    </w:pPr>
  </w:style>
  <w:style w:type="paragraph" w:styleId="INNH4">
    <w:name w:val="toc 4"/>
    <w:basedOn w:val="Normal"/>
    <w:next w:val="Normal"/>
    <w:uiPriority w:val="39"/>
    <w:pPr>
      <w:tabs>
        <w:tab w:val="right" w:leader="dot" w:pos="9071"/>
      </w:tabs>
      <w:ind w:left="1134"/>
    </w:pPr>
  </w:style>
  <w:style w:type="paragraph" w:styleId="INNH5">
    <w:name w:val="toc 5"/>
    <w:basedOn w:val="Normal"/>
    <w:next w:val="Normal"/>
    <w:semiHidden/>
    <w:pPr>
      <w:tabs>
        <w:tab w:val="right" w:leader="dot" w:pos="9071"/>
      </w:tabs>
      <w:ind w:left="1134"/>
    </w:pPr>
  </w:style>
  <w:style w:type="paragraph" w:styleId="INNH6">
    <w:name w:val="toc 6"/>
    <w:basedOn w:val="Normal"/>
    <w:next w:val="Normal"/>
    <w:semiHidden/>
    <w:pPr>
      <w:tabs>
        <w:tab w:val="right" w:leader="dot" w:pos="9071"/>
      </w:tabs>
      <w:ind w:left="1000"/>
    </w:pPr>
  </w:style>
  <w:style w:type="paragraph" w:styleId="INNH7">
    <w:name w:val="toc 7"/>
    <w:basedOn w:val="Normal"/>
    <w:next w:val="Normal"/>
    <w:semiHidden/>
    <w:pPr>
      <w:tabs>
        <w:tab w:val="right" w:leader="dot" w:pos="9071"/>
      </w:tabs>
      <w:ind w:left="1200"/>
    </w:pPr>
  </w:style>
  <w:style w:type="paragraph" w:styleId="INNH8">
    <w:name w:val="toc 8"/>
    <w:basedOn w:val="Normal"/>
    <w:next w:val="Normal"/>
    <w:semiHidden/>
    <w:pPr>
      <w:tabs>
        <w:tab w:val="right" w:leader="dot" w:pos="9071"/>
      </w:tabs>
      <w:ind w:left="1400"/>
    </w:pPr>
  </w:style>
  <w:style w:type="paragraph" w:styleId="INNH9">
    <w:name w:val="toc 9"/>
    <w:basedOn w:val="Normal"/>
    <w:next w:val="Normal"/>
    <w:semiHidden/>
    <w:pPr>
      <w:tabs>
        <w:tab w:val="right" w:leader="dot" w:pos="9071"/>
      </w:tabs>
      <w:ind w:left="1600"/>
    </w:pPr>
  </w:style>
  <w:style w:type="paragraph" w:styleId="Bunntekst">
    <w:name w:val="footer"/>
    <w:link w:val="BunntekstTegn"/>
    <w:uiPriority w:val="99"/>
    <w:pPr>
      <w:tabs>
        <w:tab w:val="right" w:pos="9072"/>
      </w:tabs>
      <w:spacing w:line="240" w:lineRule="exact"/>
    </w:pPr>
    <w:rPr>
      <w:rFonts w:ascii="DepCentury Old Style" w:hAnsi="DepCentury Old Style"/>
    </w:rPr>
  </w:style>
  <w:style w:type="paragraph" w:styleId="Bildetekst">
    <w:name w:val="caption"/>
    <w:basedOn w:val="Normal"/>
    <w:next w:val="Normal"/>
    <w:qFormat/>
    <w:pPr>
      <w:spacing w:before="120" w:after="120"/>
    </w:pPr>
    <w:rPr>
      <w:b/>
    </w:rPr>
  </w:style>
  <w:style w:type="paragraph" w:customStyle="1" w:styleId="Nummerfortlpende">
    <w:name w:val="Nummer fortløpende"/>
    <w:basedOn w:val="Normal"/>
    <w:next w:val="Normal"/>
    <w:pPr>
      <w:ind w:left="567" w:hanging="567"/>
    </w:pPr>
  </w:style>
  <w:style w:type="paragraph" w:styleId="Topptekst">
    <w:name w:val="header"/>
    <w:basedOn w:val="Normal"/>
    <w:pPr>
      <w:tabs>
        <w:tab w:val="center" w:pos="4536"/>
      </w:tabs>
      <w:spacing w:line="240" w:lineRule="auto"/>
      <w:ind w:left="-1701" w:right="-1134"/>
    </w:pPr>
    <w:rPr>
      <w:sz w:val="20"/>
    </w:rPr>
  </w:style>
  <w:style w:type="paragraph" w:customStyle="1" w:styleId="Brevtittel">
    <w:name w:val="Brevtittel"/>
    <w:basedOn w:val="Normal"/>
    <w:next w:val="Normal"/>
    <w:pPr>
      <w:spacing w:after="240"/>
    </w:pPr>
    <w:rPr>
      <w:b/>
    </w:rPr>
  </w:style>
  <w:style w:type="paragraph" w:customStyle="1" w:styleId="Vedlegg">
    <w:name w:val="Vedlegg"/>
    <w:next w:val="Normal"/>
    <w:pPr>
      <w:spacing w:after="120"/>
      <w:ind w:left="1701" w:hanging="1701"/>
      <w:jc w:val="both"/>
    </w:pPr>
    <w:rPr>
      <w:rFonts w:ascii="DepCentury Old Style" w:hAnsi="DepCentury Old Style"/>
      <w:sz w:val="24"/>
    </w:rPr>
  </w:style>
  <w:style w:type="paragraph" w:styleId="Figurliste">
    <w:name w:val="table of figures"/>
    <w:basedOn w:val="Normal"/>
    <w:next w:val="Normal"/>
    <w:semiHidden/>
    <w:pPr>
      <w:tabs>
        <w:tab w:val="right" w:leader="dot" w:pos="9071"/>
      </w:tabs>
      <w:ind w:left="567" w:hanging="567"/>
    </w:pPr>
  </w:style>
  <w:style w:type="paragraph" w:styleId="Makrotekst">
    <w:name w:val="macro"/>
    <w:semiHidden/>
    <w:pPr>
      <w:tabs>
        <w:tab w:val="left" w:pos="480"/>
        <w:tab w:val="left" w:pos="960"/>
        <w:tab w:val="left" w:pos="1440"/>
        <w:tab w:val="left" w:pos="1920"/>
        <w:tab w:val="left" w:pos="2400"/>
        <w:tab w:val="left" w:pos="2880"/>
        <w:tab w:val="left" w:pos="3360"/>
        <w:tab w:val="left" w:pos="3840"/>
        <w:tab w:val="left" w:pos="4320"/>
      </w:tabs>
    </w:pPr>
    <w:rPr>
      <w:rFonts w:ascii="Courier New" w:hAnsi="Courier New"/>
    </w:rPr>
  </w:style>
  <w:style w:type="character" w:styleId="Merknadsreferanse">
    <w:name w:val="annotation reference"/>
    <w:semiHidden/>
    <w:rsid w:val="00103A12"/>
    <w:rPr>
      <w:sz w:val="16"/>
      <w:szCs w:val="16"/>
    </w:rPr>
  </w:style>
  <w:style w:type="paragraph" w:styleId="Meldingshode">
    <w:name w:val="Message Header"/>
    <w:basedOn w:val="Normal"/>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rPr>
  </w:style>
  <w:style w:type="paragraph" w:styleId="Undertittel">
    <w:name w:val="Subtitle"/>
    <w:basedOn w:val="Normal"/>
    <w:qFormat/>
    <w:pPr>
      <w:spacing w:after="60"/>
      <w:jc w:val="center"/>
    </w:pPr>
  </w:style>
  <w:style w:type="paragraph" w:customStyle="1" w:styleId="DepKode">
    <w:name w:val="DepKode"/>
    <w:basedOn w:val="Normal"/>
    <w:pPr>
      <w:spacing w:before="80"/>
      <w:jc w:val="center"/>
    </w:pPr>
    <w:rPr>
      <w:rFonts w:ascii="Arial" w:hAnsi="Arial"/>
      <w:b/>
      <w:caps/>
      <w:color w:val="FFFFFF"/>
      <w:sz w:val="26"/>
    </w:rPr>
  </w:style>
  <w:style w:type="paragraph" w:customStyle="1" w:styleId="liste1">
    <w:name w:val="liste 1"/>
    <w:basedOn w:val="Liste"/>
  </w:style>
  <w:style w:type="paragraph" w:styleId="Liste">
    <w:name w:val="List"/>
    <w:basedOn w:val="Normal"/>
    <w:pPr>
      <w:ind w:left="283" w:hanging="283"/>
    </w:pPr>
  </w:style>
  <w:style w:type="paragraph" w:customStyle="1" w:styleId="NummerNiv1">
    <w:name w:val="NummerNivå 1"/>
    <w:basedOn w:val="Nummerlisteluft"/>
    <w:pPr>
      <w:spacing w:after="120"/>
    </w:pPr>
  </w:style>
  <w:style w:type="character" w:styleId="Sidetall">
    <w:name w:val="page number"/>
    <w:basedOn w:val="Standardskriftforavsnitt"/>
  </w:style>
  <w:style w:type="paragraph" w:styleId="Merknadstekst">
    <w:name w:val="annotation text"/>
    <w:basedOn w:val="Normal"/>
    <w:link w:val="MerknadstekstTegn"/>
    <w:semiHidden/>
    <w:rsid w:val="00103A12"/>
    <w:rPr>
      <w:sz w:val="20"/>
    </w:rPr>
  </w:style>
  <w:style w:type="paragraph" w:styleId="Kommentaremne">
    <w:name w:val="annotation subject"/>
    <w:basedOn w:val="Merknadstekst"/>
    <w:next w:val="Merknadstekst"/>
    <w:semiHidden/>
    <w:rsid w:val="00103A12"/>
    <w:rPr>
      <w:b/>
      <w:bCs/>
    </w:rPr>
  </w:style>
  <w:style w:type="paragraph" w:styleId="Bobletekst">
    <w:name w:val="Balloon Text"/>
    <w:basedOn w:val="Normal"/>
    <w:semiHidden/>
    <w:rsid w:val="00103A12"/>
    <w:rPr>
      <w:rFonts w:ascii="Tahoma" w:hAnsi="Tahoma" w:cs="Tahoma"/>
      <w:sz w:val="16"/>
      <w:szCs w:val="16"/>
    </w:rPr>
  </w:style>
  <w:style w:type="character" w:customStyle="1" w:styleId="BunntekstTegn">
    <w:name w:val="Bunntekst Tegn"/>
    <w:link w:val="Bunntekst"/>
    <w:uiPriority w:val="99"/>
    <w:rsid w:val="00FF7361"/>
    <w:rPr>
      <w:rFonts w:ascii="DepCentury Old Style" w:hAnsi="DepCentury Old Style"/>
    </w:rPr>
  </w:style>
  <w:style w:type="paragraph" w:styleId="Overskriftforinnholdsfortegnelse">
    <w:name w:val="TOC Heading"/>
    <w:basedOn w:val="Overskrift1"/>
    <w:next w:val="Normal"/>
    <w:uiPriority w:val="39"/>
    <w:semiHidden/>
    <w:unhideWhenUsed/>
    <w:qFormat/>
    <w:rsid w:val="00B73AFA"/>
    <w:pPr>
      <w:numPr>
        <w:numId w:val="0"/>
      </w:numPr>
      <w:spacing w:before="480" w:after="0" w:line="276" w:lineRule="auto"/>
      <w:outlineLvl w:val="9"/>
    </w:pPr>
    <w:rPr>
      <w:rFonts w:asciiTheme="majorHAnsi" w:eastAsiaTheme="majorEastAsia" w:hAnsiTheme="majorHAnsi" w:cstheme="majorBidi"/>
      <w:bCs/>
      <w:caps w:val="0"/>
      <w:color w:val="365F91" w:themeColor="accent1" w:themeShade="BF"/>
      <w:kern w:val="0"/>
      <w:sz w:val="28"/>
      <w:szCs w:val="28"/>
    </w:rPr>
  </w:style>
  <w:style w:type="character" w:styleId="Hyperkobling">
    <w:name w:val="Hyperlink"/>
    <w:basedOn w:val="Standardskriftforavsnitt"/>
    <w:uiPriority w:val="99"/>
    <w:unhideWhenUsed/>
    <w:rsid w:val="00B73AFA"/>
    <w:rPr>
      <w:color w:val="0000FF" w:themeColor="hyperlink"/>
      <w:u w:val="single"/>
    </w:rPr>
  </w:style>
  <w:style w:type="character" w:styleId="Plassholdertekst">
    <w:name w:val="Placeholder Text"/>
    <w:basedOn w:val="Standardskriftforavsnitt"/>
    <w:uiPriority w:val="99"/>
    <w:semiHidden/>
    <w:rsid w:val="00A443E3"/>
    <w:rPr>
      <w:color w:val="808080"/>
    </w:rPr>
  </w:style>
  <w:style w:type="character" w:customStyle="1" w:styleId="strtngtuth">
    <w:name w:val="strtngt_uth"/>
    <w:basedOn w:val="Standardskriftforavsnitt"/>
    <w:rsid w:val="00C06AF8"/>
  </w:style>
  <w:style w:type="paragraph" w:styleId="NormalWeb">
    <w:name w:val="Normal (Web)"/>
    <w:basedOn w:val="Normal"/>
    <w:uiPriority w:val="99"/>
    <w:unhideWhenUsed/>
    <w:rsid w:val="00194FE2"/>
    <w:pPr>
      <w:spacing w:before="100" w:beforeAutospacing="1" w:after="100" w:afterAutospacing="1" w:line="240" w:lineRule="auto"/>
    </w:pPr>
    <w:rPr>
      <w:rFonts w:ascii="Times New Roman" w:hAnsi="Times New Roman"/>
      <w:szCs w:val="24"/>
    </w:rPr>
  </w:style>
  <w:style w:type="paragraph" w:styleId="Sitat">
    <w:name w:val="Quote"/>
    <w:basedOn w:val="Normal"/>
    <w:next w:val="Normal"/>
    <w:link w:val="SitatTegn"/>
    <w:uiPriority w:val="29"/>
    <w:qFormat/>
    <w:rsid w:val="00F12FFE"/>
    <w:pPr>
      <w:spacing w:before="200" w:after="160"/>
      <w:ind w:left="864" w:right="864"/>
      <w:jc w:val="center"/>
    </w:pPr>
    <w:rPr>
      <w:i/>
      <w:iCs/>
      <w:color w:val="404040" w:themeColor="text1" w:themeTint="BF"/>
    </w:rPr>
  </w:style>
  <w:style w:type="character" w:customStyle="1" w:styleId="SitatTegn">
    <w:name w:val="Sitat Tegn"/>
    <w:basedOn w:val="Standardskriftforavsnitt"/>
    <w:link w:val="Sitat"/>
    <w:uiPriority w:val="29"/>
    <w:rsid w:val="00F12FFE"/>
    <w:rPr>
      <w:rFonts w:ascii="DepCentury Old Style" w:hAnsi="DepCentury Old Style"/>
      <w:i/>
      <w:iCs/>
      <w:color w:val="404040" w:themeColor="text1" w:themeTint="BF"/>
      <w:sz w:val="24"/>
    </w:rPr>
  </w:style>
  <w:style w:type="paragraph" w:styleId="Listeavsnitt">
    <w:name w:val="List Paragraph"/>
    <w:basedOn w:val="Normal"/>
    <w:uiPriority w:val="34"/>
    <w:qFormat/>
    <w:rsid w:val="005057C4"/>
    <w:pPr>
      <w:ind w:left="720"/>
      <w:contextualSpacing/>
    </w:pPr>
  </w:style>
  <w:style w:type="paragraph" w:styleId="Sterktsitat">
    <w:name w:val="Intense Quote"/>
    <w:basedOn w:val="Normal"/>
    <w:next w:val="Normal"/>
    <w:link w:val="SterktsitatTegn"/>
    <w:uiPriority w:val="30"/>
    <w:qFormat/>
    <w:rsid w:val="002C2AA0"/>
    <w:pPr>
      <w:pBdr>
        <w:top w:val="single" w:sz="4" w:space="10" w:color="4F81BD" w:themeColor="accent1"/>
        <w:bottom w:val="single" w:sz="4" w:space="10" w:color="4F81BD" w:themeColor="accent1"/>
      </w:pBdr>
      <w:spacing w:before="360" w:after="360"/>
      <w:ind w:left="864" w:right="864"/>
      <w:jc w:val="center"/>
    </w:pPr>
    <w:rPr>
      <w:i/>
      <w:iCs/>
      <w:color w:val="4F81BD" w:themeColor="accent1"/>
    </w:rPr>
  </w:style>
  <w:style w:type="character" w:customStyle="1" w:styleId="SterktsitatTegn">
    <w:name w:val="Sterkt sitat Tegn"/>
    <w:basedOn w:val="Standardskriftforavsnitt"/>
    <w:link w:val="Sterktsitat"/>
    <w:uiPriority w:val="30"/>
    <w:rsid w:val="002C2AA0"/>
    <w:rPr>
      <w:rFonts w:ascii="DepCentury Old Style" w:hAnsi="DepCentury Old Style"/>
      <w:i/>
      <w:iCs/>
      <w:color w:val="4F81BD" w:themeColor="accent1"/>
      <w:sz w:val="24"/>
    </w:rPr>
  </w:style>
  <w:style w:type="paragraph" w:styleId="Brdtekst">
    <w:name w:val="Body Text"/>
    <w:basedOn w:val="Normal"/>
    <w:link w:val="BrdtekstTegn"/>
    <w:uiPriority w:val="99"/>
    <w:unhideWhenUsed/>
    <w:rsid w:val="001245E9"/>
    <w:pPr>
      <w:spacing w:after="120"/>
    </w:pPr>
  </w:style>
  <w:style w:type="character" w:customStyle="1" w:styleId="BrdtekstTegn">
    <w:name w:val="Brødtekst Tegn"/>
    <w:basedOn w:val="Standardskriftforavsnitt"/>
    <w:link w:val="Brdtekst"/>
    <w:uiPriority w:val="99"/>
    <w:rsid w:val="001245E9"/>
    <w:rPr>
      <w:rFonts w:ascii="DepCentury Old Style" w:hAnsi="DepCentury Old Style"/>
      <w:sz w:val="24"/>
    </w:rPr>
  </w:style>
  <w:style w:type="paragraph" w:styleId="Brdtekst-frsteinnrykk">
    <w:name w:val="Body Text First Indent"/>
    <w:basedOn w:val="Brdtekst"/>
    <w:link w:val="Brdtekst-frsteinnrykkTegn"/>
    <w:uiPriority w:val="99"/>
    <w:unhideWhenUsed/>
    <w:rsid w:val="001245E9"/>
    <w:pPr>
      <w:spacing w:after="0"/>
      <w:ind w:firstLine="360"/>
    </w:pPr>
  </w:style>
  <w:style w:type="character" w:customStyle="1" w:styleId="Brdtekst-frsteinnrykkTegn">
    <w:name w:val="Brødtekst - første innrykk Tegn"/>
    <w:basedOn w:val="BrdtekstTegn"/>
    <w:link w:val="Brdtekst-frsteinnrykk"/>
    <w:uiPriority w:val="99"/>
    <w:rsid w:val="001245E9"/>
    <w:rPr>
      <w:rFonts w:ascii="DepCentury Old Style" w:hAnsi="DepCentury Old Style"/>
      <w:sz w:val="24"/>
    </w:rPr>
  </w:style>
  <w:style w:type="paragraph" w:styleId="Brdtekstinnrykk">
    <w:name w:val="Body Text Indent"/>
    <w:basedOn w:val="Normal"/>
    <w:link w:val="BrdtekstinnrykkTegn"/>
    <w:uiPriority w:val="99"/>
    <w:semiHidden/>
    <w:unhideWhenUsed/>
    <w:rsid w:val="001245E9"/>
    <w:pPr>
      <w:spacing w:after="120"/>
      <w:ind w:left="283"/>
    </w:pPr>
  </w:style>
  <w:style w:type="character" w:customStyle="1" w:styleId="BrdtekstinnrykkTegn">
    <w:name w:val="Brødtekstinnrykk Tegn"/>
    <w:basedOn w:val="Standardskriftforavsnitt"/>
    <w:link w:val="Brdtekstinnrykk"/>
    <w:uiPriority w:val="99"/>
    <w:semiHidden/>
    <w:rsid w:val="001245E9"/>
    <w:rPr>
      <w:rFonts w:ascii="DepCentury Old Style" w:hAnsi="DepCentury Old Style"/>
      <w:sz w:val="24"/>
    </w:rPr>
  </w:style>
  <w:style w:type="paragraph" w:styleId="Brdtekst-frsteinnrykk2">
    <w:name w:val="Body Text First Indent 2"/>
    <w:basedOn w:val="Brdtekstinnrykk"/>
    <w:link w:val="Brdtekst-frsteinnrykk2Tegn"/>
    <w:uiPriority w:val="99"/>
    <w:unhideWhenUsed/>
    <w:rsid w:val="001245E9"/>
    <w:pPr>
      <w:spacing w:after="0"/>
      <w:ind w:left="360" w:firstLine="360"/>
    </w:pPr>
  </w:style>
  <w:style w:type="character" w:customStyle="1" w:styleId="Brdtekst-frsteinnrykk2Tegn">
    <w:name w:val="Brødtekst - første innrykk 2 Tegn"/>
    <w:basedOn w:val="BrdtekstinnrykkTegn"/>
    <w:link w:val="Brdtekst-frsteinnrykk2"/>
    <w:uiPriority w:val="99"/>
    <w:rsid w:val="001245E9"/>
    <w:rPr>
      <w:rFonts w:ascii="DepCentury Old Style" w:hAnsi="DepCentury Old Style"/>
      <w:sz w:val="24"/>
    </w:rPr>
  </w:style>
  <w:style w:type="paragraph" w:customStyle="1" w:styleId="Default">
    <w:name w:val="Default"/>
    <w:rsid w:val="00E943BE"/>
    <w:pPr>
      <w:autoSpaceDE w:val="0"/>
      <w:autoSpaceDN w:val="0"/>
      <w:adjustRightInd w:val="0"/>
    </w:pPr>
    <w:rPr>
      <w:rFonts w:ascii="Calibri" w:hAnsi="Calibri" w:cs="Calibri"/>
      <w:color w:val="000000"/>
      <w:sz w:val="24"/>
      <w:szCs w:val="24"/>
    </w:rPr>
  </w:style>
  <w:style w:type="paragraph" w:styleId="Revisjon">
    <w:name w:val="Revision"/>
    <w:hidden/>
    <w:uiPriority w:val="99"/>
    <w:semiHidden/>
    <w:rsid w:val="00100E9E"/>
    <w:rPr>
      <w:rFonts w:ascii="DepCentury Old Style" w:hAnsi="DepCentury Old Style"/>
      <w:sz w:val="24"/>
    </w:rPr>
  </w:style>
  <w:style w:type="character" w:customStyle="1" w:styleId="MerknadstekstTegn">
    <w:name w:val="Merknadstekst Tegn"/>
    <w:basedOn w:val="Standardskriftforavsnitt"/>
    <w:link w:val="Merknadstekst"/>
    <w:semiHidden/>
    <w:rsid w:val="00FB5B00"/>
    <w:rPr>
      <w:rFonts w:ascii="DepCentury Old Style" w:hAnsi="DepCentury Old Sty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56450991">
      <w:bodyDiv w:val="1"/>
      <w:marLeft w:val="0"/>
      <w:marRight w:val="0"/>
      <w:marTop w:val="0"/>
      <w:marBottom w:val="0"/>
      <w:divBdr>
        <w:top w:val="none" w:sz="0" w:space="0" w:color="auto"/>
        <w:left w:val="none" w:sz="0" w:space="0" w:color="auto"/>
        <w:bottom w:val="none" w:sz="0" w:space="0" w:color="auto"/>
        <w:right w:val="none" w:sz="0" w:space="0" w:color="auto"/>
      </w:divBdr>
    </w:div>
    <w:div w:id="358748983">
      <w:bodyDiv w:val="1"/>
      <w:marLeft w:val="0"/>
      <w:marRight w:val="0"/>
      <w:marTop w:val="0"/>
      <w:marBottom w:val="0"/>
      <w:divBdr>
        <w:top w:val="none" w:sz="0" w:space="0" w:color="auto"/>
        <w:left w:val="none" w:sz="0" w:space="0" w:color="auto"/>
        <w:bottom w:val="none" w:sz="0" w:space="0" w:color="auto"/>
        <w:right w:val="none" w:sz="0" w:space="0" w:color="auto"/>
      </w:divBdr>
    </w:div>
    <w:div w:id="513693981">
      <w:bodyDiv w:val="1"/>
      <w:marLeft w:val="0"/>
      <w:marRight w:val="0"/>
      <w:marTop w:val="0"/>
      <w:marBottom w:val="0"/>
      <w:divBdr>
        <w:top w:val="none" w:sz="0" w:space="0" w:color="auto"/>
        <w:left w:val="none" w:sz="0" w:space="0" w:color="auto"/>
        <w:bottom w:val="none" w:sz="0" w:space="0" w:color="auto"/>
        <w:right w:val="none" w:sz="0" w:space="0" w:color="auto"/>
      </w:divBdr>
    </w:div>
    <w:div w:id="597295941">
      <w:bodyDiv w:val="1"/>
      <w:marLeft w:val="0"/>
      <w:marRight w:val="0"/>
      <w:marTop w:val="0"/>
      <w:marBottom w:val="0"/>
      <w:divBdr>
        <w:top w:val="none" w:sz="0" w:space="0" w:color="auto"/>
        <w:left w:val="none" w:sz="0" w:space="0" w:color="auto"/>
        <w:bottom w:val="none" w:sz="0" w:space="0" w:color="auto"/>
        <w:right w:val="none" w:sz="0" w:space="0" w:color="auto"/>
      </w:divBdr>
    </w:div>
    <w:div w:id="627931699">
      <w:bodyDiv w:val="1"/>
      <w:marLeft w:val="0"/>
      <w:marRight w:val="0"/>
      <w:marTop w:val="0"/>
      <w:marBottom w:val="0"/>
      <w:divBdr>
        <w:top w:val="none" w:sz="0" w:space="0" w:color="auto"/>
        <w:left w:val="none" w:sz="0" w:space="0" w:color="auto"/>
        <w:bottom w:val="none" w:sz="0" w:space="0" w:color="auto"/>
        <w:right w:val="none" w:sz="0" w:space="0" w:color="auto"/>
      </w:divBdr>
    </w:div>
    <w:div w:id="676270875">
      <w:bodyDiv w:val="1"/>
      <w:marLeft w:val="0"/>
      <w:marRight w:val="0"/>
      <w:marTop w:val="0"/>
      <w:marBottom w:val="0"/>
      <w:divBdr>
        <w:top w:val="none" w:sz="0" w:space="0" w:color="auto"/>
        <w:left w:val="none" w:sz="0" w:space="0" w:color="auto"/>
        <w:bottom w:val="none" w:sz="0" w:space="0" w:color="auto"/>
        <w:right w:val="none" w:sz="0" w:space="0" w:color="auto"/>
      </w:divBdr>
    </w:div>
    <w:div w:id="749278869">
      <w:bodyDiv w:val="1"/>
      <w:marLeft w:val="0"/>
      <w:marRight w:val="0"/>
      <w:marTop w:val="0"/>
      <w:marBottom w:val="0"/>
      <w:divBdr>
        <w:top w:val="none" w:sz="0" w:space="0" w:color="auto"/>
        <w:left w:val="none" w:sz="0" w:space="0" w:color="auto"/>
        <w:bottom w:val="none" w:sz="0" w:space="0" w:color="auto"/>
        <w:right w:val="none" w:sz="0" w:space="0" w:color="auto"/>
      </w:divBdr>
    </w:div>
    <w:div w:id="788091514">
      <w:bodyDiv w:val="1"/>
      <w:marLeft w:val="0"/>
      <w:marRight w:val="0"/>
      <w:marTop w:val="0"/>
      <w:marBottom w:val="0"/>
      <w:divBdr>
        <w:top w:val="none" w:sz="0" w:space="0" w:color="auto"/>
        <w:left w:val="none" w:sz="0" w:space="0" w:color="auto"/>
        <w:bottom w:val="none" w:sz="0" w:space="0" w:color="auto"/>
        <w:right w:val="none" w:sz="0" w:space="0" w:color="auto"/>
      </w:divBdr>
    </w:div>
    <w:div w:id="1114329195">
      <w:bodyDiv w:val="1"/>
      <w:marLeft w:val="0"/>
      <w:marRight w:val="0"/>
      <w:marTop w:val="0"/>
      <w:marBottom w:val="0"/>
      <w:divBdr>
        <w:top w:val="none" w:sz="0" w:space="0" w:color="auto"/>
        <w:left w:val="none" w:sz="0" w:space="0" w:color="auto"/>
        <w:bottom w:val="none" w:sz="0" w:space="0" w:color="auto"/>
        <w:right w:val="none" w:sz="0" w:space="0" w:color="auto"/>
      </w:divBdr>
    </w:div>
    <w:div w:id="1500651919">
      <w:bodyDiv w:val="1"/>
      <w:marLeft w:val="0"/>
      <w:marRight w:val="0"/>
      <w:marTop w:val="0"/>
      <w:marBottom w:val="0"/>
      <w:divBdr>
        <w:top w:val="none" w:sz="0" w:space="0" w:color="auto"/>
        <w:left w:val="none" w:sz="0" w:space="0" w:color="auto"/>
        <w:bottom w:val="none" w:sz="0" w:space="0" w:color="auto"/>
        <w:right w:val="none" w:sz="0" w:space="0" w:color="auto"/>
      </w:divBdr>
      <w:divsChild>
        <w:div w:id="1127242058">
          <w:marLeft w:val="0"/>
          <w:marRight w:val="0"/>
          <w:marTop w:val="0"/>
          <w:marBottom w:val="0"/>
          <w:divBdr>
            <w:top w:val="none" w:sz="0" w:space="0" w:color="auto"/>
            <w:left w:val="none" w:sz="0" w:space="0" w:color="auto"/>
            <w:bottom w:val="none" w:sz="0" w:space="0" w:color="auto"/>
            <w:right w:val="none" w:sz="0" w:space="0" w:color="auto"/>
          </w:divBdr>
        </w:div>
        <w:div w:id="431827851">
          <w:marLeft w:val="0"/>
          <w:marRight w:val="0"/>
          <w:marTop w:val="0"/>
          <w:marBottom w:val="0"/>
          <w:divBdr>
            <w:top w:val="none" w:sz="0" w:space="0" w:color="auto"/>
            <w:left w:val="none" w:sz="0" w:space="0" w:color="auto"/>
            <w:bottom w:val="none" w:sz="0" w:space="0" w:color="auto"/>
            <w:right w:val="none" w:sz="0" w:space="0" w:color="auto"/>
          </w:divBdr>
        </w:div>
        <w:div w:id="459223883">
          <w:marLeft w:val="0"/>
          <w:marRight w:val="0"/>
          <w:marTop w:val="0"/>
          <w:marBottom w:val="0"/>
          <w:divBdr>
            <w:top w:val="none" w:sz="0" w:space="0" w:color="auto"/>
            <w:left w:val="none" w:sz="0" w:space="0" w:color="auto"/>
            <w:bottom w:val="none" w:sz="0" w:space="0" w:color="auto"/>
            <w:right w:val="none" w:sz="0" w:space="0" w:color="auto"/>
          </w:divBdr>
        </w:div>
      </w:divsChild>
    </w:div>
    <w:div w:id="1757243386">
      <w:bodyDiv w:val="1"/>
      <w:marLeft w:val="0"/>
      <w:marRight w:val="0"/>
      <w:marTop w:val="0"/>
      <w:marBottom w:val="0"/>
      <w:divBdr>
        <w:top w:val="none" w:sz="0" w:space="0" w:color="auto"/>
        <w:left w:val="none" w:sz="0" w:space="0" w:color="auto"/>
        <w:bottom w:val="none" w:sz="0" w:space="0" w:color="auto"/>
        <w:right w:val="none" w:sz="0" w:space="0" w:color="auto"/>
      </w:divBdr>
    </w:div>
    <w:div w:id="1977024904">
      <w:bodyDiv w:val="1"/>
      <w:marLeft w:val="0"/>
      <w:marRight w:val="0"/>
      <w:marTop w:val="0"/>
      <w:marBottom w:val="0"/>
      <w:divBdr>
        <w:top w:val="none" w:sz="0" w:space="0" w:color="auto"/>
        <w:left w:val="none" w:sz="0" w:space="0" w:color="auto"/>
        <w:bottom w:val="none" w:sz="0" w:space="0" w:color="auto"/>
        <w:right w:val="none" w:sz="0" w:space="0" w:color="auto"/>
      </w:divBdr>
    </w:div>
    <w:div w:id="1980911588">
      <w:bodyDiv w:val="1"/>
      <w:marLeft w:val="0"/>
      <w:marRight w:val="0"/>
      <w:marTop w:val="0"/>
      <w:marBottom w:val="0"/>
      <w:divBdr>
        <w:top w:val="none" w:sz="0" w:space="0" w:color="auto"/>
        <w:left w:val="none" w:sz="0" w:space="0" w:color="auto"/>
        <w:bottom w:val="none" w:sz="0" w:space="0" w:color="auto"/>
        <w:right w:val="none" w:sz="0" w:space="0" w:color="auto"/>
      </w:divBdr>
    </w:div>
    <w:div w:id="1998991068">
      <w:bodyDiv w:val="1"/>
      <w:marLeft w:val="0"/>
      <w:marRight w:val="0"/>
      <w:marTop w:val="0"/>
      <w:marBottom w:val="0"/>
      <w:divBdr>
        <w:top w:val="none" w:sz="0" w:space="0" w:color="auto"/>
        <w:left w:val="none" w:sz="0" w:space="0" w:color="auto"/>
        <w:bottom w:val="none" w:sz="0" w:space="0" w:color="auto"/>
        <w:right w:val="none" w:sz="0" w:space="0" w:color="auto"/>
      </w:divBdr>
    </w:div>
    <w:div w:id="2014526101">
      <w:bodyDiv w:val="1"/>
      <w:marLeft w:val="0"/>
      <w:marRight w:val="0"/>
      <w:marTop w:val="0"/>
      <w:marBottom w:val="0"/>
      <w:divBdr>
        <w:top w:val="none" w:sz="0" w:space="0" w:color="auto"/>
        <w:left w:val="none" w:sz="0" w:space="0" w:color="auto"/>
        <w:bottom w:val="none" w:sz="0" w:space="0" w:color="auto"/>
        <w:right w:val="none" w:sz="0" w:space="0" w:color="auto"/>
      </w:divBdr>
    </w:div>
    <w:div w:id="2018269303">
      <w:bodyDiv w:val="1"/>
      <w:marLeft w:val="0"/>
      <w:marRight w:val="0"/>
      <w:marTop w:val="0"/>
      <w:marBottom w:val="0"/>
      <w:divBdr>
        <w:top w:val="none" w:sz="0" w:space="0" w:color="auto"/>
        <w:left w:val="none" w:sz="0" w:space="0" w:color="auto"/>
        <w:bottom w:val="none" w:sz="0" w:space="0" w:color="auto"/>
        <w:right w:val="none" w:sz="0" w:space="0" w:color="auto"/>
      </w:divBdr>
    </w:div>
    <w:div w:id="2032027528">
      <w:bodyDiv w:val="1"/>
      <w:marLeft w:val="0"/>
      <w:marRight w:val="0"/>
      <w:marTop w:val="0"/>
      <w:marBottom w:val="0"/>
      <w:divBdr>
        <w:top w:val="none" w:sz="0" w:space="0" w:color="auto"/>
        <w:left w:val="none" w:sz="0" w:space="0" w:color="auto"/>
        <w:bottom w:val="none" w:sz="0" w:space="0" w:color="auto"/>
        <w:right w:val="none" w:sz="0" w:space="0" w:color="auto"/>
      </w:divBdr>
    </w:div>
    <w:div w:id="206340279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styles" Target="styl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numbering" Target="numbering.xml"/><Relationship Id="rId12" Type="http://schemas.openxmlformats.org/officeDocument/2006/relationships/endnotes" Target="endnotes.xml"/><Relationship Id="rId17" Type="http://schemas.openxmlformats.org/officeDocument/2006/relationships/theme" Target="theme/theme1.xml"/><Relationship Id="rId2" Type="http://schemas.openxmlformats.org/officeDocument/2006/relationships/customXml" Target="../customXml/item2.xml"/><Relationship Id="rId16" Type="http://schemas.openxmlformats.org/officeDocument/2006/relationships/fontTable" Target="fontTable.xml"/><Relationship Id="rId1" Type="http://schemas.openxmlformats.org/officeDocument/2006/relationships/customXml" Target="../customXml/item1.xml"/><Relationship Id="rId6" Type="http://schemas.openxmlformats.org/officeDocument/2006/relationships/customXml" Target="../customXml/item6.xml"/><Relationship Id="rId11" Type="http://schemas.openxmlformats.org/officeDocument/2006/relationships/footnotes" Target="footnotes.xml"/><Relationship Id="rId5" Type="http://schemas.openxmlformats.org/officeDocument/2006/relationships/customXml" Target="../customXml/item5.xml"/><Relationship Id="rId15" Type="http://schemas.openxmlformats.org/officeDocument/2006/relationships/hyperlink" Target="https://www.regjeringen.no/no/dokumenter/prop-112-l-20112012/id683412/?ch=9" TargetMode="External"/><Relationship Id="rId10" Type="http://schemas.openxmlformats.org/officeDocument/2006/relationships/webSettings" Target="webSettings.xml"/><Relationship Id="rId4" Type="http://schemas.openxmlformats.org/officeDocument/2006/relationships/customXml" Target="../customXml/item4.xml"/><Relationship Id="rId9" Type="http://schemas.openxmlformats.org/officeDocument/2006/relationships/settings" Target="settings.xml"/><Relationship Id="rId14"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1.emf"/></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_rels/item5.xml.rels><?xml version="1.0" encoding="UTF-8" standalone="yes"?>
<Relationships xmlns="http://schemas.openxmlformats.org/package/2006/relationships"><Relationship Id="rId1" Type="http://schemas.openxmlformats.org/officeDocument/2006/relationships/customXmlProps" Target="itemProps5.xml"/></Relationships>
</file>

<file path=customXml/_rels/item6.xml.rels><?xml version="1.0" encoding="UTF-8" standalone="yes"?>
<Relationships xmlns="http://schemas.openxmlformats.org/package/2006/relationships"><Relationship Id="rId1" Type="http://schemas.openxmlformats.org/officeDocument/2006/relationships/customXmlProps" Target="itemProps6.xml"/></Relationships>
</file>

<file path=customXml/item1.xml><?xml version="1.0" encoding="utf-8"?>
<document>
  <properties>
    <language/>
    <docs>
      <doc>
        <sdm_sdfid>5161382</sdm_sdfid>
        <sdm_watermark/>
      </doc>
    </docs>
    <showHiddenMark>False</showHiddenMark>
    <websakInfo>
      <fletteDato>06.06.2024</fletteDato>
      <sakid>2023008757</sakid>
      <jpid>2023044937</jpid>
      <filUnique>2906276</filUnique>
      <filChecksumFørFlett>f8RgYxWvndRtZsA6U99rAw==</filChecksumFørFlett>
      <erHoveddokument>True</erHoveddokument>
      <dcTitle>Høringsnotat - deling av opplysninger</dcTitle>
    </websakInfo>
    <sdm_dummy/>
    <templateURI>docx</templateURI>
    <mergeMode>MergeOne</mergeMode>
  </properties>
  <body>
    <Sas_ArkivSakID>24/2569</Sas_ArkivSakID>
  </body>
  <footer/>
  <header/>
</document>
</file>

<file path=customXml/item2.xml><?xml version="1.0" encoding="utf-8"?>
<b:Sources xmlns:b="http://schemas.openxmlformats.org/officeDocument/2006/bibliography" xmlns="http://schemas.openxmlformats.org/officeDocument/2006/bibliography" SelectedStyle="\APASixthEditionOfficeOnline.xsl" StyleName="APA" Version="6"/>
</file>

<file path=customXml/item3.xml><?xml version="1.0" encoding="utf-8"?>
<document>
  <properties>
    <language/>
    <mutualMergeSupport>False</mutualMergeSupport>
    <mergeMode>MergeOne</mergeMode>
    <showHiddenMark>False</showHiddenMark>
    <websakInfo>
      <fletteDato>07.04.2024</fletteDato>
      <sakid>2021001966</sakid>
      <jpid>2023013003</jpid>
      <filUnique>2750679</filUnique>
      <filChecksumFørFlett>WPJMNpnWZJrcLaTqBePgTw==</filChecksumFørFlett>
      <erHoveddokument>True</erHoveddokument>
      <dcTitle>Høringsnotat - tilgang til opplysninger fra NAV og a-ordningen for kommunale pensjonsordninger</dcTitle>
    </websakInfo>
    <sdm_dummy/>
    <templateURI>docx</templateURI>
    <docs>
      <doc>
        <sdm_sdfid>5066333</sdm_sdfid>
        <sdm_watermark/>
      </doc>
    </docs>
  </properties>
  <body>
    <Sas_ArkivSakID>21/1966</Sas_ArkivSakID>
  </body>
  <footer/>
  <header/>
</document>
</file>

<file path=customXml/item4.xml><?xml version="1.0" encoding="utf-8"?>
<document>
  <properties>
    <language/>
    <docs>
      <doc>
        <sdm_sdfid>5161382</sdm_sdfid>
        <sdm_watermark/>
      </doc>
    </docs>
    <showHiddenMark>False</showHiddenMark>
    <websakInfo>
      <fletteDato>01.06.2024</fletteDato>
      <sakid>2023008757</sakid>
      <jpid>2023044937</jpid>
      <filUnique>2906276</filUnique>
      <filChecksumFørFlett>Wk3Ax6F5C+wgWv30ZsiU0g==</filChecksumFørFlett>
      <erHoveddokument>True</erHoveddokument>
      <dcTitle>Høringsnotat - deling av opplysninger</dcTitle>
    </websakInfo>
    <sdm_dummy/>
    <templateURI>docx</templateURI>
    <mergeMode>MergeOne</mergeMode>
  </properties>
  <body>
    <Sas_ArkivSakID>24/2569</Sas_ArkivSakID>
  </body>
  <footer/>
  <header/>
</document>
</file>

<file path=customXml/item5.xml><?xml version="1.0" encoding="utf-8"?>
<document>
  <properties>
    <language/>
    <docs>
      <doc>
        <sdm_sdfid>5161382</sdm_sdfid>
        <sdm_watermark/>
      </doc>
    </docs>
    <showHiddenMark>False</showHiddenMark>
    <websakInfo>
      <fletteDato>05.06.2024</fletteDato>
      <sakid>2023008757</sakid>
      <jpid>2023044937</jpid>
      <filUnique>2906276</filUnique>
      <filChecksumFørFlett>FIZjTVIf1hxm4Ui5FD0ysQ==</filChecksumFørFlett>
      <erHoveddokument>True</erHoveddokument>
      <dcTitle>Høringsnotat - deling av opplysninger</dcTitle>
    </websakInfo>
    <sdm_dummy/>
    <templateURI>docx</templateURI>
    <mergeMode>MergeOne</mergeMode>
  </properties>
  <body>
    <Sas_ArkivSakID>24/2569</Sas_ArkivSakID>
  </body>
  <footer/>
  <header/>
</document>
</file>

<file path=customXml/item6.xml><?xml version="1.0" encoding="utf-8"?>
<document>
  <properties>
    <language/>
    <docs>
      <doc>
        <sdm_sdfid>5161382</sdm_sdfid>
        <sdm_watermark/>
      </doc>
    </docs>
    <showHiddenMark>False</showHiddenMark>
    <websakInfo>
      <fletteDato>02.06.2024</fletteDato>
      <sakid>2023008757</sakid>
      <jpid>2023044937</jpid>
      <filUnique>2906276</filUnique>
      <filChecksumFørFlett>MWQ6ZmKjvoqiVia7rykItg==</filChecksumFørFlett>
      <erHoveddokument>True</erHoveddokument>
      <dcTitle>Høringsnotat - deling av opplysninger</dcTitle>
    </websakInfo>
    <sdm_dummy/>
    <templateURI>docx</templateURI>
    <mergeMode>MergeOne</mergeMode>
  </properties>
  <body>
    <Sas_ArkivSakID>24/2569</Sas_ArkivSakID>
  </body>
  <footer/>
  <header/>
</document>
</file>

<file path=customXml/itemProps1.xml><?xml version="1.0" encoding="utf-8"?>
<ds:datastoreItem xmlns:ds="http://schemas.openxmlformats.org/officeDocument/2006/customXml" ds:itemID="{271B25D3-D6F3-480D-AC20-7DF378445ED6}">
  <ds:schemaRefs>
    <ds:schemaRef ds:uri="http://schemas.microsoft.com/sharepoint/v3/contenttype/forms"/>
  </ds:schemaRefs>
</ds:datastoreItem>
</file>

<file path=customXml/itemProps2.xml><?xml version="1.0" encoding="utf-8"?>
<ds:datastoreItem xmlns:ds="http://schemas.openxmlformats.org/officeDocument/2006/customXml" ds:itemID="{BB14756D-8E30-4A6E-B872-38EDC0C25D5A}">
  <ds:schemaRefs>
    <ds:schemaRef ds:uri="http://schemas.openxmlformats.org/officeDocument/2006/bibliography"/>
  </ds:schemaRefs>
</ds:datastoreItem>
</file>

<file path=customXml/itemProps3.xml><?xml version="1.0" encoding="utf-8"?>
<ds:datastoreItem xmlns:ds="http://schemas.openxmlformats.org/officeDocument/2006/customXml" ds:itemID="{8397EBFB-2ED4-47BC-98F4-564175EA1940}">
  <ds:schemaRefs/>
</ds:datastoreItem>
</file>

<file path=customXml/itemProps4.xml><?xml version="1.0" encoding="utf-8"?>
<ds:datastoreItem xmlns:ds="http://schemas.openxmlformats.org/officeDocument/2006/customXml" ds:itemID="{DB3470EC-7FC3-40CA-A94D-F1D19911BD38}">
  <ds:schemaRefs>
    <ds:schemaRef ds:uri="http://schemas.microsoft.com/office/2006/metadata/properties"/>
    <ds:schemaRef ds:uri="4BDD846F-0FF2-4A28-BF3E-1A1A85A07613"/>
  </ds:schemaRefs>
</ds:datastoreItem>
</file>

<file path=customXml/itemProps5.xml><?xml version="1.0" encoding="utf-8"?>
<ds:datastoreItem xmlns:ds="http://schemas.openxmlformats.org/officeDocument/2006/customXml" ds:itemID="{495C100B-56CA-4CB2-A592-2CF0E45179BC}">
  <ds:schemaRefs>
    <ds:schemaRef ds:uri="http://schemas.openxmlformats.org/officeDocument/2006/bibliography"/>
  </ds:schemaRefs>
</ds:datastoreItem>
</file>

<file path=customXml/itemProps6.xml><?xml version="1.0" encoding="utf-8"?>
<ds:datastoreItem xmlns:ds="http://schemas.openxmlformats.org/officeDocument/2006/customXml" ds:itemID="{511ABAE9-0796-46CB-9BE2-D83D244D2FB7}">
  <ds:schemaRefs/>
</ds:datastoreItem>
</file>

<file path=docProps/app.xml><?xml version="1.0" encoding="utf-8"?>
<Properties xmlns="http://schemas.openxmlformats.org/officeDocument/2006/extended-properties" xmlns:vt="http://schemas.openxmlformats.org/officeDocument/2006/docPropsVTypes">
  <Template>Normal</Template>
  <TotalTime>156</TotalTime>
  <Pages>36</Pages>
  <Words>10896</Words>
  <Characters>69586</Characters>
  <Application>Microsoft Office Word</Application>
  <DocSecurity>0</DocSecurity>
  <Lines>579</Lines>
  <Paragraphs>160</Paragraphs>
  <ScaleCrop>false</ScaleCrop>
  <HeadingPairs>
    <vt:vector size="2" baseType="variant">
      <vt:variant>
        <vt:lpstr>Tittel</vt:lpstr>
      </vt:variant>
      <vt:variant>
        <vt:i4>1</vt:i4>
      </vt:variant>
    </vt:vector>
  </HeadingPairs>
  <TitlesOfParts>
    <vt:vector size="1" baseType="lpstr">
      <vt:lpstr>Høringsnotat - deling av opplysninger</vt:lpstr>
    </vt:vector>
  </TitlesOfParts>
  <Company>Finansdepartementet</Company>
  <LinksUpToDate>false</LinksUpToDate>
  <CharactersWithSpaces>80322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Høringsnotat - deling av opplysninger</dc:title>
  <dc:creator>Hanne K. Torgersen</dc:creator>
  <cp:lastModifiedBy>Kari Sjørholt</cp:lastModifiedBy>
  <cp:revision>11</cp:revision>
  <cp:lastPrinted>2024-06-21T07:37:00Z</cp:lastPrinted>
  <dcterms:created xsi:type="dcterms:W3CDTF">2024-06-23T17:24:00Z</dcterms:created>
  <dcterms:modified xsi:type="dcterms:W3CDTF">2024-06-28T10:05:00Z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lb_fra">
    <vt:lpwstr>Fra:</vt:lpwstr>
  </property>
  <property fmtid="{D5CDD505-2E9C-101B-9397-08002B2CF9AE}" pid="3" name="lb_til">
    <vt:lpwstr>Til:</vt:lpwstr>
  </property>
  <property fmtid="{D5CDD505-2E9C-101B-9397-08002B2CF9AE}" pid="4" name="lb_kopi">
    <vt:lpwstr>Kopi:</vt:lpwstr>
  </property>
  <property fmtid="{D5CDD505-2E9C-101B-9397-08002B2CF9AE}" pid="5" name="lb_dato">
    <vt:lpwstr>Dato:</vt:lpwstr>
  </property>
  <property fmtid="{D5CDD505-2E9C-101B-9397-08002B2CF9AE}" pid="6" name="lb_saksnr">
    <vt:lpwstr>Saksnr.:</vt:lpwstr>
  </property>
  <property fmtid="{D5CDD505-2E9C-101B-9397-08002B2CF9AE}" pid="7" name="lb_saksbeh">
    <vt:lpwstr>Saksbehandler:</vt:lpwstr>
  </property>
  <property fmtid="{D5CDD505-2E9C-101B-9397-08002B2CF9AE}" pid="8" name="lb_mal">
    <vt:lpwstr>Notat</vt:lpwstr>
  </property>
  <property fmtid="{D5CDD505-2E9C-101B-9397-08002B2CF9AE}" pid="9" name="lb_side">
    <vt:lpwstr>Side</vt:lpwstr>
  </property>
  <property fmtid="{D5CDD505-2E9C-101B-9397-08002B2CF9AE}" pid="10" name="språk">
    <vt:lpwstr>bokmål</vt:lpwstr>
  </property>
  <property fmtid="{D5CDD505-2E9C-101B-9397-08002B2CF9AE}" pid="11" name="stavekontroll">
    <vt:lpwstr>1044</vt:lpwstr>
  </property>
  <property fmtid="{D5CDD505-2E9C-101B-9397-08002B2CF9AE}" pid="12" name="arkiv">
    <vt:bool>false</vt:bool>
  </property>
  <property fmtid="{D5CDD505-2E9C-101B-9397-08002B2CF9AE}" pid="13" name="ContentTypeId">
    <vt:lpwstr>0x010100CDCE5EE80FA1DA4FB7B99E997EDB1F37</vt:lpwstr>
  </property>
</Properties>
</file>