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B838" w14:textId="77777777" w:rsidR="0016483D" w:rsidRPr="006D7319" w:rsidRDefault="0016483D" w:rsidP="006D7319">
      <w:pPr>
        <w:pStyle w:val="PublTittel"/>
      </w:pPr>
      <w:r w:rsidRPr="006D7319">
        <w:t>Tilknytningsformer for selvstendige konsulenter og rådgivere</w:t>
      </w:r>
    </w:p>
    <w:p w14:paraId="10753056" w14:textId="77777777" w:rsidR="0016483D" w:rsidRPr="006D7319" w:rsidRDefault="0016483D" w:rsidP="006D7319">
      <w:pPr>
        <w:pStyle w:val="Undertittel"/>
      </w:pPr>
      <w:r w:rsidRPr="006D7319">
        <w:t>Rapport fra arbeidsgruppe nedsatt av Arbeids- og inkluderingsdepartementet 27. mars 2026</w:t>
      </w:r>
    </w:p>
    <w:p w14:paraId="7ACC0D9C" w14:textId="77777777" w:rsidR="0016483D" w:rsidRPr="006D7319" w:rsidRDefault="0016483D" w:rsidP="006D7319">
      <w:pPr>
        <w:pStyle w:val="Overskrift1"/>
      </w:pPr>
      <w:r w:rsidRPr="006D7319">
        <w:t>Innledning</w:t>
      </w:r>
    </w:p>
    <w:p w14:paraId="0133069F" w14:textId="77777777" w:rsidR="0016483D" w:rsidRPr="006D7319" w:rsidRDefault="0016483D" w:rsidP="006D7319">
      <w:pPr>
        <w:pStyle w:val="Overskrift2"/>
      </w:pPr>
      <w:r w:rsidRPr="006D7319">
        <w:t>Bakgrunnen for nedsettelse av arbeidsgruppen</w:t>
      </w:r>
    </w:p>
    <w:p w14:paraId="1D91B970" w14:textId="7481D9B6" w:rsidR="0016483D" w:rsidRPr="006D7319" w:rsidRDefault="0016483D" w:rsidP="006D7319">
      <w:r w:rsidRPr="006D7319">
        <w:t>I 2023 ble det gjennomfør</w:t>
      </w:r>
      <w:r w:rsidRPr="006D7319">
        <w:t xml:space="preserve">t flere endringer i reglene i arbeidsmiljøloven om </w:t>
      </w:r>
      <w:proofErr w:type="gramStart"/>
      <w:r w:rsidRPr="006D7319">
        <w:t>innleie</w:t>
      </w:r>
      <w:proofErr w:type="gramEnd"/>
      <w:r w:rsidRPr="006D7319">
        <w:t xml:space="preserve"> fra bemanningsforetak, jf. </w:t>
      </w:r>
      <w:proofErr w:type="spellStart"/>
      <w:r w:rsidR="006A50F4">
        <w:t>Prop</w:t>
      </w:r>
      <w:proofErr w:type="spellEnd"/>
      <w:r w:rsidR="006A50F4">
        <w:t xml:space="preserve">. </w:t>
      </w:r>
      <w:r w:rsidR="006A50F4" w:rsidRPr="006D7319">
        <w:t>131</w:t>
      </w:r>
      <w:r w:rsidR="006A50F4">
        <w:t xml:space="preserve"> </w:t>
      </w:r>
      <w:r w:rsidR="006A50F4" w:rsidRPr="006D7319">
        <w:t>L (2021</w:t>
      </w:r>
      <w:r w:rsidRPr="006D7319">
        <w:t xml:space="preserve">–2022). Vilkårene for å kunne leie inn arbeidstakere fra bemanningsforetak ble </w:t>
      </w:r>
      <w:r w:rsidRPr="006D7319">
        <w:t xml:space="preserve">strammet inn, ved at adgangen til </w:t>
      </w:r>
      <w:proofErr w:type="gramStart"/>
      <w:r w:rsidRPr="006D7319">
        <w:t>innleie</w:t>
      </w:r>
      <w:proofErr w:type="gramEnd"/>
      <w:r w:rsidRPr="006D7319">
        <w:t xml:space="preserve"> ved </w:t>
      </w:r>
      <w:r w:rsidR="006A50F4">
        <w:t>«</w:t>
      </w:r>
      <w:r w:rsidRPr="006D7319">
        <w:t>arbeid av midlertidig karakter</w:t>
      </w:r>
      <w:r w:rsidR="006A50F4">
        <w:t>»</w:t>
      </w:r>
      <w:r w:rsidRPr="006D7319">
        <w:t xml:space="preserve"> ble opphevet. Det ble samtidig gitt et forskriftsfestet unntak for </w:t>
      </w:r>
      <w:proofErr w:type="gramStart"/>
      <w:r w:rsidRPr="006D7319">
        <w:t>innleie</w:t>
      </w:r>
      <w:proofErr w:type="gramEnd"/>
      <w:r w:rsidRPr="006D7319">
        <w:t xml:space="preserve"> av </w:t>
      </w:r>
      <w:r w:rsidRPr="006D7319">
        <w:t xml:space="preserve">rådgivere og konsulenter med spesialkompetanse, jf. arbeidsmiljøloven </w:t>
      </w:r>
      <w:r w:rsidR="006A50F4">
        <w:t>§ </w:t>
      </w:r>
      <w:r w:rsidR="006A50F4" w:rsidRPr="006D7319">
        <w:t>1</w:t>
      </w:r>
      <w:r w:rsidRPr="006D7319">
        <w:t xml:space="preserve">4-12 sjette ledd og forskrift 11. januar 2013 nr. 33 om innleie fra bemanningsforetak </w:t>
      </w:r>
      <w:r w:rsidR="006A50F4">
        <w:t>§ </w:t>
      </w:r>
      <w:r w:rsidR="006A50F4" w:rsidRPr="006D7319">
        <w:t>3</w:t>
      </w:r>
      <w:r w:rsidRPr="006D7319">
        <w:t xml:space="preserve">. Videre ble det innført en ny bestemmelse i </w:t>
      </w:r>
      <w:r w:rsidR="006A50F4">
        <w:t>§ </w:t>
      </w:r>
      <w:r w:rsidR="006A50F4" w:rsidRPr="006D7319">
        <w:t>1</w:t>
      </w:r>
      <w:r w:rsidRPr="006D7319">
        <w:t>4-12 fjerde ledd som angir momenter som taler for at en oppdragsavtale mellom to virksomheter innebærer innleie av arbeidstakere.</w:t>
      </w:r>
    </w:p>
    <w:p w14:paraId="7A83AF96" w14:textId="29CA2012" w:rsidR="0016483D" w:rsidRPr="006D7319" w:rsidRDefault="0016483D" w:rsidP="006D7319">
      <w:r w:rsidRPr="006D7319">
        <w:t>Den tidligere registreringsordningen for bemannings</w:t>
      </w:r>
      <w:r w:rsidRPr="006D7319">
        <w:t>foretak ble fra 1. januar 2024 erstattet av en god</w:t>
      </w:r>
      <w:r w:rsidRPr="006D7319">
        <w:t>kjenningsordning for bemanningsforetak, jf. forskrift 4. juni 2008 nr. 541 om offentlig godkjenning av bemanningsforetak.</w:t>
      </w:r>
      <w:r w:rsidRPr="006D7319">
        <w:t xml:space="preserve"> Forskriften innebærer at alle bemanningsforetak som skal drive virksomhet i Norge, må være godkjent av Arbeidstilsynet, og at det er ulovlig å leie inn fra bemanningsforetak som ikke er godkjent, jf. forskriften </w:t>
      </w:r>
      <w:r w:rsidR="006A50F4">
        <w:t>§ </w:t>
      </w:r>
      <w:r w:rsidR="006A50F4" w:rsidRPr="006D7319">
        <w:t>1</w:t>
      </w:r>
      <w:r w:rsidRPr="006D7319">
        <w:t xml:space="preserve">1. Fra samme tidspunkt ble definisjonen av arbeidstakerbegrepet i arbeidsmiljøloven presisert og det ble innført en presumpsjonsregel for arbeidstakerklassifisering, blant annet for å hindre omgåelser og feilklassifiseringer, jf. arbeidsmiljøloven </w:t>
      </w:r>
      <w:r w:rsidR="006A50F4">
        <w:t>§ </w:t>
      </w:r>
      <w:r w:rsidR="006A50F4" w:rsidRPr="006D7319">
        <w:t>1</w:t>
      </w:r>
      <w:r w:rsidRPr="006D7319">
        <w:t>-8 første ledd.</w:t>
      </w:r>
    </w:p>
    <w:p w14:paraId="28F41826" w14:textId="74B9B993" w:rsidR="0016483D" w:rsidRPr="006D7319" w:rsidRDefault="0016483D" w:rsidP="006D7319">
      <w:r w:rsidRPr="006D7319">
        <w:t xml:space="preserve">Disse endringene har bidratt til å synliggjøre en </w:t>
      </w:r>
      <w:r w:rsidRPr="006D7319">
        <w:t>praksis, der ulike aktører har lagt til grunn at selvstendige oppdragstakere med eget enkeltpersonforetak eller aksjeselskap, kan anses som bemannings</w:t>
      </w:r>
      <w:r w:rsidRPr="006D7319">
        <w:t>foretak som det kan leies inn fra etter reglene i arbeidsmiljøloven.</w:t>
      </w:r>
    </w:p>
    <w:p w14:paraId="374F3568" w14:textId="0B11A2DD" w:rsidR="0016483D" w:rsidRPr="006D7319" w:rsidRDefault="0016483D" w:rsidP="006D7319">
      <w:r w:rsidRPr="006D7319">
        <w:t>I veilederen til innleieregelverket har departe</w:t>
      </w:r>
      <w:r w:rsidRPr="006D7319">
        <w:t xml:space="preserve">mentet presisert at reglene om </w:t>
      </w:r>
      <w:proofErr w:type="gramStart"/>
      <w:r w:rsidRPr="006D7319">
        <w:t>innleie</w:t>
      </w:r>
      <w:proofErr w:type="gramEnd"/>
      <w:r w:rsidRPr="006D7319">
        <w:t xml:space="preserve"> fra bemannings</w:t>
      </w:r>
      <w:r w:rsidRPr="006D7319">
        <w:t xml:space="preserve">foretak ikke gjelder ved kjøp av </w:t>
      </w:r>
      <w:r w:rsidRPr="006D7319">
        <w:t>tjenester fra selvstendige oppdragstakere med eget enkeltpersonforetak eller aksjeselskap.</w:t>
      </w:r>
      <w:r w:rsidR="006A50F4" w:rsidRPr="006A50F4">
        <w:rPr>
          <w:rStyle w:val="Fotnotereferanse"/>
        </w:rPr>
        <w:footnoteReference w:id="1"/>
      </w:r>
      <w:r w:rsidRPr="006D7319">
        <w:t xml:space="preserve"> Slike virksom</w:t>
      </w:r>
      <w:r w:rsidRPr="006D7319">
        <w:t>heter kan selge sine tjenester uten å være omfattet av vilkårene for innleie, og behøver heller ikke godkjenning i bemanningsforetaksregisteret.</w:t>
      </w:r>
    </w:p>
    <w:p w14:paraId="74C0BB2F" w14:textId="77777777" w:rsidR="0016483D" w:rsidRPr="006D7319" w:rsidRDefault="0016483D" w:rsidP="006D7319">
      <w:r w:rsidRPr="006D7319">
        <w:lastRenderedPageBreak/>
        <w:t>Flere selvstendige oppdragstakere har opplevd å miste oppdrag fordi de ikke kan leies inn etter innleiereglene og ikke blir godkjent som bemanningsforetak. Dette gjelder særlig selvstendige IKT-konsulenter.</w:t>
      </w:r>
    </w:p>
    <w:p w14:paraId="20D9E333" w14:textId="40D915B6" w:rsidR="0016483D" w:rsidRPr="006D7319" w:rsidRDefault="0016483D" w:rsidP="006D7319">
      <w:r w:rsidRPr="006D7319">
        <w:t>Saken har skapt stort engasjement, blant annet på Stortinget. Flere stortingsrepresentanter har stilt skriftlige spørsmål til arbeids- og inkluderings</w:t>
      </w:r>
      <w:r w:rsidRPr="006D7319">
        <w:t>ministeren i anledning saken. Daværende arbeids- og inkluderingsminister har blant annet vist til at regjeringen ikke har hatt en intensjon om å begrense muligheten for selvstendige til å tilby sine tjenester.</w:t>
      </w:r>
      <w:r w:rsidR="006A50F4" w:rsidRPr="006A50F4">
        <w:rPr>
          <w:rStyle w:val="Fotnotereferanse"/>
        </w:rPr>
        <w:footnoteReference w:id="2"/>
      </w:r>
      <w:r w:rsidRPr="006D7319">
        <w:t xml:space="preserve"> Den 29. april 2024 fremmet Høyre og Venstre følgende forslag i Representantforslag 154 S (2023–2024):</w:t>
      </w:r>
    </w:p>
    <w:p w14:paraId="61EDEF5F" w14:textId="77777777" w:rsidR="0016483D" w:rsidRPr="006A50F4" w:rsidRDefault="0016483D" w:rsidP="006D7319">
      <w:pPr>
        <w:pStyle w:val="blokksit"/>
      </w:pPr>
      <w:r w:rsidRPr="006A50F4">
        <w:t>Stortinget ber regjeringen sikre at enkeltpersonforetak og aksjeselskap med eier som eneste ansatt godkjennes som bemanningsforetak.</w:t>
      </w:r>
    </w:p>
    <w:p w14:paraId="0004F32C" w14:textId="2F019922" w:rsidR="0016483D" w:rsidRPr="006D7319" w:rsidRDefault="0016483D" w:rsidP="006D7319">
      <w:r w:rsidRPr="006D7319">
        <w:t>Arbeids- og sosialkomiteen ba i brev av 30. april 2024 om statsrådens vurdering av forslaget. I statsrådens svarbrev av 15. mai 2024 ble det vist til at saken reiser spesielle problemstillinger om tilknytnings</w:t>
      </w:r>
      <w:r w:rsidRPr="006D7319">
        <w:t>former i arbeidslivet, og om reguleringen av forholdet mellom selvstendige som skal utføre et arbeid og den som skal motta arbeidet.</w:t>
      </w:r>
    </w:p>
    <w:p w14:paraId="58F1826D" w14:textId="77777777" w:rsidR="0016483D" w:rsidRPr="006D7319" w:rsidRDefault="0016483D" w:rsidP="006D7319">
      <w:r w:rsidRPr="006D7319">
        <w:t>Til stortingsrepresentantenes forslag om at enkeltpersonforetak og aksjeselskap med eier som eneste ansatt skal godkjennes som bemanningsforetak, fremgår det av statsrådens svar at:</w:t>
      </w:r>
    </w:p>
    <w:p w14:paraId="44256637" w14:textId="360AF5BF" w:rsidR="0016483D" w:rsidRPr="006A50F4" w:rsidRDefault="0016483D" w:rsidP="006D7319">
      <w:pPr>
        <w:pStyle w:val="blokksit"/>
      </w:pPr>
      <w:r w:rsidRPr="006A50F4">
        <w:t xml:space="preserve">Som det </w:t>
      </w:r>
      <w:proofErr w:type="gramStart"/>
      <w:r w:rsidRPr="006A50F4">
        <w:t>fremgår</w:t>
      </w:r>
      <w:proofErr w:type="gramEnd"/>
      <w:r w:rsidRPr="006A50F4">
        <w:t xml:space="preserve"> av departementets </w:t>
      </w:r>
      <w:r w:rsidRPr="006A50F4">
        <w:t>veileder til innleiereglene, og mine tidligere svar på spørsmål om dette temaet, vil det ved kjøp av tjenester fra en virksomhet som består av kun én person, enten i form av et enkeltperson</w:t>
      </w:r>
      <w:r w:rsidRPr="006A50F4">
        <w:t xml:space="preserve">foretak eller et aksjeselskap der eieren er eneste person, ikke foreligge et slikt </w:t>
      </w:r>
      <w:proofErr w:type="spellStart"/>
      <w:r w:rsidRPr="006A50F4">
        <w:t>trepartsforhold</w:t>
      </w:r>
      <w:proofErr w:type="spellEnd"/>
      <w:r w:rsidRPr="006A50F4">
        <w:t xml:space="preserve"> som inn- og utleiereglene retter seg mot. Dette innebærer at innleiereglene og godkjenningsordningen rettslig sett ikke er relevante for slike virksomheter. De trenger ingen godkjenning for å kunne drive lovlig, og står fritt til å levere sine tjenester uten å se hen til vilkår</w:t>
      </w:r>
      <w:r w:rsidRPr="006A50F4">
        <w:t xml:space="preserve">ene for </w:t>
      </w:r>
      <w:proofErr w:type="gramStart"/>
      <w:r w:rsidRPr="006A50F4">
        <w:t>innleie</w:t>
      </w:r>
      <w:proofErr w:type="gramEnd"/>
      <w:r w:rsidRPr="006A50F4">
        <w:t xml:space="preserve">. I forholdet til den som skal motta </w:t>
      </w:r>
      <w:r w:rsidRPr="006A50F4">
        <w:t xml:space="preserve">tjenesten, er derimot spørsmålet om </w:t>
      </w:r>
      <w:r w:rsidRPr="006A50F4">
        <w:t>grensen mellom oppdragstakere og arbeidstakere, relevant.</w:t>
      </w:r>
    </w:p>
    <w:p w14:paraId="69CF32C8" w14:textId="6296CF94" w:rsidR="0016483D" w:rsidRPr="006D7319" w:rsidRDefault="0016483D" w:rsidP="006D7319">
      <w:r w:rsidRPr="006D7319">
        <w:t>I arbeids- og sosialkomiteens innstilling avviste et flertall av medlemmene representantforslaget med henvisning til at forslaget knyttet seg til godkjenning som bemanningsforetak, og fremmet i stedet følg</w:t>
      </w:r>
      <w:r w:rsidRPr="006D7319">
        <w:t>ende forslag:</w:t>
      </w:r>
      <w:r w:rsidR="006A50F4" w:rsidRPr="006A50F4">
        <w:rPr>
          <w:rStyle w:val="Fotnotereferanse"/>
        </w:rPr>
        <w:footnoteReference w:id="3"/>
      </w:r>
    </w:p>
    <w:p w14:paraId="4CDC0496" w14:textId="77777777" w:rsidR="0016483D" w:rsidRPr="006A50F4" w:rsidRDefault="0016483D" w:rsidP="006D7319">
      <w:pPr>
        <w:pStyle w:val="blokksit"/>
      </w:pPr>
      <w:r w:rsidRPr="006A50F4">
        <w:lastRenderedPageBreak/>
        <w:t>Stortinget ber regjeringen vurdere et avgrenset unntak fra arbeidsmiljøloven slik at selvstendige IT-rådgivere og konsulenter med spesialkompetanse fortsatt skal kunne levere arbeid og oppdrag.</w:t>
      </w:r>
    </w:p>
    <w:p w14:paraId="2FA8D7D8" w14:textId="77777777" w:rsidR="0016483D" w:rsidRPr="006D7319" w:rsidRDefault="0016483D" w:rsidP="006D7319">
      <w:r w:rsidRPr="006D7319">
        <w:t>I bakgrunnen for forslaget ble det vist til statsrådens svar og at selvstendige IKT-konsulenter eller eneste ansatt i eget selskap frem til 1. januar 2024 kunne leie seg ut til virksomheter (privat og offentlig), selv om virksomheten i stor grad sto for arbeidsledelsen. Virksomheten hadde imidlertid ikke kompetanse til å styre arbeidet til IT-konsulenten i detalj.</w:t>
      </w:r>
    </w:p>
    <w:p w14:paraId="7B6D3BC7" w14:textId="6ECAA4F8" w:rsidR="0016483D" w:rsidRPr="006D7319" w:rsidRDefault="0016483D" w:rsidP="006D7319">
      <w:r w:rsidRPr="006D7319">
        <w:t xml:space="preserve">Flertallet viste videre til at det ved innføringen av godkjenningsordningen fra 1. januar 2024, ble </w:t>
      </w:r>
      <w:r w:rsidRPr="006D7319">
        <w:t>tydelig for oppdragsgiverne at de ikke lenger kunne leie inn arbeidskraft fra enkeltpersonforetak og aksjeselskap med bare én ansatt, siden disse virksomhetene ikke kunne få godkjenning. Videre at konsekvensen av dette har blitt at slike virksomheter ekskluderes fra mange IT-oppdrag fordi mange av oppdragene innrettes som innleiekontrakter allerede i utlysningsprosessen.</w:t>
      </w:r>
    </w:p>
    <w:p w14:paraId="6732FC7C" w14:textId="77777777" w:rsidR="006A50F4" w:rsidRDefault="0016483D" w:rsidP="006D7319">
      <w:r w:rsidRPr="006D7319">
        <w:t>Flertallet fremhevet i innstillingen at selvstendige som yter tjenester til en oppdragsgiver, er og skal være en naturlig del av det norsk</w:t>
      </w:r>
      <w:r w:rsidRPr="006D7319">
        <w:t>e arbeidslivet, og at hvilken tilknytningsform det skal være mellom den som yter en tjeneste og den som mottar tjenesten, kan reise ulike problemstillinger.</w:t>
      </w:r>
    </w:p>
    <w:p w14:paraId="65BF673B" w14:textId="44D62AC1" w:rsidR="0016483D" w:rsidRPr="006D7319" w:rsidRDefault="0016483D" w:rsidP="006D7319">
      <w:r w:rsidRPr="006D7319">
        <w:t>På bakgrunn av Stortingets anmodningsvedtak sendte Arbeids- og inkluderingsdepartementet 18. desember 2024 på høring et forslag om å nedsette en arbeidsgruppe med partene i arbeidslivet. I høringen ble det skissert at formålet med en slik arbeidsgruppe blant annet skulle være å innhente mer kunnskap om tilknytningsformer i rådgivnings- og konsulentnæringen, identifisere og kartlegge de ulike aktørenes behov, samt belyse eventuelle utford</w:t>
      </w:r>
      <w:r w:rsidRPr="006D7319">
        <w:t>ringer og foreslå mulige løsninger. Arbeidsgruppen ble satt ned 1. april 2025, med frist for å levere sin rapport 1. april 2026.</w:t>
      </w:r>
    </w:p>
    <w:p w14:paraId="7AE83479" w14:textId="77777777" w:rsidR="0016483D" w:rsidRPr="006D7319" w:rsidRDefault="0016483D" w:rsidP="006D7319">
      <w:r w:rsidRPr="006D7319">
        <w:t>I høringen ble det også foreslått et midlertidig unntak fra godkjenningsordningen for bemanningsforetak som kun leier ut arbeidstakere som skal utføre rådgivnings- og konsulenttjenester innen IKT. På bakgrunn av at flere av høringssvarene ga uttrykk for at forslaget ikke ville løse problemet for selvstendige konsulenter og rådgivere, valgte departementet å ikke gå videre med forsl</w:t>
      </w:r>
      <w:r w:rsidRPr="006D7319">
        <w:t xml:space="preserve">aget. Det ble også lyst ut et forskningsprosjekt om kartlegging av organisering av arbeid og oppdrag innen konsulent- og rådgivningsvirksomhet. Menon </w:t>
      </w:r>
      <w:proofErr w:type="spellStart"/>
      <w:r w:rsidRPr="006D7319">
        <w:t>Economics</w:t>
      </w:r>
      <w:proofErr w:type="spellEnd"/>
      <w:r w:rsidRPr="006D7319">
        <w:t xml:space="preserve"> ble tildelt oppdraget, og leverte sin rapport til arbeidsgruppen 1. oktober 2025.</w:t>
      </w:r>
    </w:p>
    <w:p w14:paraId="3931F154" w14:textId="77777777" w:rsidR="0016483D" w:rsidRPr="006D7319" w:rsidRDefault="0016483D" w:rsidP="006D7319">
      <w:pPr>
        <w:pStyle w:val="Overskrift2"/>
      </w:pPr>
      <w:r w:rsidRPr="006D7319">
        <w:t>Arbeidsgruppens sammensetning</w:t>
      </w:r>
    </w:p>
    <w:p w14:paraId="4C040898" w14:textId="77777777" w:rsidR="0016483D" w:rsidRPr="006D7319" w:rsidRDefault="0016483D" w:rsidP="006D7319">
      <w:r w:rsidRPr="006D7319">
        <w:t>Arbeidsgruppen ble nedsatt 1. april 2025 og har hatt følgende sammensetning:</w:t>
      </w:r>
    </w:p>
    <w:p w14:paraId="51CA8A55" w14:textId="61018F45" w:rsidR="0016483D" w:rsidRPr="006D7319" w:rsidRDefault="0016483D" w:rsidP="006D7319">
      <w:pPr>
        <w:pStyle w:val="Liste"/>
      </w:pPr>
      <w:r w:rsidRPr="006D7319">
        <w:t xml:space="preserve">Dekan og professor i rettsvitenskap ved </w:t>
      </w:r>
      <w:r w:rsidRPr="006D7319">
        <w:t xml:space="preserve">Universitetet i Oslo, Marianne </w:t>
      </w:r>
      <w:proofErr w:type="spellStart"/>
      <w:r w:rsidRPr="006D7319">
        <w:t>Jenum</w:t>
      </w:r>
      <w:proofErr w:type="spellEnd"/>
      <w:r w:rsidRPr="006D7319">
        <w:t xml:space="preserve"> Hotvedt (leder)</w:t>
      </w:r>
    </w:p>
    <w:p w14:paraId="6229B3EC" w14:textId="77777777" w:rsidR="0016483D" w:rsidRPr="006D7319" w:rsidRDefault="0016483D" w:rsidP="006D7319">
      <w:pPr>
        <w:pStyle w:val="Liste"/>
      </w:pPr>
      <w:r w:rsidRPr="006D7319">
        <w:t>Advokat i juridisk avdeling i LO, Lars Christian Fjeldstad</w:t>
      </w:r>
    </w:p>
    <w:p w14:paraId="74E844CA" w14:textId="77777777" w:rsidR="0016483D" w:rsidRPr="006D7319" w:rsidRDefault="0016483D" w:rsidP="006D7319">
      <w:pPr>
        <w:pStyle w:val="Liste"/>
      </w:pPr>
      <w:r w:rsidRPr="006D7319">
        <w:t xml:space="preserve">Advokat og fagsjef arbeidsliv i </w:t>
      </w:r>
      <w:proofErr w:type="spellStart"/>
      <w:r w:rsidRPr="006D7319">
        <w:t>Unio</w:t>
      </w:r>
      <w:proofErr w:type="spellEnd"/>
      <w:r w:rsidRPr="006D7319">
        <w:t>, Henrik Dahle</w:t>
      </w:r>
    </w:p>
    <w:p w14:paraId="0DA3F458" w14:textId="77777777" w:rsidR="0016483D" w:rsidRPr="006D7319" w:rsidRDefault="0016483D" w:rsidP="006D7319">
      <w:pPr>
        <w:pStyle w:val="Liste"/>
      </w:pPr>
      <w:r w:rsidRPr="006D7319">
        <w:t>Advokat i YS, Ørnulf Kastet</w:t>
      </w:r>
    </w:p>
    <w:p w14:paraId="65E18A4A" w14:textId="77777777" w:rsidR="0016483D" w:rsidRPr="006D7319" w:rsidRDefault="0016483D" w:rsidP="006D7319">
      <w:pPr>
        <w:pStyle w:val="Liste"/>
      </w:pPr>
      <w:r w:rsidRPr="006D7319">
        <w:t>Advokat og seniorrådgiver arbeidsliv- og velferdspolitikk i Akademikerne, Astrid Merethe Svele</w:t>
      </w:r>
    </w:p>
    <w:p w14:paraId="18832D2D" w14:textId="77777777" w:rsidR="0016483D" w:rsidRPr="006D7319" w:rsidRDefault="0016483D" w:rsidP="006D7319">
      <w:pPr>
        <w:pStyle w:val="Liste"/>
      </w:pPr>
      <w:r w:rsidRPr="006D7319">
        <w:t>Advokat i NITO, Rannveig Arthur</w:t>
      </w:r>
    </w:p>
    <w:p w14:paraId="7B68C739" w14:textId="77777777" w:rsidR="0016483D" w:rsidRPr="006D7319" w:rsidRDefault="0016483D" w:rsidP="006D7319">
      <w:pPr>
        <w:pStyle w:val="Liste"/>
      </w:pPr>
      <w:r w:rsidRPr="006D7319">
        <w:t xml:space="preserve">Advokat i juridisk avdeling i seksjon for arbeidsliv og juss i </w:t>
      </w:r>
      <w:proofErr w:type="spellStart"/>
      <w:r w:rsidRPr="006D7319">
        <w:t>Tekna</w:t>
      </w:r>
      <w:proofErr w:type="spellEnd"/>
      <w:r w:rsidRPr="006D7319">
        <w:t>, Anna Elisabeth Nordbø</w:t>
      </w:r>
    </w:p>
    <w:p w14:paraId="7DAFD887" w14:textId="77777777" w:rsidR="0016483D" w:rsidRPr="006D7319" w:rsidRDefault="0016483D" w:rsidP="006D7319">
      <w:pPr>
        <w:pStyle w:val="Liste"/>
      </w:pPr>
      <w:r w:rsidRPr="006D7319">
        <w:t xml:space="preserve">Advokat i NHO, Lasse </w:t>
      </w:r>
      <w:proofErr w:type="spellStart"/>
      <w:r w:rsidRPr="006D7319">
        <w:t>Gommerud</w:t>
      </w:r>
      <w:proofErr w:type="spellEnd"/>
      <w:r w:rsidRPr="006D7319">
        <w:t xml:space="preserve"> Våg</w:t>
      </w:r>
    </w:p>
    <w:p w14:paraId="5E12B8F0" w14:textId="77777777" w:rsidR="0016483D" w:rsidRPr="006D7319" w:rsidRDefault="0016483D" w:rsidP="006D7319">
      <w:pPr>
        <w:pStyle w:val="Liste"/>
      </w:pPr>
      <w:r w:rsidRPr="006D7319">
        <w:lastRenderedPageBreak/>
        <w:t xml:space="preserve">Advokat i Virke, Jørgen </w:t>
      </w:r>
      <w:proofErr w:type="spellStart"/>
      <w:r w:rsidRPr="006D7319">
        <w:t>Hiim</w:t>
      </w:r>
      <w:proofErr w:type="spellEnd"/>
      <w:r w:rsidRPr="006D7319">
        <w:t xml:space="preserve"> Stålhane</w:t>
      </w:r>
    </w:p>
    <w:p w14:paraId="0F4DBFCF" w14:textId="77777777" w:rsidR="0016483D" w:rsidRPr="006D7319" w:rsidRDefault="0016483D" w:rsidP="006D7319">
      <w:pPr>
        <w:pStyle w:val="Liste"/>
      </w:pPr>
      <w:r w:rsidRPr="006D7319">
        <w:t>Analyse- og utredningsdirektør i Spekter, Kristin Juliussen (1. april 2025 – 7. november 2025)</w:t>
      </w:r>
    </w:p>
    <w:p w14:paraId="34C41BE7" w14:textId="77777777" w:rsidR="0016483D" w:rsidRPr="006D7319" w:rsidRDefault="0016483D" w:rsidP="006D7319">
      <w:pPr>
        <w:pStyle w:val="Liste"/>
      </w:pPr>
      <w:r w:rsidRPr="006D7319">
        <w:t xml:space="preserve">Spesialrådgiver i Spekter, Torstein Eidsmo </w:t>
      </w:r>
      <w:proofErr w:type="spellStart"/>
      <w:r w:rsidRPr="006D7319">
        <w:t>Ulserød</w:t>
      </w:r>
      <w:proofErr w:type="spellEnd"/>
      <w:r w:rsidRPr="006D7319">
        <w:t xml:space="preserve"> (7. november 2025 – 27. mars 2026)</w:t>
      </w:r>
    </w:p>
    <w:p w14:paraId="626F2D21" w14:textId="77777777" w:rsidR="0016483D" w:rsidRPr="006D7319" w:rsidRDefault="0016483D" w:rsidP="006D7319">
      <w:pPr>
        <w:pStyle w:val="Liste"/>
      </w:pPr>
      <w:r w:rsidRPr="006D7319">
        <w:t xml:space="preserve">Spesialrådgiver arbeidsliv forhandling i KS, Cathrine Gundersen </w:t>
      </w:r>
      <w:proofErr w:type="spellStart"/>
      <w:r w:rsidRPr="006D7319">
        <w:t>Walding</w:t>
      </w:r>
      <w:proofErr w:type="spellEnd"/>
    </w:p>
    <w:p w14:paraId="5E233E60" w14:textId="77777777" w:rsidR="0016483D" w:rsidRPr="006D7319" w:rsidRDefault="0016483D" w:rsidP="006D7319">
      <w:pPr>
        <w:pStyle w:val="Liste"/>
      </w:pPr>
      <w:r w:rsidRPr="006D7319">
        <w:t>Advokat i Abelia, Hanne Lyngstad Solberg</w:t>
      </w:r>
    </w:p>
    <w:p w14:paraId="091CDE97" w14:textId="77777777" w:rsidR="0016483D" w:rsidRPr="006D7319" w:rsidRDefault="0016483D" w:rsidP="006D7319">
      <w:r w:rsidRPr="006D7319">
        <w:t>Sekretariatsfunksjonen har vært ivaretatt av Arbeids- og inkluderingsdepartementet, med følgende personer i sekretariatet:</w:t>
      </w:r>
    </w:p>
    <w:p w14:paraId="3394080B" w14:textId="77777777" w:rsidR="0016483D" w:rsidRPr="006D7319" w:rsidRDefault="0016483D" w:rsidP="006D7319">
      <w:pPr>
        <w:pStyle w:val="Liste"/>
      </w:pPr>
      <w:r w:rsidRPr="006D7319">
        <w:t>Seniorrådgiver Ulrike Graf Rugtveit</w:t>
      </w:r>
    </w:p>
    <w:p w14:paraId="510568E2" w14:textId="77777777" w:rsidR="0016483D" w:rsidRPr="006D7319" w:rsidRDefault="0016483D" w:rsidP="006D7319">
      <w:pPr>
        <w:pStyle w:val="Liste"/>
      </w:pPr>
      <w:r w:rsidRPr="006D7319">
        <w:t>Seniorrådgiver Karoline Kilvik Sæhl</w:t>
      </w:r>
    </w:p>
    <w:p w14:paraId="57958C9A" w14:textId="77777777" w:rsidR="0016483D" w:rsidRPr="006D7319" w:rsidRDefault="0016483D" w:rsidP="006D7319">
      <w:pPr>
        <w:pStyle w:val="Liste"/>
      </w:pPr>
      <w:r w:rsidRPr="006D7319">
        <w:t>Seniorrådgiver Sofia Sanner</w:t>
      </w:r>
    </w:p>
    <w:p w14:paraId="1F3FDC5E" w14:textId="77777777" w:rsidR="0016483D" w:rsidRPr="006D7319" w:rsidRDefault="0016483D" w:rsidP="006D7319">
      <w:pPr>
        <w:pStyle w:val="Liste"/>
      </w:pPr>
      <w:r w:rsidRPr="006D7319">
        <w:t>Seniorrådgiver Maria Bjørdal Roald</w:t>
      </w:r>
    </w:p>
    <w:p w14:paraId="6FF5D59E" w14:textId="77777777" w:rsidR="0016483D" w:rsidRPr="006D7319" w:rsidRDefault="0016483D" w:rsidP="006D7319">
      <w:pPr>
        <w:pStyle w:val="Overskrift2"/>
      </w:pPr>
      <w:r w:rsidRPr="006D7319">
        <w:t>Arbeidsgruppens mandat</w:t>
      </w:r>
    </w:p>
    <w:p w14:paraId="4510F593" w14:textId="77777777" w:rsidR="0016483D" w:rsidRPr="006A50F4" w:rsidRDefault="0016483D" w:rsidP="006D7319">
      <w:pPr>
        <w:rPr>
          <w:rStyle w:val="halvfet"/>
        </w:rPr>
      </w:pPr>
      <w:r w:rsidRPr="006A50F4">
        <w:rPr>
          <w:rStyle w:val="halvfet"/>
        </w:rPr>
        <w:t>Arbeidsgruppen er gitt følgende mandat:</w:t>
      </w:r>
    </w:p>
    <w:p w14:paraId="36A9E6E3" w14:textId="05F2D954" w:rsidR="0016483D" w:rsidRPr="006D7319" w:rsidRDefault="0016483D" w:rsidP="006D7319">
      <w:r w:rsidRPr="006D7319">
        <w:t xml:space="preserve">I desember 2022 vedtok Stortinget endringer i reglene om </w:t>
      </w:r>
      <w:proofErr w:type="gramStart"/>
      <w:r w:rsidRPr="006D7319">
        <w:t>innleie</w:t>
      </w:r>
      <w:proofErr w:type="gramEnd"/>
      <w:r w:rsidRPr="006D7319">
        <w:t xml:space="preserve"> fra bemanningsforetak, jf. </w:t>
      </w:r>
      <w:proofErr w:type="spellStart"/>
      <w:r w:rsidR="006A50F4">
        <w:t>Prop</w:t>
      </w:r>
      <w:proofErr w:type="spellEnd"/>
      <w:r w:rsidR="006A50F4">
        <w:t xml:space="preserve">. </w:t>
      </w:r>
      <w:r w:rsidR="006A50F4" w:rsidRPr="006D7319">
        <w:t>131</w:t>
      </w:r>
      <w:r w:rsidR="006A50F4">
        <w:t xml:space="preserve"> </w:t>
      </w:r>
      <w:r w:rsidR="006A50F4" w:rsidRPr="006D7319">
        <w:t>L (2021</w:t>
      </w:r>
      <w:r w:rsidRPr="006D7319">
        <w:t xml:space="preserve">–2022). Endringene trådte i kraft 1. april 2023, og innebar blant annet at adgangen til å leie inn arbeidstakere fra bemanningsforetak ved </w:t>
      </w:r>
      <w:r w:rsidR="006A50F4">
        <w:t>«</w:t>
      </w:r>
      <w:r w:rsidRPr="006D7319">
        <w:t>arbeid av midlertidig karakter</w:t>
      </w:r>
      <w:r w:rsidR="006A50F4">
        <w:t>»</w:t>
      </w:r>
      <w:r w:rsidRPr="006D7319">
        <w:t xml:space="preserve"> ble opphevet. Det ble likevel gitt et forskriftsfestet unntak for </w:t>
      </w:r>
      <w:proofErr w:type="gramStart"/>
      <w:r w:rsidRPr="006D7319">
        <w:t>innleie</w:t>
      </w:r>
      <w:proofErr w:type="gramEnd"/>
      <w:r w:rsidRPr="006D7319">
        <w:t xml:space="preserve"> av rådgivere og konsulenter med spesialkompetanse, jf. arbeidsmiljøloven </w:t>
      </w:r>
      <w:r w:rsidR="006A50F4">
        <w:t>§ </w:t>
      </w:r>
      <w:r w:rsidR="006A50F4" w:rsidRPr="006D7319">
        <w:t>1</w:t>
      </w:r>
      <w:r w:rsidRPr="006D7319">
        <w:t xml:space="preserve">4-12 sjette ledd og forskrift 11. januar 2013 nr. 33 om innleie fra bemanningsforetak </w:t>
      </w:r>
      <w:r w:rsidR="006A50F4">
        <w:t>§ </w:t>
      </w:r>
      <w:r w:rsidR="006A50F4" w:rsidRPr="006D7319">
        <w:t>3</w:t>
      </w:r>
      <w:r w:rsidRPr="006D7319">
        <w:t>.</w:t>
      </w:r>
    </w:p>
    <w:p w14:paraId="2F0B6E2E" w14:textId="39929761" w:rsidR="0016483D" w:rsidRPr="006D7319" w:rsidRDefault="0016483D" w:rsidP="006D7319">
      <w:r w:rsidRPr="006D7319">
        <w:t xml:space="preserve">Fra 1. januar 2024 ble det innført en godkjenningsordning for bemanningsforetak, jf. forskrift 4. juni 2008 nr. 541 om offentlig godkjenning av bemanningsforetak. Forskriften innebærer at alle bemanningsforetak som skal drive virksomhet i Norge, må være godkjent av Arbeidstilsynet, og at det er ulovlig å leie inn fra bemanningsforetak som ikke er godkjent, jf. forskriften </w:t>
      </w:r>
      <w:r w:rsidR="006A50F4">
        <w:t>§ </w:t>
      </w:r>
      <w:r w:rsidR="006A50F4" w:rsidRPr="006D7319">
        <w:t>1</w:t>
      </w:r>
      <w:r w:rsidRPr="006D7319">
        <w:t>1. Fra samme tidspunkt ble definisjonen av arbeidstakerbegrepet i arbeidsmiljø</w:t>
      </w:r>
      <w:r w:rsidRPr="006D7319">
        <w:t xml:space="preserve">loven presisert og det ble innført en presumpsjonsregel for arbeidstakerklassifisering, blant annet for å hindre omgåelser og feilklassifiseringer, jf. arbeidsmiljøloven </w:t>
      </w:r>
      <w:r w:rsidR="006A50F4">
        <w:t>§ </w:t>
      </w:r>
      <w:r w:rsidR="006A50F4" w:rsidRPr="006D7319">
        <w:t>1</w:t>
      </w:r>
      <w:r w:rsidRPr="006D7319">
        <w:t>-8 første ledd.</w:t>
      </w:r>
    </w:p>
    <w:p w14:paraId="648E9AC6" w14:textId="77777777" w:rsidR="0016483D" w:rsidRPr="006D7319" w:rsidRDefault="0016483D" w:rsidP="006D7319">
      <w:r w:rsidRPr="006D7319">
        <w:t>Disse endringene har bidratt til å synliggjøre en praksis, der både oppdragsgivere og selvstendige oppdragstakere, har lagt til grunn at selvstendige oppdragstakere med eget enkeltpersonforetak eller aksjeselskap, kan anses som bemanningsforetak som det kan leies inn fra etter reglene i arbeidsmiljøloven. I departementets veileder fremgår det imidlertid at innleiereglene i arbeidsmiljøloven i utgangspunktet ikke gjelder ved kjøp av tjenester fra enkeltpersonforetak og aksjeselskap som består</w:t>
      </w:r>
      <w:r w:rsidRPr="006D7319">
        <w:t xml:space="preserve"> av kun én person, og slike virksomheter er derfor heller ikke omfattet av godkjenningsordningen for bemanningsforetak.</w:t>
      </w:r>
    </w:p>
    <w:p w14:paraId="4DD48362" w14:textId="48DDDF1C" w:rsidR="0016483D" w:rsidRPr="006D7319" w:rsidRDefault="0016483D" w:rsidP="006D7319">
      <w:r w:rsidRPr="006D7319">
        <w:t xml:space="preserve">Problemstillingen har skapt stort engasjement, blant annet fordi flere selvstendige IKT-konsulenter, som driver eget enkeltpersonforetak eller aksjeselskap, har opplevd å miste oppdrag som følge av at de ikke er omfattet av innleiereglene i arbeidsmiljøloven og ikke blir godkjent i bemanningsforetaksregisteret. Stortinget har i anmodningsvedtak nr. 842 bedt regjeringen </w:t>
      </w:r>
      <w:r w:rsidR="006A50F4" w:rsidRPr="006A50F4">
        <w:rPr>
          <w:rStyle w:val="kursiv"/>
        </w:rPr>
        <w:t>«</w:t>
      </w:r>
      <w:r w:rsidRPr="006A50F4">
        <w:rPr>
          <w:rStyle w:val="kursiv"/>
        </w:rPr>
        <w:t xml:space="preserve">vurdere et avgrenset unntak fra </w:t>
      </w:r>
      <w:r w:rsidRPr="006A50F4">
        <w:rPr>
          <w:rStyle w:val="kursiv"/>
        </w:rPr>
        <w:lastRenderedPageBreak/>
        <w:t>arbeidsmiljøloven slik at selvstendige IKT-rådgivere og konsulenter med spesialkompetanse fortsatt skal kunne levere arbeid og oppdrag</w:t>
      </w:r>
      <w:r w:rsidR="006A50F4" w:rsidRPr="006A50F4">
        <w:rPr>
          <w:rStyle w:val="kursiv"/>
        </w:rPr>
        <w:t>»</w:t>
      </w:r>
      <w:r w:rsidRPr="006D7319">
        <w:t xml:space="preserve">, jf. </w:t>
      </w:r>
      <w:proofErr w:type="spellStart"/>
      <w:r w:rsidR="006A50F4">
        <w:t>Innst</w:t>
      </w:r>
      <w:proofErr w:type="spellEnd"/>
      <w:r w:rsidR="006A50F4">
        <w:t xml:space="preserve">. </w:t>
      </w:r>
      <w:r w:rsidR="006A50F4" w:rsidRPr="006D7319">
        <w:t>449</w:t>
      </w:r>
      <w:r w:rsidR="006A50F4">
        <w:t xml:space="preserve"> </w:t>
      </w:r>
      <w:r w:rsidR="006A50F4" w:rsidRPr="006D7319">
        <w:t>S (2023</w:t>
      </w:r>
      <w:r w:rsidR="006A50F4">
        <w:t>–</w:t>
      </w:r>
      <w:r w:rsidR="006A50F4" w:rsidRPr="006D7319">
        <w:t>2024)</w:t>
      </w:r>
      <w:r w:rsidRPr="006D7319">
        <w:t>.</w:t>
      </w:r>
    </w:p>
    <w:p w14:paraId="6CC11E31" w14:textId="77777777" w:rsidR="0016483D" w:rsidRPr="006D7319" w:rsidRDefault="0016483D" w:rsidP="006D7319">
      <w:r w:rsidRPr="006D7319">
        <w:t>Saken reiser prinsipielle spørsmål om tilknytningsformer i arbeidslivet, herunder om grensedragningen mellom arbeidstakere og selvstendige oppdragstakere. Departementet oppfatter at både oppdragsgiverne og IKT-konsulentene i realiteten ønsker at konsulenten, i ulik grad, skal arbeide under oppdragsgivers ledelse og kontroll, og uten resultatansvar, men likevel ikke anses som arbeidstaker ansatt direkte hos oppdragsgiver.</w:t>
      </w:r>
    </w:p>
    <w:p w14:paraId="47B0249A" w14:textId="77777777" w:rsidR="0016483D" w:rsidRPr="006D7319" w:rsidRDefault="0016483D" w:rsidP="006D7319">
      <w:r w:rsidRPr="006D7319">
        <w:t>Videre har saken vist at det er behov for mer kunnskap om hvilke tilknytningsformer som benyttes innen konsulent- og rådgivernæringen. Departementet har derfor igangsatt et forskningsprosjekt om kartlegging av organisering av arbeid og oppdrag innen konsulent- og rådgivningsvirksomhet, med frist 1. oktober 2025. Prosjektet skal bidra til økt kunnskap om organiseringen av arbeid og oppdrag innen utvalgte bransjer innen konsulent- og rådgivningsvirksomhet.</w:t>
      </w:r>
    </w:p>
    <w:p w14:paraId="4B7909E0" w14:textId="14F7D959" w:rsidR="0016483D" w:rsidRPr="006D7319" w:rsidRDefault="0016483D" w:rsidP="006D7319">
      <w:r w:rsidRPr="006D7319">
        <w:t xml:space="preserve">For å følge opp Stortingets vedtak, har departementet besluttet å nedsette en </w:t>
      </w:r>
      <w:r w:rsidRPr="006D7319">
        <w:t xml:space="preserve">partssammensatt arbeidsgruppe som skal kartlegge hvordan </w:t>
      </w:r>
      <w:r w:rsidRPr="006D7319">
        <w:t xml:space="preserve">konsulent- og rådgivningsvirksomhet organiseres, identifisere oppdragsgivernes og </w:t>
      </w:r>
      <w:r w:rsidRPr="006D7319">
        <w:t>oppdragstakernes behov, samt belyse eventuelle utfordringer og foreslå mulige løsninger. Dette er i tråd med forslaget som ble sendt på høring 18. desember 2024. Forslaget fikk bred støtte, både av arbeidstaker- og arbeidsgiversiden.</w:t>
      </w:r>
    </w:p>
    <w:p w14:paraId="7D7CBFB9" w14:textId="77777777" w:rsidR="0016483D" w:rsidRPr="006D7319" w:rsidRDefault="0016483D" w:rsidP="006D7319">
      <w:r w:rsidRPr="006D7319">
        <w:t>Høringsinnspill har pekt på</w:t>
      </w:r>
      <w:r w:rsidRPr="006D7319">
        <w:t xml:space="preserve"> at problemstillingen knyttet til bruk av </w:t>
      </w:r>
      <w:proofErr w:type="gramStart"/>
      <w:r w:rsidRPr="006D7319">
        <w:t>innleie</w:t>
      </w:r>
      <w:proofErr w:type="gramEnd"/>
      <w:r w:rsidRPr="006D7319">
        <w:t xml:space="preserve"> for selvstendige oppdragstakere gjør seg gjeldende også i andre bransjer enn IKT-bransjen. Arbeidsgruppens arbeid skal derfor ikke avgrenses til IKT-bransjen, men kan også omfatte andre bransjer hvor selvstendige rådgivere og konsulenter leverer tjenester.</w:t>
      </w:r>
    </w:p>
    <w:p w14:paraId="35D404E2" w14:textId="77777777" w:rsidR="0016483D" w:rsidRPr="006D7319" w:rsidRDefault="0016483D" w:rsidP="006D7319">
      <w:r w:rsidRPr="006D7319">
        <w:t>Arbeidsgruppen skal:</w:t>
      </w:r>
    </w:p>
    <w:p w14:paraId="21CC2280" w14:textId="0359E029" w:rsidR="0016483D" w:rsidRPr="006D7319" w:rsidRDefault="0016483D" w:rsidP="006D7319">
      <w:pPr>
        <w:pStyle w:val="Listebombe"/>
      </w:pPr>
      <w:r w:rsidRPr="006D7319">
        <w:t xml:space="preserve">Beskrive gjeldende rett </w:t>
      </w:r>
      <w:proofErr w:type="gramStart"/>
      <w:r w:rsidRPr="006D7319">
        <w:t>hva gjelder</w:t>
      </w:r>
      <w:proofErr w:type="gramEnd"/>
      <w:r w:rsidRPr="006D7319">
        <w:t xml:space="preserve"> mulige tilknytningsformer for kjøp av konsulent- og råd</w:t>
      </w:r>
      <w:r w:rsidRPr="006D7319">
        <w:t>givertjenester, herunder fra enkeltpersonforetak og aksjeselskap hvor eier er eneste arbeidende person i virksomheten.</w:t>
      </w:r>
    </w:p>
    <w:p w14:paraId="2F545E85" w14:textId="77777777" w:rsidR="0016483D" w:rsidRPr="006D7319" w:rsidRDefault="0016483D" w:rsidP="006D7319">
      <w:pPr>
        <w:pStyle w:val="Listebombe"/>
      </w:pPr>
      <w:r w:rsidRPr="006D7319">
        <w:t>Gjennomgå eksisterende kunnskapsgrunnlag og funn fra pågående forskningsprosjekt om kartlegging av organisering av arbeid og oppdrag innen konsulent- og rådgivningsvirksomhet som sluttføres 1. oktober 2025.</w:t>
      </w:r>
    </w:p>
    <w:p w14:paraId="52BADBDF" w14:textId="29F93A8B" w:rsidR="0016483D" w:rsidRPr="006D7319" w:rsidRDefault="0016483D" w:rsidP="006D7319">
      <w:pPr>
        <w:pStyle w:val="Listebombe"/>
      </w:pPr>
      <w:r w:rsidRPr="006D7319">
        <w:t>Involvere relevante aktører og interessent</w:t>
      </w:r>
      <w:r w:rsidRPr="006D7319">
        <w:t>grupper på egnet måte, for eksempel ved å invitere nettverk for selvstendige rådgivere og konsulenter for å motta informasjon, innspill og drøfte relevante tema.</w:t>
      </w:r>
    </w:p>
    <w:p w14:paraId="6591E5C2" w14:textId="77777777" w:rsidR="0016483D" w:rsidRPr="006D7319" w:rsidRDefault="0016483D" w:rsidP="006D7319">
      <w:pPr>
        <w:pStyle w:val="Listebombe"/>
      </w:pPr>
      <w:r w:rsidRPr="006D7319">
        <w:t>På bakgrunn av gjeldende rett og kunnskapsgrunnlaget identifisere utfordringer og foreslå mulige tiltak slik at selvstendige konsulenter og rådgivere skal kunne levere tjenester, og oppdragsgivere skal kunne motta disse, på en hensiktsmessig måte. Tiltakene kan omfatte forslag til endringer i regelverk.</w:t>
      </w:r>
    </w:p>
    <w:p w14:paraId="292824F6" w14:textId="77777777" w:rsidR="0016483D" w:rsidRPr="006D7319" w:rsidRDefault="0016483D" w:rsidP="006D7319">
      <w:pPr>
        <w:pStyle w:val="Listebombe"/>
      </w:pPr>
      <w:r w:rsidRPr="006D7319">
        <w:t>Vurdere hvorvidt foreslåtte tiltak er i tråd med EØS-rettslige forpliktelser, eventuelt om og hvordan de kan innrettes for å være i tråd med forpliktelsene.</w:t>
      </w:r>
    </w:p>
    <w:p w14:paraId="041EB0E9" w14:textId="77777777" w:rsidR="0016483D" w:rsidRPr="006D7319" w:rsidRDefault="0016483D" w:rsidP="006D7319">
      <w:pPr>
        <w:pStyle w:val="Listebombe"/>
      </w:pPr>
      <w:r w:rsidRPr="006D7319">
        <w:lastRenderedPageBreak/>
        <w:t>Drøfte eventuelle prinsipielle sider ved foreslåtte tiltak, og vurdere forventede virkninger av slike tiltak.</w:t>
      </w:r>
    </w:p>
    <w:p w14:paraId="28758F52" w14:textId="77777777" w:rsidR="0016483D" w:rsidRPr="006D7319" w:rsidRDefault="0016483D" w:rsidP="006D7319">
      <w:pPr>
        <w:pStyle w:val="Listebombe"/>
      </w:pPr>
      <w:r w:rsidRPr="006D7319">
        <w:t>Foreslå mekanismer som hindrer at tiltakene undergraver presiseringene og endringene i arbeidsmiljølovens arbeidstakerbegrep, for eksempel ved at personer som i realiteten skulle hatt arbeidstakervern blir presset til å være selvstendige, og vurdere hensiktsmessige avgrensninger.</w:t>
      </w:r>
    </w:p>
    <w:p w14:paraId="41080ADD" w14:textId="77777777" w:rsidR="0016483D" w:rsidRPr="006D7319" w:rsidRDefault="0016483D" w:rsidP="006D7319">
      <w:r w:rsidRPr="006D7319">
        <w:t xml:space="preserve">Det faller utenfor arbeidsgruppens mandat å på generelt grunnlag drøfte innstrammingene i innleiereglene, herunder når det skal være adgang til å leie inn arbeidstakere fra bemanningsforetak og produksjonsbedrifter, samt grensen mellom </w:t>
      </w:r>
      <w:proofErr w:type="gramStart"/>
      <w:r w:rsidRPr="006D7319">
        <w:t>innleie</w:t>
      </w:r>
      <w:proofErr w:type="gramEnd"/>
      <w:r w:rsidRPr="006D7319">
        <w:t xml:space="preserve"> fra produksjonsbedrift og bemanningsforetak. Arbeidet skal også avgrenses mot eventuelle skatterettslige og trygderettslige spørsmål.</w:t>
      </w:r>
    </w:p>
    <w:p w14:paraId="6C95A476" w14:textId="5947C26F" w:rsidR="0016483D" w:rsidRPr="006D7319" w:rsidRDefault="0016483D" w:rsidP="006D7319">
      <w:r w:rsidRPr="006D7319">
        <w:t>Arbeidsgruppen skal legge frem sine vurderinger og forslag i en rapport til Arbeids- og inkluderings</w:t>
      </w:r>
      <w:r w:rsidRPr="006D7319">
        <w:t>departementet innen 1. april 2026.</w:t>
      </w:r>
    </w:p>
    <w:p w14:paraId="43D33D73" w14:textId="77777777" w:rsidR="0016483D" w:rsidRPr="006D7319" w:rsidRDefault="0016483D" w:rsidP="006D7319">
      <w:pPr>
        <w:pStyle w:val="Overskrift2"/>
      </w:pPr>
      <w:r w:rsidRPr="006D7319">
        <w:t>Arbeidsgruppens arbeid</w:t>
      </w:r>
    </w:p>
    <w:p w14:paraId="19E944EA" w14:textId="30FAF14B" w:rsidR="0016483D" w:rsidRPr="006D7319" w:rsidRDefault="0016483D" w:rsidP="006D7319">
      <w:r w:rsidRPr="006D7319">
        <w:t xml:space="preserve">Arbeidsgruppen hadde oppstartsmøte 3. april 2025 og har i perioden frem til 27. mars 2026 hatt 11 møter, hvorav to har vært heldagsmøter. Arbeidsgruppen har hatt ett </w:t>
      </w:r>
      <w:proofErr w:type="spellStart"/>
      <w:r w:rsidRPr="006D7319">
        <w:t>innspillsmøte</w:t>
      </w:r>
      <w:proofErr w:type="spellEnd"/>
      <w:r w:rsidRPr="006D7319">
        <w:t xml:space="preserve"> hvor representanter fra Statsbygg, Telenor, </w:t>
      </w:r>
      <w:proofErr w:type="spellStart"/>
      <w:r w:rsidRPr="006D7319">
        <w:t>Brainbase</w:t>
      </w:r>
      <w:proofErr w:type="spellEnd"/>
      <w:r w:rsidRPr="006D7319">
        <w:t xml:space="preserve">, Digital frivillighet og </w:t>
      </w:r>
      <w:proofErr w:type="spellStart"/>
      <w:r w:rsidRPr="006D7319">
        <w:t>Bistaa</w:t>
      </w:r>
      <w:proofErr w:type="spellEnd"/>
      <w:r w:rsidRPr="006D7319">
        <w:t xml:space="preserve"> AS har delt sine innspill og erfaringer. Arbeidsgruppen har også mottatt skriftlige innspill. I tillegg har Menon </w:t>
      </w:r>
      <w:proofErr w:type="spellStart"/>
      <w:r w:rsidRPr="006D7319">
        <w:t>Economics</w:t>
      </w:r>
      <w:proofErr w:type="spellEnd"/>
      <w:r w:rsidRPr="006D7319">
        <w:t xml:space="preserve"> holdt tre foredrag om status i forskningsprosjektet </w:t>
      </w:r>
      <w:r w:rsidRPr="006A50F4">
        <w:rPr>
          <w:rStyle w:val="kursiv"/>
        </w:rPr>
        <w:t>Oppdragsorganisering i rådgiver</w:t>
      </w:r>
      <w:r w:rsidRPr="006A50F4">
        <w:rPr>
          <w:rStyle w:val="kursiv"/>
        </w:rPr>
        <w:t xml:space="preserve">næringen – Kartlegging av organisering av arbeid og oppdrag innen konsulent- og rådgivningsvirksomhet </w:t>
      </w:r>
      <w:r w:rsidRPr="006D7319">
        <w:t>for arbeidsgruppen, før endelig rapport ble levert til arbeidsgruppen 1. oktober 2025.</w:t>
      </w:r>
    </w:p>
    <w:p w14:paraId="25057A35" w14:textId="77777777" w:rsidR="0016483D" w:rsidRPr="006D7319" w:rsidRDefault="0016483D" w:rsidP="006D7319">
      <w:pPr>
        <w:pStyle w:val="Overskrift2"/>
      </w:pPr>
      <w:r w:rsidRPr="006D7319">
        <w:t>Oversikt og sammendrag av rapporten</w:t>
      </w:r>
    </w:p>
    <w:p w14:paraId="5E2E1BBE" w14:textId="2607A356" w:rsidR="0016483D" w:rsidRPr="006D7319" w:rsidRDefault="0016483D" w:rsidP="006D7319">
      <w:r w:rsidRPr="006A50F4">
        <w:rPr>
          <w:rStyle w:val="halvfet"/>
        </w:rPr>
        <w:t xml:space="preserve">Kapittel 1 </w:t>
      </w:r>
      <w:r w:rsidRPr="006D7319">
        <w:t>gir en oversikt over bakgrunnen for nedsettelse av arbeidsgruppen, arbeidsgruppens sammen</w:t>
      </w:r>
      <w:r w:rsidRPr="006D7319">
        <w:t>setning, mandat, arbeid og sammendrag av rapportens innhold.</w:t>
      </w:r>
    </w:p>
    <w:p w14:paraId="29EB35B8" w14:textId="31AB7E01" w:rsidR="0016483D" w:rsidRPr="006D7319" w:rsidRDefault="0016483D" w:rsidP="006D7319">
      <w:r w:rsidRPr="006A50F4">
        <w:rPr>
          <w:rStyle w:val="halvfet"/>
        </w:rPr>
        <w:t xml:space="preserve">Kapittel 2 </w:t>
      </w:r>
      <w:r w:rsidRPr="006D7319">
        <w:t>omhandler gjeldende rett, herunder arbeidsgruppens ulike vurderinger og syn på gjeld</w:t>
      </w:r>
      <w:r w:rsidRPr="006D7319">
        <w:t>ende rett. I punkt 2.2 og 2.3 beskrives sentrale arbeidsrettslige grunnbegreper slik som virksomhetsbegrepet, arbeidstakerbegrepet, arbeidsgiverbegrepet og de organisasjonsformene som er mest relevante for selvstendige rådgivere og konsulenter. I punkt 2.4 gis en fremstilling av ulike tilknytnings</w:t>
      </w:r>
      <w:r w:rsidRPr="006D7319">
        <w:t xml:space="preserve">former i arbeidslivet, herunder for kjøp av </w:t>
      </w:r>
      <w:r w:rsidRPr="006D7319">
        <w:t>konsulent- og rådgivertjenester.</w:t>
      </w:r>
    </w:p>
    <w:p w14:paraId="3F78AAB0" w14:textId="1B0DB4F9" w:rsidR="0016483D" w:rsidRPr="006D7319" w:rsidRDefault="0016483D" w:rsidP="006D7319">
      <w:r w:rsidRPr="006D7319">
        <w:t>Et sentralt spørsmål for arbeidsgruppen har vært hvorvidt innleie er en mulig tilknytningsform for kjøp av konsulent- og rådgivertjenester fra virksom</w:t>
      </w:r>
      <w:r w:rsidRPr="006D7319">
        <w:t xml:space="preserve">het hvor eier er eneste arbeidende person. En inngang til dette spørsmålet har vært å se nærmere på hvorvidt selvstendige rådgivere og konsulenter kan regnes som arbeidstaker i egen virksomhet i arbeidsmiljølovens forstand. Punkt 2.5 inneholder derfor en gjennomgang av rettskilder som belyser </w:t>
      </w:r>
      <w:proofErr w:type="gramStart"/>
      <w:r w:rsidRPr="006D7319">
        <w:t>anvendelsen</w:t>
      </w:r>
      <w:proofErr w:type="gramEnd"/>
      <w:r w:rsidRPr="006D7319">
        <w:t xml:space="preserve"> av arbeidstakerbegrepet på relasjonen mellom slike konsulenter/rådgivere og den virksomheten de selv eier og driver, avhengig av om virksomheten er organisert som et enkeltpersonforetak eller et aksjeselska</w:t>
      </w:r>
      <w:r w:rsidRPr="006D7319">
        <w:t>p.</w:t>
      </w:r>
    </w:p>
    <w:p w14:paraId="1338E96C" w14:textId="77E4684E" w:rsidR="0016483D" w:rsidRPr="006D7319" w:rsidRDefault="0016483D" w:rsidP="006D7319">
      <w:r w:rsidRPr="006D7319">
        <w:lastRenderedPageBreak/>
        <w:t xml:space="preserve">I punkt 2.6 </w:t>
      </w:r>
      <w:proofErr w:type="gramStart"/>
      <w:r w:rsidRPr="006D7319">
        <w:t>fremgår</w:t>
      </w:r>
      <w:proofErr w:type="gramEnd"/>
      <w:r w:rsidRPr="006D7319">
        <w:t xml:space="preserve"> arbeidsgruppens </w:t>
      </w:r>
      <w:r w:rsidRPr="006D7319">
        <w:t>vurderinger av aktuelle tilknytningsformer for selvstendig næringsdrivende med eget enkeltpersonforetak og aksjeselskap.</w:t>
      </w:r>
    </w:p>
    <w:p w14:paraId="095F92A7" w14:textId="77777777" w:rsidR="0016483D" w:rsidRPr="006D7319" w:rsidRDefault="0016483D" w:rsidP="006D7319">
      <w:r w:rsidRPr="006D7319">
        <w:t xml:space="preserve">En samlet </w:t>
      </w:r>
      <w:r w:rsidRPr="006A50F4">
        <w:rPr>
          <w:rStyle w:val="kursiv"/>
        </w:rPr>
        <w:t>arbeidsgruppe</w:t>
      </w:r>
      <w:r w:rsidRPr="006D7319">
        <w:t xml:space="preserve"> mener at rettskildene tilsier at eier ikke kan anses som arbeidstaker i eget enkeltpersonforetak i arbeidsmiljølovens forstand, og derfor heller ikke vil kunne leies inn etter innleiereglene i arbeidsmiljøloven, se punkt 2.6.4.</w:t>
      </w:r>
    </w:p>
    <w:p w14:paraId="3289CFE9" w14:textId="77777777" w:rsidR="0016483D" w:rsidRPr="006D7319" w:rsidRDefault="0016483D" w:rsidP="006D7319">
      <w:r w:rsidRPr="006A50F4">
        <w:rPr>
          <w:rStyle w:val="kursiv"/>
        </w:rPr>
        <w:t>Arbeidsgruppen</w:t>
      </w:r>
      <w:r w:rsidRPr="006D7319">
        <w:t xml:space="preserve"> har delt seg når det gjelder synet på hvorvidt eier av eget aksjeselskap kan anses som arbeidstaker i egen virksomhet etter arbeidsmiljøloven, og om det er adgang til </w:t>
      </w:r>
      <w:proofErr w:type="gramStart"/>
      <w:r w:rsidRPr="006D7319">
        <w:t>innleie</w:t>
      </w:r>
      <w:proofErr w:type="gramEnd"/>
      <w:r w:rsidRPr="006D7319">
        <w:t xml:space="preserve"> fra slike virksomheter.</w:t>
      </w:r>
    </w:p>
    <w:p w14:paraId="6BF9DCCF" w14:textId="7696AC0D" w:rsidR="0016483D" w:rsidRPr="006D7319" w:rsidRDefault="0016483D" w:rsidP="006D7319">
      <w:r w:rsidRPr="006A50F4">
        <w:rPr>
          <w:rStyle w:val="kursiv"/>
        </w:rPr>
        <w:t xml:space="preserve">Medlemmene Hotvedt, Fjeldstad, Dahle, Kastet, Nordbø </w:t>
      </w:r>
      <w:r w:rsidRPr="006A50F4">
        <w:rPr>
          <w:rStyle w:val="kursiv"/>
        </w:rPr>
        <w:t xml:space="preserve">og Arthur </w:t>
      </w:r>
      <w:r w:rsidRPr="006D7319">
        <w:t xml:space="preserve">anerkjenner at det er en viss usikkerhet, men </w:t>
      </w:r>
      <w:r w:rsidRPr="006D7319">
        <w:t xml:space="preserve">mener det er mest nærliggende å konkludere med at de aktuelle konsulentene eller rådgiverne ikke kan anses som arbeidstaker i eget selskap i arbeidsmiljølovens forstand. </w:t>
      </w:r>
      <w:r w:rsidRPr="006D7319">
        <w:t>Rettspraksis, forarbeids</w:t>
      </w:r>
      <w:r w:rsidRPr="006D7319">
        <w:t xml:space="preserve">uttalelser og juridisk litteratur som gjennomgås i punkt 2.5.3 trekker i retning av at disse ikke anses som arbeidstaker i eget selskap etter arbeidsrettslige regler på grunn av fraværet av et reelt underordningsforhold. Konsekvensen vil være at det ikke er adgang til </w:t>
      </w:r>
      <w:proofErr w:type="gramStart"/>
      <w:r w:rsidRPr="006D7319">
        <w:t>innleie</w:t>
      </w:r>
      <w:proofErr w:type="gramEnd"/>
      <w:r w:rsidRPr="006D7319">
        <w:t xml:space="preserve"> av disse etter arbeidsmiljøloven.</w:t>
      </w:r>
    </w:p>
    <w:p w14:paraId="6B98CFC2" w14:textId="0D536C28" w:rsidR="0016483D" w:rsidRPr="006D7319" w:rsidRDefault="0016483D" w:rsidP="006D7319">
      <w:r w:rsidRPr="006A50F4">
        <w:rPr>
          <w:rStyle w:val="kursiv"/>
        </w:rPr>
        <w:t xml:space="preserve">Medlemmene 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xml:space="preserve">, Svele og Solberg </w:t>
      </w:r>
      <w:r w:rsidRPr="006D7319">
        <w:t>viser til at det verken i rettspraksis fra EU-domstolen eller norsk rettspraksis finnes saker som fastslår at rådgivere og konsulenter i eget foretak ikke kan leies inn. Det er ikke klare holdepunkter i rettskildene for å gjøre unntak fra utgangspunktet om at et aksjeselskap er et eget rettssubjekt, selv om eieren også er den eneste arbeidstakeren. Det er i tidligere forvaltningspraksis fra Arbeidstilsynet lagt til grunn at man er å anse som arbeidstaker i eget foretak, og dermed kan leie seg ut etter arbei</w:t>
      </w:r>
      <w:r w:rsidRPr="006D7319">
        <w:t>dsmiljø</w:t>
      </w:r>
      <w:r w:rsidRPr="006D7319">
        <w:t xml:space="preserve">lovens regler. Selv om det anerkjennes at det foreligger en usikkerhet, mener </w:t>
      </w:r>
      <w:r w:rsidRPr="006A50F4">
        <w:rPr>
          <w:rStyle w:val="kursiv"/>
        </w:rPr>
        <w:t xml:space="preserve">disse medlemmene </w:t>
      </w:r>
      <w:r w:rsidRPr="006D7319">
        <w:t>at det ut fra kilder som omhandler spørsmålet er mest nærliggende å konkludere med at de aktuelle konsulentene eller rådgiverne anses som arbeidstaker i eget foretak i arbeidsmiljølovens forstand.</w:t>
      </w:r>
    </w:p>
    <w:p w14:paraId="6067284E" w14:textId="1D4C75BD" w:rsidR="0016483D" w:rsidRPr="006D7319" w:rsidRDefault="0016483D" w:rsidP="006D7319">
      <w:r w:rsidRPr="006A50F4">
        <w:rPr>
          <w:rStyle w:val="halvfet"/>
        </w:rPr>
        <w:t xml:space="preserve">Kapittel 3 </w:t>
      </w:r>
      <w:r w:rsidRPr="006D7319">
        <w:t>er en kunnskapsbeskrivelse som i hovedsak baserer seg på funnene i</w:t>
      </w:r>
      <w:r w:rsidRPr="006A50F4">
        <w:rPr>
          <w:rStyle w:val="halvfet"/>
        </w:rPr>
        <w:t xml:space="preserve"> </w:t>
      </w:r>
      <w:r w:rsidRPr="006D7319">
        <w:t xml:space="preserve">Menon </w:t>
      </w:r>
      <w:proofErr w:type="spellStart"/>
      <w:r w:rsidRPr="006D7319">
        <w:t>Economics</w:t>
      </w:r>
      <w:proofErr w:type="spellEnd"/>
      <w:r w:rsidRPr="006D7319">
        <w:t xml:space="preserve"> sin rapport </w:t>
      </w:r>
      <w:r w:rsidR="006A50F4">
        <w:t>«</w:t>
      </w:r>
      <w:r w:rsidRPr="006D7319">
        <w:t>Oppdragsorganisering i rådgivernæringen – Kartlegging av organisering av arbeid og oppdrag innen konsulent- og rådgivningsvirksomhet</w:t>
      </w:r>
      <w:r w:rsidR="006A50F4" w:rsidRPr="006A50F4">
        <w:rPr>
          <w:rStyle w:val="kursiv"/>
        </w:rPr>
        <w:t>»</w:t>
      </w:r>
      <w:r w:rsidRPr="006A50F4">
        <w:rPr>
          <w:rStyle w:val="kursiv"/>
        </w:rPr>
        <w:t xml:space="preserve"> </w:t>
      </w:r>
      <w:r w:rsidRPr="006D7319">
        <w:t>som ble overlevert departementet 1. oktober 2025.</w:t>
      </w:r>
      <w:r w:rsidR="006A50F4" w:rsidRPr="006A50F4">
        <w:rPr>
          <w:rStyle w:val="Fotnotereferanse"/>
        </w:rPr>
        <w:footnoteReference w:id="4"/>
      </w:r>
      <w:r w:rsidRPr="006D7319">
        <w:t xml:space="preserve"> Her gis det en beskrivelse av hvilke bransjer innen rådgivernæringen som har blitt berørt av regelverks</w:t>
      </w:r>
      <w:r w:rsidRPr="006D7319">
        <w:t>endringene, omfang av personer og virksomheter som har blitt berørt og hvordan denne næringen organiserer sitt arbeid. Kapittelet gjengir også enkelte innspill arbeidsgruppen har mottatt fra eksterne aktører på oppdragsgiver- og oppdragstakersiden i offentlig og privat sektor. Kapittelet inneholder også en kort beskrivelse av hvilke tilknytningsformer som benyttes ved kjøp av konsulent- og rådgivertjenester i de andre nordiske landene, samt Tyskland.</w:t>
      </w:r>
    </w:p>
    <w:p w14:paraId="708228A7" w14:textId="6FF1117F" w:rsidR="0016483D" w:rsidRPr="006D7319" w:rsidRDefault="0016483D" w:rsidP="006D7319">
      <w:r w:rsidRPr="006D7319">
        <w:lastRenderedPageBreak/>
        <w:t>I</w:t>
      </w:r>
      <w:r w:rsidRPr="006A50F4">
        <w:rPr>
          <w:rStyle w:val="halvfet"/>
        </w:rPr>
        <w:t xml:space="preserve"> kapittel 4 </w:t>
      </w:r>
      <w:proofErr w:type="gramStart"/>
      <w:r w:rsidRPr="006D7319">
        <w:t>fremgår</w:t>
      </w:r>
      <w:proofErr w:type="gramEnd"/>
      <w:r w:rsidRPr="006D7319">
        <w:t xml:space="preserve"> arbeidsgruppens vurderinger av kunnskapsgrunnlaget og behovet for tiltak slik at selvstendige konsulenter og rådgivere skal kunne levere tjenester, og oppdragsgivere skal kunne motta disse, på en hensiktsmessig måte. </w:t>
      </w:r>
      <w:r w:rsidRPr="006A50F4">
        <w:rPr>
          <w:rStyle w:val="kursiv"/>
        </w:rPr>
        <w:t xml:space="preserve">Arbeidsgruppen </w:t>
      </w:r>
      <w:r w:rsidRPr="006D7319">
        <w:t>mener at det er behov for å se nærmere på hvilken adgang selvstendige konsulenter og rådgivere har til å inngå oppdrag, og har i punkt 4.2 presentert momenter som anses særlig relevante i helhetsvurde</w:t>
      </w:r>
      <w:r w:rsidRPr="006D7319">
        <w:t>ringen av om det foreligger et arbeidsforhold eller et selvstendig oppdrag etter arbeids</w:t>
      </w:r>
      <w:r w:rsidRPr="006D7319">
        <w:t xml:space="preserve">miljøloven </w:t>
      </w:r>
      <w:r w:rsidR="006A50F4">
        <w:t>§ </w:t>
      </w:r>
      <w:r w:rsidR="006A50F4" w:rsidRPr="006D7319">
        <w:t>1</w:t>
      </w:r>
      <w:r w:rsidRPr="006D7319">
        <w:t xml:space="preserve">-8, når den som leverer tjenesten besitter en spesialistkompetanse. Basert på denne gjennomgangen er </w:t>
      </w:r>
      <w:r w:rsidRPr="006A50F4">
        <w:rPr>
          <w:rStyle w:val="kursiv"/>
        </w:rPr>
        <w:t xml:space="preserve">arbeidsgruppens </w:t>
      </w:r>
      <w:r w:rsidRPr="006D7319">
        <w:t>oppfatning at flere momenter og særtrekk ved konsulenter og rådgivere som leverer en spesialistkompetanse vil kunne tale for et større handlingsrom til å inngå avtaler om selvstendig oppdrag enn det som virker å være oppfatningen blant aktørene i markedet.</w:t>
      </w:r>
    </w:p>
    <w:p w14:paraId="4C5E7339" w14:textId="308CB8F1" w:rsidR="0016483D" w:rsidRPr="006D7319" w:rsidRDefault="0016483D" w:rsidP="006D7319">
      <w:r w:rsidRPr="006D7319">
        <w:t xml:space="preserve">I punkt 4.3 presenterer arbeidsgruppen to ulike tiltak. En </w:t>
      </w:r>
      <w:r w:rsidRPr="006A50F4">
        <w:rPr>
          <w:rStyle w:val="kursiv"/>
        </w:rPr>
        <w:t xml:space="preserve">samlet arbeidsgruppe </w:t>
      </w:r>
      <w:r w:rsidRPr="006D7319">
        <w:t xml:space="preserve">foreslår at Arbeids- og inkluderingsdepartementet utarbeider en veileder, i samråd med berørte organisasjoner i </w:t>
      </w:r>
      <w:r w:rsidRPr="006D7319">
        <w:t>arbeidslivet, som nærmere angir når det kan være grunnlag for å inngå selvstendige oppdrag i konsulent- og rådgivernæringen.</w:t>
      </w:r>
    </w:p>
    <w:p w14:paraId="5E77228E" w14:textId="77777777" w:rsidR="0016483D" w:rsidRPr="006D7319" w:rsidRDefault="0016483D" w:rsidP="006D7319">
      <w:r w:rsidRPr="006D7319">
        <w:t xml:space="preserve">Arbeidsgruppen har delt seg når det gjelder spørsmålet om det i tillegg er behov for en særregel om </w:t>
      </w:r>
      <w:proofErr w:type="gramStart"/>
      <w:r w:rsidRPr="006D7319">
        <w:t>innleie</w:t>
      </w:r>
      <w:proofErr w:type="gramEnd"/>
      <w:r w:rsidRPr="006D7319">
        <w:t xml:space="preserve"> av selvstendige konsulenter- og rådgivere.</w:t>
      </w:r>
    </w:p>
    <w:p w14:paraId="1B757B0E" w14:textId="55A73DC5" w:rsidR="0016483D" w:rsidRPr="006D7319" w:rsidRDefault="0016483D" w:rsidP="006D7319">
      <w:r w:rsidRPr="006A50F4">
        <w:rPr>
          <w:rStyle w:val="kursiv"/>
        </w:rPr>
        <w:t xml:space="preserve">Medlemmene 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xml:space="preserve">, Svele og Solberg </w:t>
      </w:r>
      <w:r w:rsidRPr="006D7319">
        <w:t xml:space="preserve">er enige i at en veileder som presiserer </w:t>
      </w:r>
      <w:r w:rsidRPr="006D7319">
        <w:t>hvilket handlingsrom det er for rådgivere og konsulenter til å inngå</w:t>
      </w:r>
      <w:r w:rsidRPr="006D7319">
        <w:t xml:space="preserve"> oppdragsavtaler vil kunne være </w:t>
      </w:r>
      <w:r w:rsidRPr="006D7319">
        <w:t xml:space="preserve">nyttig, ettersom regelverket for mange oppleves som uklart. </w:t>
      </w:r>
      <w:r w:rsidRPr="006A50F4">
        <w:rPr>
          <w:rStyle w:val="kursiv"/>
        </w:rPr>
        <w:t xml:space="preserve">Disse medlemmene </w:t>
      </w:r>
      <w:r w:rsidRPr="006D7319">
        <w:t xml:space="preserve">mener imidlertid at en slik veileder ikke vil løse de tilfellene der oppdraget kun kan løses ved innleie. En veileder vil heller ikke løse de tilfellene der oppdragsgiver ønsker å organisere oppdraget som innleie, for eksempel for å være på </w:t>
      </w:r>
      <w:r w:rsidR="006A50F4">
        <w:t>«</w:t>
      </w:r>
      <w:r w:rsidRPr="006D7319">
        <w:t>den trygge siden</w:t>
      </w:r>
      <w:r w:rsidR="006A50F4">
        <w:t>»</w:t>
      </w:r>
      <w:r w:rsidRPr="006D7319">
        <w:t xml:space="preserve"> av innleieregelverket, selv om arbeidsoppgavene strengt tatt kunne vært gjennomført som tjenestekjøp. </w:t>
      </w:r>
      <w:r w:rsidRPr="006A50F4">
        <w:rPr>
          <w:rStyle w:val="kursiv"/>
        </w:rPr>
        <w:t xml:space="preserve">Disse medlemmene </w:t>
      </w:r>
      <w:r w:rsidRPr="006D7319">
        <w:t xml:space="preserve">foreslår derfor at det fastsettes en snever særregel som gir adgang til å leie inn selvstendige konsulenter og rådgivere som er ansatt i eget aksjeselskap, og som har spesialkompetanse som skal utføre rådgivnings- og konsulenttjeneste i klart avgrenset prosjekt. </w:t>
      </w:r>
      <w:r w:rsidRPr="006A50F4">
        <w:rPr>
          <w:rStyle w:val="kursiv"/>
        </w:rPr>
        <w:t xml:space="preserve">Medlemmene </w:t>
      </w:r>
      <w:r w:rsidRPr="006D7319">
        <w:t>anbefaler også at slike virksomheter følger godkjenningsordningen for bemanningsforetak.</w:t>
      </w:r>
    </w:p>
    <w:p w14:paraId="04FE76EC" w14:textId="769C7467" w:rsidR="0016483D" w:rsidRPr="006D7319" w:rsidRDefault="0016483D" w:rsidP="006D7319">
      <w:r w:rsidRPr="006A50F4">
        <w:rPr>
          <w:rStyle w:val="kursiv"/>
        </w:rPr>
        <w:t xml:space="preserve">Medlemmene Hotvedt, Fjeldstad, Dahle, Kastet, Nordbø og Arthur </w:t>
      </w:r>
      <w:r w:rsidRPr="006D7319">
        <w:t xml:space="preserve">stiller seg ikke bak forslaget om en slik </w:t>
      </w:r>
      <w:r w:rsidRPr="006D7319">
        <w:t xml:space="preserve">særregel. </w:t>
      </w:r>
      <w:r w:rsidRPr="006A50F4">
        <w:rPr>
          <w:rStyle w:val="kursiv"/>
        </w:rPr>
        <w:t xml:space="preserve">Disse medlemmene </w:t>
      </w:r>
      <w:r w:rsidRPr="006D7319">
        <w:t xml:space="preserve">mener at det ikke er behov for en slik regulering, og at en særregel vil utfordre arbeidstakerbegrepet, stillingsvernet og lovens system, samt innebære en fare for </w:t>
      </w:r>
      <w:r w:rsidRPr="006D7319">
        <w:t xml:space="preserve">omgåelse av regelverket til skade for arbeidstakere. </w:t>
      </w:r>
      <w:r w:rsidRPr="006D7319">
        <w:t xml:space="preserve">Disse </w:t>
      </w:r>
      <w:r w:rsidRPr="006D7319">
        <w:t>medlemmene</w:t>
      </w:r>
      <w:r w:rsidRPr="006D7319">
        <w:t xml:space="preserve"> peker også på de EU/EØS-rettslige utfordringene ved å innføre en slik regel. Arbeidsgruppens vurdering av behovet for en særregel </w:t>
      </w:r>
      <w:proofErr w:type="gramStart"/>
      <w:r w:rsidRPr="006D7319">
        <w:t>fremgår</w:t>
      </w:r>
      <w:proofErr w:type="gramEnd"/>
      <w:r w:rsidRPr="006D7319">
        <w:t xml:space="preserve"> av punkt 4.3.3.</w:t>
      </w:r>
    </w:p>
    <w:p w14:paraId="3124DD01" w14:textId="46016EE1" w:rsidR="0016483D" w:rsidRPr="006D7319" w:rsidRDefault="0016483D" w:rsidP="006D7319">
      <w:r w:rsidRPr="006D7319">
        <w:t xml:space="preserve">I </w:t>
      </w:r>
      <w:r w:rsidRPr="006A50F4">
        <w:rPr>
          <w:rStyle w:val="halvfet"/>
        </w:rPr>
        <w:t xml:space="preserve">kapittel 5 </w:t>
      </w:r>
      <w:r w:rsidRPr="006D7319">
        <w:t>er det redegjort for arbeidsgruppens vurderinger av om den foreslåtte særregelen vil være i tråd med EØS-rettslige forpliktelser. I denne vurderingen har arbeidsgruppen særlig vurdert hvorvidt eier og eneste ansatte i eget aksjeselskap etter EU/EØS-retten vil kunne anses som et bemann</w:t>
      </w:r>
      <w:r w:rsidRPr="006D7319">
        <w:t xml:space="preserve">ingsforetak, eller om vedkommende vil bli ansett som en arbeidstaker i relasjon til kunden, og derfor ha krav på rettigheter som de ulike </w:t>
      </w:r>
      <w:r w:rsidRPr="006D7319">
        <w:t xml:space="preserve">arbeidsrettslige direktivene gir. </w:t>
      </w:r>
      <w:r w:rsidRPr="006A50F4">
        <w:rPr>
          <w:rStyle w:val="kursiv"/>
        </w:rPr>
        <w:t>Arbeidsgruppen</w:t>
      </w:r>
      <w:r w:rsidRPr="006A50F4">
        <w:rPr>
          <w:rStyle w:val="kursiv"/>
        </w:rPr>
        <w:t xml:space="preserve"> </w:t>
      </w:r>
      <w:r w:rsidRPr="006D7319">
        <w:t>er delt i sitt syn på om den foreslåtte særregelen vil være EU/EØS-</w:t>
      </w:r>
      <w:r w:rsidRPr="006D7319">
        <w:t>rettslig problematisk.</w:t>
      </w:r>
    </w:p>
    <w:p w14:paraId="6E3F3BB6" w14:textId="77777777" w:rsidR="0016483D" w:rsidRPr="006D7319" w:rsidRDefault="0016483D" w:rsidP="006D7319">
      <w:r w:rsidRPr="006A50F4">
        <w:rPr>
          <w:rStyle w:val="kursiv"/>
        </w:rPr>
        <w:lastRenderedPageBreak/>
        <w:t xml:space="preserve">Medlemmene Hotvedt, Fjeldstad, Dahle, Kastet, Nordbø og Arthur </w:t>
      </w:r>
      <w:r w:rsidRPr="006D7319">
        <w:t>mener at det er</w:t>
      </w:r>
      <w:r w:rsidRPr="006A50F4">
        <w:rPr>
          <w:rStyle w:val="kursiv"/>
        </w:rPr>
        <w:t xml:space="preserve"> </w:t>
      </w:r>
      <w:r w:rsidRPr="006D7319">
        <w:t xml:space="preserve">en risiko for at enkelte direktivrettigheter ikke blir tilstrekkelig ivaretatt ved innleie basert på den foreslåtte særregelen, og viser til at det fremstår tvilsomt at aksjeselskap der eier er eneste ansatte er et bemanningsforetak i direktivets forstand, og dermed at innleie etter særregelen er dekket av direktivet. </w:t>
      </w:r>
      <w:r w:rsidRPr="006A50F4">
        <w:rPr>
          <w:rStyle w:val="kursiv"/>
        </w:rPr>
        <w:t xml:space="preserve">Disse medlemmene </w:t>
      </w:r>
      <w:r w:rsidRPr="006D7319">
        <w:t xml:space="preserve">viser til at flere arbeidsrettslige direktiver bygger på et EU/EØS-rettslig arbeidstakerbegrep, noe som kan innebære at arbeid under kundens styring og ledelse utløser direktivrettigheter som arbeidstaker hos kunden. </w:t>
      </w:r>
      <w:r w:rsidRPr="006D7319">
        <w:t>Disse medlemmene</w:t>
      </w:r>
      <w:r w:rsidRPr="006D7319">
        <w:t xml:space="preserve"> mener derfor at det er en risiko for at den foreslåtte regelen er problematisk etter EU/EØS-retten.</w:t>
      </w:r>
    </w:p>
    <w:p w14:paraId="0AE2B8D8" w14:textId="5F5F181E" w:rsidR="0016483D" w:rsidRPr="006D7319" w:rsidRDefault="0016483D" w:rsidP="006D7319">
      <w:r w:rsidRPr="006A50F4">
        <w:rPr>
          <w:rStyle w:val="kursiv"/>
        </w:rPr>
        <w:t xml:space="preserve">Medlemmene 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xml:space="preserve">, Svele og Solberg </w:t>
      </w:r>
      <w:r w:rsidRPr="006D7319">
        <w:t xml:space="preserve">kan vanskelig se at den foreslåtte </w:t>
      </w:r>
      <w:r w:rsidRPr="006D7319">
        <w:t>særregelen vil være i strid med EØS-direktivene om arbeidstakerrettigheter, og viser til at det ikke foreligger EU-rettslige kilder som tilsier at bemanningsforetak i EU-retten må ha et visst minimum antall arbeids</w:t>
      </w:r>
      <w:r w:rsidRPr="006D7319">
        <w:t xml:space="preserve">takere for å anses som et bemanningsforetak. Også i EU-retten er et selskap og aksjeeier to </w:t>
      </w:r>
      <w:r w:rsidRPr="006D7319">
        <w:t>selvstendige retts</w:t>
      </w:r>
      <w:r w:rsidRPr="006D7319">
        <w:t xml:space="preserve">subjekter, og det foreligger så vidt </w:t>
      </w:r>
      <w:r w:rsidRPr="006D7319">
        <w:t>disse medlemmer</w:t>
      </w:r>
      <w:r w:rsidRPr="006D7319">
        <w:t xml:space="preserve"> kjenner til, ingen rettspraksis fra EU-</w:t>
      </w:r>
      <w:r w:rsidRPr="006D7319">
        <w:t>domstolen om at arbeidstaker i eget selskap skal identifiseres med eierne.</w:t>
      </w:r>
    </w:p>
    <w:p w14:paraId="36D9F689" w14:textId="5E2D1515" w:rsidR="0016483D" w:rsidRPr="006D7319" w:rsidRDefault="0016483D" w:rsidP="006D7319">
      <w:r w:rsidRPr="006D7319">
        <w:t xml:space="preserve">Arbeidsgruppens anbefalinger er oppsummert i </w:t>
      </w:r>
      <w:r w:rsidRPr="006A50F4">
        <w:rPr>
          <w:rStyle w:val="halvfet"/>
        </w:rPr>
        <w:t xml:space="preserve">kapittel 6 </w:t>
      </w:r>
      <w:r w:rsidRPr="006D7319">
        <w:t xml:space="preserve">basert på arbeidsgruppens </w:t>
      </w:r>
      <w:r w:rsidRPr="006D7319">
        <w:t xml:space="preserve">vurderinger i punkt 4.3. I </w:t>
      </w:r>
      <w:r w:rsidRPr="006A50F4">
        <w:rPr>
          <w:rStyle w:val="halvfet"/>
        </w:rPr>
        <w:t xml:space="preserve">kapittel 7 </w:t>
      </w:r>
      <w:r w:rsidRPr="006D7319">
        <w:t>gis det en oversikt over økonomiske og administrative konsekvenser ved å utarbeide en veileder og innføre en snever særregel som skissert i punkt 4.3.4, som gir adgang til å leie inn selvstendige konsulenter og rådgivere med eget aksjeselskap.</w:t>
      </w:r>
    </w:p>
    <w:p w14:paraId="62D3A4DB" w14:textId="77777777" w:rsidR="0016483D" w:rsidRPr="006D7319" w:rsidRDefault="0016483D" w:rsidP="006D7319">
      <w:pPr>
        <w:pStyle w:val="Overskrift1"/>
      </w:pPr>
      <w:r w:rsidRPr="006D7319">
        <w:t>Gjeldende rett</w:t>
      </w:r>
    </w:p>
    <w:p w14:paraId="6C686383" w14:textId="77777777" w:rsidR="0016483D" w:rsidRPr="006D7319" w:rsidRDefault="0016483D" w:rsidP="006D7319">
      <w:pPr>
        <w:pStyle w:val="Overskrift2"/>
      </w:pPr>
      <w:r w:rsidRPr="006D7319">
        <w:t>Innledning</w:t>
      </w:r>
    </w:p>
    <w:p w14:paraId="7BBE7F63" w14:textId="536BE667" w:rsidR="0016483D" w:rsidRPr="006D7319" w:rsidRDefault="0016483D" w:rsidP="006D7319">
      <w:r w:rsidRPr="006D7319">
        <w:t xml:space="preserve">Arbeidsgruppen har i sitt mandat fått i oppgave å beskrive gjeldende rett </w:t>
      </w:r>
      <w:proofErr w:type="gramStart"/>
      <w:r w:rsidRPr="006D7319">
        <w:t>hva gjelder</w:t>
      </w:r>
      <w:proofErr w:type="gramEnd"/>
      <w:r w:rsidRPr="006D7319">
        <w:t xml:space="preserve"> mulige tilknytnings</w:t>
      </w:r>
      <w:r w:rsidRPr="006D7319">
        <w:t>former for kjøp av konsulent- og rådgiver</w:t>
      </w:r>
      <w:r w:rsidRPr="006D7319">
        <w:t xml:space="preserve">tjenester, herunder fra </w:t>
      </w:r>
      <w:r w:rsidRPr="006D7319">
        <w:t xml:space="preserve">enkeltpersonforetak og aksjeselskap hvor eier er eneste arbeidende </w:t>
      </w:r>
      <w:r w:rsidRPr="006D7319">
        <w:t>person i virksomheten.</w:t>
      </w:r>
    </w:p>
    <w:p w14:paraId="562A0142" w14:textId="6875ADD1" w:rsidR="0016483D" w:rsidRPr="006D7319" w:rsidRDefault="0016483D" w:rsidP="006D7319">
      <w:r w:rsidRPr="006D7319">
        <w:t>Som beskrevet i punkt 1.1 har endringene i innleie</w:t>
      </w:r>
      <w:r w:rsidRPr="006D7319">
        <w:t>r</w:t>
      </w:r>
      <w:r w:rsidRPr="006D7319">
        <w:t xml:space="preserve">eglene, innføring av </w:t>
      </w:r>
      <w:r w:rsidRPr="006D7319">
        <w:t>godkjenningsordningen for bemanningsforetak og presiseringen av arbeidstaker</w:t>
      </w:r>
      <w:r w:rsidRPr="006D7319">
        <w:t>begrepet</w:t>
      </w:r>
      <w:r w:rsidR="006A50F4" w:rsidRPr="006A50F4">
        <w:rPr>
          <w:rStyle w:val="Fotnotereferanse"/>
        </w:rPr>
        <w:footnoteReference w:id="5"/>
      </w:r>
      <w:r w:rsidRPr="006D7319">
        <w:t xml:space="preserve"> bidratt til å synliggjøre en problemstilling knyttet til hvorvidt enkeltperson</w:t>
      </w:r>
      <w:r w:rsidRPr="006D7319">
        <w:t xml:space="preserve">foretak eller aksjeselskap som drives og eies av kun én person kan anses som bemanningsforetak som det kan leies inn arbeidskraft fra etter innleiereglene i arbeidsmiljøloven. Dette reiser spørsmål om </w:t>
      </w:r>
      <w:proofErr w:type="gramStart"/>
      <w:r w:rsidRPr="006D7319">
        <w:t>innleie</w:t>
      </w:r>
      <w:proofErr w:type="gramEnd"/>
      <w:r w:rsidRPr="006D7319">
        <w:t xml:space="preserve"> etter gjeldende rett er en mulig tilknytningsform for selvstendige oppdragstakere som er eneeiere og eneste arbeidende person i egen virksomhet. Det er videre et spørsmål om det har noen rettslig </w:t>
      </w:r>
      <w:r w:rsidRPr="006D7319">
        <w:t>betydning for problemstillingen hvordan virksom</w:t>
      </w:r>
      <w:r w:rsidRPr="006D7319">
        <w:t xml:space="preserve">heten er </w:t>
      </w:r>
      <w:r w:rsidRPr="006D7319">
        <w:lastRenderedPageBreak/>
        <w:t xml:space="preserve">organisert – enten som </w:t>
      </w:r>
      <w:r w:rsidRPr="006D7319">
        <w:t xml:space="preserve">enkeltpersonforetak eller aksjeselskap (heretter benevnt i fellesskap som </w:t>
      </w:r>
      <w:r w:rsidR="006A50F4">
        <w:t>«</w:t>
      </w:r>
      <w:r w:rsidRPr="006D7319">
        <w:t>enpersonsbedrifter</w:t>
      </w:r>
      <w:r w:rsidR="006A50F4">
        <w:t>»</w:t>
      </w:r>
      <w:r w:rsidRPr="006D7319">
        <w:t>).</w:t>
      </w:r>
      <w:r w:rsidR="006A50F4" w:rsidRPr="006A50F4">
        <w:rPr>
          <w:rStyle w:val="Fotnotereferanse"/>
        </w:rPr>
        <w:footnoteReference w:id="6"/>
      </w:r>
    </w:p>
    <w:p w14:paraId="247F2A67" w14:textId="412C23B7" w:rsidR="0016483D" w:rsidRPr="006D7319" w:rsidRDefault="0016483D" w:rsidP="006D7319">
      <w:r w:rsidRPr="006D7319">
        <w:t>I dette punktet gis derfor en fremstilling av organisa</w:t>
      </w:r>
      <w:r w:rsidRPr="006D7319">
        <w:t xml:space="preserve">sjonsformene enkeltpersonforetak og aksjeselskap, som er de formene som i praksis benyttes mest av selvstendige rådgivere og konsulenter hvor eier er eneste arbeidende person i virksomheten. I tillegg gis en kort omtale av frilansbegrepet. Hvilke tilknytningsformer som er aktuelle avhenger blant annet av om en person som utfører arbeid i eget enkeltpersonforetak eller aksjeselskap kan regnes som arbeidstaker i arbeidsmiljølovens forstand i den </w:t>
      </w:r>
      <w:r w:rsidRPr="006D7319">
        <w:t xml:space="preserve">aktuelle virksomheten. Det reiser med andre ord spørsmål om forholdet mellom </w:t>
      </w:r>
      <w:r w:rsidRPr="006D7319">
        <w:t xml:space="preserve">arbeidsrettslige grunnbegreper og ulike organisasjonsformer. </w:t>
      </w:r>
      <w:r w:rsidRPr="006D7319">
        <w:t xml:space="preserve">Derfor vil arbeidsrettslige grunnbegreper </w:t>
      </w:r>
      <w:r w:rsidRPr="006D7319">
        <w:t xml:space="preserve">presenteres i punkt 2.2, og ulike organisasjonsformer som er mest relevante for rådgivere og konsulenter i punkt 2.3, før ulike tilknytningsformer vil gjennomgås </w:t>
      </w:r>
      <w:r w:rsidRPr="006D7319">
        <w:t xml:space="preserve">nærmere i punkt 2.4. I punkt 2.5 gis en gjennomgang av selvstendige rådgiveres og konsulenters rettslige status etter arbeidsmiljøloven. Punkt 2.6 gir en oppsummering av arbeidsgruppens vurdering av </w:t>
      </w:r>
      <w:r w:rsidRPr="006D7319">
        <w:t>aktuelle tilknytningsformer for enpersonsbedrifter.</w:t>
      </w:r>
    </w:p>
    <w:p w14:paraId="3D8A7AB3" w14:textId="77777777" w:rsidR="0016483D" w:rsidRPr="006D7319" w:rsidRDefault="0016483D" w:rsidP="006D7319">
      <w:pPr>
        <w:pStyle w:val="Overskrift2"/>
      </w:pPr>
      <w:r w:rsidRPr="006D7319">
        <w:t>Arbeidsrettslige grunnbegreper</w:t>
      </w:r>
    </w:p>
    <w:p w14:paraId="0491F13C" w14:textId="77777777" w:rsidR="0016483D" w:rsidRPr="006D7319" w:rsidRDefault="0016483D" w:rsidP="006D7319">
      <w:pPr>
        <w:pStyle w:val="Overskrift3"/>
      </w:pPr>
      <w:r w:rsidRPr="006D7319">
        <w:t>Virksomhetsbegrepet</w:t>
      </w:r>
    </w:p>
    <w:p w14:paraId="6DE033DB" w14:textId="76C96EC1" w:rsidR="0016483D" w:rsidRPr="006D7319" w:rsidRDefault="0016483D" w:rsidP="006D7319">
      <w:r w:rsidRPr="006D7319">
        <w:t xml:space="preserve">Arbeidsmiljølovens alminnelige virkeområde er angitt i lovens </w:t>
      </w:r>
      <w:r w:rsidR="006A50F4">
        <w:t>§ </w:t>
      </w:r>
      <w:r w:rsidR="006A50F4" w:rsidRPr="006D7319">
        <w:t>1</w:t>
      </w:r>
      <w:r w:rsidRPr="006D7319">
        <w:t xml:space="preserve">-2 første ledd, hvor det </w:t>
      </w:r>
      <w:proofErr w:type="gramStart"/>
      <w:r w:rsidRPr="006D7319">
        <w:t>fremgår</w:t>
      </w:r>
      <w:proofErr w:type="gramEnd"/>
      <w:r w:rsidRPr="006D7319">
        <w:t xml:space="preserve"> at loven gjelder for </w:t>
      </w:r>
      <w:r w:rsidR="006A50F4">
        <w:t>«</w:t>
      </w:r>
      <w:r w:rsidRPr="006D7319">
        <w:t>virksomhet som sysselsetter arbeidstaker</w:t>
      </w:r>
      <w:r w:rsidR="006A50F4">
        <w:t>»</w:t>
      </w:r>
      <w:r w:rsidRPr="006D7319">
        <w:t xml:space="preserve">, med mindre annet er uttrykkelig fastsatt i loven. Virksomhetsbegrepet angir med andre ord anvendelsesområdet for loven, og dermed </w:t>
      </w:r>
      <w:r w:rsidRPr="006D7319">
        <w:t>hvilken organisering av aktiviteter som omfattes.</w:t>
      </w:r>
      <w:r w:rsidR="006A50F4" w:rsidRPr="006A50F4">
        <w:rPr>
          <w:rStyle w:val="Fotnotereferanse"/>
        </w:rPr>
        <w:footnoteReference w:id="7"/>
      </w:r>
    </w:p>
    <w:p w14:paraId="4D324714" w14:textId="453AB20D" w:rsidR="0016483D" w:rsidRPr="006D7319" w:rsidRDefault="0016483D" w:rsidP="006D7319">
      <w:r w:rsidRPr="006D7319">
        <w:t xml:space="preserve">Det gjelder visse minimumskrav til organiseringen av aktivitetene før den kan anses som en virksomhet i arbeidsmiljølovens forstand. Av eldre forarbeider til arbeidervernloven av 1936 kan det utledes tre </w:t>
      </w:r>
      <w:r w:rsidRPr="006D7319">
        <w:t>kriterier.</w:t>
      </w:r>
      <w:r w:rsidR="006A50F4" w:rsidRPr="006A50F4">
        <w:rPr>
          <w:rStyle w:val="Fotnotereferanse"/>
        </w:rPr>
        <w:footnoteReference w:id="8"/>
      </w:r>
      <w:r w:rsidRPr="006D7319">
        <w:t xml:space="preserve"> Aktiviteten må ikke være ubetydelig, den må ha en viss varighet og organisasjonen må </w:t>
      </w:r>
      <w:r w:rsidRPr="006D7319">
        <w:lastRenderedPageBreak/>
        <w:t xml:space="preserve">være fast. Som det </w:t>
      </w:r>
      <w:proofErr w:type="gramStart"/>
      <w:r w:rsidRPr="006D7319">
        <w:t>fremgår</w:t>
      </w:r>
      <w:proofErr w:type="gramEnd"/>
      <w:r w:rsidRPr="006D7319">
        <w:t xml:space="preserve"> av ordlyden i </w:t>
      </w:r>
      <w:r w:rsidR="006A50F4">
        <w:t>§ </w:t>
      </w:r>
      <w:r w:rsidR="006A50F4" w:rsidRPr="006D7319">
        <w:t>1</w:t>
      </w:r>
      <w:r w:rsidRPr="006D7319">
        <w:t xml:space="preserve">-2 første ledd er det også et grunnkrav at virksomheten </w:t>
      </w:r>
      <w:r w:rsidR="006A50F4">
        <w:t>«</w:t>
      </w:r>
      <w:r w:rsidRPr="006D7319">
        <w:t>syssel</w:t>
      </w:r>
      <w:r w:rsidRPr="006D7319">
        <w:t>setter arbeidstaker</w:t>
      </w:r>
      <w:r w:rsidR="006A50F4">
        <w:t>»</w:t>
      </w:r>
      <w:r w:rsidRPr="006D7319">
        <w:t>.</w:t>
      </w:r>
    </w:p>
    <w:p w14:paraId="1CDDA11C" w14:textId="5C2DB9E4" w:rsidR="0016483D" w:rsidRPr="006D7319" w:rsidRDefault="0016483D" w:rsidP="006D7319">
      <w:r w:rsidRPr="006D7319">
        <w:t xml:space="preserve">Dersom minimumsvilkårene er oppfylt, oppstilles det ikke noe krav til at virksomheten har et mål om økonomisk gevinst, og alle virksomhetsformer kan i prinsippet falle inn under virksomhetsbegrepet, med mindre de er unntatt fra lovens bestemmelser, jf. </w:t>
      </w:r>
      <w:r w:rsidR="006A50F4">
        <w:t>§ </w:t>
      </w:r>
      <w:r w:rsidR="006A50F4" w:rsidRPr="006D7319">
        <w:t>1</w:t>
      </w:r>
      <w:r w:rsidRPr="006D7319">
        <w:t>-2 andre og fjerde ledd.</w:t>
      </w:r>
      <w:r w:rsidR="006A50F4" w:rsidRPr="006A50F4">
        <w:rPr>
          <w:rStyle w:val="Fotnotereferanse"/>
        </w:rPr>
        <w:footnoteReference w:id="9"/>
      </w:r>
    </w:p>
    <w:p w14:paraId="7D7A76A6" w14:textId="76E0562D" w:rsidR="0016483D" w:rsidRPr="006D7319" w:rsidRDefault="0016483D" w:rsidP="006D7319">
      <w:r w:rsidRPr="006D7319">
        <w:t xml:space="preserve">Arbeidsmiljøloven </w:t>
      </w:r>
      <w:r w:rsidR="006A50F4">
        <w:t>§ </w:t>
      </w:r>
      <w:r w:rsidR="006A50F4" w:rsidRPr="006D7319">
        <w:t>1</w:t>
      </w:r>
      <w:r w:rsidRPr="006D7319">
        <w:t xml:space="preserve">-4 første ledd gir </w:t>
      </w:r>
      <w:r w:rsidRPr="006D7319">
        <w:t>departementet forskriftshjemmel til å kunne gjøre arbeidsmiljø</w:t>
      </w:r>
      <w:r w:rsidRPr="006D7319">
        <w:t xml:space="preserve">lovens bestemmelser helt eller delvis gjeldende for virksomheter som </w:t>
      </w:r>
      <w:r w:rsidR="006A50F4">
        <w:t>«</w:t>
      </w:r>
      <w:r w:rsidRPr="006D7319">
        <w:t>ikke sysselsetter arbeidstaker</w:t>
      </w:r>
      <w:r w:rsidR="006A50F4">
        <w:t>»</w:t>
      </w:r>
      <w:r w:rsidRPr="006D7319">
        <w:t xml:space="preserve">. Bestemmelsen åpner med andre ord opp for unntak fra kravet om at virksomheten må </w:t>
      </w:r>
      <w:r w:rsidR="006A50F4">
        <w:t>«</w:t>
      </w:r>
      <w:r w:rsidRPr="006D7319">
        <w:t>sysselsette arbeidstaker</w:t>
      </w:r>
      <w:r w:rsidR="006A50F4">
        <w:t>»</w:t>
      </w:r>
      <w:r w:rsidRPr="006D7319">
        <w:t xml:space="preserve">. I forarbeidene til bestemmelsen er uttrykket </w:t>
      </w:r>
      <w:r w:rsidR="006A50F4">
        <w:t>«</w:t>
      </w:r>
      <w:r w:rsidRPr="006D7319">
        <w:t>enmannsvirksomheter</w:t>
      </w:r>
      <w:r w:rsidR="006A50F4">
        <w:t>»</w:t>
      </w:r>
      <w:r w:rsidRPr="006D7319">
        <w:t xml:space="preserve"> benyttet om virksomhet som </w:t>
      </w:r>
      <w:r w:rsidR="006A50F4">
        <w:t>«</w:t>
      </w:r>
      <w:r w:rsidRPr="006D7319">
        <w:t>ikke sysselsetter arbeidstaker</w:t>
      </w:r>
      <w:r w:rsidR="006A50F4">
        <w:t>»</w:t>
      </w:r>
      <w:r w:rsidRPr="006D7319">
        <w:t>.</w:t>
      </w:r>
      <w:r w:rsidR="006A50F4" w:rsidRPr="006A50F4">
        <w:rPr>
          <w:rStyle w:val="Fotnotereferanse"/>
        </w:rPr>
        <w:footnoteReference w:id="10"/>
      </w:r>
    </w:p>
    <w:p w14:paraId="5E26C972" w14:textId="03884870" w:rsidR="0016483D" w:rsidRPr="006D7319" w:rsidRDefault="0016483D" w:rsidP="006D7319">
      <w:r w:rsidRPr="006D7319">
        <w:t xml:space="preserve">En rekke forskrifter og forskriftsbestemmelser er gjort gjeldende for slike </w:t>
      </w:r>
      <w:r w:rsidR="006A50F4">
        <w:t>«</w:t>
      </w:r>
      <w:r w:rsidRPr="006D7319">
        <w:t>enmannsvirksomheter</w:t>
      </w:r>
      <w:r w:rsidR="006A50F4">
        <w:t>»</w:t>
      </w:r>
      <w:r w:rsidRPr="006D7319">
        <w:t xml:space="preserve"> med hjemmel i bestemmelsen. Dette er blant annet gjort på områder der det er et særlig behov for vern, for eksempel i </w:t>
      </w:r>
      <w:proofErr w:type="spellStart"/>
      <w:r w:rsidRPr="006D7319">
        <w:t>byggebransjen</w:t>
      </w:r>
      <w:proofErr w:type="spellEnd"/>
      <w:r w:rsidRPr="006D7319">
        <w:t xml:space="preserve"> og i landbruks</w:t>
      </w:r>
      <w:r w:rsidRPr="006D7319">
        <w:t>sektoren.</w:t>
      </w:r>
      <w:r w:rsidR="006A50F4" w:rsidRPr="006A50F4">
        <w:rPr>
          <w:rStyle w:val="Fotnotereferanse"/>
        </w:rPr>
        <w:footnoteReference w:id="11"/>
      </w:r>
      <w:r w:rsidRPr="006D7319">
        <w:t xml:space="preserve"> Dette innebærer at enpersonsbedrifter er omfattet av nærmere bestemte verneregler, og at eieren av en slik virksomhet plikter å sikre at reglene etterleves, samtidig som Arbeidstilsynet har kompetanse til å håndheve dem.</w:t>
      </w:r>
      <w:r w:rsidR="006A50F4" w:rsidRPr="006A50F4">
        <w:rPr>
          <w:rStyle w:val="Fotnotereferanse"/>
        </w:rPr>
        <w:footnoteReference w:id="12"/>
      </w:r>
    </w:p>
    <w:p w14:paraId="110B0018" w14:textId="39533D69" w:rsidR="0016483D" w:rsidRPr="006D7319" w:rsidRDefault="0016483D" w:rsidP="006D7319">
      <w:r w:rsidRPr="006D7319">
        <w:t xml:space="preserve">Det er også gjort utvidelser av arbeidsmiljølovens virkeområde med hjemmel i </w:t>
      </w:r>
      <w:r w:rsidR="006A50F4">
        <w:t>§ </w:t>
      </w:r>
      <w:r w:rsidR="006A50F4" w:rsidRPr="006D7319">
        <w:t>1</w:t>
      </w:r>
      <w:r w:rsidRPr="006D7319">
        <w:t xml:space="preserve">-4 i forbindelse med gjennomføringen av vikarbyrådirektivet i Norge, jf. forskrift om </w:t>
      </w:r>
      <w:proofErr w:type="gramStart"/>
      <w:r w:rsidRPr="006D7319">
        <w:t>innleie</w:t>
      </w:r>
      <w:proofErr w:type="gramEnd"/>
      <w:r w:rsidRPr="006D7319">
        <w:t xml:space="preserve"> fra bemanningsforetak </w:t>
      </w:r>
      <w:r w:rsidR="006A50F4">
        <w:t>§ </w:t>
      </w:r>
      <w:r w:rsidR="006A50F4" w:rsidRPr="006D7319">
        <w:t>1</w:t>
      </w:r>
      <w:r w:rsidRPr="006D7319">
        <w:t xml:space="preserve">. Formålet var blant annet å sikre at </w:t>
      </w:r>
      <w:r w:rsidR="006A50F4">
        <w:t>«</w:t>
      </w:r>
      <w:r w:rsidRPr="006D7319">
        <w:t>virksomhet som ikke sysselsetter arbeidstakere</w:t>
      </w:r>
      <w:r w:rsidR="006A50F4">
        <w:t>»</w:t>
      </w:r>
      <w:r w:rsidRPr="006D7319">
        <w:t xml:space="preserve"> ikke baserer sine tjenester på ubegrenset bruk av innleid arbeidskraft, for eksempel med sikte på å unngå tradisjonelt arbeidsgiveransvar.</w:t>
      </w:r>
      <w:r w:rsidR="006A50F4" w:rsidRPr="006A50F4">
        <w:rPr>
          <w:rStyle w:val="Fotnotereferanse"/>
        </w:rPr>
        <w:footnoteReference w:id="13"/>
      </w:r>
    </w:p>
    <w:p w14:paraId="6E0F5ED9" w14:textId="0C8E7D6A" w:rsidR="0016483D" w:rsidRPr="006D7319" w:rsidRDefault="0016483D" w:rsidP="006D7319">
      <w:r w:rsidRPr="006D7319">
        <w:lastRenderedPageBreak/>
        <w:t xml:space="preserve">Utvidelsen innebærer at </w:t>
      </w:r>
      <w:r w:rsidR="006A50F4">
        <w:t>«</w:t>
      </w:r>
      <w:r w:rsidRPr="006D7319">
        <w:t>enmannsvirksomheter</w:t>
      </w:r>
      <w:r w:rsidR="006A50F4">
        <w:t>»</w:t>
      </w:r>
      <w:r w:rsidRPr="006D7319">
        <w:t xml:space="preserve"> omfattes av reglene som begrenser </w:t>
      </w:r>
      <w:r w:rsidRPr="006D7319">
        <w:t>innleieadgangen, fordi virksomhetene i denne sammenheng likestilles med øvrige virksomheter som leier inn arbeidskraft, selv om virksomheten ellers faller utenfor arbeids</w:t>
      </w:r>
      <w:r w:rsidRPr="006D7319">
        <w:t xml:space="preserve">miljøloven. Utvidelsen er imidlertid ikke gjort </w:t>
      </w:r>
      <w:r w:rsidRPr="006D7319">
        <w:t xml:space="preserve">gjeldende motsatt vei, og regulerer dermed ikke hvorvidt det kan leies inn </w:t>
      </w:r>
      <w:r w:rsidRPr="006A50F4">
        <w:rPr>
          <w:rStyle w:val="kursiv"/>
        </w:rPr>
        <w:t>fra</w:t>
      </w:r>
      <w:r w:rsidRPr="006D7319">
        <w:t xml:space="preserve"> </w:t>
      </w:r>
      <w:r w:rsidR="006A50F4">
        <w:t>«</w:t>
      </w:r>
      <w:r w:rsidRPr="006D7319">
        <w:t>virksomhet som ikke sysselsetter arbeidstaker</w:t>
      </w:r>
      <w:r w:rsidR="006A50F4">
        <w:t>»</w:t>
      </w:r>
      <w:r w:rsidRPr="006D7319">
        <w:t>.</w:t>
      </w:r>
    </w:p>
    <w:p w14:paraId="5EB6ABA2" w14:textId="77777777" w:rsidR="0016483D" w:rsidRPr="006D7319" w:rsidRDefault="0016483D" w:rsidP="006D7319">
      <w:pPr>
        <w:pStyle w:val="Overskrift3"/>
      </w:pPr>
      <w:r w:rsidRPr="006D7319">
        <w:t>Arbeidstakerbegrepet</w:t>
      </w:r>
    </w:p>
    <w:p w14:paraId="20E348FC" w14:textId="77777777" w:rsidR="0016483D" w:rsidRPr="006D7319" w:rsidRDefault="0016483D" w:rsidP="007173E8">
      <w:pPr>
        <w:pStyle w:val="avsnitt-under-undertittel"/>
      </w:pPr>
      <w:r w:rsidRPr="006D7319">
        <w:t>Arbeidstakerbegrepet i norsk intern rett</w:t>
      </w:r>
    </w:p>
    <w:p w14:paraId="4A73AAF0" w14:textId="46B9DA06" w:rsidR="0016483D" w:rsidRPr="006D7319" w:rsidRDefault="0016483D" w:rsidP="006D7319">
      <w:r w:rsidRPr="006D7319">
        <w:t>Arbeidstakerbegrepet er et arbeidsrettslig grunn</w:t>
      </w:r>
      <w:r w:rsidRPr="006D7319">
        <w:t xml:space="preserve">begrep som definerer hvem som skal ha vern og rettigheter etter arbeidsmiljøloven. Begrepet er definert i </w:t>
      </w:r>
      <w:r w:rsidR="006A50F4">
        <w:t>§ </w:t>
      </w:r>
      <w:r w:rsidR="006A50F4" w:rsidRPr="006D7319">
        <w:t>1</w:t>
      </w:r>
      <w:r w:rsidRPr="006D7319">
        <w:t xml:space="preserve">-8 første ledd første punktum, hvor det </w:t>
      </w:r>
      <w:proofErr w:type="gramStart"/>
      <w:r w:rsidRPr="006D7319">
        <w:t>fremgår</w:t>
      </w:r>
      <w:proofErr w:type="gramEnd"/>
      <w:r w:rsidRPr="006D7319">
        <w:t xml:space="preserve"> at en arbeidstaker er </w:t>
      </w:r>
      <w:r w:rsidR="006A50F4">
        <w:t>«</w:t>
      </w:r>
      <w:r w:rsidRPr="006D7319">
        <w:t>enhver som utfører arbeid for og underordnet en annen</w:t>
      </w:r>
      <w:r w:rsidR="006A50F4">
        <w:t>»</w:t>
      </w:r>
      <w:r w:rsidRPr="006D7319">
        <w:t>.</w:t>
      </w:r>
    </w:p>
    <w:p w14:paraId="5271864A" w14:textId="47E78F44" w:rsidR="0016483D" w:rsidRPr="006D7319" w:rsidRDefault="0016483D" w:rsidP="006D7319">
      <w:r w:rsidRPr="006D7319">
        <w:t xml:space="preserve">Selv om det ikke fremgår uttrykkelig av ordlyden i </w:t>
      </w:r>
      <w:r w:rsidR="006A50F4">
        <w:t>§ </w:t>
      </w:r>
      <w:r w:rsidR="006A50F4" w:rsidRPr="006D7319">
        <w:t>1</w:t>
      </w:r>
      <w:r w:rsidRPr="006D7319">
        <w:t>-8, er det forutsatt at arbeidsforholdet har grunnlag i en avtale.</w:t>
      </w:r>
      <w:r w:rsidR="006A50F4" w:rsidRPr="006A50F4">
        <w:rPr>
          <w:rStyle w:val="Fotnotereferanse"/>
        </w:rPr>
        <w:footnoteReference w:id="14"/>
      </w:r>
      <w:r w:rsidRPr="006D7319">
        <w:t xml:space="preserve"> Det betyr at arbeidstakerbegrepet som et utgangspunkt må avgrenses mot arbeid på annet rettslig grunnlag.</w:t>
      </w:r>
      <w:r w:rsidR="006A50F4" w:rsidRPr="006A50F4">
        <w:rPr>
          <w:rStyle w:val="Fotnotereferanse"/>
        </w:rPr>
        <w:footnoteReference w:id="15"/>
      </w:r>
      <w:r w:rsidRPr="006D7319">
        <w:t xml:space="preserve"> Se også arbeidsmiljøloven </w:t>
      </w:r>
      <w:r w:rsidR="006A50F4">
        <w:t>§ </w:t>
      </w:r>
      <w:r w:rsidR="006A50F4" w:rsidRPr="006D7319">
        <w:t>1</w:t>
      </w:r>
      <w:r w:rsidRPr="006D7319">
        <w:t>-6 om personer som ikke er arbeidstakere.</w:t>
      </w:r>
      <w:r w:rsidR="006A50F4" w:rsidRPr="006A50F4">
        <w:rPr>
          <w:rStyle w:val="Fotnotereferanse"/>
        </w:rPr>
        <w:footnoteReference w:id="16"/>
      </w:r>
    </w:p>
    <w:p w14:paraId="68399B33" w14:textId="120C0129" w:rsidR="0016483D" w:rsidRPr="006D7319" w:rsidRDefault="0016483D" w:rsidP="006D7319">
      <w:r w:rsidRPr="006D7319">
        <w:t xml:space="preserve">For å avgjøre om det foreligger et arbeidstakerforhold skal det ifølge </w:t>
      </w:r>
      <w:r w:rsidR="006A50F4">
        <w:t>§ </w:t>
      </w:r>
      <w:r w:rsidR="006A50F4" w:rsidRPr="006D7319">
        <w:t>1</w:t>
      </w:r>
      <w:r w:rsidRPr="006D7319">
        <w:t xml:space="preserve">-8 andre punktum </w:t>
      </w:r>
      <w:r w:rsidR="006A50F4">
        <w:t>«</w:t>
      </w:r>
      <w:r w:rsidRPr="006D7319">
        <w:t>blant annet legges vekt på om vedkommende løpende stiller sin personlige arbeidskraft til disposisjon, og om vedkommende er underordnet gjennom styring, ledelse og kontroll</w:t>
      </w:r>
      <w:r w:rsidR="006A50F4">
        <w:t>»</w:t>
      </w:r>
      <w:r w:rsidRPr="006D7319">
        <w:t xml:space="preserve">. Videre gjelder det en </w:t>
      </w:r>
      <w:r w:rsidRPr="006D7319">
        <w:t xml:space="preserve">presumsjon for arbeidstakerklassifisering ved at det skal </w:t>
      </w:r>
      <w:r w:rsidR="006A50F4">
        <w:t>«</w:t>
      </w:r>
      <w:r w:rsidRPr="006D7319">
        <w:t>legges til grunn at det foreligger et arbeidstakerforhold med mindre oppdragsgiver gjør det overveiende sannsynlig at det foreligger et selvstendig oppdragsforhold</w:t>
      </w:r>
      <w:r w:rsidR="006A50F4">
        <w:t>»</w:t>
      </w:r>
      <w:r w:rsidRPr="006D7319">
        <w:t>, jf. tredje punktum.</w:t>
      </w:r>
    </w:p>
    <w:p w14:paraId="0503D6F6" w14:textId="48015A1B" w:rsidR="0016483D" w:rsidRPr="006D7319" w:rsidRDefault="0016483D" w:rsidP="006D7319">
      <w:r w:rsidRPr="006D7319">
        <w:t>Det er et viktig prinsipp at det er realitetene i avtale</w:t>
      </w:r>
      <w:r w:rsidRPr="006D7319">
        <w:t>forholdet som er avgjørende for om det foreligger et arbeidstakerforhold, ikke hvordan partene har betegnet arbeidsforholdet.</w:t>
      </w:r>
      <w:r w:rsidR="006A50F4" w:rsidRPr="006A50F4">
        <w:rPr>
          <w:rStyle w:val="Fotnotereferanse"/>
        </w:rPr>
        <w:footnoteReference w:id="17"/>
      </w:r>
    </w:p>
    <w:p w14:paraId="7F5A5043" w14:textId="42D3D9F0" w:rsidR="0016483D" w:rsidRPr="006D7319" w:rsidRDefault="0016483D" w:rsidP="006D7319">
      <w:r w:rsidRPr="006D7319">
        <w:lastRenderedPageBreak/>
        <w:t xml:space="preserve">Den siterte ordlyden i </w:t>
      </w:r>
      <w:r w:rsidR="006A50F4">
        <w:t>§ </w:t>
      </w:r>
      <w:r w:rsidR="006A50F4" w:rsidRPr="006D7319">
        <w:t>1</w:t>
      </w:r>
      <w:r w:rsidRPr="006D7319">
        <w:t>-8 trådte i kraft 1. januar 2024.</w:t>
      </w:r>
      <w:r w:rsidR="006A50F4" w:rsidRPr="006A50F4">
        <w:rPr>
          <w:rStyle w:val="Fotnotereferanse"/>
        </w:rPr>
        <w:footnoteReference w:id="18"/>
      </w:r>
      <w:r w:rsidRPr="006D7319">
        <w:t xml:space="preserve"> Formålet med å endre ordlyden i bestemmelsens første punktum var å synliggjøre avhengig</w:t>
      </w:r>
      <w:r w:rsidRPr="006D7319">
        <w:t xml:space="preserve">hets- og underordningselementet i større grad enn tidligere, da det ved vurderingen av om det foreligger et arbeidstakerforhold særlig skal legges vekt på elementene som særpreger avtaleforholdet – avhengighet, underordning og skjevhet mellom </w:t>
      </w:r>
      <w:r w:rsidRPr="006D7319">
        <w:t>partene.</w:t>
      </w:r>
      <w:r w:rsidR="006A50F4" w:rsidRPr="006A50F4">
        <w:rPr>
          <w:rStyle w:val="Fotnotereferanse"/>
        </w:rPr>
        <w:footnoteReference w:id="19"/>
      </w:r>
      <w:r w:rsidRPr="006D7319">
        <w:t xml:space="preserve"> Arbeidstakerbegrepet fungerer altså</w:t>
      </w:r>
      <w:r w:rsidRPr="006D7319">
        <w:t xml:space="preserve"> som en viktig avgrensning mot persongrupper som ikke har et tilsvarende behov for vern, slik som selvstendige oppdragstakere.</w:t>
      </w:r>
    </w:p>
    <w:p w14:paraId="46C623AF" w14:textId="21893F0D" w:rsidR="0016483D" w:rsidRPr="006D7319" w:rsidRDefault="0016483D" w:rsidP="006D7319">
      <w:r w:rsidRPr="006D7319">
        <w:t>Lovfestingen av sentrale momenter fra rettspraksis i bestemmelsens andre punktum er ment å gi mer veiledning i vurderingen av hvem som skal anses som arbeidstaker. I forarbeidene til bestemmelsen er det understreket at arbeidstakerstatus fortsatt skal avgjøres etter en formålsorientert helhets</w:t>
      </w:r>
      <w:r w:rsidRPr="006D7319">
        <w:t xml:space="preserve">vurdering, der flere momenter enn de som </w:t>
      </w:r>
      <w:proofErr w:type="gramStart"/>
      <w:r w:rsidRPr="006D7319">
        <w:t>fremgår</w:t>
      </w:r>
      <w:proofErr w:type="gramEnd"/>
      <w:r w:rsidRPr="006D7319">
        <w:t xml:space="preserve"> av lovteksten vil kunne ha betydning. Videre fremgår det at arbeidstakerbegrepet skal gis en vid tolkning, og at behovet for vern er sentralt i vurderingen.</w:t>
      </w:r>
      <w:r w:rsidR="006A50F4" w:rsidRPr="006A50F4">
        <w:rPr>
          <w:rStyle w:val="Fotnotereferanse"/>
        </w:rPr>
        <w:footnoteReference w:id="20"/>
      </w:r>
      <w:r w:rsidRPr="006D7319">
        <w:t xml:space="preserve"> I rettspraksis er det også lagt til grunn at arbeidstaker</w:t>
      </w:r>
      <w:r w:rsidRPr="006D7319">
        <w:t>begrepet skal gis en vid tolkning slik at de som har behov for vern, blir vernet.</w:t>
      </w:r>
      <w:r w:rsidR="006A50F4" w:rsidRPr="006A50F4">
        <w:rPr>
          <w:rStyle w:val="Fotnotereferanse"/>
        </w:rPr>
        <w:footnoteReference w:id="21"/>
      </w:r>
    </w:p>
    <w:p w14:paraId="3A53C877" w14:textId="2D7988E7" w:rsidR="0016483D" w:rsidRPr="006D7319" w:rsidRDefault="0016483D" w:rsidP="006D7319">
      <w:r w:rsidRPr="006D7319">
        <w:t xml:space="preserve">Innføringen av presumsjonsregelen i </w:t>
      </w:r>
      <w:r w:rsidR="006A50F4">
        <w:t>§ </w:t>
      </w:r>
      <w:r w:rsidR="006A50F4" w:rsidRPr="006D7319">
        <w:t>1</w:t>
      </w:r>
      <w:r w:rsidRPr="006D7319">
        <w:t>-8 første ledd tredje punktum har til formål å hindre omgåelser av arbeidsmiljøloven og sikre at de som reelt sett er arbeidstakere klassifiseres som dette, og får det arbeidsrettslige vernet de har krav på.</w:t>
      </w:r>
      <w:r w:rsidR="006A50F4" w:rsidRPr="006A50F4">
        <w:rPr>
          <w:rStyle w:val="Fotnotereferanse"/>
        </w:rPr>
        <w:footnoteReference w:id="22"/>
      </w:r>
      <w:r w:rsidRPr="006D7319">
        <w:t xml:space="preserve"> Videre skal presumsjonsregelen bidra til at andelen som befinner seg i en gråsone mellom </w:t>
      </w:r>
      <w:r w:rsidRPr="006D7319">
        <w:t xml:space="preserve">arbeidstaker og oppdragstaker er lavest mulig. Regelen får </w:t>
      </w:r>
      <w:r w:rsidRPr="006D7319">
        <w:t xml:space="preserve">betydning for vurderingen av de faktiske forhold og er i utgangspunktet ikke ment å påvirke den </w:t>
      </w:r>
      <w:r w:rsidRPr="006D7319">
        <w:t xml:space="preserve">rettslige vurderingen av arbeidstakerklassifiseringen etter arbeidsmiljøloven </w:t>
      </w:r>
      <w:r w:rsidR="006A50F4">
        <w:t>§ </w:t>
      </w:r>
      <w:r w:rsidR="006A50F4" w:rsidRPr="006D7319">
        <w:t>1</w:t>
      </w:r>
      <w:r w:rsidRPr="006D7319">
        <w:t>-8, herunder vektingen av momentene og subsumsjonen.</w:t>
      </w:r>
      <w:r w:rsidR="006A50F4" w:rsidRPr="006A50F4">
        <w:rPr>
          <w:rStyle w:val="Fotnotereferanse"/>
        </w:rPr>
        <w:footnoteReference w:id="23"/>
      </w:r>
    </w:p>
    <w:p w14:paraId="3B3E598B" w14:textId="7C150B66" w:rsidR="0016483D" w:rsidRPr="006D7319" w:rsidRDefault="0016483D" w:rsidP="006D7319">
      <w:r w:rsidRPr="006D7319">
        <w:lastRenderedPageBreak/>
        <w:t xml:space="preserve">Arbeidstakerbegrepet benyttes også i flere andre lover, herunder i ferieloven, arbeidsmarkedsloven, arbeidstvistloven, skatteloven, </w:t>
      </w:r>
      <w:r w:rsidRPr="006D7319">
        <w:t>merverdiavgiftsloven, folketrygdloven og skadeerstatningsloven. Både ferie</w:t>
      </w:r>
      <w:r w:rsidRPr="006D7319">
        <w:t xml:space="preserve">loven og arbeidstvistloven angir </w:t>
      </w:r>
      <w:r w:rsidRPr="006D7319">
        <w:t xml:space="preserve">tilsvarende </w:t>
      </w:r>
      <w:r w:rsidRPr="006D7319">
        <w:t>definisjon av arbeidstakerbegrepet som arbeids</w:t>
      </w:r>
      <w:r w:rsidRPr="006D7319">
        <w:t>miljø</w:t>
      </w:r>
      <w:r w:rsidRPr="006D7319">
        <w:t>loven, og det er lagt til grunn i forarbeider og rettspraksis at disse skal forstås på samme måte som arbeidsmiljølovens arbeidstakerbegrep.</w:t>
      </w:r>
      <w:r w:rsidR="006A50F4" w:rsidRPr="006A50F4">
        <w:rPr>
          <w:rStyle w:val="Fotnotereferanse"/>
        </w:rPr>
        <w:footnoteReference w:id="24"/>
      </w:r>
      <w:r w:rsidRPr="006D7319">
        <w:t xml:space="preserve"> Flere av lovene bruker arbeidstakerbegrepet uten å angi en egen definisjon, mens enkelte lover definerer begrepet. Arbeidstakerbegrepet er med andre ord relativt og det nærmere innholdet må vurderes </w:t>
      </w:r>
      <w:r w:rsidRPr="006D7319">
        <w:t>konkret for den enkelte lov, i lys av reglenes formål.</w:t>
      </w:r>
      <w:r w:rsidR="006A50F4" w:rsidRPr="006A50F4">
        <w:rPr>
          <w:rStyle w:val="Fotnotereferanse"/>
        </w:rPr>
        <w:footnoteReference w:id="25"/>
      </w:r>
    </w:p>
    <w:p w14:paraId="61FDFAF1" w14:textId="77777777" w:rsidR="0016483D" w:rsidRPr="006D7319" w:rsidRDefault="0016483D" w:rsidP="007173E8">
      <w:pPr>
        <w:pStyle w:val="avsnitt-under-undertittel"/>
      </w:pPr>
      <w:r w:rsidRPr="006D7319">
        <w:t>Arbeidstakerbegrepet i EU/EØS-retten</w:t>
      </w:r>
    </w:p>
    <w:p w14:paraId="6790DA65" w14:textId="79F33B6D" w:rsidR="0016483D" w:rsidRPr="006D7319" w:rsidRDefault="0016483D" w:rsidP="006D7319">
      <w:r w:rsidRPr="006D7319">
        <w:t>Arbeidstakerbegrepet er i utgangspunktet et nasjonal</w:t>
      </w:r>
      <w:r w:rsidRPr="006D7319">
        <w:t>rettslig begrep. En rekke regler i arbeids</w:t>
      </w:r>
      <w:r w:rsidRPr="006D7319">
        <w:t>miljøloven er imidlertid resultat av Norges forpliktelser etter EØS-avtalen til å gjennomføre EU/EØS-rettslige regler. Selv om arbeidstakerbegrepet i arbeidsrettslige verneregler i utgangspunktet er et nasjonalrettslig begrep, er det flere av reglene i arbeidsmiljøloven som gjennomfører EU/EØS-</w:t>
      </w:r>
      <w:r w:rsidRPr="006D7319">
        <w:t>rettslige regler som i varierende grad bygger på et EU-rettslig arbeidstakerbegrep.</w:t>
      </w:r>
      <w:r w:rsidR="006A50F4" w:rsidRPr="006A50F4">
        <w:rPr>
          <w:rStyle w:val="Fotnotereferanse"/>
        </w:rPr>
        <w:footnoteReference w:id="26"/>
      </w:r>
      <w:r w:rsidRPr="006D7319">
        <w:t xml:space="preserve"> Selv om det ofte vil være overlappende, er det ikke nødvendigvis fullt ut i samsvar med arbeidstakerbegrepet slik det er forstått i norsk rett.</w:t>
      </w:r>
    </w:p>
    <w:p w14:paraId="3B1755A5" w14:textId="1F363CF1" w:rsidR="0016483D" w:rsidRPr="006D7319" w:rsidRDefault="0016483D" w:rsidP="006D7319">
      <w:r w:rsidRPr="006D7319">
        <w:t>Dette innebærer at det i EU/EØS-retten kan ligge krav med hensyn til det personelle anvendelsesområdet for norsk arbeidervernlovgivning.</w:t>
      </w:r>
      <w:r w:rsidR="006A50F4" w:rsidRPr="006A50F4">
        <w:rPr>
          <w:rStyle w:val="Fotnotereferanse"/>
        </w:rPr>
        <w:footnoteReference w:id="27"/>
      </w:r>
      <w:r w:rsidRPr="006D7319">
        <w:t xml:space="preserve"> Der direktivene bygger på et EU/EØS-rettslig arbeidstakerbegrep, betyr dette i praksis at medlemsstatene må sørge for at de personene som omfattes av det eller de aktuelle direktivene sikres det samme minimumsvernet som det aktuelle direktivet gir, uavhengig av det nasjonalrettslige arbeidstakerbegrepet.</w:t>
      </w:r>
      <w:r w:rsidR="006A50F4" w:rsidRPr="006A50F4">
        <w:rPr>
          <w:rStyle w:val="Fotnotereferanse"/>
        </w:rPr>
        <w:footnoteReference w:id="28"/>
      </w:r>
      <w:r w:rsidRPr="006D7319">
        <w:t xml:space="preserve"> Dette behandles nærmere i punkt 5.2.2.</w:t>
      </w:r>
    </w:p>
    <w:p w14:paraId="093D6593" w14:textId="77777777" w:rsidR="0016483D" w:rsidRPr="006D7319" w:rsidRDefault="0016483D" w:rsidP="006D7319">
      <w:pPr>
        <w:pStyle w:val="Overskrift3"/>
      </w:pPr>
      <w:r w:rsidRPr="006D7319">
        <w:lastRenderedPageBreak/>
        <w:t>Arbeidsgiverbegrepet</w:t>
      </w:r>
    </w:p>
    <w:p w14:paraId="136E6896" w14:textId="2732E1FF" w:rsidR="0016483D" w:rsidRPr="006D7319" w:rsidRDefault="0016483D" w:rsidP="006D7319">
      <w:r w:rsidRPr="006D7319">
        <w:t>Arbeidsgiver er arbeidsmiljølovens sentrale plikt</w:t>
      </w:r>
      <w:r w:rsidRPr="006D7319">
        <w:t>subjekt.</w:t>
      </w:r>
      <w:r w:rsidR="006A50F4" w:rsidRPr="006A50F4">
        <w:rPr>
          <w:rStyle w:val="Fotnotereferanse"/>
        </w:rPr>
        <w:footnoteReference w:id="29"/>
      </w:r>
      <w:r w:rsidRPr="006D7319">
        <w:t xml:space="preserve"> Arbeidsgiverbegrepet henger sammen med definisjonen av arbeidstakerbegrepet og er definert som </w:t>
      </w:r>
      <w:r w:rsidR="006A50F4">
        <w:t>«</w:t>
      </w:r>
      <w:r w:rsidRPr="006D7319">
        <w:t>enhver som har ansatt en arbeids</w:t>
      </w:r>
      <w:r w:rsidRPr="006D7319">
        <w:t>taker som nevnt i første ledd</w:t>
      </w:r>
      <w:r w:rsidR="006A50F4">
        <w:t>»</w:t>
      </w:r>
      <w:r w:rsidRPr="006D7319">
        <w:t xml:space="preserve">, jf. arbeidsmiljøloven </w:t>
      </w:r>
      <w:r w:rsidR="006A50F4">
        <w:t>§ </w:t>
      </w:r>
      <w:r w:rsidR="006A50F4" w:rsidRPr="006D7319">
        <w:t>1</w:t>
      </w:r>
      <w:r w:rsidRPr="006D7319">
        <w:t xml:space="preserve">-8 andre ledd. Det er arbeidsgiver som er </w:t>
      </w:r>
      <w:r w:rsidRPr="006D7319">
        <w:t xml:space="preserve">ansvarlig for å oppfylle lovens krav overfor egne arbeidstakere/motparten i arbeidsavtalen, jf. </w:t>
      </w:r>
      <w:r w:rsidR="006A50F4">
        <w:t>§ </w:t>
      </w:r>
      <w:r w:rsidR="006A50F4" w:rsidRPr="006D7319">
        <w:t>2</w:t>
      </w:r>
      <w:r w:rsidRPr="006D7319">
        <w:t>-1.</w:t>
      </w:r>
    </w:p>
    <w:p w14:paraId="0DAEEE1B" w14:textId="5F8DF3BB" w:rsidR="0016483D" w:rsidRPr="006D7319" w:rsidRDefault="0016483D" w:rsidP="006D7319">
      <w:r w:rsidRPr="006D7319">
        <w:t>Av forarbeidene følger det at rettssubjektet som er arbeidsgiver, som alminnelig regel vil være sammen</w:t>
      </w:r>
      <w:r w:rsidRPr="006D7319">
        <w:t>fallende med arbeidsgivers virksomhet, altså i praksis en bedrift.</w:t>
      </w:r>
      <w:r w:rsidR="006A50F4" w:rsidRPr="006A50F4">
        <w:rPr>
          <w:rStyle w:val="Fotnotereferanse"/>
        </w:rPr>
        <w:footnoteReference w:id="30"/>
      </w:r>
      <w:r w:rsidRPr="006D7319">
        <w:t xml:space="preserve"> Det er rettssubjektet i seg selv som er arbeidsgiver selv om arbeidsgiverfunksjoner er delegert og utøves av organer eller fysiske personer.</w:t>
      </w:r>
      <w:r w:rsidR="006A50F4" w:rsidRPr="006A50F4">
        <w:rPr>
          <w:rStyle w:val="Fotnotereferanse"/>
        </w:rPr>
        <w:footnoteReference w:id="31"/>
      </w:r>
    </w:p>
    <w:p w14:paraId="0AF12A59" w14:textId="33C39A54" w:rsidR="0016483D" w:rsidRPr="006D7319" w:rsidRDefault="0016483D" w:rsidP="006D7319">
      <w:r w:rsidRPr="006D7319">
        <w:t>Hvilket rettssubjekt som er part i arbeidsavtalen, vil normalt fremgå av den skriftlige kontrakten.</w:t>
      </w:r>
      <w:r w:rsidR="006A50F4" w:rsidRPr="006A50F4">
        <w:rPr>
          <w:rStyle w:val="Fotnotereferanse"/>
        </w:rPr>
        <w:footnoteReference w:id="32"/>
      </w:r>
      <w:r w:rsidRPr="006D7319">
        <w:t xml:space="preserve"> Det formelle partsforholdet er imidlertid ikke nødvendig</w:t>
      </w:r>
      <w:r w:rsidRPr="006D7319">
        <w:t>vis avgjørende.</w:t>
      </w:r>
      <w:r w:rsidR="006A50F4" w:rsidRPr="006A50F4">
        <w:rPr>
          <w:rStyle w:val="Fotnotereferanse"/>
        </w:rPr>
        <w:footnoteReference w:id="33"/>
      </w:r>
      <w:r w:rsidRPr="006D7319">
        <w:t xml:space="preserve"> Ved vurderingen av hvem som er arbeidsgiver skal det etter forarbeidene </w:t>
      </w:r>
      <w:r w:rsidR="006A50F4">
        <w:t>«</w:t>
      </w:r>
      <w:r w:rsidRPr="006D7319">
        <w:t>blant annet […] legges vekt på hvem som i praksis har opptrådt som arbeidsgiver og som har utøvet arbeids</w:t>
      </w:r>
      <w:r w:rsidRPr="006D7319">
        <w:t>giverfunksjoner</w:t>
      </w:r>
      <w:r w:rsidR="006A50F4">
        <w:t>»</w:t>
      </w:r>
      <w:r w:rsidRPr="006D7319">
        <w:t>.</w:t>
      </w:r>
      <w:r w:rsidR="006A50F4" w:rsidRPr="006A50F4">
        <w:rPr>
          <w:rStyle w:val="Fotnotereferanse"/>
        </w:rPr>
        <w:footnoteReference w:id="34"/>
      </w:r>
      <w:r w:rsidRPr="006D7319">
        <w:t xml:space="preserve"> Etter rettspraksis kan arbeids</w:t>
      </w:r>
      <w:r w:rsidRPr="006D7319">
        <w:t xml:space="preserve">giveransvar også plasseres hos flere der det foreligger et </w:t>
      </w:r>
      <w:r w:rsidR="006A50F4">
        <w:t>«</w:t>
      </w:r>
      <w:r w:rsidRPr="006D7319">
        <w:t>særskilt grunnlag</w:t>
      </w:r>
      <w:r w:rsidR="006A50F4">
        <w:t>»</w:t>
      </w:r>
      <w:r w:rsidRPr="006D7319">
        <w:t xml:space="preserve"> for det, for </w:t>
      </w:r>
      <w:r w:rsidRPr="006D7319">
        <w:lastRenderedPageBreak/>
        <w:t>eksempel dersom også andre enn den formelle arbeidsgiver har opptrådt som arbeidsgiver og utøvd arbeids</w:t>
      </w:r>
      <w:r w:rsidRPr="006D7319">
        <w:t>giverfunksjoner (</w:t>
      </w:r>
      <w:r w:rsidR="006A50F4">
        <w:t>«</w:t>
      </w:r>
      <w:r w:rsidRPr="006D7319">
        <w:t>delt arbeidsgiveransvar</w:t>
      </w:r>
      <w:r w:rsidR="006A50F4">
        <w:t>»</w:t>
      </w:r>
      <w:r w:rsidRPr="006D7319">
        <w:t>).</w:t>
      </w:r>
      <w:r w:rsidR="006A50F4" w:rsidRPr="006A50F4">
        <w:rPr>
          <w:rStyle w:val="Fotnotereferanse"/>
        </w:rPr>
        <w:footnoteReference w:id="35"/>
      </w:r>
    </w:p>
    <w:p w14:paraId="60F25612" w14:textId="76DBAA2A" w:rsidR="0016483D" w:rsidRPr="006D7319" w:rsidRDefault="0016483D" w:rsidP="006D7319">
      <w:r w:rsidRPr="006D7319">
        <w:t xml:space="preserve">Visse av lovens regler innebærer imidlertid også arbeidsgiverplikter i andre relasjoner, ved at </w:t>
      </w:r>
      <w:r w:rsidR="006A50F4">
        <w:t>«</w:t>
      </w:r>
      <w:r w:rsidRPr="006D7319">
        <w:t>arbeidsgiver</w:t>
      </w:r>
      <w:r w:rsidR="006A50F4">
        <w:t>»</w:t>
      </w:r>
      <w:r w:rsidRPr="006D7319">
        <w:t xml:space="preserve"> har nærmere bestemte plikter til vern av andre enn egne arbeidstakere, for eksempel overfor andre personer som utfører arbeid i tilknytning til virksomheten (se </w:t>
      </w:r>
      <w:r w:rsidR="006A50F4">
        <w:t>§ </w:t>
      </w:r>
      <w:r w:rsidR="006A50F4" w:rsidRPr="006D7319">
        <w:t>2</w:t>
      </w:r>
      <w:r w:rsidRPr="006D7319">
        <w:t>-2), overfor innleide (se §</w:t>
      </w:r>
      <w:r w:rsidR="006A50F4">
        <w:t>§ </w:t>
      </w:r>
      <w:r w:rsidR="006A50F4" w:rsidRPr="006D7319">
        <w:t>1</w:t>
      </w:r>
      <w:r w:rsidRPr="006D7319">
        <w:t xml:space="preserve">4-12 flg.) eller selvstendige oppdragstakere (se </w:t>
      </w:r>
      <w:r w:rsidR="006A50F4">
        <w:t>§ </w:t>
      </w:r>
      <w:r w:rsidR="006A50F4" w:rsidRPr="006D7319">
        <w:t>1</w:t>
      </w:r>
      <w:r w:rsidRPr="006D7319">
        <w:t>3-2 om vern mot diskriminering). Se også noe nærmere om dette i punkt 2.4.4.</w:t>
      </w:r>
    </w:p>
    <w:p w14:paraId="4BDCE427" w14:textId="13262169" w:rsidR="0016483D" w:rsidRPr="006D7319" w:rsidRDefault="0016483D" w:rsidP="006D7319">
      <w:r w:rsidRPr="006D7319">
        <w:t xml:space="preserve">Rettssubjektet som er </w:t>
      </w:r>
      <w:r w:rsidR="006A50F4">
        <w:t>«</w:t>
      </w:r>
      <w:r w:rsidRPr="006D7319">
        <w:t>arbeidsgiver</w:t>
      </w:r>
      <w:r w:rsidR="006A50F4">
        <w:t>»</w:t>
      </w:r>
      <w:r w:rsidRPr="006D7319">
        <w:t xml:space="preserve"> i lovens forstand kan være organisert på ulike måter, for </w:t>
      </w:r>
      <w:r w:rsidRPr="006D7319">
        <w:t xml:space="preserve">eksempel som et aksjeselskap, en kommune, en </w:t>
      </w:r>
      <w:r w:rsidRPr="006D7319">
        <w:t>stiftelse eller et enkeltpersonforetak.</w:t>
      </w:r>
    </w:p>
    <w:p w14:paraId="7429906B" w14:textId="77777777" w:rsidR="0016483D" w:rsidRPr="006D7319" w:rsidRDefault="0016483D" w:rsidP="006D7319">
      <w:pPr>
        <w:pStyle w:val="Overskrift2"/>
      </w:pPr>
      <w:r w:rsidRPr="006D7319">
        <w:t>Ulike organisasjonsformer</w:t>
      </w:r>
    </w:p>
    <w:p w14:paraId="79965A6B" w14:textId="77777777" w:rsidR="0016483D" w:rsidRPr="006D7319" w:rsidRDefault="0016483D" w:rsidP="006D7319">
      <w:pPr>
        <w:pStyle w:val="Overskrift3"/>
      </w:pPr>
      <w:r w:rsidRPr="006D7319">
        <w:t>Enkeltpersonforetak</w:t>
      </w:r>
    </w:p>
    <w:p w14:paraId="1817BD53" w14:textId="13FB3305" w:rsidR="0016483D" w:rsidRPr="006D7319" w:rsidRDefault="0016483D" w:rsidP="006D7319">
      <w:r w:rsidRPr="006D7319">
        <w:t>Et enkeltpersonforetak, forkortet ENK, kjennetegnes ved at det eies, styres og drives av én fysisk person, som driver foretaket for egen regning og risiko.</w:t>
      </w:r>
      <w:r w:rsidR="006A50F4" w:rsidRPr="006A50F4">
        <w:rPr>
          <w:rStyle w:val="Fotnotereferanse"/>
        </w:rPr>
        <w:footnoteReference w:id="36"/>
      </w:r>
      <w:r w:rsidRPr="006D7319">
        <w:t xml:space="preserve"> </w:t>
      </w:r>
      <w:r w:rsidRPr="006D7319">
        <w:t>Følgelig eier én person alltid hele virksomheten, og eier har full beslutningsmyndighet. I et enkeltperson</w:t>
      </w:r>
      <w:r w:rsidRPr="006D7319">
        <w:t>foretak er det ikke noe lovmessig skille mellom innehaveren og virksomheten, og et ENK er ikke et eget juridisk rettssubjekt.</w:t>
      </w:r>
      <w:r w:rsidR="006A50F4" w:rsidRPr="006A50F4">
        <w:rPr>
          <w:rStyle w:val="Fotnotereferanse"/>
        </w:rPr>
        <w:footnoteReference w:id="37"/>
      </w:r>
      <w:r w:rsidRPr="006D7319">
        <w:t xml:space="preserve"> Ved opprettelse av et enkeltpersonforetak anses dermed eier og foretak som en felles juridisk enhet. Dersom virksomheten motsetningsvis drives av flere personer i fellesskap, foreligger ikke et enkeltpersonforetak, men et selskap.</w:t>
      </w:r>
      <w:r w:rsidR="006A50F4" w:rsidRPr="006A50F4">
        <w:rPr>
          <w:rStyle w:val="Fotnotereferanse"/>
        </w:rPr>
        <w:footnoteReference w:id="38"/>
      </w:r>
    </w:p>
    <w:p w14:paraId="61C6D5C5" w14:textId="10C12B00" w:rsidR="0016483D" w:rsidRPr="006D7319" w:rsidRDefault="0016483D" w:rsidP="006D7319">
      <w:r w:rsidRPr="006D7319">
        <w:t>Etter lov om registrering av foretak (foretaksregister</w:t>
      </w:r>
      <w:r w:rsidRPr="006D7319">
        <w:t xml:space="preserve">loven) har norske enkeltpersonforetak en rett, men ikke en plikt, til å registrere seg i </w:t>
      </w:r>
      <w:r w:rsidRPr="006D7319">
        <w:t>Foretaksregisteret, jf. §</w:t>
      </w:r>
      <w:r w:rsidR="006A50F4">
        <w:t>§ </w:t>
      </w:r>
      <w:r w:rsidR="006A50F4" w:rsidRPr="006D7319">
        <w:t>2</w:t>
      </w:r>
      <w:r w:rsidRPr="006D7319">
        <w:t xml:space="preserve">-2, jf. 2-1. Bestemmelsen synes å måtte </w:t>
      </w:r>
      <w:r w:rsidRPr="006D7319">
        <w:t>forstås slik at det kun er næringsdrivende enkeltpersonforetak som har registreringsadgang.</w:t>
      </w:r>
      <w:r w:rsidR="006A50F4" w:rsidRPr="006A50F4">
        <w:rPr>
          <w:rStyle w:val="Fotnotereferanse"/>
        </w:rPr>
        <w:footnoteReference w:id="39"/>
      </w:r>
      <w:r w:rsidRPr="006D7319">
        <w:t xml:space="preserve"> </w:t>
      </w:r>
      <w:r w:rsidRPr="006D7319">
        <w:lastRenderedPageBreak/>
        <w:t xml:space="preserve">Det finnes ingen konkret definisjon av når en aktivitet regnes som næringsvirksomhet, men Skatteetaten </w:t>
      </w:r>
      <w:r w:rsidRPr="006D7319">
        <w:t xml:space="preserve">opererer med fire vilkår som må være oppfylt for at en </w:t>
      </w:r>
      <w:r w:rsidRPr="006D7319">
        <w:t>aktivitet skal godtas som næringsvirksomhet: den må</w:t>
      </w:r>
      <w:r w:rsidRPr="006D7319">
        <w:t xml:space="preserve"> drives for egen regning og risiko, ha et visst omfang og en viss varighet, samt over tid være egnet til å gå med overskudd.</w:t>
      </w:r>
      <w:r w:rsidR="006A50F4" w:rsidRPr="006A50F4">
        <w:rPr>
          <w:rStyle w:val="Fotnotereferanse"/>
        </w:rPr>
        <w:footnoteReference w:id="40"/>
      </w:r>
    </w:p>
    <w:p w14:paraId="2403BE62" w14:textId="7035A2EA" w:rsidR="0016483D" w:rsidRPr="006D7319" w:rsidRDefault="0016483D" w:rsidP="006D7319">
      <w:r w:rsidRPr="006D7319">
        <w:t>Som eier av et enkeltpersonforetak disponerer man overskuddet og kan i prinsippet ta ut så mye/lite en ønsker til privat forbruk (privatuttak), men det må settes av penger til skatt og avgifter.</w:t>
      </w:r>
      <w:r w:rsidR="006A50F4" w:rsidRPr="006A50F4">
        <w:rPr>
          <w:rStyle w:val="Fotnotereferanse"/>
        </w:rPr>
        <w:footnoteReference w:id="41"/>
      </w:r>
      <w:r w:rsidRPr="006D7319">
        <w:t xml:space="preserve"> Det kan ansettes andre personer i enkeltpersonforetaket. I så tilfelle vil innehaver måtte betale lønn og arbeidsgiveravgift på vanlig måte.</w:t>
      </w:r>
      <w:r w:rsidR="006A50F4" w:rsidRPr="006A50F4">
        <w:rPr>
          <w:rStyle w:val="Fotnotereferanse"/>
        </w:rPr>
        <w:footnoteReference w:id="42"/>
      </w:r>
    </w:p>
    <w:p w14:paraId="3EAB8AF2" w14:textId="77777777" w:rsidR="0016483D" w:rsidRPr="006D7319" w:rsidRDefault="0016483D" w:rsidP="006D7319">
      <w:pPr>
        <w:pStyle w:val="Overskrift3"/>
      </w:pPr>
      <w:r w:rsidRPr="006D7319">
        <w:t>Aksjeselskap</w:t>
      </w:r>
    </w:p>
    <w:p w14:paraId="55FE3B7B" w14:textId="5109B33D" w:rsidR="0016483D" w:rsidRPr="006D7319" w:rsidRDefault="0016483D" w:rsidP="006D7319">
      <w:r w:rsidRPr="006D7319">
        <w:t xml:space="preserve">Aksjeselskap, forkortet AS, er en vanlig organisasjonsform for virksomheter. Lov om </w:t>
      </w:r>
      <w:r w:rsidRPr="006D7319">
        <w:t>aksjeselskaper (aksjeloven) regulerer oppstarten og driften av aksjeselskaper.</w:t>
      </w:r>
    </w:p>
    <w:p w14:paraId="153CC829" w14:textId="6A436BE4" w:rsidR="0016483D" w:rsidRPr="006D7319" w:rsidRDefault="0016483D" w:rsidP="006D7319">
      <w:r w:rsidRPr="006D7319">
        <w:t>Et aksjeselskap må ha minst 3</w:t>
      </w:r>
      <w:r w:rsidR="006A50F4" w:rsidRPr="006D7319">
        <w:t>0</w:t>
      </w:r>
      <w:r w:rsidR="006A50F4">
        <w:t> </w:t>
      </w:r>
      <w:r w:rsidR="006A50F4" w:rsidRPr="006D7319">
        <w:t>000</w:t>
      </w:r>
      <w:r w:rsidR="006A50F4">
        <w:t> kroner</w:t>
      </w:r>
      <w:r w:rsidRPr="006D7319">
        <w:t xml:space="preserve"> i aksjekapital for å starte, jf. aksjeloven </w:t>
      </w:r>
      <w:r w:rsidR="006A50F4">
        <w:t>§ </w:t>
      </w:r>
      <w:r w:rsidR="006A50F4" w:rsidRPr="006D7319">
        <w:t>3</w:t>
      </w:r>
      <w:r w:rsidRPr="006D7319">
        <w:t>-1 første ledd. Tidligere var det krav til 10</w:t>
      </w:r>
      <w:r w:rsidR="006A50F4" w:rsidRPr="006D7319">
        <w:t>0</w:t>
      </w:r>
      <w:r w:rsidR="006A50F4">
        <w:t> </w:t>
      </w:r>
      <w:r w:rsidR="006A50F4" w:rsidRPr="006D7319">
        <w:t>000</w:t>
      </w:r>
      <w:r w:rsidR="006A50F4">
        <w:t> kroner</w:t>
      </w:r>
      <w:r w:rsidRPr="006D7319">
        <w:t xml:space="preserve"> i minste aksjekapital, men kravet ble redusert til 3</w:t>
      </w:r>
      <w:r w:rsidR="006A50F4" w:rsidRPr="006D7319">
        <w:t>0</w:t>
      </w:r>
      <w:r w:rsidR="006A50F4">
        <w:t> </w:t>
      </w:r>
      <w:r w:rsidR="006A50F4" w:rsidRPr="006D7319">
        <w:t>000</w:t>
      </w:r>
      <w:r w:rsidR="006A50F4">
        <w:t> kroner</w:t>
      </w:r>
      <w:r w:rsidRPr="006D7319">
        <w:t xml:space="preserve"> i 2012.</w:t>
      </w:r>
      <w:r w:rsidR="006A50F4" w:rsidRPr="006A50F4">
        <w:rPr>
          <w:rStyle w:val="Fotnotereferanse"/>
        </w:rPr>
        <w:footnoteReference w:id="43"/>
      </w:r>
      <w:r w:rsidRPr="006D7319">
        <w:t xml:space="preserve"> I et aksjeselskap er ikke eier personlig </w:t>
      </w:r>
      <w:r w:rsidRPr="006D7319">
        <w:t>ansvarlig for gjeld eller andre forpliktelser selskapet har, og aksjeeierne hefter ikke overfor kreditorene for selskapets forpliktelser, jf. aksjeloven §</w:t>
      </w:r>
      <w:r w:rsidR="006A50F4">
        <w:t>§ </w:t>
      </w:r>
      <w:r w:rsidR="006A50F4" w:rsidRPr="006D7319">
        <w:t>1</w:t>
      </w:r>
      <w:r w:rsidRPr="006D7319">
        <w:t>-1 andre ledd og 1-2 første ledd. I motsetning til hva som gjelder for enkeltpersonforetak, er eier og selskapet ulike rettssubjekter.</w:t>
      </w:r>
    </w:p>
    <w:p w14:paraId="57D784A4" w14:textId="1C59C36F" w:rsidR="0016483D" w:rsidRPr="006D7319" w:rsidRDefault="0016483D" w:rsidP="006D7319">
      <w:r w:rsidRPr="006D7319">
        <w:t>Den øverste myndigheten i et aksjeselskap er general</w:t>
      </w:r>
      <w:r w:rsidRPr="006D7319">
        <w:t xml:space="preserve">forsamlingen, som består av aksjeeier(ne), jf. </w:t>
      </w:r>
      <w:r w:rsidR="006A50F4">
        <w:t>§ </w:t>
      </w:r>
      <w:r w:rsidR="006A50F4" w:rsidRPr="006D7319">
        <w:t>5</w:t>
      </w:r>
      <w:r w:rsidRPr="006D7319">
        <w:t xml:space="preserve">-1 første ledd. Generalforsamlingen har blant annet som oppgave å velge styret i selskapet. At generalforsamlingen har den øverste </w:t>
      </w:r>
      <w:r w:rsidRPr="006D7319">
        <w:t xml:space="preserve">myndigheten i selskapet, innebærer at styret og andre organer plikter å </w:t>
      </w:r>
      <w:r w:rsidRPr="006D7319">
        <w:lastRenderedPageBreak/>
        <w:t>følge generalforsamlingens vedtak og instrukser, og at vedtak disse organene treffer som er i strid med generalforsamlingens vedtak, kan bli ugyldige.</w:t>
      </w:r>
      <w:r w:rsidR="006A50F4" w:rsidRPr="006A50F4">
        <w:rPr>
          <w:rStyle w:val="Fotnotereferanse"/>
        </w:rPr>
        <w:footnoteReference w:id="44"/>
      </w:r>
    </w:p>
    <w:p w14:paraId="020866D1" w14:textId="525990EB" w:rsidR="0016483D" w:rsidRPr="006D7319" w:rsidRDefault="0016483D" w:rsidP="006D7319">
      <w:r w:rsidRPr="006D7319">
        <w:t xml:space="preserve">Et aksjeselskap skal også ha et styre, som kan bestå av ett eller flere medlemmer, jf. aksjeloven </w:t>
      </w:r>
      <w:r w:rsidR="006A50F4">
        <w:t>§ </w:t>
      </w:r>
      <w:r w:rsidR="006A50F4" w:rsidRPr="006D7319">
        <w:t>6</w:t>
      </w:r>
      <w:r w:rsidRPr="006D7319">
        <w:t xml:space="preserve">-1 </w:t>
      </w:r>
      <w:r w:rsidRPr="006D7319">
        <w:t xml:space="preserve">første ledd. Styret velger selv sin leder når denne ikke er valgt av generalforsamlingen. Har styret ett medlem, anses han eller hun som styreleder, jf. bestemmelsens andre ledd. Selskapet kan videre ha en daglig leder, jf. </w:t>
      </w:r>
      <w:r w:rsidR="006A50F4">
        <w:t>§ </w:t>
      </w:r>
      <w:r w:rsidR="006A50F4" w:rsidRPr="006D7319">
        <w:t>6</w:t>
      </w:r>
      <w:r w:rsidRPr="006D7319">
        <w:t>-2 første ledd. Daglig leder tilsettes av styret hvis ikke det er bestemt i vedtektene at dette skal gjøres av generalforsamlingen, jf. andre ledd.</w:t>
      </w:r>
    </w:p>
    <w:p w14:paraId="175D0E3C" w14:textId="5ED968B4" w:rsidR="0016483D" w:rsidRPr="006D7319" w:rsidRDefault="0016483D" w:rsidP="006D7319">
      <w:r w:rsidRPr="006D7319">
        <w:t xml:space="preserve">Det er ikke noe i veien for at én og samme person kan være eneeier og utgjøre styret, samt ha </w:t>
      </w:r>
      <w:r w:rsidRPr="006D7319">
        <w:t>funksjonen som daglig leder i et aksjeselskap. Eneeier kan også velge om vedkommende skal være ansatt i selskapet eller ikke.</w:t>
      </w:r>
    </w:p>
    <w:p w14:paraId="67F7D103" w14:textId="77777777" w:rsidR="0016483D" w:rsidRPr="006D7319" w:rsidRDefault="0016483D" w:rsidP="006D7319">
      <w:pPr>
        <w:pStyle w:val="Overskrift3"/>
      </w:pPr>
      <w:r w:rsidRPr="006D7319">
        <w:t>Frilans</w:t>
      </w:r>
    </w:p>
    <w:p w14:paraId="291A604B" w14:textId="6068980A" w:rsidR="0016483D" w:rsidRPr="006D7319" w:rsidRDefault="0016483D" w:rsidP="006D7319">
      <w:r w:rsidRPr="006D7319">
        <w:t>Frilans benyttes gjerne om situasjoner hvor vedkommende ikke er arbeidstaker, men mottar betaling av oppdragsgivere i form av lønn.</w:t>
      </w:r>
      <w:r w:rsidR="006A50F4" w:rsidRPr="006A50F4">
        <w:rPr>
          <w:rStyle w:val="Fotnotereferanse"/>
        </w:rPr>
        <w:footnoteReference w:id="45"/>
      </w:r>
      <w:r w:rsidRPr="006D7319">
        <w:t xml:space="preserve"> Frilans er ikke et rettslig begrep i arbeidsmiljøloven. En forskjell sammenliknet med enkeltpersonforetak og aksjeselskap, er at det ikke behøver å være et foretak involvert. Fordi frilans kan skille seg fra enkeltperson</w:t>
      </w:r>
      <w:r w:rsidRPr="006D7319">
        <w:t>foretak og aksjeselskap ved at det ikke er et foretak involvert, og fordi det benyttes om situasjoner hvor det inngås avtale med én selvstendig person, gis det en kort omtale av begrepet her.</w:t>
      </w:r>
    </w:p>
    <w:p w14:paraId="73ECEEEA" w14:textId="14B34E58" w:rsidR="0016483D" w:rsidRPr="006D7319" w:rsidRDefault="0016483D" w:rsidP="006D7319">
      <w:r w:rsidRPr="006D7319">
        <w:t xml:space="preserve">Folketrygdloven </w:t>
      </w:r>
      <w:r w:rsidR="006A50F4">
        <w:t>§ </w:t>
      </w:r>
      <w:r w:rsidR="006A50F4" w:rsidRPr="006D7319">
        <w:t>1</w:t>
      </w:r>
      <w:r w:rsidRPr="006D7319">
        <w:t xml:space="preserve">-9 gir en slik definisjon av </w:t>
      </w:r>
      <w:r w:rsidRPr="006D7319">
        <w:t xml:space="preserve">begrepet frilanser: </w:t>
      </w:r>
      <w:r w:rsidR="006A50F4">
        <w:t>«</w:t>
      </w:r>
      <w:r w:rsidRPr="006D7319">
        <w:t>Med frilanser menes enhver som utfører arbeid eller oppdrag utenfor tjeneste for lønn eller annen godtgjørelse, men uten å være selvstendig næringsdrivende</w:t>
      </w:r>
      <w:r w:rsidR="006A50F4">
        <w:t>»</w:t>
      </w:r>
      <w:r w:rsidRPr="006D7319">
        <w:t>. I skatterettslig sammenheng behandles frilansere som lønnstakere på samme måte som arbeidstakere, men en frilanser etter folketrygdloven vil normalt ikke være å anse som arbeidstaker etter arbeidsmiljøloven.</w:t>
      </w:r>
      <w:r w:rsidR="006A50F4" w:rsidRPr="006A50F4">
        <w:rPr>
          <w:rStyle w:val="Fotnotereferanse"/>
        </w:rPr>
        <w:footnoteReference w:id="46"/>
      </w:r>
    </w:p>
    <w:p w14:paraId="639686C2" w14:textId="19BD6583" w:rsidR="0016483D" w:rsidRPr="006D7319" w:rsidRDefault="0016483D" w:rsidP="006D7319">
      <w:r w:rsidRPr="006D7319">
        <w:t xml:space="preserve">Slik arbeidsgruppen oppfatter det, benyttes </w:t>
      </w:r>
      <w:r w:rsidRPr="006D7319">
        <w:t xml:space="preserve">begrepet frilans om dels ulike situasjoner i dagligtalen. Det behøver ikke å være et foretak involvert, men det kan være det. Dersom det ikke er et foretak involvert, legger arbeidsgruppen til grunn at det heller ikke vil være noen </w:t>
      </w:r>
      <w:r w:rsidR="006A50F4">
        <w:t>«</w:t>
      </w:r>
      <w:r w:rsidRPr="006D7319">
        <w:t>virksomhet</w:t>
      </w:r>
      <w:r w:rsidR="006A50F4">
        <w:t>»</w:t>
      </w:r>
      <w:r w:rsidRPr="006D7319">
        <w:t xml:space="preserve"> representert i avtaleforholdet på frilanserens side, i relasjon til arbeidsmiljøloven </w:t>
      </w:r>
      <w:r w:rsidR="006A50F4">
        <w:t>§ </w:t>
      </w:r>
      <w:r w:rsidR="006A50F4" w:rsidRPr="006D7319">
        <w:t>1</w:t>
      </w:r>
      <w:r w:rsidRPr="006D7319">
        <w:t>-2.</w:t>
      </w:r>
    </w:p>
    <w:p w14:paraId="20BCB524" w14:textId="539D256A" w:rsidR="0016483D" w:rsidRPr="006D7319" w:rsidRDefault="0016483D" w:rsidP="006D7319">
      <w:r w:rsidRPr="006D7319">
        <w:lastRenderedPageBreak/>
        <w:t xml:space="preserve">Dersom en frilanser derimot påtar seg </w:t>
      </w:r>
      <w:r w:rsidRPr="006D7319">
        <w:t xml:space="preserve">oppdrag </w:t>
      </w:r>
      <w:r w:rsidRPr="006D7319">
        <w:t xml:space="preserve">gjennom eget enkeltpersonforetak eller </w:t>
      </w:r>
      <w:r w:rsidRPr="006D7319">
        <w:t>aksje</w:t>
      </w:r>
      <w:r w:rsidRPr="006D7319">
        <w:t>selskap, vil det som er skrevet over om disse organisasjonsformene gjelde tilsvarende.</w:t>
      </w:r>
    </w:p>
    <w:p w14:paraId="027DF8CE" w14:textId="77777777" w:rsidR="0016483D" w:rsidRPr="006D7319" w:rsidRDefault="0016483D" w:rsidP="006D7319">
      <w:pPr>
        <w:pStyle w:val="Overskrift2"/>
      </w:pPr>
      <w:r w:rsidRPr="006D7319">
        <w:t>Tilknytningsformer i arbeidslivet</w:t>
      </w:r>
    </w:p>
    <w:p w14:paraId="35BE9854" w14:textId="77777777" w:rsidR="0016483D" w:rsidRPr="006D7319" w:rsidRDefault="0016483D" w:rsidP="006D7319">
      <w:pPr>
        <w:pStyle w:val="Overskrift3"/>
      </w:pPr>
      <w:r w:rsidRPr="006D7319">
        <w:t>Innledning</w:t>
      </w:r>
    </w:p>
    <w:p w14:paraId="6BE6AFC6" w14:textId="332B5F42" w:rsidR="0016483D" w:rsidRPr="006D7319" w:rsidRDefault="0016483D" w:rsidP="006D7319">
      <w:r w:rsidRPr="006D7319">
        <w:t xml:space="preserve">Arbeidsgruppen skal beskrive gjeldende rett </w:t>
      </w:r>
      <w:proofErr w:type="gramStart"/>
      <w:r w:rsidRPr="006D7319">
        <w:t>hva gjelder</w:t>
      </w:r>
      <w:proofErr w:type="gramEnd"/>
      <w:r w:rsidRPr="006D7319">
        <w:t xml:space="preserve"> mulige tilknytningsformer for kjøp av </w:t>
      </w:r>
      <w:r w:rsidRPr="006D7319">
        <w:t>konsulent- og rådgivertjenester, herunder fra enkeltpersonforetak og aksjeselskap hvor eier er eneste arbeidende person i virksomheten.</w:t>
      </w:r>
      <w:r w:rsidRPr="006D7319">
        <w:t xml:space="preserve"> </w:t>
      </w:r>
      <w:r w:rsidRPr="006D7319">
        <w:t>Med tilknytningsform siktes det her til måten en person er knyttet til en arbeidsgiver/virksomhet, eller til arbeidslivet. I beskrivelsen av gjeldende rett er det naturlig å ta utgangspunkt i hovedformene for tilknytningsformer i norsk rett. I norsk sammenheng er det vanlig å skille mellom fem hovedformer for tilknytninger, som gjennomgås i det følgende.</w:t>
      </w:r>
      <w:r w:rsidR="006A50F4" w:rsidRPr="006A50F4">
        <w:rPr>
          <w:rStyle w:val="Fotnotereferanse"/>
        </w:rPr>
        <w:footnoteReference w:id="47"/>
      </w:r>
    </w:p>
    <w:p w14:paraId="0BF226EF" w14:textId="01C8D71B" w:rsidR="0016483D" w:rsidRPr="006D7319" w:rsidRDefault="0016483D" w:rsidP="006D7319">
      <w:r w:rsidRPr="006D7319">
        <w:t>Kategoriene 1–2 er direkte ansettelser mellom en arbeidstaker og en virksomhet, mens det i katego</w:t>
      </w:r>
      <w:r w:rsidRPr="006D7319">
        <w:t>riene 3–5 hentes arbeidskraft i det eksterne arbeidsmarkedet.</w:t>
      </w:r>
    </w:p>
    <w:p w14:paraId="63CC56CB" w14:textId="77777777" w:rsidR="0016483D" w:rsidRPr="006D7319" w:rsidRDefault="0016483D" w:rsidP="006D7319">
      <w:pPr>
        <w:pStyle w:val="Nummerertliste"/>
      </w:pPr>
      <w:r w:rsidRPr="006D7319">
        <w:t>Fast ansettelse i heltids- og deltidsstilling i et topartsforhold (direkte ansatt i virksomheten).</w:t>
      </w:r>
    </w:p>
    <w:p w14:paraId="312A9DE3" w14:textId="77777777" w:rsidR="0016483D" w:rsidRPr="006D7319" w:rsidRDefault="0016483D" w:rsidP="006D7319">
      <w:pPr>
        <w:pStyle w:val="Nummerertliste"/>
      </w:pPr>
      <w:r w:rsidRPr="006D7319">
        <w:t>Midlertidig ansettelse i heltids- og deltidsstilling i topartsforhold (direkte ansatt i virksomheten).</w:t>
      </w:r>
    </w:p>
    <w:p w14:paraId="4AF7D5C5" w14:textId="77777777" w:rsidR="0016483D" w:rsidRPr="006D7319" w:rsidRDefault="0016483D" w:rsidP="006D7319">
      <w:pPr>
        <w:pStyle w:val="Nummerertliste"/>
      </w:pPr>
      <w:r w:rsidRPr="006D7319">
        <w:t>Innleie av arbeidstakere fra en annen virksomhet eller bemanningsforetak, hvor arbeidstaker er ansatt hos tredjepart, men stilles til disposisjon for kundevirksomheten.</w:t>
      </w:r>
    </w:p>
    <w:p w14:paraId="20D0CB46" w14:textId="77777777" w:rsidR="0016483D" w:rsidRPr="006D7319" w:rsidRDefault="0016483D" w:rsidP="006D7319">
      <w:pPr>
        <w:pStyle w:val="Nummerertliste"/>
      </w:pPr>
      <w:r w:rsidRPr="006D7319">
        <w:t>Bruk av selvstendig oppdragstaker/frilanser. Dette inkluderer kjøp av tjenester fra selvstendig næringsdrivende (uten ansatte) eller ikke-ansatt lønnstaker som mottar lønn (frilanser).</w:t>
      </w:r>
    </w:p>
    <w:p w14:paraId="0512F4B4" w14:textId="77777777" w:rsidR="0016483D" w:rsidRPr="006D7319" w:rsidRDefault="0016483D" w:rsidP="006D7319">
      <w:pPr>
        <w:pStyle w:val="Nummerertliste"/>
      </w:pPr>
      <w:r w:rsidRPr="006D7319">
        <w:t>Kjøp av tjenester fra andre virksomheter (entreprise). Entreprenøren er arbeidsgiver og ansvarlig for arbeidsledelsen.</w:t>
      </w:r>
    </w:p>
    <w:p w14:paraId="434260AD" w14:textId="77777777" w:rsidR="0016483D" w:rsidRPr="006D7319" w:rsidRDefault="0016483D" w:rsidP="006D7319">
      <w:pPr>
        <w:pStyle w:val="Overskrift3"/>
      </w:pPr>
      <w:r w:rsidRPr="006D7319">
        <w:t>Ansettelse</w:t>
      </w:r>
    </w:p>
    <w:p w14:paraId="6483AB08" w14:textId="77777777" w:rsidR="0016483D" w:rsidRPr="006D7319" w:rsidRDefault="0016483D" w:rsidP="007173E8">
      <w:pPr>
        <w:pStyle w:val="avsnitt-under-undertittel"/>
      </w:pPr>
      <w:r w:rsidRPr="006D7319">
        <w:t>Fast ansettelse</w:t>
      </w:r>
    </w:p>
    <w:p w14:paraId="2A45381C" w14:textId="54CFBDD8" w:rsidR="0016483D" w:rsidRPr="006D7319" w:rsidRDefault="0016483D" w:rsidP="006D7319">
      <w:r w:rsidRPr="006D7319">
        <w:t xml:space="preserve">Hovedregelen i norsk arbeidsliv er fast ansettelse, jf. arbeidsmiljøloven </w:t>
      </w:r>
      <w:r w:rsidR="006A50F4">
        <w:t>§ </w:t>
      </w:r>
      <w:r w:rsidR="006A50F4" w:rsidRPr="006D7319">
        <w:t>1</w:t>
      </w:r>
      <w:r w:rsidRPr="006D7319">
        <w:t>4-9 første ledd. Ved en ansett</w:t>
      </w:r>
      <w:r w:rsidRPr="006D7319">
        <w:t xml:space="preserve">else er det et topartsforhold mellom arbeidstaker og arbeidsgiver. Hovedregelen om fast ansettelse med fullt stillingsvern uttrykkes også gjennom lovens formålsparagraf, hvor det </w:t>
      </w:r>
      <w:r w:rsidR="006A50F4">
        <w:t>«</w:t>
      </w:r>
      <w:r w:rsidRPr="006D7319">
        <w:t>å sikre trygge ansettelses</w:t>
      </w:r>
      <w:r w:rsidRPr="006D7319">
        <w:t>forhold</w:t>
      </w:r>
      <w:r w:rsidR="006A50F4">
        <w:t>»</w:t>
      </w:r>
      <w:r w:rsidRPr="006D7319">
        <w:t xml:space="preserve"> er ett av lovens formål, jf. </w:t>
      </w:r>
      <w:r w:rsidR="006A50F4">
        <w:t>§ </w:t>
      </w:r>
      <w:r w:rsidR="006A50F4" w:rsidRPr="006D7319">
        <w:t>1</w:t>
      </w:r>
      <w:r w:rsidRPr="006D7319">
        <w:t>-1 bokstav b.</w:t>
      </w:r>
      <w:r w:rsidR="006A50F4" w:rsidRPr="006A50F4">
        <w:rPr>
          <w:rStyle w:val="Fotnotereferanse"/>
        </w:rPr>
        <w:footnoteReference w:id="48"/>
      </w:r>
      <w:r w:rsidRPr="006D7319">
        <w:t xml:space="preserve"> Hovedregelen om fast ansettelse synliggjøres også ved at adgangen til midlertidige ansett</w:t>
      </w:r>
      <w:r w:rsidRPr="006D7319">
        <w:t xml:space="preserve">elser er formulert som et unntak fra </w:t>
      </w:r>
      <w:r w:rsidRPr="006D7319">
        <w:lastRenderedPageBreak/>
        <w:t>hovedregelen i bestemte situasjoner.</w:t>
      </w:r>
      <w:r w:rsidR="006A50F4" w:rsidRPr="006A50F4">
        <w:rPr>
          <w:rStyle w:val="Fotnotereferanse"/>
        </w:rPr>
        <w:footnoteReference w:id="49"/>
      </w:r>
      <w:r w:rsidRPr="006D7319">
        <w:t xml:space="preserve"> Prinsippet om fast ansett</w:t>
      </w:r>
      <w:r w:rsidRPr="006D7319">
        <w:t>else som hovedregel, følger videre av EU-retten. Råds</w:t>
      </w:r>
      <w:r w:rsidRPr="006D7319">
        <w:t>direktiv 1999/70/EF av 28. juni 1999 om ramme</w:t>
      </w:r>
      <w:r w:rsidRPr="006D7319">
        <w:t>avtalen om midlertidig ansettelse, som Norge er bundet av gjennom EØS-avtalen, fastslår at fast ansettelse skal være hovedregelen.</w:t>
      </w:r>
    </w:p>
    <w:p w14:paraId="3C865AB8" w14:textId="1D775B72" w:rsidR="0016483D" w:rsidRPr="006D7319" w:rsidRDefault="0016483D" w:rsidP="006D7319">
      <w:r w:rsidRPr="006D7319">
        <w:t xml:space="preserve">I 2019 ble det inntatt en definisjon av </w:t>
      </w:r>
      <w:r w:rsidR="006A50F4">
        <w:t>«</w:t>
      </w:r>
      <w:r w:rsidRPr="006D7319">
        <w:t>fast ansett</w:t>
      </w:r>
      <w:r w:rsidRPr="006D7319">
        <w:t>else</w:t>
      </w:r>
      <w:r w:rsidR="006A50F4">
        <w:t>»</w:t>
      </w:r>
      <w:r w:rsidRPr="006D7319">
        <w:t xml:space="preserve"> i arbeidsmiljøloven </w:t>
      </w:r>
      <w:r w:rsidR="006A50F4">
        <w:t>§ </w:t>
      </w:r>
      <w:r w:rsidR="006A50F4" w:rsidRPr="006D7319">
        <w:t>1</w:t>
      </w:r>
      <w:r w:rsidRPr="006D7319">
        <w:t>4-9 første ledd.</w:t>
      </w:r>
      <w:r w:rsidR="006A50F4" w:rsidRPr="006A50F4">
        <w:rPr>
          <w:rStyle w:val="Fotnotereferanse"/>
        </w:rPr>
        <w:footnoteReference w:id="50"/>
      </w:r>
      <w:r w:rsidRPr="006D7319">
        <w:t xml:space="preserve"> I </w:t>
      </w:r>
      <w:r w:rsidRPr="006D7319">
        <w:t xml:space="preserve">henhold til definisjonen består en fast ansettelse av tre hovedelementer: en løpende og </w:t>
      </w:r>
      <w:proofErr w:type="spellStart"/>
      <w:r w:rsidRPr="006D7319">
        <w:t>tidsubegrenset</w:t>
      </w:r>
      <w:proofErr w:type="spellEnd"/>
      <w:r w:rsidRPr="006D7319">
        <w:t xml:space="preserve"> avtale, at lovens regler for opphør av arbeidsfor</w:t>
      </w:r>
      <w:r w:rsidRPr="006D7319">
        <w:t>holdet gjelder og at arbeidstaker sikres forutsig</w:t>
      </w:r>
      <w:r w:rsidRPr="006D7319">
        <w:t>barhet for arbeid i form av et reelt stillingsomfang.</w:t>
      </w:r>
    </w:p>
    <w:p w14:paraId="095328CD" w14:textId="4728C679" w:rsidR="0016483D" w:rsidRPr="006D7319" w:rsidRDefault="0016483D" w:rsidP="006D7319">
      <w:r w:rsidRPr="006D7319">
        <w:t>At faste ansettelser løper uten at det avtales noen tidsbegrensning og at fullt stillingsvern gjelder, er velkjent.</w:t>
      </w:r>
      <w:r w:rsidR="006A50F4" w:rsidRPr="006A50F4">
        <w:rPr>
          <w:rStyle w:val="Fotnotereferanse"/>
        </w:rPr>
        <w:footnoteReference w:id="51"/>
      </w:r>
      <w:r w:rsidRPr="006D7319">
        <w:t xml:space="preserve"> Med endringen i 2019 kreves det også at arbeidstaker skal ha forutsigbarhet for arbeid i form av et reelt stillingsomfang.</w:t>
      </w:r>
      <w:r w:rsidR="006A50F4" w:rsidRPr="006A50F4">
        <w:rPr>
          <w:rStyle w:val="Fotnotereferanse"/>
        </w:rPr>
        <w:footnoteReference w:id="52"/>
      </w:r>
      <w:r w:rsidRPr="006D7319">
        <w:t xml:space="preserve"> Det gjelder imidlertid ikke noe bestemt minstekrav til arbeidsomfang.</w:t>
      </w:r>
      <w:r w:rsidR="006A50F4" w:rsidRPr="006A50F4">
        <w:rPr>
          <w:rStyle w:val="Fotnotereferanse"/>
        </w:rPr>
        <w:footnoteReference w:id="53"/>
      </w:r>
      <w:r w:rsidRPr="006D7319">
        <w:t xml:space="preserve"> I sammenheng med endringen ble samtidig arbeidsgivers informasjonsplikt i situasjoner der arbeidet skal utføres periodevis, for eksempel der arbeid skal utføres i enkelte </w:t>
      </w:r>
      <w:r w:rsidR="006A50F4">
        <w:t>«</w:t>
      </w:r>
      <w:r w:rsidRPr="006D7319">
        <w:t>bolker</w:t>
      </w:r>
      <w:r w:rsidR="006A50F4">
        <w:t>»</w:t>
      </w:r>
      <w:r w:rsidRPr="006D7319">
        <w:t xml:space="preserve"> i løpet av året, eller den daglige og ukentlige arbeidstiden vil variere, </w:t>
      </w:r>
      <w:r w:rsidRPr="006D7319">
        <w:t xml:space="preserve">presisert i </w:t>
      </w:r>
      <w:r w:rsidR="006A50F4">
        <w:t>§ </w:t>
      </w:r>
      <w:r w:rsidR="006A50F4" w:rsidRPr="006D7319">
        <w:t>1</w:t>
      </w:r>
      <w:r w:rsidRPr="006D7319">
        <w:t>4-6 første ledd bokstav j andre punktum. Arbeidsavtalen skal i slike tilfeller fastsette eller gi grunnlag for å beregne når arbeidet skal utføres, det vil si når arbeidstakeren har rett og plikt til å arbeide.</w:t>
      </w:r>
      <w:r w:rsidR="006A50F4" w:rsidRPr="006A50F4">
        <w:rPr>
          <w:rStyle w:val="Fotnotereferanse"/>
        </w:rPr>
        <w:footnoteReference w:id="54"/>
      </w:r>
      <w:r w:rsidRPr="006D7319">
        <w:t xml:space="preserve"> Omfanget av arbeidet må altså være avklart mellom partene og vær</w:t>
      </w:r>
      <w:r w:rsidRPr="006D7319">
        <w:t xml:space="preserve">e konkret beskrevet i arbeidsavtalen, typisk ved en </w:t>
      </w:r>
      <w:r w:rsidRPr="006D7319">
        <w:lastRenderedPageBreak/>
        <w:t>stillingsprosent.</w:t>
      </w:r>
      <w:r w:rsidR="006A50F4" w:rsidRPr="006A50F4">
        <w:rPr>
          <w:rStyle w:val="Fotnotereferanse"/>
        </w:rPr>
        <w:footnoteReference w:id="55"/>
      </w:r>
      <w:r w:rsidRPr="006D7319">
        <w:t xml:space="preserve"> Det stillingsomfang som avtales må være reelt og i samsvar med det omfanget arbeidsgiver ved ansettelsen planlegger å benytte arbeidstaker til.</w:t>
      </w:r>
      <w:r w:rsidR="006A50F4" w:rsidRPr="006A50F4">
        <w:rPr>
          <w:rStyle w:val="Fotnotereferanse"/>
        </w:rPr>
        <w:footnoteReference w:id="56"/>
      </w:r>
    </w:p>
    <w:p w14:paraId="5650FFC9" w14:textId="536D4528" w:rsidR="0016483D" w:rsidRPr="006D7319" w:rsidRDefault="0016483D" w:rsidP="006D7319">
      <w:r w:rsidRPr="006D7319">
        <w:t>Definisjonen av fast ansettelse inneholder ikke noe krav til lønn. En arbeidsytelse forutsetter imidlertid i de aller fleste tilfeller en motytelse i en eller annen form for godtgjøring, og kravet til forutsigbarhet for arbeid vil samtidig gi forutsigbarhet for inntekt.</w:t>
      </w:r>
      <w:r w:rsidR="006A50F4" w:rsidRPr="006A50F4">
        <w:rPr>
          <w:rStyle w:val="Fotnotereferanse"/>
        </w:rPr>
        <w:footnoteReference w:id="57"/>
      </w:r>
    </w:p>
    <w:p w14:paraId="7C71AE83" w14:textId="77777777" w:rsidR="0016483D" w:rsidRPr="006D7319" w:rsidRDefault="0016483D" w:rsidP="007173E8">
      <w:pPr>
        <w:pStyle w:val="avsnitt-under-undertittel"/>
      </w:pPr>
      <w:r w:rsidRPr="006D7319">
        <w:t>Midlertidig ansettelse</w:t>
      </w:r>
    </w:p>
    <w:p w14:paraId="3040D865" w14:textId="263727BB" w:rsidR="0016483D" w:rsidRPr="006D7319" w:rsidRDefault="0016483D" w:rsidP="006D7319">
      <w:r w:rsidRPr="006D7319">
        <w:t>Det er på nærmere bestemte vilkår adgang til å inngå avtale om midlertidig ansettelse, jf. arbeidsmiljø</w:t>
      </w:r>
      <w:r w:rsidRPr="006D7319">
        <w:t xml:space="preserve">loven </w:t>
      </w:r>
      <w:r w:rsidR="006A50F4">
        <w:t>§ </w:t>
      </w:r>
      <w:r w:rsidR="006A50F4" w:rsidRPr="006D7319">
        <w:t>1</w:t>
      </w:r>
      <w:r w:rsidRPr="006D7319">
        <w:t>4-9 andre ledd. Etter denne bestemmelsen kan slik avtale inngås i følgende situasjoner:</w:t>
      </w:r>
    </w:p>
    <w:p w14:paraId="42BA5775" w14:textId="77777777" w:rsidR="0016483D" w:rsidRPr="006D7319" w:rsidRDefault="0016483D" w:rsidP="006D7319">
      <w:pPr>
        <w:pStyle w:val="alfaliste"/>
      </w:pPr>
      <w:r w:rsidRPr="006D7319">
        <w:t>når arbeidet er av midlertidig karakter</w:t>
      </w:r>
    </w:p>
    <w:p w14:paraId="01BA0943" w14:textId="77777777" w:rsidR="0016483D" w:rsidRPr="006D7319" w:rsidRDefault="0016483D" w:rsidP="006D7319">
      <w:pPr>
        <w:pStyle w:val="alfaliste"/>
      </w:pPr>
      <w:r w:rsidRPr="006D7319">
        <w:t>for arbeid i stedet for en annen eller andre (vikariat)</w:t>
      </w:r>
    </w:p>
    <w:p w14:paraId="5901F614" w14:textId="77777777" w:rsidR="0016483D" w:rsidRPr="006D7319" w:rsidRDefault="0016483D" w:rsidP="006D7319">
      <w:pPr>
        <w:pStyle w:val="alfaliste"/>
      </w:pPr>
      <w:r w:rsidRPr="006D7319">
        <w:t>for praksisarbeid</w:t>
      </w:r>
    </w:p>
    <w:p w14:paraId="3B4A3396" w14:textId="77777777" w:rsidR="0016483D" w:rsidRPr="006D7319" w:rsidRDefault="0016483D" w:rsidP="006D7319">
      <w:pPr>
        <w:pStyle w:val="alfaliste"/>
      </w:pPr>
      <w:r w:rsidRPr="006D7319">
        <w:t>med deltaker i arbeidsmarkedstiltak i regi av eller i samarbeid med arbeids- og velferdsetaten</w:t>
      </w:r>
    </w:p>
    <w:p w14:paraId="28A9D590" w14:textId="77777777" w:rsidR="0016483D" w:rsidRPr="006D7319" w:rsidRDefault="0016483D" w:rsidP="006D7319">
      <w:pPr>
        <w:pStyle w:val="alfaliste"/>
      </w:pPr>
      <w:r w:rsidRPr="006D7319">
        <w:t>med idrettsutøvere, idrettstrenere, dommere og andre ledere innen den organiserte idretten</w:t>
      </w:r>
    </w:p>
    <w:p w14:paraId="1672C783" w14:textId="0D293887" w:rsidR="0016483D" w:rsidRPr="006D7319" w:rsidRDefault="0016483D" w:rsidP="006D7319">
      <w:r w:rsidRPr="006D7319">
        <w:t xml:space="preserve">I tillegg kan øverste leder i virksomheten </w:t>
      </w:r>
      <w:r w:rsidRPr="006D7319">
        <w:t xml:space="preserve">ansettes på åremål, jf. arbeidsmiljøloven </w:t>
      </w:r>
      <w:r w:rsidR="006A50F4">
        <w:t>§ </w:t>
      </w:r>
      <w:r w:rsidR="006A50F4" w:rsidRPr="006D7319">
        <w:t>1</w:t>
      </w:r>
      <w:r w:rsidRPr="006D7319">
        <w:t xml:space="preserve">4-10 </w:t>
      </w:r>
      <w:r w:rsidRPr="006D7319">
        <w:t>første ledd.</w:t>
      </w:r>
    </w:p>
    <w:p w14:paraId="4C5CAA08" w14:textId="77777777" w:rsidR="0016483D" w:rsidRPr="006D7319" w:rsidRDefault="0016483D" w:rsidP="007173E8">
      <w:pPr>
        <w:pStyle w:val="avsnitt-under-undertittel"/>
      </w:pPr>
      <w:r w:rsidRPr="006D7319">
        <w:t>Heltid</w:t>
      </w:r>
    </w:p>
    <w:p w14:paraId="19F3CCA6" w14:textId="66687D84" w:rsidR="0016483D" w:rsidRPr="006D7319" w:rsidRDefault="0016483D" w:rsidP="006D7319">
      <w:r w:rsidRPr="006D7319">
        <w:t xml:space="preserve">Med heltid, noen ganger kalt fulltid, menes å arbeide så mange timer som er vanlig for en fulltidsstilling i en bransje, et yrke eller en virksomhet i henhold til lov eller tariffavtale. Fra og med 1. januar 2023 er arbeidsmiljølovens hovedregel at arbeidstaker skal ansettes på heltid, jf. </w:t>
      </w:r>
      <w:r w:rsidR="006A50F4">
        <w:t>§ </w:t>
      </w:r>
      <w:r w:rsidR="006A50F4" w:rsidRPr="006D7319">
        <w:t>1</w:t>
      </w:r>
      <w:r w:rsidRPr="006D7319">
        <w:t xml:space="preserve">4-1 b første ledd. Det </w:t>
      </w:r>
      <w:proofErr w:type="gramStart"/>
      <w:r w:rsidRPr="006D7319">
        <w:t>fremgår</w:t>
      </w:r>
      <w:proofErr w:type="gramEnd"/>
      <w:r w:rsidRPr="006D7319">
        <w:t xml:space="preserve"> av forarbeidene at bestemmelsen ikke innebærer et forbud eller en rettslig begrensning i arbeidsgivers adgang til å ansette på deltid.</w:t>
      </w:r>
      <w:r w:rsidR="006A50F4" w:rsidRPr="006A50F4">
        <w:rPr>
          <w:rStyle w:val="Fotnotereferanse"/>
        </w:rPr>
        <w:footnoteReference w:id="58"/>
      </w:r>
      <w:r w:rsidRPr="006D7319">
        <w:t xml:space="preserve"> Regelen stadfester at heltid skal være normen i norsk </w:t>
      </w:r>
      <w:r w:rsidRPr="006D7319">
        <w:lastRenderedPageBreak/>
        <w:t>arbeidsliv, men forarbeidene må forstås slik at regelen ikke gir arbeidstaker et rettskrav på heltidsstilling.</w:t>
      </w:r>
      <w:r w:rsidR="006A50F4" w:rsidRPr="006A50F4">
        <w:rPr>
          <w:rStyle w:val="Fotnotereferanse"/>
        </w:rPr>
        <w:footnoteReference w:id="59"/>
      </w:r>
    </w:p>
    <w:p w14:paraId="38FECAAE" w14:textId="77777777" w:rsidR="0016483D" w:rsidRPr="006D7319" w:rsidRDefault="0016483D" w:rsidP="007173E8">
      <w:pPr>
        <w:pStyle w:val="avsnitt-under-undertittel"/>
      </w:pPr>
      <w:r w:rsidRPr="006D7319">
        <w:t>Deltid</w:t>
      </w:r>
    </w:p>
    <w:p w14:paraId="21B24EE7" w14:textId="0BF88CAC" w:rsidR="0016483D" w:rsidRPr="006D7319" w:rsidRDefault="0016483D" w:rsidP="006D7319">
      <w:r w:rsidRPr="006D7319">
        <w:t>Med deltid menes her å arbeide færre timer enn det som er vanlig for en fulltidsstilling i en bransje, et yrke eller en virksomhet i henhold til lov eller tariff</w:t>
      </w:r>
      <w:r w:rsidRPr="006D7319">
        <w:t>avtale. Hva som anses som deltid kan derfor variere fra bransje til bransje, og mellom ulike arbeidsforhold. Deltid kan gå ut på å arbeide færre timer per dag, færre dager per uke eller færre uker per år.</w:t>
      </w:r>
    </w:p>
    <w:p w14:paraId="5089B7A7" w14:textId="5AF9740A" w:rsidR="0016483D" w:rsidRPr="006D7319" w:rsidRDefault="0016483D" w:rsidP="006D7319">
      <w:r w:rsidRPr="006D7319">
        <w:t xml:space="preserve">I internasjonale sammenlikninger behandles </w:t>
      </w:r>
      <w:r w:rsidRPr="006D7319">
        <w:t>deltid sammen med andre former for alternative tilknytnings</w:t>
      </w:r>
      <w:r w:rsidRPr="006D7319">
        <w:t>former.</w:t>
      </w:r>
      <w:r w:rsidR="006A50F4" w:rsidRPr="006A50F4">
        <w:rPr>
          <w:rStyle w:val="Fotnotereferanse"/>
        </w:rPr>
        <w:footnoteReference w:id="60"/>
      </w:r>
      <w:r w:rsidRPr="006D7319">
        <w:t xml:space="preserve"> I norsk arbeidsliv har de fleste som arbeider deltid en fast ansettelse direkte i virksomheten.</w:t>
      </w:r>
      <w:r w:rsidR="006A50F4" w:rsidRPr="006A50F4">
        <w:rPr>
          <w:rStyle w:val="Fotnotereferanse"/>
        </w:rPr>
        <w:footnoteReference w:id="61"/>
      </w:r>
    </w:p>
    <w:p w14:paraId="4E57634D" w14:textId="33F3FE87" w:rsidR="0016483D" w:rsidRPr="006D7319" w:rsidRDefault="0016483D" w:rsidP="006D7319">
      <w:r w:rsidRPr="006D7319">
        <w:t xml:space="preserve">Før arbeidsgiver fatter beslutning om </w:t>
      </w:r>
      <w:r w:rsidRPr="006D7319">
        <w:t xml:space="preserve">ansettelse i </w:t>
      </w:r>
      <w:r w:rsidRPr="006D7319">
        <w:t xml:space="preserve">deltidsstilling, skal arbeidsgiver skriftlig </w:t>
      </w:r>
      <w:r w:rsidRPr="006D7319">
        <w:t xml:space="preserve">dokumentere behovet for deltidsansettelse. Dokumentasjonen skal være tilgjengelig for tillitsvalgte, og </w:t>
      </w:r>
      <w:r w:rsidRPr="006D7319">
        <w:t xml:space="preserve">spørsmålet om deltidsansettelse skal drøftes med de tillitsvalgte, jf. </w:t>
      </w:r>
      <w:r w:rsidR="006A50F4">
        <w:t>§ </w:t>
      </w:r>
      <w:r w:rsidR="006A50F4" w:rsidRPr="006D7319">
        <w:t>1</w:t>
      </w:r>
      <w:r w:rsidRPr="006D7319">
        <w:t xml:space="preserve">4-1 b andre ledd. I tillegg inneholder loven særskilte regler som gir deltidsansatte rett til å øke sin stilling, se for eksempel </w:t>
      </w:r>
      <w:r w:rsidR="006A50F4">
        <w:t>§ </w:t>
      </w:r>
      <w:r w:rsidR="006A50F4" w:rsidRPr="006D7319">
        <w:t>1</w:t>
      </w:r>
      <w:r w:rsidRPr="006D7319">
        <w:t>4-3 om fortrinnsrett for deltidsansatte.</w:t>
      </w:r>
    </w:p>
    <w:p w14:paraId="09894E74" w14:textId="456CDE7A" w:rsidR="0016483D" w:rsidRPr="006D7319" w:rsidRDefault="0016483D" w:rsidP="006D7319">
      <w:r w:rsidRPr="006D7319">
        <w:t xml:space="preserve">Hovedregelen om at arbeidstaker skal ansettes fast og dermed sikres forutsigbarhet for arbeid i form av et reelt stillingsomfang, gjelder som det klare utgangspunkt også for deltidsansatte, jf. arbeidsmiljøloven </w:t>
      </w:r>
      <w:r w:rsidR="006A50F4">
        <w:t>§ </w:t>
      </w:r>
      <w:r w:rsidR="006A50F4" w:rsidRPr="006D7319">
        <w:t>1</w:t>
      </w:r>
      <w:r w:rsidRPr="006D7319">
        <w:t xml:space="preserve">4-9 første ledd. Avtale om midlertidig ansettelse kan likevel inngås på de vilkår som følger av </w:t>
      </w:r>
      <w:r w:rsidR="006A50F4">
        <w:t>§ </w:t>
      </w:r>
      <w:r w:rsidR="006A50F4" w:rsidRPr="006D7319">
        <w:t>1</w:t>
      </w:r>
      <w:r w:rsidRPr="006D7319">
        <w:t xml:space="preserve">4-9 andre ledd. Stillingsvernreglene i arbeidsmiljøloven gjelder videre fullt ut for deltidsansatte. Dersom deltidsarbeidet skal utføres periodevis eller den daglige og ukentlige arbeidstiden vil variere, skal arbeidsavtalen angi det, og fastsette eller gi grunnlag for å beregne når arbeidet skal utføres, jf. arbeidsmiljøloven </w:t>
      </w:r>
      <w:r w:rsidR="006A50F4">
        <w:t>§ </w:t>
      </w:r>
      <w:r w:rsidR="006A50F4" w:rsidRPr="006D7319">
        <w:t>1</w:t>
      </w:r>
      <w:r w:rsidRPr="006D7319">
        <w:t>4-6 første ledd bokstav j.</w:t>
      </w:r>
    </w:p>
    <w:p w14:paraId="73936492" w14:textId="77777777" w:rsidR="0016483D" w:rsidRPr="006D7319" w:rsidRDefault="0016483D" w:rsidP="006D7319">
      <w:pPr>
        <w:pStyle w:val="Overskrift3"/>
      </w:pPr>
      <w:r w:rsidRPr="006D7319">
        <w:lastRenderedPageBreak/>
        <w:t>Innleie etter arbeidsmiljølovens regler</w:t>
      </w:r>
    </w:p>
    <w:p w14:paraId="78862A39" w14:textId="77777777" w:rsidR="0016483D" w:rsidRPr="006D7319" w:rsidRDefault="0016483D" w:rsidP="006D7319">
      <w:pPr>
        <w:pStyle w:val="Overskrift4"/>
      </w:pPr>
      <w:r w:rsidRPr="006D7319">
        <w:t>Innleiemodellen</w:t>
      </w:r>
    </w:p>
    <w:p w14:paraId="4E0ED035" w14:textId="292E0E7C" w:rsidR="0016483D" w:rsidRPr="006D7319" w:rsidRDefault="0016483D" w:rsidP="006D7319">
      <w:r w:rsidRPr="006D7319">
        <w:t xml:space="preserve">Som beskrevet er hovedregelen i arbeidsmiljøloven at arbeidstaker skal ansettes fast. Dersom en virksomhet har et midlertidig behov for arbeidskraft, kan et alternativ til midlertidig ansettelse være at virksomheten leier inn arbeidstakere, enten fra et bemanningsforetak eller fra en annen </w:t>
      </w:r>
      <w:r w:rsidRPr="006D7319">
        <w:t xml:space="preserve">virksomhet (produksjonsbedrift). Arbeidsmiljøloven og </w:t>
      </w:r>
      <w:r w:rsidRPr="006D7319">
        <w:t>tilhørende forskrifter har regler for når innleie er tillatt innenfor lovens virkeområde.</w:t>
      </w:r>
    </w:p>
    <w:p w14:paraId="295652B4" w14:textId="6DFF1A1D" w:rsidR="0016483D" w:rsidRPr="006D7319" w:rsidRDefault="0016483D" w:rsidP="006D7319">
      <w:r w:rsidRPr="006D7319">
        <w:t xml:space="preserve">Arbeidsmiljøloven inneholder ingen legaldefinisjon av innleiebegrepet, og det kan tenkes ulike innfallsvinkler til begrepet. En definisjon kan utledes av arbeidsmarkedsloven </w:t>
      </w:r>
      <w:r w:rsidR="006A50F4">
        <w:t>§ </w:t>
      </w:r>
      <w:r w:rsidR="006A50F4" w:rsidRPr="006D7319">
        <w:t>2</w:t>
      </w:r>
      <w:r w:rsidRPr="006D7319">
        <w:t xml:space="preserve">5 andre ledd som definerer </w:t>
      </w:r>
      <w:r w:rsidRPr="006A50F4">
        <w:rPr>
          <w:rStyle w:val="kursiv"/>
        </w:rPr>
        <w:t>utleie</w:t>
      </w:r>
      <w:r w:rsidRPr="006D7319">
        <w:t xml:space="preserve">, hvor det </w:t>
      </w:r>
      <w:proofErr w:type="gramStart"/>
      <w:r w:rsidRPr="006D7319">
        <w:t>fremgår</w:t>
      </w:r>
      <w:proofErr w:type="gramEnd"/>
      <w:r w:rsidRPr="006D7319">
        <w:t xml:space="preserve"> at det med </w:t>
      </w:r>
      <w:r w:rsidR="006A50F4">
        <w:t>«</w:t>
      </w:r>
      <w:r w:rsidRPr="006D7319">
        <w:t>utleie av arbeidstakere menes leie av arbeidstakere fra en arbeidsgiver (utleier) til en oppdragsgiver (innleier) der de innleide er underlagt oppdragsgivers ledelse.</w:t>
      </w:r>
      <w:r w:rsidR="006A50F4">
        <w:t>»</w:t>
      </w:r>
    </w:p>
    <w:p w14:paraId="6FAF87DF" w14:textId="0215A161" w:rsidR="0016483D" w:rsidRPr="006D7319" w:rsidRDefault="0016483D" w:rsidP="006D7319">
      <w:r w:rsidRPr="006D7319">
        <w:t>I ordlyden i §</w:t>
      </w:r>
      <w:r w:rsidR="006A50F4">
        <w:t>§ </w:t>
      </w:r>
      <w:r w:rsidR="006A50F4" w:rsidRPr="006D7319">
        <w:t>1</w:t>
      </w:r>
      <w:r w:rsidRPr="006D7319">
        <w:t xml:space="preserve">4-12 og 14-13 i arbeidsmiljøloven om </w:t>
      </w:r>
      <w:proofErr w:type="gramStart"/>
      <w:r w:rsidRPr="006D7319">
        <w:t>innleie</w:t>
      </w:r>
      <w:proofErr w:type="gramEnd"/>
      <w:r w:rsidRPr="006D7319">
        <w:t xml:space="preserve"> fra bemanningsforetak og produksjons</w:t>
      </w:r>
      <w:r w:rsidRPr="006D7319">
        <w:t xml:space="preserve">bedrift benyttes begrepet </w:t>
      </w:r>
      <w:r w:rsidR="006A50F4">
        <w:t>«</w:t>
      </w:r>
      <w:r w:rsidRPr="006D7319">
        <w:t>arbeidstaker</w:t>
      </w:r>
      <w:r w:rsidR="006A50F4">
        <w:t>»</w:t>
      </w:r>
      <w:r w:rsidRPr="006D7319">
        <w:t xml:space="preserve"> ved beskriv</w:t>
      </w:r>
      <w:r w:rsidRPr="006D7319">
        <w:t xml:space="preserve">elsen av innleieadgangen. Begrepet </w:t>
      </w:r>
      <w:r w:rsidR="006A50F4">
        <w:t>«</w:t>
      </w:r>
      <w:r w:rsidRPr="006D7319">
        <w:t>arbeidstaker</w:t>
      </w:r>
      <w:r w:rsidR="006A50F4">
        <w:t>»</w:t>
      </w:r>
      <w:r w:rsidRPr="006D7319">
        <w:t xml:space="preserve"> benyttes også i </w:t>
      </w:r>
      <w:r w:rsidR="006A50F4">
        <w:t>«</w:t>
      </w:r>
      <w:r w:rsidRPr="006D7319">
        <w:t>spesialistunntaket</w:t>
      </w:r>
      <w:r w:rsidR="006A50F4">
        <w:t>»</w:t>
      </w:r>
      <w:r w:rsidRPr="006D7319">
        <w:t xml:space="preserve"> i forskrift om </w:t>
      </w:r>
      <w:proofErr w:type="gramStart"/>
      <w:r w:rsidRPr="006D7319">
        <w:t>innleie</w:t>
      </w:r>
      <w:proofErr w:type="gramEnd"/>
      <w:r w:rsidRPr="006D7319">
        <w:t xml:space="preserve"> fra bemanningsforetak </w:t>
      </w:r>
      <w:r w:rsidR="006A50F4">
        <w:t>§ </w:t>
      </w:r>
      <w:r w:rsidR="006A50F4" w:rsidRPr="006D7319">
        <w:t>3</w:t>
      </w:r>
      <w:r w:rsidRPr="006D7319">
        <w:t xml:space="preserve"> </w:t>
      </w:r>
      <w:r w:rsidRPr="006D7319">
        <w:t>første ledd bokstav b, som regulerer innleie av arbeidstakere med spesial</w:t>
      </w:r>
      <w:r w:rsidRPr="006D7319">
        <w:t xml:space="preserve">kompetanse som skal utføre </w:t>
      </w:r>
      <w:r w:rsidRPr="006D7319">
        <w:t xml:space="preserve">rådgivnings- og </w:t>
      </w:r>
      <w:r w:rsidRPr="006D7319">
        <w:t xml:space="preserve">konsulenttjeneste. Det er naturlig å forstå ordlyden slik at det forutsettes at den utleide er </w:t>
      </w:r>
      <w:r w:rsidR="006A50F4">
        <w:t>«</w:t>
      </w:r>
      <w:r w:rsidRPr="006D7319">
        <w:t>arbeidstaker</w:t>
      </w:r>
      <w:r w:rsidR="006A50F4">
        <w:t>»</w:t>
      </w:r>
      <w:r w:rsidRPr="006D7319">
        <w:t xml:space="preserve"> i arbeidsmiljølovens forstand. Det følger videre av forarbeidene at:</w:t>
      </w:r>
    </w:p>
    <w:p w14:paraId="3BFC76F7" w14:textId="7985D365" w:rsidR="0016483D" w:rsidRPr="006A50F4" w:rsidRDefault="0016483D" w:rsidP="006D7319">
      <w:pPr>
        <w:pStyle w:val="blokksit"/>
      </w:pPr>
      <w:r w:rsidRPr="006A50F4">
        <w:t xml:space="preserve">Det er videre en forutsetning at det dreier seg om innleie/utleie av arbeidstaker for at reglene om likebehandling skal komme til anvendelse, jf. ordlyden </w:t>
      </w:r>
      <w:r w:rsidR="006A50F4">
        <w:t>«</w:t>
      </w:r>
      <w:r w:rsidRPr="006A50F4">
        <w:t xml:space="preserve">Innleie av arbeidstaker fra </w:t>
      </w:r>
      <w:proofErr w:type="gramStart"/>
      <w:r w:rsidRPr="006A50F4">
        <w:t>virksomhet…</w:t>
      </w:r>
      <w:proofErr w:type="gramEnd"/>
      <w:r w:rsidR="006A50F4">
        <w:t>»</w:t>
      </w:r>
      <w:r w:rsidRPr="006A50F4">
        <w:t xml:space="preserve"> og </w:t>
      </w:r>
      <w:r w:rsidRPr="006A50F4">
        <w:t xml:space="preserve">arbeidsmiljølovens virkeområde, jf. </w:t>
      </w:r>
      <w:r w:rsidR="006A50F4">
        <w:t>§ </w:t>
      </w:r>
      <w:r w:rsidR="006A50F4" w:rsidRPr="006A50F4">
        <w:t>1</w:t>
      </w:r>
      <w:r w:rsidRPr="006A50F4">
        <w:t xml:space="preserve">-2 </w:t>
      </w:r>
      <w:r w:rsidRPr="006A50F4">
        <w:t>første ledd.</w:t>
      </w:r>
      <w:r w:rsidR="006A50F4" w:rsidRPr="006A50F4">
        <w:rPr>
          <w:rStyle w:val="Fotnotereferanse"/>
        </w:rPr>
        <w:footnoteReference w:id="62"/>
      </w:r>
    </w:p>
    <w:p w14:paraId="5F6CAC6F" w14:textId="26336A8C" w:rsidR="0016483D" w:rsidRPr="006D7319" w:rsidRDefault="0016483D" w:rsidP="006D7319">
      <w:r w:rsidRPr="006D7319">
        <w:t xml:space="preserve">I forarbeidende til arbeidsmiljølovens innleieregler beskrives innleie av arbeidskraft som en </w:t>
      </w:r>
      <w:proofErr w:type="spellStart"/>
      <w:r w:rsidRPr="006D7319">
        <w:t>trepartsrelasjon</w:t>
      </w:r>
      <w:proofErr w:type="spellEnd"/>
      <w:r w:rsidRPr="006D7319">
        <w:t xml:space="preserve"> mellom arbeidstaker, arbeidsgiver i foretaket som leier ut og virksomheten som leier inn.</w:t>
      </w:r>
      <w:r w:rsidR="006A50F4" w:rsidRPr="006A50F4">
        <w:rPr>
          <w:rStyle w:val="Fotnotereferanse"/>
        </w:rPr>
        <w:footnoteReference w:id="63"/>
      </w:r>
      <w:r w:rsidRPr="006D7319">
        <w:t xml:space="preserve"> Mellom utleier (arbeidsgiver) og arbeidstaker eksisterer det et ansettelsesforhold, mens det mellom utleier og innleier er et oppdrags- /kontraktsforhold. Selv om det er utleievirksomheten som er arbeidsgiver, er det i praksis innleievirksomheten som organiserer og styrer arbeidet som arbeidstakeren skal utføre. Når den utleide arbeider hos innleier, er vedkommende underordnet innleierens styring og kontroll. Dette skiller innleie fra direkte ansettelse (punkt 2.4.2), hvor arbeidstakeren er direkte ansatt </w:t>
      </w:r>
      <w:r w:rsidRPr="006D7319">
        <w:t xml:space="preserve">i virksomheten som skal ha arbeidet utført, og ikke hos en tredjepart. Innleier har også visse </w:t>
      </w:r>
      <w:r w:rsidRPr="006D7319">
        <w:lastRenderedPageBreak/>
        <w:t xml:space="preserve">plikter overfor de innleide, og den innleide visse rettigheter overfor innleier, se for eksempel arbeidsmiljøloven </w:t>
      </w:r>
      <w:r w:rsidR="006A50F4">
        <w:t>§ </w:t>
      </w:r>
      <w:r w:rsidR="006A50F4" w:rsidRPr="006D7319">
        <w:t>2</w:t>
      </w:r>
      <w:r w:rsidRPr="006D7319">
        <w:t>-2 og kapittel 2A om varsling.</w:t>
      </w:r>
    </w:p>
    <w:p w14:paraId="54BBA62E" w14:textId="77777777" w:rsidR="006A50F4" w:rsidRDefault="0016483D" w:rsidP="006D7319">
      <w:r w:rsidRPr="006D7319">
        <w:t xml:space="preserve">Som illustrasjon av </w:t>
      </w:r>
      <w:proofErr w:type="spellStart"/>
      <w:r w:rsidRPr="006D7319">
        <w:t>trepartsforholdet</w:t>
      </w:r>
      <w:proofErr w:type="spellEnd"/>
      <w:r w:rsidRPr="006D7319">
        <w:t xml:space="preserve"> kan det vises til punkt 1 i regjeringens veileder om </w:t>
      </w:r>
      <w:proofErr w:type="gramStart"/>
      <w:r w:rsidRPr="006D7319">
        <w:t>innleie</w:t>
      </w:r>
      <w:proofErr w:type="gramEnd"/>
      <w:r w:rsidRPr="006D7319">
        <w:t xml:space="preserve"> av arbeidskraft:</w:t>
      </w:r>
      <w:r w:rsidR="006A50F4" w:rsidRPr="006A50F4">
        <w:rPr>
          <w:rStyle w:val="Fotnotereferanse"/>
        </w:rPr>
        <w:footnoteReference w:id="64"/>
      </w:r>
    </w:p>
    <w:p w14:paraId="510D0E98" w14:textId="2A0D211A" w:rsidR="0016483D" w:rsidRPr="006D7319" w:rsidRDefault="006D7319" w:rsidP="006D7319">
      <w:r w:rsidRPr="006D7319">
        <w:drawing>
          <wp:inline distT="0" distB="0" distL="0" distR="0" wp14:anchorId="2F7E7993" wp14:editId="67FFE01B">
            <wp:extent cx="6248400" cy="31623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0" cy="3162300"/>
                    </a:xfrm>
                    <a:prstGeom prst="rect">
                      <a:avLst/>
                    </a:prstGeom>
                    <a:noFill/>
                    <a:ln>
                      <a:noFill/>
                    </a:ln>
                  </pic:spPr>
                </pic:pic>
              </a:graphicData>
            </a:graphic>
          </wp:inline>
        </w:drawing>
      </w:r>
    </w:p>
    <w:p w14:paraId="7CF5AC7D" w14:textId="77777777" w:rsidR="0016483D" w:rsidRPr="006D7319" w:rsidRDefault="0016483D" w:rsidP="00CC6C76">
      <w:pPr>
        <w:pStyle w:val="Note"/>
      </w:pPr>
      <w:r w:rsidRPr="006D7319">
        <w:t xml:space="preserve">Illustrasjon av </w:t>
      </w:r>
      <w:proofErr w:type="spellStart"/>
      <w:r w:rsidRPr="006D7319">
        <w:t>trepartsforholdet</w:t>
      </w:r>
      <w:proofErr w:type="spellEnd"/>
    </w:p>
    <w:p w14:paraId="77E73E5A" w14:textId="5C5639E8" w:rsidR="0016483D" w:rsidRPr="006D7319" w:rsidRDefault="0016483D" w:rsidP="006D7319">
      <w:r w:rsidRPr="006D7319">
        <w:t>Ansettelser i virksomheter som leier ut arbeidskraft (bemanningsforetaket eller produksjonsbedriften) må skje på samme vilkår som i øvrige virksomheter. Det vil si at arbeidstaker som hovedregel skal ansettes fast og på heltid, men at midlertidig ansettelse kan benyttes dersom vilkårene for dette er oppfylt.</w:t>
      </w:r>
      <w:r w:rsidR="006A50F4" w:rsidRPr="006A50F4">
        <w:rPr>
          <w:rStyle w:val="Fotnotereferanse"/>
        </w:rPr>
        <w:footnoteReference w:id="65"/>
      </w:r>
    </w:p>
    <w:p w14:paraId="7D500824" w14:textId="77777777" w:rsidR="0016483D" w:rsidRPr="006D7319" w:rsidRDefault="0016483D" w:rsidP="006D7319">
      <w:pPr>
        <w:pStyle w:val="Overskrift4"/>
      </w:pPr>
      <w:r w:rsidRPr="006D7319">
        <w:t>Vikarbyrådirektivet</w:t>
      </w:r>
    </w:p>
    <w:p w14:paraId="02553A41" w14:textId="47E29F77" w:rsidR="0016483D" w:rsidRPr="006D7319" w:rsidRDefault="0016483D" w:rsidP="006D7319">
      <w:r w:rsidRPr="006D7319">
        <w:t xml:space="preserve">Europaparlaments- og rådsdirektiv 2008/104/EF om vikararbeid (vikarbyrådirektivet) ble vedtatt i EU i 2008. Direktivet er tatt inn i EØS-avtalen og er gjennomført i norsk rett i arbeidsmiljøloven kapittel 14 og </w:t>
      </w:r>
      <w:r w:rsidR="006A50F4">
        <w:t>§ </w:t>
      </w:r>
      <w:r w:rsidR="006A50F4" w:rsidRPr="006D7319">
        <w:t>2</w:t>
      </w:r>
      <w:r w:rsidRPr="006D7319">
        <w:t>-2.</w:t>
      </w:r>
    </w:p>
    <w:p w14:paraId="1AA875C1" w14:textId="77777777" w:rsidR="0016483D" w:rsidRPr="006D7319" w:rsidRDefault="0016483D" w:rsidP="006D7319">
      <w:r w:rsidRPr="006D7319">
        <w:lastRenderedPageBreak/>
        <w:t xml:space="preserve">Artikkel 2 angir at direktivet har flere formål. Det tar sikte på å beskytte arbeidstakere som leies ut fra et vikarbyrå, og å forbedre kvaliteten på vikararbeid gjennom prinsippet om likebehandling av innleide arbeidstakere. Videre skal vikarbyråer anerkjennes som arbeidsgivere og det skal etableres passende rammer for </w:t>
      </w:r>
      <w:proofErr w:type="gramStart"/>
      <w:r w:rsidRPr="006D7319">
        <w:t>anvendelse</w:t>
      </w:r>
      <w:proofErr w:type="gramEnd"/>
      <w:r w:rsidRPr="006D7319">
        <w:t xml:space="preserve"> av arbeidsleie. Direktivet skal dessuten bidra til å skape arbeidsplasser og til å utvikle fleksible arbeidsformer.</w:t>
      </w:r>
    </w:p>
    <w:p w14:paraId="4BBA320D" w14:textId="77777777" w:rsidR="0016483D" w:rsidRPr="006D7319" w:rsidRDefault="0016483D" w:rsidP="006D7319">
      <w:r w:rsidRPr="006D7319">
        <w:t>Direktivet er et minimumsdirektiv, og er dermed ikke til hinder for bestemmelser i lovgivning eller i tariffavtaler som er gunstigere for arbeidstakerne, jf. artikkel 9 nr. 1.</w:t>
      </w:r>
    </w:p>
    <w:p w14:paraId="411EEB66" w14:textId="057A4BAF" w:rsidR="0016483D" w:rsidRPr="006D7319" w:rsidRDefault="0016483D" w:rsidP="006D7319">
      <w:r w:rsidRPr="006D7319">
        <w:t>Direktivet gjelder ved leie fra virksomhet som har til formål å drive utleie, altså inn- og utleie fra bemannings</w:t>
      </w:r>
      <w:r w:rsidRPr="006D7319">
        <w:t xml:space="preserve">foretak, jf. artikkel 1 nr. 1 som angir virkeområdet, samt artikkel 3 nr. 1 bokstav b om definisjonen av vikarbyrå. Definisjonen av vikarbyrå i direktivet, jf. artikkel 3 nr. 1 b, innebærer at direktivet bare får </w:t>
      </w:r>
      <w:proofErr w:type="gramStart"/>
      <w:r w:rsidRPr="006D7319">
        <w:t>anvendelse</w:t>
      </w:r>
      <w:proofErr w:type="gramEnd"/>
      <w:r w:rsidRPr="006D7319">
        <w:t xml:space="preserve"> overfor virksomhet som ansetter arbeidstakere i den hensikt å leie dem ut. Direktivet får ikke </w:t>
      </w:r>
      <w:proofErr w:type="gramStart"/>
      <w:r w:rsidRPr="006D7319">
        <w:t>anvendelse</w:t>
      </w:r>
      <w:proofErr w:type="gramEnd"/>
      <w:r w:rsidRPr="006D7319">
        <w:t xml:space="preserve"> overfor virksomhet som i utgangspunktet har et annet formål (egen produksjon), men som av og til leier ut </w:t>
      </w:r>
      <w:r w:rsidRPr="006D7319">
        <w:t xml:space="preserve">arbeidstakere. Innleie fra virksomhet som </w:t>
      </w:r>
      <w:r w:rsidRPr="006A50F4">
        <w:rPr>
          <w:rStyle w:val="kursiv"/>
        </w:rPr>
        <w:t>ikke</w:t>
      </w:r>
      <w:r w:rsidRPr="006D7319">
        <w:t xml:space="preserve"> har som formål å drive utleie,</w:t>
      </w:r>
      <w:r w:rsidR="006D7319" w:rsidRPr="006D7319">
        <w:t xml:space="preserve"> </w:t>
      </w:r>
      <w:r w:rsidRPr="006D7319">
        <w:t xml:space="preserve">som regulert i </w:t>
      </w:r>
      <w:r w:rsidR="006A50F4">
        <w:t>§ </w:t>
      </w:r>
      <w:r w:rsidR="006A50F4" w:rsidRPr="006D7319">
        <w:t>1</w:t>
      </w:r>
      <w:r w:rsidRPr="006D7319">
        <w:t xml:space="preserve">4-13, faller dermed utenfor </w:t>
      </w:r>
      <w:r w:rsidRPr="006D7319">
        <w:t>direktivets anvendelsesområde.</w:t>
      </w:r>
      <w:r w:rsidR="006A50F4" w:rsidRPr="006A50F4">
        <w:rPr>
          <w:rStyle w:val="Fotnotereferanse"/>
        </w:rPr>
        <w:footnoteReference w:id="66"/>
      </w:r>
    </w:p>
    <w:p w14:paraId="5A397741" w14:textId="06CC3BC6" w:rsidR="0016483D" w:rsidRPr="006D7319" w:rsidRDefault="0016483D" w:rsidP="006D7319">
      <w:r w:rsidRPr="006D7319">
        <w:t xml:space="preserve">Når det gjelder hvem som anses som </w:t>
      </w:r>
      <w:r w:rsidR="006A50F4">
        <w:t>«</w:t>
      </w:r>
      <w:r w:rsidRPr="006D7319">
        <w:t>arbeidstaker</w:t>
      </w:r>
      <w:r w:rsidR="006A50F4">
        <w:t>»</w:t>
      </w:r>
      <w:r w:rsidRPr="006D7319">
        <w:t xml:space="preserve"> etter direktivet, angir artikkel 3 nr. 1 bokstav a at dette i direktivets forstand er </w:t>
      </w:r>
      <w:r w:rsidR="006A50F4">
        <w:t>«</w:t>
      </w:r>
      <w:r w:rsidRPr="006D7319">
        <w:t>enhver person som i vedkommende medlemsstat er vernet som arbeidstaker etter nasjonal arbeidsrett</w:t>
      </w:r>
      <w:r w:rsidR="006A50F4">
        <w:t>»</w:t>
      </w:r>
      <w:r w:rsidRPr="006D7319">
        <w:t xml:space="preserve">. Direktivet overlater etter sin ordlyd til nasjonal rett å definere hvem som har vern som arbeidstaker. Rettsutviklingen synes imidlertid å gå i retning av et felleseuropeisk arbeidstakerbegrep, og hvor EU-domstolen blant annet i sak C-206/15 </w:t>
      </w:r>
      <w:proofErr w:type="spellStart"/>
      <w:r w:rsidRPr="006D7319">
        <w:t>Ruhrlandklinik</w:t>
      </w:r>
      <w:proofErr w:type="spellEnd"/>
      <w:r w:rsidRPr="006D7319">
        <w:t xml:space="preserve"> slo fast at henvisningen til nasjonal rett ikke kan tolkes som en frihet for statene til ensidig å definere begrepet, se nærmere om dette under punkt 5.2.2 nedenfor.</w:t>
      </w:r>
    </w:p>
    <w:p w14:paraId="69A0D23A" w14:textId="77777777" w:rsidR="0016483D" w:rsidRPr="006D7319" w:rsidRDefault="0016483D" w:rsidP="006D7319">
      <w:r w:rsidRPr="006D7319">
        <w:t>Sentralt ved direktivet er blant annet at det innfører et likebehandlingsprinsipp, hvor</w:t>
      </w:r>
      <w:r w:rsidRPr="006D7319">
        <w:t xml:space="preserve"> grunnleggende arbeids- og ansettelsesvilkår for den utleide minst skal tilsvare de vilkår som ville gjelde ved direkte ansettelse hos innleier i oppdragsperioden, jf. artikkel 5 nr. 1, se nærmere nedenfor i punkt 2.4.3.4. Videre begrenser direktivet medlemsstatenes adgang til å forby eller ha restriksjoner på bruk av vikararbeid, se artikkel 4.</w:t>
      </w:r>
    </w:p>
    <w:p w14:paraId="59ADDE33" w14:textId="200BA35F" w:rsidR="0016483D" w:rsidRPr="006D7319" w:rsidRDefault="0016483D" w:rsidP="006D7319">
      <w:r w:rsidRPr="006D7319">
        <w:t xml:space="preserve">Som nevnt over i punkt 2.4.3.1 er det lagt til grunn i forarbeidene til arbeidsmiljøloven at innleie av arbeidskraft innebærer en </w:t>
      </w:r>
      <w:proofErr w:type="spellStart"/>
      <w:r w:rsidRPr="006D7319">
        <w:t>trepartsrelasjon</w:t>
      </w:r>
      <w:proofErr w:type="spellEnd"/>
      <w:r w:rsidRPr="006D7319">
        <w:t xml:space="preserve"> mellom arbeidstaker, arbeidsgiver i foretaket som leier ut og virksomheten som leier inn. I vikarbyrådirektivets artikkel 3 er </w:t>
      </w:r>
      <w:proofErr w:type="spellStart"/>
      <w:r w:rsidRPr="006D7319">
        <w:t>trepartsrelasjonen</w:t>
      </w:r>
      <w:proofErr w:type="spellEnd"/>
      <w:r w:rsidRPr="006D7319">
        <w:t xml:space="preserve"> angitt gjennom </w:t>
      </w:r>
      <w:r w:rsidR="006A50F4">
        <w:t>«</w:t>
      </w:r>
      <w:r w:rsidRPr="006D7319">
        <w:t>vikarbyrå</w:t>
      </w:r>
      <w:r w:rsidR="006A50F4">
        <w:t>»</w:t>
      </w:r>
      <w:r w:rsidRPr="006D7319">
        <w:t xml:space="preserve">, </w:t>
      </w:r>
      <w:r w:rsidR="006A50F4">
        <w:t>«</w:t>
      </w:r>
      <w:r w:rsidRPr="006D7319">
        <w:t>vikar</w:t>
      </w:r>
      <w:r w:rsidR="006A50F4">
        <w:t>»</w:t>
      </w:r>
      <w:r w:rsidRPr="006D7319">
        <w:t xml:space="preserve"> og </w:t>
      </w:r>
      <w:r w:rsidR="006A50F4">
        <w:t>«</w:t>
      </w:r>
      <w:r w:rsidRPr="006D7319">
        <w:t>brukerforetak</w:t>
      </w:r>
      <w:r w:rsidR="006A50F4">
        <w:t>»</w:t>
      </w:r>
      <w:r w:rsidRPr="006D7319">
        <w:t xml:space="preserve"> som er definert som tre ulike aktører:</w:t>
      </w:r>
    </w:p>
    <w:p w14:paraId="7E323047" w14:textId="77777777" w:rsidR="0016483D" w:rsidRPr="006A50F4" w:rsidRDefault="0016483D" w:rsidP="006D7319">
      <w:pPr>
        <w:pStyle w:val="blokksit"/>
      </w:pPr>
      <w:r w:rsidRPr="006A50F4">
        <w:t>I dette direktiv menes med:</w:t>
      </w:r>
    </w:p>
    <w:p w14:paraId="66730741" w14:textId="77777777" w:rsidR="0016483D" w:rsidRPr="006A50F4" w:rsidRDefault="0016483D" w:rsidP="006D7319">
      <w:pPr>
        <w:pStyle w:val="blokksit"/>
      </w:pPr>
      <w:r w:rsidRPr="006A50F4">
        <w:t>[…]</w:t>
      </w:r>
    </w:p>
    <w:p w14:paraId="65EA455E" w14:textId="43413CC6" w:rsidR="0016483D" w:rsidRPr="006A50F4" w:rsidRDefault="0016483D" w:rsidP="006D7319">
      <w:pPr>
        <w:pStyle w:val="blokksit"/>
      </w:pPr>
      <w:r w:rsidRPr="006A50F4">
        <w:lastRenderedPageBreak/>
        <w:t xml:space="preserve">b. </w:t>
      </w:r>
      <w:r w:rsidR="006A50F4">
        <w:t>«</w:t>
      </w:r>
      <w:r w:rsidRPr="006A50F4">
        <w:t>vikarbyrå</w:t>
      </w:r>
      <w:r w:rsidR="006A50F4">
        <w:t>»</w:t>
      </w:r>
      <w:r w:rsidRPr="006A50F4">
        <w:t xml:space="preserve"> enhver fysisk eller juridisk person som i samsvar med nasjonal lovgivning inngår arbeidsavtaler eller arbeidsforhold med arbeidstakere med sikte på å leie dem ut til brukerforetak for midlertidig arbeid under deres tilsyn og ledelse,</w:t>
      </w:r>
    </w:p>
    <w:p w14:paraId="6774118B" w14:textId="11341A63" w:rsidR="0016483D" w:rsidRPr="006A50F4" w:rsidRDefault="0016483D" w:rsidP="006D7319">
      <w:pPr>
        <w:pStyle w:val="blokksit"/>
      </w:pPr>
      <w:r w:rsidRPr="006A50F4">
        <w:t xml:space="preserve">c. </w:t>
      </w:r>
      <w:r w:rsidR="006A50F4">
        <w:t>«</w:t>
      </w:r>
      <w:r w:rsidRPr="006A50F4">
        <w:t>vikar</w:t>
      </w:r>
      <w:r w:rsidR="006A50F4">
        <w:t>»</w:t>
      </w:r>
      <w:r w:rsidRPr="006A50F4">
        <w:t xml:space="preserve"> en arbeidstaker som har en arbeidsavtale eller et arbeidsforhold med et vikarbyrå med sikte på å bli leid ut til et brukerforetak for å arbeide midlertidig under dets tilsyn og ledelse,</w:t>
      </w:r>
    </w:p>
    <w:p w14:paraId="6AD1FF00" w14:textId="081660BD" w:rsidR="0016483D" w:rsidRPr="006A50F4" w:rsidRDefault="0016483D" w:rsidP="006D7319">
      <w:pPr>
        <w:pStyle w:val="blokksit"/>
      </w:pPr>
      <w:r w:rsidRPr="006A50F4">
        <w:t xml:space="preserve">d. </w:t>
      </w:r>
      <w:r w:rsidR="006A50F4">
        <w:t>«</w:t>
      </w:r>
      <w:r w:rsidRPr="006A50F4">
        <w:t>brukerforetak</w:t>
      </w:r>
      <w:r w:rsidR="006A50F4">
        <w:t>»</w:t>
      </w:r>
      <w:r w:rsidRPr="006A50F4">
        <w:t xml:space="preserve"> enhver fysisk eller juridisk person som en vikar arbeider midlertidig for og under tilsyn og ledelse av.</w:t>
      </w:r>
    </w:p>
    <w:p w14:paraId="1530865C" w14:textId="637DE550" w:rsidR="0016483D" w:rsidRPr="006D7319" w:rsidRDefault="0016483D" w:rsidP="006D7319">
      <w:r w:rsidRPr="006D7319">
        <w:t>I forarbeidene til innføringen av likebehandlings</w:t>
      </w:r>
      <w:r w:rsidRPr="006D7319">
        <w:t xml:space="preserve">prinsippet i arbeidsmiljøloven, la </w:t>
      </w:r>
      <w:r w:rsidRPr="006D7319">
        <w:t xml:space="preserve">departementet også til grunn at direktivets </w:t>
      </w:r>
      <w:proofErr w:type="gramStart"/>
      <w:r w:rsidRPr="006D7319">
        <w:t>anvendelse</w:t>
      </w:r>
      <w:proofErr w:type="gramEnd"/>
      <w:r w:rsidRPr="006D7319">
        <w:t xml:space="preserve"> </w:t>
      </w:r>
      <w:r w:rsidRPr="006D7319">
        <w:t xml:space="preserve">forutsetter et </w:t>
      </w:r>
      <w:proofErr w:type="spellStart"/>
      <w:r w:rsidRPr="006D7319">
        <w:t>trepartsforhold</w:t>
      </w:r>
      <w:proofErr w:type="spellEnd"/>
      <w:r w:rsidRPr="006D7319">
        <w:t xml:space="preserve"> mellom arbeidstaker, </w:t>
      </w:r>
      <w:r w:rsidRPr="006D7319">
        <w:t xml:space="preserve">bemannings foretaket og innleievirksomheten, og hvor det er </w:t>
      </w:r>
      <w:r w:rsidRPr="006D7319">
        <w:t>inngått en arbeidsavtale mellom arbeidstaker og bemannings</w:t>
      </w:r>
      <w:r w:rsidRPr="006D7319">
        <w:t>foretaket:</w:t>
      </w:r>
    </w:p>
    <w:p w14:paraId="019F2582" w14:textId="0EB0B2C4" w:rsidR="0016483D" w:rsidRPr="006A50F4" w:rsidRDefault="0016483D" w:rsidP="006D7319">
      <w:pPr>
        <w:pStyle w:val="blokksit"/>
      </w:pPr>
      <w:r w:rsidRPr="006A50F4">
        <w:t xml:space="preserve">Direktivet får </w:t>
      </w:r>
      <w:proofErr w:type="gramStart"/>
      <w:r w:rsidRPr="006A50F4">
        <w:t>anvendelse</w:t>
      </w:r>
      <w:proofErr w:type="gramEnd"/>
      <w:r w:rsidRPr="006A50F4">
        <w:t xml:space="preserve"> for arbeidstakere som har inngått en arbeidsavtale eller et ansettelsesforhold med et vikarbyrå og som leies ut til en virksomhet (innleier) for midlertidig å utføre arbeid under dennes ledelse og kontroll. </w:t>
      </w:r>
      <w:proofErr w:type="spellStart"/>
      <w:r w:rsidRPr="006A50F4">
        <w:t>Trepartskonstellasjonen</w:t>
      </w:r>
      <w:proofErr w:type="spellEnd"/>
      <w:r w:rsidRPr="006A50F4">
        <w:t xml:space="preserve"> mellom en arbeidstaker, et vikarbyrå og en innleievirksomhet, er med andre ord en forutsetning for at direktivet skal komme til anvendelse.</w:t>
      </w:r>
      <w:r w:rsidR="006A50F4" w:rsidRPr="006A50F4">
        <w:rPr>
          <w:rStyle w:val="Fotnotereferanse"/>
        </w:rPr>
        <w:footnoteReference w:id="67"/>
      </w:r>
    </w:p>
    <w:p w14:paraId="516E948A" w14:textId="72A0461D" w:rsidR="0016483D" w:rsidRPr="006D7319" w:rsidRDefault="0016483D" w:rsidP="006D7319">
      <w:r w:rsidRPr="006D7319">
        <w:t xml:space="preserve">I en nyere dom fra EU-domstolen, C-441/23 </w:t>
      </w:r>
      <w:proofErr w:type="spellStart"/>
      <w:r w:rsidRPr="006D7319">
        <w:t>Omnitel</w:t>
      </w:r>
      <w:proofErr w:type="spellEnd"/>
      <w:r w:rsidRPr="006D7319">
        <w:t xml:space="preserve"> </w:t>
      </w:r>
      <w:proofErr w:type="spellStart"/>
      <w:r w:rsidRPr="006D7319">
        <w:t>Comunicaciones</w:t>
      </w:r>
      <w:proofErr w:type="spellEnd"/>
      <w:r w:rsidRPr="006D7319">
        <w:t xml:space="preserve"> </w:t>
      </w:r>
      <w:proofErr w:type="spellStart"/>
      <w:r w:rsidRPr="006D7319">
        <w:t>mﬂ</w:t>
      </w:r>
      <w:proofErr w:type="spellEnd"/>
      <w:r w:rsidRPr="006D7319">
        <w:t xml:space="preserve">., tar domstolen stilling til vikarbyrådirektivets anvendelsesområde, herunder forståelsen av begrepet </w:t>
      </w:r>
      <w:r w:rsidR="006A50F4">
        <w:t>«</w:t>
      </w:r>
      <w:r w:rsidRPr="006D7319">
        <w:t>vikarbyrå</w:t>
      </w:r>
      <w:r w:rsidR="006A50F4">
        <w:t>»</w:t>
      </w:r>
      <w:r w:rsidRPr="006D7319">
        <w:t xml:space="preserve"> i direktivet.</w:t>
      </w:r>
    </w:p>
    <w:p w14:paraId="1A454156" w14:textId="77777777" w:rsidR="0016483D" w:rsidRPr="006D7319" w:rsidRDefault="0016483D" w:rsidP="006D7319">
      <w:r w:rsidRPr="006D7319">
        <w:t>Saken gjaldt en arbeidstaker i Spania som først hadde utført praksisarbeid hos Microsoft, og deretter utført arbeid for selskapet mens vedkommende var ansatt i tre andre foretak. Utover høsten 2020 informerte Microsoft kvinnens arbeidsgiverforetak om at tjenesteavtalen mellom dem, hvoretter kvinnen utførte arbeidet for Microsoft, skulle opphøre. Arbeidstakeren ble deretter sagt opp av arbeidsgiverforetaket, med henvisning til fallende etterspørsel etter selskapets tjenester. Arbeidstakeren to</w:t>
      </w:r>
      <w:r w:rsidRPr="006D7319">
        <w:t xml:space="preserve">k ut søksmål for nasjonale domstoler, med påstand om at oppsigelsen av henne var ugyldig, og at Microsoft måtte stå solidarisk ansvarlig med arbeidsgiverforetaket. Den nasjonale domstolen måtte ta stilling til om vikarbyrådirektivet fikk </w:t>
      </w:r>
      <w:proofErr w:type="gramStart"/>
      <w:r w:rsidRPr="006D7319">
        <w:t>anvendelse</w:t>
      </w:r>
      <w:proofErr w:type="gramEnd"/>
      <w:r w:rsidRPr="006D7319">
        <w:t xml:space="preserve"> i saken.</w:t>
      </w:r>
    </w:p>
    <w:p w14:paraId="6DE83EF4" w14:textId="77777777" w:rsidR="0016483D" w:rsidRPr="006D7319" w:rsidRDefault="0016483D" w:rsidP="006D7319">
      <w:r w:rsidRPr="006D7319">
        <w:t xml:space="preserve">Interessant i denne sammenheng er at dommen også inneholder uttalelser som underbygger at innleiemodellen som direktivet bygger på, forutsetter et </w:t>
      </w:r>
      <w:proofErr w:type="spellStart"/>
      <w:r w:rsidRPr="006D7319">
        <w:t>trepartsforhold</w:t>
      </w:r>
      <w:proofErr w:type="spellEnd"/>
      <w:r w:rsidRPr="006D7319">
        <w:t xml:space="preserve"> mellom arbeidstaker, bemanningsforetaket og innleier. I dommens avsnitt 56 til 58 skriver domstolen i den forbindelse at (arbeidsgruppens utheving):</w:t>
      </w:r>
    </w:p>
    <w:p w14:paraId="01C4181F" w14:textId="29BCF260" w:rsidR="0016483D" w:rsidRPr="006A50F4" w:rsidRDefault="0016483D" w:rsidP="006D7319">
      <w:pPr>
        <w:pStyle w:val="blokksit"/>
      </w:pPr>
      <w:r w:rsidRPr="006A50F4">
        <w:t xml:space="preserve">Imidlertid </w:t>
      </w:r>
      <w:proofErr w:type="spellStart"/>
      <w:r w:rsidRPr="006A50F4">
        <w:t>udgør</w:t>
      </w:r>
      <w:proofErr w:type="spellEnd"/>
      <w:r w:rsidRPr="006A50F4">
        <w:t xml:space="preserve"> </w:t>
      </w:r>
      <w:proofErr w:type="spellStart"/>
      <w:r w:rsidRPr="006A50F4">
        <w:t>tilrådighedsstillelsen</w:t>
      </w:r>
      <w:proofErr w:type="spellEnd"/>
      <w:r w:rsidRPr="006A50F4">
        <w:t xml:space="preserve"> </w:t>
      </w:r>
      <w:proofErr w:type="spellStart"/>
      <w:r w:rsidRPr="006A50F4">
        <w:t>af</w:t>
      </w:r>
      <w:proofErr w:type="spellEnd"/>
      <w:r w:rsidRPr="006A50F4">
        <w:t xml:space="preserve"> vikar</w:t>
      </w:r>
      <w:r w:rsidRPr="006A50F4">
        <w:t xml:space="preserve">ansatte en </w:t>
      </w:r>
      <w:proofErr w:type="spellStart"/>
      <w:r w:rsidRPr="006A50F4">
        <w:t>specifik</w:t>
      </w:r>
      <w:proofErr w:type="spellEnd"/>
      <w:r w:rsidRPr="006A50F4">
        <w:t xml:space="preserve"> og </w:t>
      </w:r>
      <w:proofErr w:type="spellStart"/>
      <w:r w:rsidRPr="006A50F4">
        <w:t>kompliceret</w:t>
      </w:r>
      <w:proofErr w:type="spellEnd"/>
      <w:r w:rsidRPr="006A50F4">
        <w:t xml:space="preserve"> </w:t>
      </w:r>
      <w:proofErr w:type="spellStart"/>
      <w:r w:rsidRPr="006A50F4">
        <w:t>dimension</w:t>
      </w:r>
      <w:proofErr w:type="spellEnd"/>
      <w:r w:rsidRPr="006A50F4">
        <w:t xml:space="preserve"> </w:t>
      </w:r>
      <w:proofErr w:type="spellStart"/>
      <w:r w:rsidRPr="006A50F4">
        <w:t>af</w:t>
      </w:r>
      <w:proofErr w:type="spellEnd"/>
      <w:r w:rsidRPr="006A50F4">
        <w:t xml:space="preserve"> </w:t>
      </w:r>
      <w:proofErr w:type="spellStart"/>
      <w:r w:rsidRPr="006A50F4">
        <w:t>arbejdsretten</w:t>
      </w:r>
      <w:proofErr w:type="spellEnd"/>
      <w:r w:rsidRPr="006A50F4">
        <w:t xml:space="preserve">, </w:t>
      </w:r>
      <w:r w:rsidRPr="006A50F4">
        <w:t xml:space="preserve">der </w:t>
      </w:r>
      <w:proofErr w:type="spellStart"/>
      <w:r w:rsidRPr="006A50F4">
        <w:t>indebærer</w:t>
      </w:r>
      <w:proofErr w:type="spellEnd"/>
      <w:r w:rsidRPr="006A50F4">
        <w:t xml:space="preserve"> et dobbelt </w:t>
      </w:r>
      <w:proofErr w:type="spellStart"/>
      <w:r w:rsidRPr="006A50F4">
        <w:t>ansættelsesforhold</w:t>
      </w:r>
      <w:proofErr w:type="spellEnd"/>
      <w:r w:rsidRPr="006A50F4">
        <w:t xml:space="preserve"> </w:t>
      </w:r>
      <w:proofErr w:type="spellStart"/>
      <w:r w:rsidRPr="006A50F4">
        <w:t>mellem</w:t>
      </w:r>
      <w:proofErr w:type="spellEnd"/>
      <w:r w:rsidRPr="006A50F4">
        <w:t xml:space="preserve"> dels </w:t>
      </w:r>
      <w:proofErr w:type="spellStart"/>
      <w:r w:rsidRPr="006A50F4">
        <w:t>vikarbureauet</w:t>
      </w:r>
      <w:proofErr w:type="spellEnd"/>
      <w:r w:rsidRPr="006A50F4">
        <w:t xml:space="preserve"> og den vikaransatte, dels </w:t>
      </w:r>
      <w:proofErr w:type="spellStart"/>
      <w:r w:rsidRPr="006A50F4">
        <w:t>mellem</w:t>
      </w:r>
      <w:proofErr w:type="spellEnd"/>
      <w:r w:rsidRPr="006A50F4">
        <w:t xml:space="preserve"> den vikaransatte og </w:t>
      </w:r>
      <w:proofErr w:type="spellStart"/>
      <w:r w:rsidRPr="006A50F4">
        <w:t>brugervirksomheden</w:t>
      </w:r>
      <w:proofErr w:type="spellEnd"/>
      <w:r w:rsidRPr="006A50F4">
        <w:t xml:space="preserve"> samt et forhold angående </w:t>
      </w:r>
      <w:proofErr w:type="spellStart"/>
      <w:r w:rsidRPr="006A50F4">
        <w:t>tilrådigheds</w:t>
      </w:r>
      <w:r w:rsidRPr="006A50F4">
        <w:t>stillelsen</w:t>
      </w:r>
      <w:proofErr w:type="spellEnd"/>
      <w:r w:rsidRPr="006A50F4">
        <w:t xml:space="preserve"> </w:t>
      </w:r>
      <w:proofErr w:type="spellStart"/>
      <w:r w:rsidRPr="006A50F4">
        <w:t>mellem</w:t>
      </w:r>
      <w:proofErr w:type="spellEnd"/>
      <w:r w:rsidRPr="006A50F4">
        <w:t xml:space="preserve"> </w:t>
      </w:r>
      <w:proofErr w:type="spellStart"/>
      <w:r w:rsidRPr="006A50F4">
        <w:t>vikarbureauet</w:t>
      </w:r>
      <w:proofErr w:type="spellEnd"/>
      <w:r w:rsidRPr="006A50F4">
        <w:t xml:space="preserve"> og </w:t>
      </w:r>
      <w:proofErr w:type="spellStart"/>
      <w:r w:rsidRPr="006A50F4">
        <w:t>bruger</w:t>
      </w:r>
      <w:r w:rsidRPr="006A50F4">
        <w:t>virksomheden</w:t>
      </w:r>
      <w:proofErr w:type="spellEnd"/>
      <w:r w:rsidRPr="006A50F4">
        <w:t xml:space="preserve"> (dom </w:t>
      </w:r>
      <w:proofErr w:type="spellStart"/>
      <w:r w:rsidRPr="006A50F4">
        <w:t>af</w:t>
      </w:r>
      <w:proofErr w:type="spellEnd"/>
      <w:r w:rsidRPr="006A50F4">
        <w:t xml:space="preserve"> 11.4.2013, </w:t>
      </w:r>
      <w:proofErr w:type="spellStart"/>
      <w:r w:rsidRPr="006A50F4">
        <w:t>Della</w:t>
      </w:r>
      <w:proofErr w:type="spellEnd"/>
      <w:r w:rsidRPr="006A50F4">
        <w:t xml:space="preserve"> </w:t>
      </w:r>
      <w:proofErr w:type="spellStart"/>
      <w:r w:rsidRPr="006A50F4">
        <w:t>Rocca</w:t>
      </w:r>
      <w:proofErr w:type="spellEnd"/>
      <w:r w:rsidRPr="006A50F4">
        <w:t xml:space="preserve">, C-290/12, EU:C:2013:235, </w:t>
      </w:r>
      <w:proofErr w:type="spellStart"/>
      <w:r w:rsidRPr="006A50F4">
        <w:t>præmis</w:t>
      </w:r>
      <w:proofErr w:type="spellEnd"/>
      <w:r w:rsidRPr="006A50F4">
        <w:t xml:space="preserve"> 40).</w:t>
      </w:r>
    </w:p>
    <w:p w14:paraId="5ADE0BF1" w14:textId="4CA93DD0" w:rsidR="0016483D" w:rsidRPr="006A50F4" w:rsidRDefault="0016483D" w:rsidP="006D7319">
      <w:pPr>
        <w:pStyle w:val="blokksit"/>
      </w:pPr>
      <w:r w:rsidRPr="006A50F4">
        <w:lastRenderedPageBreak/>
        <w:t xml:space="preserve">Det særlige ved dette </w:t>
      </w:r>
      <w:proofErr w:type="spellStart"/>
      <w:r w:rsidRPr="006A50F4">
        <w:t>ansættelsesforhold</w:t>
      </w:r>
      <w:proofErr w:type="spellEnd"/>
      <w:r w:rsidRPr="006A50F4">
        <w:t xml:space="preserve"> består i den </w:t>
      </w:r>
      <w:proofErr w:type="spellStart"/>
      <w:r w:rsidRPr="006A50F4">
        <w:t>omstændighed</w:t>
      </w:r>
      <w:proofErr w:type="spellEnd"/>
      <w:r w:rsidRPr="006A50F4">
        <w:t xml:space="preserve">, at </w:t>
      </w:r>
      <w:proofErr w:type="spellStart"/>
      <w:r w:rsidRPr="006A50F4">
        <w:t>vikarbureauet</w:t>
      </w:r>
      <w:proofErr w:type="spellEnd"/>
      <w:r w:rsidRPr="006A50F4">
        <w:t xml:space="preserve"> i forbindelse med </w:t>
      </w:r>
      <w:proofErr w:type="spellStart"/>
      <w:r w:rsidRPr="006A50F4">
        <w:t>udsendelsen</w:t>
      </w:r>
      <w:proofErr w:type="spellEnd"/>
      <w:r w:rsidRPr="006A50F4">
        <w:t xml:space="preserve"> </w:t>
      </w:r>
      <w:proofErr w:type="spellStart"/>
      <w:r w:rsidRPr="006A50F4">
        <w:t>af</w:t>
      </w:r>
      <w:proofErr w:type="spellEnd"/>
      <w:r w:rsidRPr="006A50F4">
        <w:t xml:space="preserve"> den vikaransatte </w:t>
      </w:r>
      <w:proofErr w:type="spellStart"/>
      <w:r w:rsidRPr="006A50F4">
        <w:t>opretholder</w:t>
      </w:r>
      <w:proofErr w:type="spellEnd"/>
      <w:r w:rsidRPr="006A50F4">
        <w:t xml:space="preserve"> et </w:t>
      </w:r>
      <w:proofErr w:type="spellStart"/>
      <w:r w:rsidRPr="006A50F4">
        <w:t>ansættelsesforhold</w:t>
      </w:r>
      <w:proofErr w:type="spellEnd"/>
      <w:r w:rsidRPr="006A50F4">
        <w:t xml:space="preserve"> med denne ansatte, men overfører det tilsyn og den ledelse, som i </w:t>
      </w:r>
      <w:proofErr w:type="spellStart"/>
      <w:r w:rsidRPr="006A50F4">
        <w:t>princippet</w:t>
      </w:r>
      <w:proofErr w:type="spellEnd"/>
      <w:r w:rsidRPr="006A50F4">
        <w:t xml:space="preserve"> </w:t>
      </w:r>
      <w:proofErr w:type="spellStart"/>
      <w:r w:rsidRPr="006A50F4">
        <w:t>varetages</w:t>
      </w:r>
      <w:proofErr w:type="spellEnd"/>
      <w:r w:rsidRPr="006A50F4">
        <w:t xml:space="preserve"> </w:t>
      </w:r>
      <w:proofErr w:type="spellStart"/>
      <w:r w:rsidRPr="006A50F4">
        <w:t>af</w:t>
      </w:r>
      <w:proofErr w:type="spellEnd"/>
      <w:r w:rsidRPr="006A50F4">
        <w:t xml:space="preserve"> enhver </w:t>
      </w:r>
      <w:proofErr w:type="spellStart"/>
      <w:r w:rsidRPr="006A50F4">
        <w:t>arbejdsgiver</w:t>
      </w:r>
      <w:proofErr w:type="spellEnd"/>
      <w:r w:rsidRPr="006A50F4">
        <w:t xml:space="preserve">, til </w:t>
      </w:r>
      <w:proofErr w:type="spellStart"/>
      <w:r w:rsidRPr="006A50F4">
        <w:t>bruger</w:t>
      </w:r>
      <w:r w:rsidRPr="006A50F4">
        <w:t>virksomheden</w:t>
      </w:r>
      <w:proofErr w:type="spellEnd"/>
      <w:r w:rsidRPr="006A50F4">
        <w:t xml:space="preserve">, hvorved </w:t>
      </w:r>
      <w:r w:rsidRPr="006A50F4">
        <w:t xml:space="preserve">der </w:t>
      </w:r>
      <w:proofErr w:type="spellStart"/>
      <w:r w:rsidRPr="006A50F4">
        <w:t>skabes</w:t>
      </w:r>
      <w:proofErr w:type="spellEnd"/>
      <w:r w:rsidRPr="006A50F4">
        <w:t xml:space="preserve"> et nyt </w:t>
      </w:r>
      <w:proofErr w:type="spellStart"/>
      <w:r w:rsidRPr="006A50F4">
        <w:t>underordnelsesforhold</w:t>
      </w:r>
      <w:proofErr w:type="spellEnd"/>
      <w:r w:rsidRPr="006A50F4">
        <w:t xml:space="preserve"> </w:t>
      </w:r>
      <w:proofErr w:type="spellStart"/>
      <w:r w:rsidRPr="006A50F4">
        <w:t>mellem</w:t>
      </w:r>
      <w:proofErr w:type="spellEnd"/>
      <w:r w:rsidRPr="006A50F4">
        <w:t xml:space="preserve"> den vikar</w:t>
      </w:r>
      <w:r w:rsidRPr="006A50F4">
        <w:t xml:space="preserve">ansatte og </w:t>
      </w:r>
      <w:proofErr w:type="spellStart"/>
      <w:r w:rsidRPr="006A50F4">
        <w:t>brugervirksomheden</w:t>
      </w:r>
      <w:proofErr w:type="spellEnd"/>
      <w:r w:rsidRPr="006A50F4">
        <w:t xml:space="preserve">, idet den </w:t>
      </w:r>
      <w:proofErr w:type="spellStart"/>
      <w:r w:rsidRPr="006A50F4">
        <w:t>nævnte</w:t>
      </w:r>
      <w:proofErr w:type="spellEnd"/>
      <w:r w:rsidRPr="006A50F4">
        <w:t xml:space="preserve"> ansatte leverer en </w:t>
      </w:r>
      <w:proofErr w:type="spellStart"/>
      <w:r w:rsidRPr="006A50F4">
        <w:t>ydelse</w:t>
      </w:r>
      <w:proofErr w:type="spellEnd"/>
      <w:r w:rsidRPr="006A50F4">
        <w:t xml:space="preserve">, der ifølge kontrakten skal </w:t>
      </w:r>
      <w:proofErr w:type="spellStart"/>
      <w:r w:rsidRPr="006A50F4">
        <w:t>udføres</w:t>
      </w:r>
      <w:proofErr w:type="spellEnd"/>
      <w:r w:rsidRPr="006A50F4">
        <w:t xml:space="preserve"> </w:t>
      </w:r>
      <w:proofErr w:type="spellStart"/>
      <w:r w:rsidRPr="006A50F4">
        <w:t>af</w:t>
      </w:r>
      <w:proofErr w:type="spellEnd"/>
      <w:r w:rsidRPr="006A50F4">
        <w:t xml:space="preserve"> </w:t>
      </w:r>
      <w:proofErr w:type="spellStart"/>
      <w:r w:rsidRPr="006A50F4">
        <w:t>vikarbureauet</w:t>
      </w:r>
      <w:proofErr w:type="spellEnd"/>
      <w:r w:rsidRPr="006A50F4">
        <w:t xml:space="preserve"> for den </w:t>
      </w:r>
      <w:proofErr w:type="spellStart"/>
      <w:r w:rsidRPr="006A50F4">
        <w:t>sidstnævnte</w:t>
      </w:r>
      <w:proofErr w:type="spellEnd"/>
      <w:r w:rsidRPr="006A50F4">
        <w:t xml:space="preserve"> </w:t>
      </w:r>
      <w:proofErr w:type="spellStart"/>
      <w:r w:rsidRPr="006A50F4">
        <w:t>virksomhed</w:t>
      </w:r>
      <w:proofErr w:type="spellEnd"/>
      <w:r w:rsidRPr="006A50F4">
        <w:t xml:space="preserve">, og som med </w:t>
      </w:r>
      <w:proofErr w:type="spellStart"/>
      <w:r w:rsidRPr="006A50F4">
        <w:t>henblik</w:t>
      </w:r>
      <w:proofErr w:type="spellEnd"/>
      <w:r w:rsidRPr="006A50F4">
        <w:t xml:space="preserve"> herpå </w:t>
      </w:r>
      <w:proofErr w:type="spellStart"/>
      <w:r w:rsidRPr="006A50F4">
        <w:t>befinder</w:t>
      </w:r>
      <w:proofErr w:type="spellEnd"/>
      <w:r w:rsidRPr="006A50F4">
        <w:t xml:space="preserve"> sig under </w:t>
      </w:r>
      <w:proofErr w:type="spellStart"/>
      <w:r w:rsidRPr="006A50F4">
        <w:t>brugervirksomhedens</w:t>
      </w:r>
      <w:proofErr w:type="spellEnd"/>
      <w:r w:rsidRPr="006A50F4">
        <w:t xml:space="preserve"> ledelse og tilsyn.</w:t>
      </w:r>
    </w:p>
    <w:p w14:paraId="137CFC9D" w14:textId="77777777" w:rsidR="0016483D" w:rsidRPr="006A50F4" w:rsidRDefault="0016483D" w:rsidP="006D7319">
      <w:pPr>
        <w:pStyle w:val="blokksit"/>
      </w:pPr>
      <w:r w:rsidRPr="006A50F4">
        <w:t xml:space="preserve">Det følger </w:t>
      </w:r>
      <w:proofErr w:type="spellStart"/>
      <w:r w:rsidRPr="006A50F4">
        <w:t>heraf</w:t>
      </w:r>
      <w:proofErr w:type="spellEnd"/>
      <w:r w:rsidRPr="006A50F4">
        <w:t xml:space="preserve">, at </w:t>
      </w:r>
      <w:proofErr w:type="spellStart"/>
      <w:r w:rsidRPr="006A50F4">
        <w:t>spørgsmålet</w:t>
      </w:r>
      <w:proofErr w:type="spellEnd"/>
      <w:r w:rsidRPr="006A50F4">
        <w:t xml:space="preserve"> om, hvorvidt der foreligger et sådant </w:t>
      </w:r>
      <w:proofErr w:type="spellStart"/>
      <w:r w:rsidRPr="006A50F4">
        <w:t>underordnelsesforhold</w:t>
      </w:r>
      <w:proofErr w:type="spellEnd"/>
      <w:r w:rsidRPr="006A50F4">
        <w:t xml:space="preserve">, og om, i hvilket omfang den vikaransatte i forbindelse med varetagelsen </w:t>
      </w:r>
      <w:proofErr w:type="spellStart"/>
      <w:r w:rsidRPr="006A50F4">
        <w:t>af</w:t>
      </w:r>
      <w:proofErr w:type="spellEnd"/>
      <w:r w:rsidRPr="006A50F4">
        <w:t xml:space="preserve"> sine </w:t>
      </w:r>
      <w:proofErr w:type="spellStart"/>
      <w:r w:rsidRPr="006A50F4">
        <w:t>arbejdsopgaver</w:t>
      </w:r>
      <w:proofErr w:type="spellEnd"/>
      <w:r w:rsidRPr="006A50F4">
        <w:t xml:space="preserve"> er underordnet </w:t>
      </w:r>
      <w:proofErr w:type="spellStart"/>
      <w:r w:rsidRPr="006A50F4">
        <w:t>brugervirksomheden</w:t>
      </w:r>
      <w:proofErr w:type="spellEnd"/>
      <w:r w:rsidRPr="006A50F4">
        <w:t xml:space="preserve">, skal vurderes i hvert enkelt </w:t>
      </w:r>
      <w:proofErr w:type="spellStart"/>
      <w:r w:rsidRPr="006A50F4">
        <w:t>tilfælde</w:t>
      </w:r>
      <w:proofErr w:type="spellEnd"/>
      <w:r w:rsidRPr="006A50F4">
        <w:t xml:space="preserve"> under hensyntagen til alle de </w:t>
      </w:r>
      <w:proofErr w:type="spellStart"/>
      <w:r w:rsidRPr="006A50F4">
        <w:t>omstændigheder</w:t>
      </w:r>
      <w:proofErr w:type="spellEnd"/>
      <w:r w:rsidRPr="006A50F4">
        <w:t xml:space="preserve">, der </w:t>
      </w:r>
      <w:proofErr w:type="spellStart"/>
      <w:r w:rsidRPr="006A50F4">
        <w:t>kendetegner</w:t>
      </w:r>
      <w:proofErr w:type="spellEnd"/>
      <w:r w:rsidRPr="006A50F4">
        <w:t xml:space="preserve"> forholdet </w:t>
      </w:r>
      <w:proofErr w:type="spellStart"/>
      <w:r w:rsidRPr="006A50F4">
        <w:t>mellem</w:t>
      </w:r>
      <w:proofErr w:type="spellEnd"/>
      <w:r w:rsidRPr="006A50F4">
        <w:t xml:space="preserve"> </w:t>
      </w:r>
      <w:proofErr w:type="spellStart"/>
      <w:r w:rsidRPr="006A50F4">
        <w:t>parterne</w:t>
      </w:r>
      <w:proofErr w:type="spellEnd"/>
      <w:r w:rsidRPr="006A50F4">
        <w:t xml:space="preserve">, idet det tilkommer den </w:t>
      </w:r>
      <w:proofErr w:type="spellStart"/>
      <w:r w:rsidRPr="006A50F4">
        <w:t>forelæggende</w:t>
      </w:r>
      <w:proofErr w:type="spellEnd"/>
      <w:r w:rsidRPr="006A50F4">
        <w:t xml:space="preserve"> </w:t>
      </w:r>
      <w:proofErr w:type="spellStart"/>
      <w:r w:rsidRPr="006A50F4">
        <w:t>ret</w:t>
      </w:r>
      <w:proofErr w:type="spellEnd"/>
      <w:r w:rsidRPr="006A50F4">
        <w:t xml:space="preserve"> at </w:t>
      </w:r>
      <w:proofErr w:type="spellStart"/>
      <w:r w:rsidRPr="006A50F4">
        <w:t>foretage</w:t>
      </w:r>
      <w:proofErr w:type="spellEnd"/>
      <w:r w:rsidRPr="006A50F4">
        <w:t xml:space="preserve"> denne vurdering (jf. i denne retning dom </w:t>
      </w:r>
      <w:proofErr w:type="spellStart"/>
      <w:r w:rsidRPr="006A50F4">
        <w:t>af</w:t>
      </w:r>
      <w:proofErr w:type="spellEnd"/>
      <w:r w:rsidRPr="006A50F4">
        <w:t xml:space="preserve"> 20.11.2018, </w:t>
      </w:r>
      <w:proofErr w:type="spellStart"/>
      <w:r w:rsidRPr="006A50F4">
        <w:t>Sindicatul</w:t>
      </w:r>
      <w:proofErr w:type="spellEnd"/>
      <w:r w:rsidRPr="006A50F4">
        <w:t xml:space="preserve"> </w:t>
      </w:r>
      <w:proofErr w:type="spellStart"/>
      <w:r w:rsidRPr="006A50F4">
        <w:t>Familia</w:t>
      </w:r>
      <w:proofErr w:type="spellEnd"/>
      <w:r w:rsidRPr="006A50F4">
        <w:t xml:space="preserve"> Constanţa m.fl., C-147/17, EU:C:2018:926, </w:t>
      </w:r>
      <w:proofErr w:type="spellStart"/>
      <w:r w:rsidRPr="006A50F4">
        <w:t>præ</w:t>
      </w:r>
      <w:r w:rsidRPr="006A50F4">
        <w:t>mis</w:t>
      </w:r>
      <w:proofErr w:type="spellEnd"/>
      <w:r w:rsidRPr="006A50F4">
        <w:t xml:space="preserve"> 42 og den deri </w:t>
      </w:r>
      <w:proofErr w:type="spellStart"/>
      <w:r w:rsidRPr="006A50F4">
        <w:t>nævnte</w:t>
      </w:r>
      <w:proofErr w:type="spellEnd"/>
      <w:r w:rsidRPr="006A50F4">
        <w:t xml:space="preserve"> </w:t>
      </w:r>
      <w:proofErr w:type="spellStart"/>
      <w:r w:rsidRPr="006A50F4">
        <w:t>retspraksis</w:t>
      </w:r>
      <w:proofErr w:type="spellEnd"/>
      <w:r w:rsidRPr="006A50F4">
        <w:t>).</w:t>
      </w:r>
    </w:p>
    <w:p w14:paraId="3CF3D845" w14:textId="52E480BB" w:rsidR="0016483D" w:rsidRPr="006D7319" w:rsidRDefault="0016483D" w:rsidP="006D7319">
      <w:r w:rsidRPr="006D7319">
        <w:t>EU-domstolens uttalelse om at innleie fra bemann</w:t>
      </w:r>
      <w:r w:rsidRPr="006D7319">
        <w:t xml:space="preserve">ingsforetak </w:t>
      </w:r>
      <w:r w:rsidR="006A50F4">
        <w:t>«</w:t>
      </w:r>
      <w:r w:rsidRPr="006D7319">
        <w:t>innebærer et dobbelt ansettelses</w:t>
      </w:r>
      <w:r w:rsidRPr="006D7319">
        <w:t>forhold</w:t>
      </w:r>
      <w:r w:rsidR="006A50F4">
        <w:t>»</w:t>
      </w:r>
      <w:r w:rsidRPr="006D7319">
        <w:t xml:space="preserve"> og at det ved slik innleie </w:t>
      </w:r>
      <w:r w:rsidR="006A50F4">
        <w:t>«</w:t>
      </w:r>
      <w:r w:rsidRPr="006D7319">
        <w:t>skapes et nytt underordningsforhold</w:t>
      </w:r>
      <w:r w:rsidR="006A50F4">
        <w:t>»</w:t>
      </w:r>
      <w:r w:rsidRPr="006D7319">
        <w:t xml:space="preserve"> mellom den innleide og brukervirksomheten, bygger på en forutsetning om at det i utgangspunktet foreligger et underordningsforhold mellom bemanningsforetaket og arbeids</w:t>
      </w:r>
      <w:r w:rsidRPr="006D7319">
        <w:t>taker som leies ut.</w:t>
      </w:r>
    </w:p>
    <w:p w14:paraId="71BCA29C" w14:textId="5BE970F2" w:rsidR="0016483D" w:rsidRPr="006D7319" w:rsidRDefault="0016483D" w:rsidP="006D7319">
      <w:r w:rsidRPr="006D7319">
        <w:t xml:space="preserve">I EU-domstolens sak C-290/12, </w:t>
      </w:r>
      <w:proofErr w:type="spellStart"/>
      <w:r w:rsidRPr="006D7319">
        <w:t>Della</w:t>
      </w:r>
      <w:proofErr w:type="spellEnd"/>
      <w:r w:rsidRPr="006D7319">
        <w:t xml:space="preserve"> </w:t>
      </w:r>
      <w:proofErr w:type="spellStart"/>
      <w:r w:rsidRPr="006D7319">
        <w:t>Rocca</w:t>
      </w:r>
      <w:proofErr w:type="spellEnd"/>
      <w:r w:rsidRPr="006D7319">
        <w:t xml:space="preserve">, gir domstolen uttalelser som trekker i samme retning. Saken gjaldt en italiensk arbeidstaker som var ansatt i bemanningsselskapet </w:t>
      </w:r>
      <w:proofErr w:type="spellStart"/>
      <w:r w:rsidRPr="006D7319">
        <w:t>Obiettivo</w:t>
      </w:r>
      <w:proofErr w:type="spellEnd"/>
      <w:r w:rsidRPr="006D7319">
        <w:t xml:space="preserve"> </w:t>
      </w:r>
      <w:proofErr w:type="spellStart"/>
      <w:r w:rsidRPr="006D7319">
        <w:t>Lavoro</w:t>
      </w:r>
      <w:proofErr w:type="spellEnd"/>
      <w:r w:rsidRPr="006D7319">
        <w:t xml:space="preserve"> </w:t>
      </w:r>
      <w:proofErr w:type="spellStart"/>
      <w:r w:rsidRPr="006D7319">
        <w:t>SpA</w:t>
      </w:r>
      <w:proofErr w:type="spellEnd"/>
      <w:r w:rsidRPr="006D7319">
        <w:t xml:space="preserve">. Gjennom tre påfølgende midlertidige arbeidskontrakter med </w:t>
      </w:r>
      <w:proofErr w:type="spellStart"/>
      <w:r w:rsidRPr="006D7319">
        <w:t>Obiettivo</w:t>
      </w:r>
      <w:proofErr w:type="spellEnd"/>
      <w:r w:rsidRPr="006D7319">
        <w:t xml:space="preserve"> ble han utleid som postbud til Poste </w:t>
      </w:r>
      <w:proofErr w:type="spellStart"/>
      <w:r w:rsidRPr="006D7319">
        <w:t>Italiane</w:t>
      </w:r>
      <w:proofErr w:type="spellEnd"/>
      <w:r w:rsidRPr="006D7319">
        <w:t xml:space="preserve">, det italienske postverket. </w:t>
      </w:r>
      <w:proofErr w:type="spellStart"/>
      <w:r w:rsidRPr="006D7319">
        <w:t>Della</w:t>
      </w:r>
      <w:proofErr w:type="spellEnd"/>
      <w:r w:rsidRPr="006D7319">
        <w:t xml:space="preserve"> </w:t>
      </w:r>
      <w:proofErr w:type="spellStart"/>
      <w:r w:rsidRPr="006D7319">
        <w:t>Rocca</w:t>
      </w:r>
      <w:proofErr w:type="spellEnd"/>
      <w:r w:rsidRPr="006D7319">
        <w:t xml:space="preserve"> mente at begrunnelsene for den </w:t>
      </w:r>
      <w:r w:rsidRPr="006D7319">
        <w:t xml:space="preserve">midlertidige utleien og forlengelsene ikke var tilstrekkelig, og gikk til sak ved </w:t>
      </w:r>
      <w:proofErr w:type="spellStart"/>
      <w:r w:rsidRPr="006D7319">
        <w:t>Tribunale</w:t>
      </w:r>
      <w:proofErr w:type="spellEnd"/>
      <w:r w:rsidRPr="006D7319">
        <w:t xml:space="preserve"> di Napoli og ba retten om å fastslå at det forelå et fast arbeidsforhold </w:t>
      </w:r>
      <w:r w:rsidRPr="006D7319">
        <w:t xml:space="preserve">mellom ham og Poste </w:t>
      </w:r>
      <w:proofErr w:type="spellStart"/>
      <w:r w:rsidRPr="006D7319">
        <w:t>Italiane</w:t>
      </w:r>
      <w:proofErr w:type="spellEnd"/>
      <w:r w:rsidRPr="006D7319">
        <w:t>. Saken for EU-</w:t>
      </w:r>
      <w:r w:rsidRPr="006D7319">
        <w:t xml:space="preserve">domstolen gjaldt i utgangspunktet hvorvidt Rådsdirektiv 99/70/EF om midlertidig ansettelse får </w:t>
      </w:r>
      <w:proofErr w:type="gramStart"/>
      <w:r w:rsidRPr="006D7319">
        <w:t>anvendelse</w:t>
      </w:r>
      <w:proofErr w:type="gramEnd"/>
      <w:r w:rsidRPr="006D7319">
        <w:t xml:space="preserve"> for ansatte i bemanningsforetak som omfattes av vikarbyrådirektivet. Domstolen slo fast at direktivet om midlertidige ansettelser ikke gjelder, fordi innleide fra bemanningsforetak vil være beskyttet av vikarbyrådirektivet.</w:t>
      </w:r>
    </w:p>
    <w:p w14:paraId="6CB728D0" w14:textId="77777777" w:rsidR="0016483D" w:rsidRPr="006D7319" w:rsidRDefault="0016483D" w:rsidP="006D7319">
      <w:r w:rsidRPr="006D7319">
        <w:t>I avsnitt 40 i dommen gir domstolen en beskrivelse av kjennetegn ved vikarbyråansatte, nemlig at:</w:t>
      </w:r>
    </w:p>
    <w:p w14:paraId="49A5B45D" w14:textId="126EE94F" w:rsidR="0016483D" w:rsidRPr="006A50F4" w:rsidRDefault="0016483D" w:rsidP="006D7319">
      <w:pPr>
        <w:pStyle w:val="blokksit"/>
      </w:pPr>
      <w:r w:rsidRPr="006A50F4">
        <w:t xml:space="preserve">[…] </w:t>
      </w:r>
      <w:proofErr w:type="spellStart"/>
      <w:r w:rsidRPr="006A50F4">
        <w:t>tilrådighedsstillelsen</w:t>
      </w:r>
      <w:proofErr w:type="spellEnd"/>
      <w:r w:rsidRPr="006A50F4">
        <w:t xml:space="preserve"> </w:t>
      </w:r>
      <w:proofErr w:type="spellStart"/>
      <w:r w:rsidRPr="006A50F4">
        <w:t>af</w:t>
      </w:r>
      <w:proofErr w:type="spellEnd"/>
      <w:r w:rsidRPr="006A50F4">
        <w:t xml:space="preserve"> </w:t>
      </w:r>
      <w:r w:rsidRPr="006A50F4">
        <w:t>vikaransatte [</w:t>
      </w:r>
      <w:proofErr w:type="spellStart"/>
      <w:r w:rsidRPr="006A50F4">
        <w:t>udgør</w:t>
      </w:r>
      <w:proofErr w:type="spellEnd"/>
      <w:r w:rsidRPr="006A50F4">
        <w:t xml:space="preserve">] en </w:t>
      </w:r>
      <w:proofErr w:type="spellStart"/>
      <w:r w:rsidRPr="006A50F4">
        <w:t>specifik</w:t>
      </w:r>
      <w:proofErr w:type="spellEnd"/>
      <w:r w:rsidRPr="006A50F4">
        <w:t xml:space="preserve"> og </w:t>
      </w:r>
      <w:proofErr w:type="spellStart"/>
      <w:r w:rsidRPr="006A50F4">
        <w:t>kompliceret</w:t>
      </w:r>
      <w:proofErr w:type="spellEnd"/>
      <w:r w:rsidRPr="006A50F4">
        <w:t xml:space="preserve"> </w:t>
      </w:r>
      <w:proofErr w:type="spellStart"/>
      <w:r w:rsidRPr="006A50F4">
        <w:t>dimension</w:t>
      </w:r>
      <w:proofErr w:type="spellEnd"/>
      <w:r w:rsidRPr="006A50F4">
        <w:t xml:space="preserve"> </w:t>
      </w:r>
      <w:proofErr w:type="spellStart"/>
      <w:r w:rsidRPr="006A50F4">
        <w:t>af</w:t>
      </w:r>
      <w:proofErr w:type="spellEnd"/>
      <w:r w:rsidRPr="006A50F4">
        <w:t xml:space="preserve"> </w:t>
      </w:r>
      <w:proofErr w:type="spellStart"/>
      <w:r w:rsidRPr="006A50F4">
        <w:t>arbejdsretten</w:t>
      </w:r>
      <w:proofErr w:type="spellEnd"/>
      <w:r w:rsidRPr="006A50F4">
        <w:t xml:space="preserve">, der – </w:t>
      </w:r>
      <w:proofErr w:type="gramStart"/>
      <w:r w:rsidRPr="006A50F4">
        <w:t>således</w:t>
      </w:r>
      <w:proofErr w:type="gramEnd"/>
      <w:r w:rsidRPr="006A50F4">
        <w:t xml:space="preserve"> som det </w:t>
      </w:r>
      <w:r w:rsidRPr="006A50F4">
        <w:t xml:space="preserve">fremgår </w:t>
      </w:r>
      <w:proofErr w:type="spellStart"/>
      <w:r w:rsidRPr="006A50F4">
        <w:t>af</w:t>
      </w:r>
      <w:proofErr w:type="spellEnd"/>
      <w:r w:rsidRPr="006A50F4">
        <w:t xml:space="preserve"> denne doms </w:t>
      </w:r>
      <w:proofErr w:type="spellStart"/>
      <w:r w:rsidRPr="006A50F4">
        <w:t>præmis</w:t>
      </w:r>
      <w:proofErr w:type="spellEnd"/>
      <w:r w:rsidRPr="006A50F4">
        <w:t xml:space="preserve"> 32 og 37 – </w:t>
      </w:r>
      <w:proofErr w:type="spellStart"/>
      <w:r w:rsidRPr="006A50F4">
        <w:t>indebærer</w:t>
      </w:r>
      <w:proofErr w:type="spellEnd"/>
      <w:r w:rsidRPr="006A50F4">
        <w:t xml:space="preserve"> </w:t>
      </w:r>
      <w:r w:rsidRPr="006A50F4">
        <w:t xml:space="preserve">et dobbelt </w:t>
      </w:r>
      <w:proofErr w:type="spellStart"/>
      <w:r w:rsidRPr="006A50F4">
        <w:t>ansættelses</w:t>
      </w:r>
      <w:r w:rsidRPr="006A50F4">
        <w:t>forhold</w:t>
      </w:r>
      <w:proofErr w:type="spellEnd"/>
      <w:r w:rsidRPr="006A50F4">
        <w:t xml:space="preserve"> </w:t>
      </w:r>
      <w:proofErr w:type="spellStart"/>
      <w:r w:rsidRPr="006A50F4">
        <w:t>mellem</w:t>
      </w:r>
      <w:proofErr w:type="spellEnd"/>
      <w:r w:rsidRPr="006A50F4">
        <w:t xml:space="preserve"> dels </w:t>
      </w:r>
      <w:proofErr w:type="spellStart"/>
      <w:r w:rsidRPr="006A50F4">
        <w:t>vikarbureauet</w:t>
      </w:r>
      <w:proofErr w:type="spellEnd"/>
      <w:r w:rsidRPr="006A50F4">
        <w:t xml:space="preserve"> og den </w:t>
      </w:r>
      <w:r w:rsidRPr="006A50F4">
        <w:t xml:space="preserve">vikaransatte, dels </w:t>
      </w:r>
      <w:proofErr w:type="spellStart"/>
      <w:r w:rsidRPr="006A50F4">
        <w:t>mellem</w:t>
      </w:r>
      <w:proofErr w:type="spellEnd"/>
      <w:r w:rsidRPr="006A50F4">
        <w:t xml:space="preserve"> den vikaransatte og </w:t>
      </w:r>
      <w:proofErr w:type="spellStart"/>
      <w:r w:rsidRPr="006A50F4">
        <w:t>brugervirksom</w:t>
      </w:r>
      <w:r w:rsidRPr="006A50F4">
        <w:t>heden</w:t>
      </w:r>
      <w:proofErr w:type="spellEnd"/>
      <w:r w:rsidRPr="006A50F4">
        <w:t xml:space="preserve"> samt et forhold </w:t>
      </w:r>
      <w:r w:rsidRPr="006A50F4">
        <w:t xml:space="preserve">angående </w:t>
      </w:r>
      <w:proofErr w:type="spellStart"/>
      <w:r w:rsidRPr="006A50F4">
        <w:t>tilrådigheds</w:t>
      </w:r>
      <w:r w:rsidRPr="006A50F4">
        <w:t>stillelsen</w:t>
      </w:r>
      <w:proofErr w:type="spellEnd"/>
      <w:r w:rsidRPr="006A50F4">
        <w:t xml:space="preserve"> </w:t>
      </w:r>
      <w:proofErr w:type="spellStart"/>
      <w:r w:rsidRPr="006A50F4">
        <w:t>mellem</w:t>
      </w:r>
      <w:proofErr w:type="spellEnd"/>
      <w:r w:rsidRPr="006A50F4">
        <w:t xml:space="preserve"> </w:t>
      </w:r>
      <w:proofErr w:type="spellStart"/>
      <w:r w:rsidRPr="006A50F4">
        <w:t>vikar</w:t>
      </w:r>
      <w:r w:rsidRPr="006A50F4">
        <w:t>bureauet</w:t>
      </w:r>
      <w:proofErr w:type="spellEnd"/>
      <w:r w:rsidRPr="006A50F4">
        <w:t xml:space="preserve"> og </w:t>
      </w:r>
      <w:proofErr w:type="spellStart"/>
      <w:r w:rsidRPr="006A50F4">
        <w:t>brugervirksomheden</w:t>
      </w:r>
      <w:proofErr w:type="spellEnd"/>
      <w:r w:rsidRPr="006A50F4">
        <w:t xml:space="preserve">. </w:t>
      </w:r>
      <w:proofErr w:type="spellStart"/>
      <w:r w:rsidRPr="006A50F4">
        <w:t>Rammeaftalen</w:t>
      </w:r>
      <w:proofErr w:type="spellEnd"/>
      <w:r w:rsidRPr="006A50F4">
        <w:t xml:space="preserve"> </w:t>
      </w:r>
      <w:proofErr w:type="spellStart"/>
      <w:r w:rsidRPr="006A50F4">
        <w:t>indeholder</w:t>
      </w:r>
      <w:proofErr w:type="spellEnd"/>
      <w:r w:rsidRPr="006A50F4">
        <w:t xml:space="preserve"> imidlertid ingen bestemmelser, der </w:t>
      </w:r>
      <w:r w:rsidRPr="006A50F4">
        <w:t xml:space="preserve">behandler disse </w:t>
      </w:r>
      <w:proofErr w:type="spellStart"/>
      <w:r w:rsidRPr="006A50F4">
        <w:t>specifikke</w:t>
      </w:r>
      <w:proofErr w:type="spellEnd"/>
      <w:r w:rsidRPr="006A50F4">
        <w:t xml:space="preserve"> aspekter. (Arbeidsgruppens utheving).</w:t>
      </w:r>
    </w:p>
    <w:p w14:paraId="750536EA" w14:textId="77777777" w:rsidR="0016483D" w:rsidRPr="006D7319" w:rsidRDefault="0016483D" w:rsidP="006D7319">
      <w:r w:rsidRPr="006D7319">
        <w:t>Også her angir EU-domstolen et utgangspunkt om at innleie fra et bemanningsforetak forutsetter et ansettelsesforhold mellom arbeidstakeren som leies ut og bemanningsforetaket.</w:t>
      </w:r>
    </w:p>
    <w:p w14:paraId="641894C2" w14:textId="77777777" w:rsidR="0016483D" w:rsidRPr="006D7319" w:rsidRDefault="0016483D" w:rsidP="006D7319">
      <w:pPr>
        <w:pStyle w:val="Overskrift4"/>
      </w:pPr>
      <w:r w:rsidRPr="006D7319">
        <w:t>Innleie fra virksomhet som har til formål å drive utleie (bemanningsforetak)</w:t>
      </w:r>
    </w:p>
    <w:p w14:paraId="1E0FCA18" w14:textId="6220E026" w:rsidR="0016483D" w:rsidRPr="006D7319" w:rsidRDefault="0016483D" w:rsidP="006D7319">
      <w:r w:rsidRPr="006D7319">
        <w:t xml:space="preserve">I arbeidsmiljøloven skilles det mellom </w:t>
      </w:r>
      <w:proofErr w:type="gramStart"/>
      <w:r w:rsidRPr="006D7319">
        <w:t>innleie</w:t>
      </w:r>
      <w:proofErr w:type="gramEnd"/>
      <w:r w:rsidRPr="006D7319">
        <w:t xml:space="preserve"> fra virksomhet som har til formål å drive utleie (bemann</w:t>
      </w:r>
      <w:r w:rsidRPr="006D7319">
        <w:t xml:space="preserve">ingsforetak) og innleie fra virksomhet som ikke har som formål å drive utleie (produksjonsbedrift). Innleie fra bemanningsforetak er regulert i </w:t>
      </w:r>
      <w:r w:rsidR="006A50F4">
        <w:t>§ </w:t>
      </w:r>
      <w:r w:rsidR="006A50F4" w:rsidRPr="006D7319">
        <w:t>1</w:t>
      </w:r>
      <w:r w:rsidRPr="006D7319">
        <w:t xml:space="preserve">4-12, mens innleie fra produksjonsbedrift er regulert i </w:t>
      </w:r>
      <w:r w:rsidR="006A50F4">
        <w:lastRenderedPageBreak/>
        <w:t>§ </w:t>
      </w:r>
      <w:r w:rsidR="006A50F4" w:rsidRPr="006D7319">
        <w:t>1</w:t>
      </w:r>
      <w:r w:rsidRPr="006D7319">
        <w:t xml:space="preserve">4-13. Lovens system er at dersom </w:t>
      </w:r>
      <w:proofErr w:type="spellStart"/>
      <w:r w:rsidRPr="006D7319">
        <w:t>innleien</w:t>
      </w:r>
      <w:proofErr w:type="spellEnd"/>
      <w:r w:rsidRPr="006D7319">
        <w:t xml:space="preserve"> ikke faller inn under </w:t>
      </w:r>
      <w:r w:rsidR="006A50F4">
        <w:t>§ </w:t>
      </w:r>
      <w:r w:rsidR="006A50F4" w:rsidRPr="006D7319">
        <w:t>1</w:t>
      </w:r>
      <w:r w:rsidRPr="006D7319">
        <w:t xml:space="preserve">4-13, omfattes den av </w:t>
      </w:r>
      <w:r w:rsidR="006A50F4">
        <w:t>§ </w:t>
      </w:r>
      <w:r w:rsidR="006A50F4" w:rsidRPr="006D7319">
        <w:t>1</w:t>
      </w:r>
      <w:r w:rsidRPr="006D7319">
        <w:t>4-12 om innleie fra bemanningsforetak.</w:t>
      </w:r>
      <w:r w:rsidR="006A50F4" w:rsidRPr="006A50F4">
        <w:rPr>
          <w:rStyle w:val="Fotnotereferanse"/>
        </w:rPr>
        <w:footnoteReference w:id="68"/>
      </w:r>
      <w:r w:rsidRPr="006D7319">
        <w:t xml:space="preserve"> Som nevnt over får vikarbyrådirektivet (kun) </w:t>
      </w:r>
      <w:proofErr w:type="gramStart"/>
      <w:r w:rsidRPr="006D7319">
        <w:t>anvendelse</w:t>
      </w:r>
      <w:proofErr w:type="gramEnd"/>
      <w:r w:rsidRPr="006D7319">
        <w:t xml:space="preserve"> for utleie fra bemanningsforetak, og Norge har gjennomført verne</w:t>
      </w:r>
      <w:r w:rsidRPr="006D7319">
        <w:t>bestemmelser etter direktivet i arbeidsmiljø</w:t>
      </w:r>
      <w:r w:rsidRPr="006D7319">
        <w:t>loven, se punkt 2.4.3.4 nedenfor.</w:t>
      </w:r>
    </w:p>
    <w:p w14:paraId="5EC8B89C" w14:textId="77777777" w:rsidR="0016483D" w:rsidRPr="006D7319" w:rsidRDefault="0016483D" w:rsidP="006D7319">
      <w:r w:rsidRPr="006D7319">
        <w:t xml:space="preserve">Det er innleie fra bemanningsforetak som i praksis har blitt benyttet av selvstendige rådgivere og konsulenter med eget enkeltpersonforetak eller aksjeselskap. Hvorvidt disse faller inn under reglene om </w:t>
      </w:r>
      <w:proofErr w:type="gramStart"/>
      <w:r w:rsidRPr="006D7319">
        <w:t>innleie</w:t>
      </w:r>
      <w:proofErr w:type="gramEnd"/>
      <w:r w:rsidRPr="006D7319">
        <w:t xml:space="preserve"> fra bemanningsforetak i henhold til gjeldende rett, vil bli nærmere redegjort for under punkt 2.5.</w:t>
      </w:r>
    </w:p>
    <w:p w14:paraId="555F13DC" w14:textId="77777777" w:rsidR="0016483D" w:rsidRPr="006D7319" w:rsidRDefault="0016483D" w:rsidP="006D7319">
      <w:r w:rsidRPr="006D7319">
        <w:t xml:space="preserve">Det prinsipielle utgangspunktet for </w:t>
      </w:r>
      <w:proofErr w:type="gramStart"/>
      <w:r w:rsidRPr="006D7319">
        <w:t>innleie</w:t>
      </w:r>
      <w:proofErr w:type="gramEnd"/>
      <w:r w:rsidRPr="006D7319">
        <w:t xml:space="preserve">, som beskrevet over i punkt 2.4.3.1, vil imidlertid være det samme uavhengig av om </w:t>
      </w:r>
      <w:proofErr w:type="spellStart"/>
      <w:r w:rsidRPr="006D7319">
        <w:t>innleien</w:t>
      </w:r>
      <w:proofErr w:type="spellEnd"/>
      <w:r w:rsidRPr="006D7319">
        <w:t xml:space="preserve"> skjer fra et bemanningsforetak eller en produksjonsbedrift.</w:t>
      </w:r>
    </w:p>
    <w:p w14:paraId="3B89BAEF" w14:textId="1A3C5BDE" w:rsidR="0016483D" w:rsidRPr="006D7319" w:rsidRDefault="0016483D" w:rsidP="006D7319">
      <w:r w:rsidRPr="006D7319">
        <w:t xml:space="preserve">Adgangen til å leie inn arbeidstaker fra bemanningsforetak reguleres av arbeidsmiljøloven </w:t>
      </w:r>
      <w:r w:rsidR="006A50F4">
        <w:t>§ </w:t>
      </w:r>
      <w:r w:rsidR="006A50F4" w:rsidRPr="006D7319">
        <w:t>1</w:t>
      </w:r>
      <w:r w:rsidRPr="006D7319">
        <w:t>4-12. Etter første ledd kan innleie av arbeidstaker fra bemann</w:t>
      </w:r>
      <w:r w:rsidRPr="006D7319">
        <w:t xml:space="preserve">ingsforetak skje i samme utstrekning som det kan avtales midlertidig ansettelse etter </w:t>
      </w:r>
      <w:r w:rsidR="006A50F4">
        <w:t>§ </w:t>
      </w:r>
      <w:r w:rsidR="006A50F4" w:rsidRPr="006D7319">
        <w:t>1</w:t>
      </w:r>
      <w:r w:rsidRPr="006D7319">
        <w:t>4-9 andre ledd bokstav b til e. I andre ledd fremgår det at i virksomhet som er bundet av tariffavtale inngått med fagforening med innstillingsrett etter arbeidstvist</w:t>
      </w:r>
      <w:r w:rsidRPr="006D7319">
        <w:t xml:space="preserve">loven kan arbeidsgiver og tillitsvalgte som til sammen representerer et flertall av den arbeidstakerkategori </w:t>
      </w:r>
      <w:proofErr w:type="spellStart"/>
      <w:r w:rsidRPr="006D7319">
        <w:t>innleien</w:t>
      </w:r>
      <w:proofErr w:type="spellEnd"/>
      <w:r w:rsidRPr="006D7319">
        <w:t xml:space="preserve"> gjelder, inngå skriftlig avtale om tidsbegrenset innleie uten hinder av det som er bestemt i første ledd. Andre ledd gir altså adgang til å avtale innleie selv om vilkårene i </w:t>
      </w:r>
      <w:r w:rsidR="006A50F4">
        <w:t>§ </w:t>
      </w:r>
      <w:r w:rsidR="006A50F4" w:rsidRPr="006D7319">
        <w:t>1</w:t>
      </w:r>
      <w:r w:rsidRPr="006D7319">
        <w:t>4-12 første ledd ikke er oppfylt.</w:t>
      </w:r>
    </w:p>
    <w:p w14:paraId="2DD53EC3" w14:textId="3477CCE7" w:rsidR="0016483D" w:rsidRPr="006D7319" w:rsidRDefault="0016483D" w:rsidP="006D7319">
      <w:r w:rsidRPr="006D7319">
        <w:t xml:space="preserve">Med virkning fra 1. april 2023 ble det strammet inn på innleieadgangen. Det er etter lovendringen ikke lenger adgang til </w:t>
      </w:r>
      <w:proofErr w:type="gramStart"/>
      <w:r w:rsidRPr="006D7319">
        <w:t>innleie</w:t>
      </w:r>
      <w:proofErr w:type="gramEnd"/>
      <w:r w:rsidRPr="006D7319">
        <w:t xml:space="preserve"> </w:t>
      </w:r>
      <w:r w:rsidR="006A50F4">
        <w:t>«</w:t>
      </w:r>
      <w:r w:rsidRPr="006D7319">
        <w:t>når arbeidet er av midler</w:t>
      </w:r>
      <w:r w:rsidRPr="006D7319">
        <w:t>tidig karakter</w:t>
      </w:r>
      <w:r w:rsidR="006A50F4">
        <w:t>»</w:t>
      </w:r>
      <w:r w:rsidRPr="006D7319">
        <w:t xml:space="preserve">, jf. </w:t>
      </w:r>
      <w:r w:rsidR="006A50F4">
        <w:t>§ </w:t>
      </w:r>
      <w:r w:rsidR="006A50F4" w:rsidRPr="006D7319">
        <w:t>1</w:t>
      </w:r>
      <w:r w:rsidRPr="006D7319">
        <w:t xml:space="preserve">4-9 andre ledd bokstav a. Det er likevel gitt visse særregler i forskrift 11. januar 2013 nr. 33 om innleie fra bemanningsforetak, som trådte i kraft 1. april 2023. For det første er det uavhengig av vilkårene i arbeidsmiljøloven </w:t>
      </w:r>
      <w:r w:rsidR="006A50F4">
        <w:t>§ </w:t>
      </w:r>
      <w:r w:rsidR="006A50F4" w:rsidRPr="006D7319">
        <w:t>1</w:t>
      </w:r>
      <w:r w:rsidRPr="006D7319">
        <w:t xml:space="preserve">4-12 tillatt med </w:t>
      </w:r>
      <w:proofErr w:type="gramStart"/>
      <w:r w:rsidRPr="006D7319">
        <w:t>innleie</w:t>
      </w:r>
      <w:proofErr w:type="gramEnd"/>
      <w:r w:rsidRPr="006D7319">
        <w:t xml:space="preserve"> fra bemanningsforetak av helsepersonell for å sikre forsvarlig drift av helse- og omsorgstjenester, jf. forskriftens </w:t>
      </w:r>
      <w:r w:rsidR="006A50F4">
        <w:t>§ </w:t>
      </w:r>
      <w:r w:rsidR="006A50F4" w:rsidRPr="006D7319">
        <w:t>3</w:t>
      </w:r>
      <w:r w:rsidRPr="006D7319">
        <w:t xml:space="preserve"> første ledd bokstav a. Slik innleie er tillatt i samme utstrekning som det kan avtales midlertidig ansettelse etter arbeidsmiljøloven </w:t>
      </w:r>
      <w:r w:rsidR="006A50F4">
        <w:t>§ </w:t>
      </w:r>
      <w:r w:rsidR="006A50F4" w:rsidRPr="006D7319">
        <w:t>1</w:t>
      </w:r>
      <w:r w:rsidRPr="006D7319">
        <w:t xml:space="preserve">4-9 andre ledd bokstav a. Med </w:t>
      </w:r>
      <w:r w:rsidR="006A50F4">
        <w:t>«</w:t>
      </w:r>
      <w:r w:rsidRPr="006D7319">
        <w:t>helsepersonell</w:t>
      </w:r>
      <w:r w:rsidR="006A50F4">
        <w:t>»</w:t>
      </w:r>
      <w:r w:rsidRPr="006D7319">
        <w:t xml:space="preserve"> menes personell som omfattes av helsepersonelloven </w:t>
      </w:r>
      <w:r w:rsidR="006A50F4">
        <w:t>§ </w:t>
      </w:r>
      <w:r w:rsidR="006A50F4" w:rsidRPr="006D7319">
        <w:t>3</w:t>
      </w:r>
      <w:r w:rsidRPr="006D7319">
        <w:t>.</w:t>
      </w:r>
    </w:p>
    <w:p w14:paraId="68D593CE" w14:textId="3F303CFF" w:rsidR="0016483D" w:rsidRPr="006D7319" w:rsidRDefault="0016483D" w:rsidP="006D7319">
      <w:r w:rsidRPr="006D7319">
        <w:t xml:space="preserve">For det andre er det uavhengig av vilkårene i arbeidsmiljøloven </w:t>
      </w:r>
      <w:r w:rsidR="006A50F4">
        <w:t>§ </w:t>
      </w:r>
      <w:r w:rsidR="006A50F4" w:rsidRPr="006D7319">
        <w:t>1</w:t>
      </w:r>
      <w:r w:rsidRPr="006D7319">
        <w:t xml:space="preserve">4-12 tillatt med </w:t>
      </w:r>
      <w:proofErr w:type="gramStart"/>
      <w:r w:rsidRPr="006D7319">
        <w:t>innleie</w:t>
      </w:r>
      <w:proofErr w:type="gramEnd"/>
      <w:r w:rsidRPr="006D7319">
        <w:t xml:space="preserve"> fra bemanningsforetak av arbeidstakere med spesialkompetanse som skal utføre rådgivnings- og konsulent</w:t>
      </w:r>
      <w:r w:rsidRPr="006D7319">
        <w:t xml:space="preserve">tjenester i klart avgrenset prosjekt, jf. </w:t>
      </w:r>
      <w:r w:rsidR="006A50F4">
        <w:t>§ </w:t>
      </w:r>
      <w:r w:rsidR="006A50F4" w:rsidRPr="006D7319">
        <w:t>3</w:t>
      </w:r>
      <w:r w:rsidRPr="006D7319">
        <w:t xml:space="preserve"> første ledd bokstav b.</w:t>
      </w:r>
    </w:p>
    <w:p w14:paraId="64944549" w14:textId="2505267E" w:rsidR="0016483D" w:rsidRPr="006D7319" w:rsidRDefault="0016483D" w:rsidP="006D7319">
      <w:r w:rsidRPr="006D7319">
        <w:t xml:space="preserve">I forskriften er det videre gitt en særregel om forbud mot </w:t>
      </w:r>
      <w:proofErr w:type="gramStart"/>
      <w:r w:rsidRPr="006D7319">
        <w:t>innleie</w:t>
      </w:r>
      <w:proofErr w:type="gramEnd"/>
      <w:r w:rsidRPr="006D7319">
        <w:t xml:space="preserve"> fra bemanningsforetak til bygnings</w:t>
      </w:r>
      <w:r w:rsidRPr="006D7319">
        <w:t xml:space="preserve">arbeid på byggeplasser i Oslo, Akershus, Østfold, Buskerud og Vestfold, jf. </w:t>
      </w:r>
      <w:r w:rsidR="006A50F4">
        <w:t>§ </w:t>
      </w:r>
      <w:r w:rsidR="006A50F4" w:rsidRPr="006D7319">
        <w:t>4</w:t>
      </w:r>
      <w:r w:rsidRPr="006D7319">
        <w:t>. Forbudet trådte i kraft 1. april 2023.</w:t>
      </w:r>
    </w:p>
    <w:p w14:paraId="2733009A" w14:textId="29488022" w:rsidR="0016483D" w:rsidRPr="006D7319" w:rsidRDefault="0016483D" w:rsidP="006D7319">
      <w:r w:rsidRPr="006D7319">
        <w:lastRenderedPageBreak/>
        <w:t xml:space="preserve">Med virkning fra 1. juli 2025 er det innført en ny forskriftshjemmel i arbeidsmiljøloven </w:t>
      </w:r>
      <w:r w:rsidR="006A50F4">
        <w:t>§ </w:t>
      </w:r>
      <w:r w:rsidR="006A50F4" w:rsidRPr="006D7319">
        <w:t>1</w:t>
      </w:r>
      <w:r w:rsidRPr="006D7319">
        <w:t xml:space="preserve">4-13 a om </w:t>
      </w:r>
      <w:proofErr w:type="gramStart"/>
      <w:r w:rsidRPr="006D7319">
        <w:t>innleie</w:t>
      </w:r>
      <w:proofErr w:type="gramEnd"/>
      <w:r w:rsidRPr="006D7319">
        <w:t xml:space="preserve"> av avløser fra </w:t>
      </w:r>
      <w:proofErr w:type="spellStart"/>
      <w:r w:rsidRPr="006D7319">
        <w:t>avløserlag</w:t>
      </w:r>
      <w:proofErr w:type="spellEnd"/>
      <w:r w:rsidRPr="006D7319">
        <w:t>. Bestemmelsen fast</w:t>
      </w:r>
      <w:r w:rsidRPr="006D7319">
        <w:t xml:space="preserve">setter at departementet kan gi forskrift om at reglene om </w:t>
      </w:r>
      <w:proofErr w:type="gramStart"/>
      <w:r w:rsidRPr="006D7319">
        <w:t>innleie</w:t>
      </w:r>
      <w:proofErr w:type="gramEnd"/>
      <w:r w:rsidRPr="006D7319">
        <w:t xml:space="preserve"> fra bemanningsforetak ikke skal gjelde når jordbruksforetak leier inn avløser fra </w:t>
      </w:r>
      <w:proofErr w:type="spellStart"/>
      <w:r w:rsidRPr="006D7319">
        <w:t>avløserlag</w:t>
      </w:r>
      <w:proofErr w:type="spellEnd"/>
      <w:r w:rsidRPr="006D7319">
        <w:t>, og om særregler ved slik innleie. Det er fastsatt forskrift med særregler som trådte i kraft 1. januar 2026.</w:t>
      </w:r>
    </w:p>
    <w:p w14:paraId="6AAAC9D1" w14:textId="77777777" w:rsidR="0016483D" w:rsidRPr="006D7319" w:rsidRDefault="0016483D" w:rsidP="006D7319">
      <w:r w:rsidRPr="006D7319">
        <w:t xml:space="preserve">Ingen av de ovennevnte lov- og forskriftsendringene gjelder spørsmål om </w:t>
      </w:r>
      <w:proofErr w:type="gramStart"/>
      <w:r w:rsidRPr="006D7319">
        <w:t>innleie</w:t>
      </w:r>
      <w:proofErr w:type="gramEnd"/>
      <w:r w:rsidRPr="006D7319">
        <w:t xml:space="preserve"> fra enpersonsbedrifter.</w:t>
      </w:r>
    </w:p>
    <w:p w14:paraId="350D47C5" w14:textId="7C28A812" w:rsidR="0016483D" w:rsidRPr="006D7319" w:rsidRDefault="0016483D" w:rsidP="006D7319">
      <w:r w:rsidRPr="006D7319">
        <w:t xml:space="preserve">Fra 1. januar 2024 må alle bemanningsforetak som driver utleie av arbeidskraft i Norge søke om godkjenning fra Arbeidstilsynet, jf. forskrift om </w:t>
      </w:r>
      <w:r w:rsidRPr="006D7319">
        <w:t xml:space="preserve">offentlig godkjenning av bemanningsforetak </w:t>
      </w:r>
      <w:r w:rsidR="006A50F4">
        <w:t>§ </w:t>
      </w:r>
      <w:r w:rsidR="006A50F4" w:rsidRPr="006D7319">
        <w:t>2</w:t>
      </w:r>
      <w:r w:rsidRPr="006D7319">
        <w:t xml:space="preserve">. Det er ulovlig å leie inn arbeidskraft fra et bemanningsforetak uten en slik godkjenning, jf. </w:t>
      </w:r>
      <w:r w:rsidR="006A50F4">
        <w:t>§ </w:t>
      </w:r>
      <w:r w:rsidR="006A50F4" w:rsidRPr="006D7319">
        <w:t>1</w:t>
      </w:r>
      <w:r w:rsidRPr="006D7319">
        <w:t>1.</w:t>
      </w:r>
    </w:p>
    <w:p w14:paraId="5987192C" w14:textId="6FC85F11" w:rsidR="0016483D" w:rsidRPr="006D7319" w:rsidRDefault="0016483D" w:rsidP="006D7319">
      <w:r w:rsidRPr="006D7319">
        <w:t>Frem til 1. januar 2024 stilte forskriften først og fremst krav om at visse formelle betingelser måtte være oppfylt for å kunne drive med utleie av arbeidskraft. Ordningen var inntil da kun en registreringsordning, som i liten grad innebar en kvalitativ vurde</w:t>
      </w:r>
      <w:r w:rsidRPr="006D7319">
        <w:t xml:space="preserve">ring av virksomhetene. Som det fremgår av punkt </w:t>
      </w:r>
      <w:proofErr w:type="gramStart"/>
      <w:r w:rsidRPr="006D7319">
        <w:t>3.5</w:t>
      </w:r>
      <w:proofErr w:type="gramEnd"/>
      <w:r w:rsidRPr="006D7319">
        <w:t xml:space="preserve"> hadde flere enpersonsbedrifter registrert seg i den gamle ordningen.</w:t>
      </w:r>
    </w:p>
    <w:p w14:paraId="2EDD8733" w14:textId="74987B78" w:rsidR="0016483D" w:rsidRPr="006D7319" w:rsidRDefault="0016483D" w:rsidP="006D7319">
      <w:r w:rsidRPr="006D7319">
        <w:t xml:space="preserve">Innleid arbeidstaker har rett til fast ansettelse hos innleier etter tre år, uavhengig av grunnlaget for </w:t>
      </w:r>
      <w:proofErr w:type="spellStart"/>
      <w:r w:rsidRPr="006D7319">
        <w:t>innleien</w:t>
      </w:r>
      <w:proofErr w:type="spellEnd"/>
      <w:r w:rsidRPr="006D7319">
        <w:t xml:space="preserve">, jf. arbeidsmiljøloven </w:t>
      </w:r>
      <w:r w:rsidR="006A50F4">
        <w:t>§ </w:t>
      </w:r>
      <w:r w:rsidR="006A50F4" w:rsidRPr="006D7319">
        <w:t>1</w:t>
      </w:r>
      <w:r w:rsidRPr="006D7319">
        <w:t xml:space="preserve">4-12 tredje ledd. </w:t>
      </w:r>
      <w:r w:rsidRPr="006D7319">
        <w:t xml:space="preserve">Tidligere gjaldt ikke regelen ved innleie med grunnlag i avtale med tillitsvalgte etter </w:t>
      </w:r>
      <w:r w:rsidR="006A50F4">
        <w:t>§ </w:t>
      </w:r>
      <w:r w:rsidR="006A50F4" w:rsidRPr="006D7319">
        <w:t>1</w:t>
      </w:r>
      <w:r w:rsidRPr="006D7319">
        <w:t>4-12 andre ledd, men dette ble utvidet med endringene i 2022.</w:t>
      </w:r>
      <w:r w:rsidR="006A50F4" w:rsidRPr="006A50F4">
        <w:rPr>
          <w:rStyle w:val="Fotnotereferanse"/>
        </w:rPr>
        <w:footnoteReference w:id="69"/>
      </w:r>
    </w:p>
    <w:p w14:paraId="03987DAE" w14:textId="71B6FEF4" w:rsidR="0016483D" w:rsidRPr="006D7319" w:rsidRDefault="0016483D" w:rsidP="006D7319">
      <w:r w:rsidRPr="006D7319">
        <w:t xml:space="preserve">Dersom vilkårene for </w:t>
      </w:r>
      <w:proofErr w:type="gramStart"/>
      <w:r w:rsidRPr="006D7319">
        <w:t>innleie</w:t>
      </w:r>
      <w:proofErr w:type="gramEnd"/>
      <w:r w:rsidRPr="006D7319">
        <w:t xml:space="preserve"> etter </w:t>
      </w:r>
      <w:r w:rsidR="006A50F4">
        <w:t>§ </w:t>
      </w:r>
      <w:r w:rsidR="006A50F4" w:rsidRPr="006D7319">
        <w:t>1</w:t>
      </w:r>
      <w:r w:rsidRPr="006D7319">
        <w:t>4-12 ikke er oppfylt, kan innleid arbeidstaker kreve fast ansett</w:t>
      </w:r>
      <w:r w:rsidRPr="006D7319">
        <w:t xml:space="preserve">else hos innleier, samt erstatning, jf. </w:t>
      </w:r>
      <w:r w:rsidR="006A50F4">
        <w:t>§ </w:t>
      </w:r>
      <w:r w:rsidR="006A50F4" w:rsidRPr="006D7319">
        <w:t>1</w:t>
      </w:r>
      <w:r w:rsidRPr="006D7319">
        <w:t>4-14.</w:t>
      </w:r>
    </w:p>
    <w:p w14:paraId="0C1A4100" w14:textId="77777777" w:rsidR="0016483D" w:rsidRPr="006D7319" w:rsidRDefault="0016483D" w:rsidP="006D7319">
      <w:pPr>
        <w:pStyle w:val="Overskrift4"/>
      </w:pPr>
      <w:r w:rsidRPr="006D7319">
        <w:t>Rettigheter og plikter ved innleie fra bemanningsforetak – vernebestemmelser</w:t>
      </w:r>
    </w:p>
    <w:p w14:paraId="663C46BC" w14:textId="67068A6F" w:rsidR="0016483D" w:rsidRPr="006D7319" w:rsidRDefault="0016483D" w:rsidP="006D7319">
      <w:r w:rsidRPr="006D7319">
        <w:t>Ved innleie fra bemanningsforetak gjelder flere bestemmelser som har til formål å verne arbeids</w:t>
      </w:r>
      <w:r w:rsidRPr="006D7319">
        <w:t xml:space="preserve">taker som leies inn. En sentral del av dette er likebehandlingsprinsippet, som skal sikre innleide arbeidstakere rett til likebehandling når det gjelder en rekke lønns- og arbeidsvilkår. Videre er det gitt regler med formål å sikre etterlevelsen av likebehandlingsprinsippet, gjennom opplysningsplikt og innsynsrett ved leie av arbeidstaker fra bemanningsforetak, samt solidaransvar for innleier. Det er naturlig å se reglene som et utslag av det vernebehovet som oppstår i </w:t>
      </w:r>
      <w:proofErr w:type="spellStart"/>
      <w:r w:rsidRPr="006D7319">
        <w:t>trepartsrelasjonen</w:t>
      </w:r>
      <w:proofErr w:type="spellEnd"/>
      <w:r w:rsidRPr="006D7319">
        <w:t xml:space="preserve"> hvor den innleide a</w:t>
      </w:r>
      <w:r w:rsidRPr="006D7319">
        <w:t>rbeidstakeren arbeider hos en oppdragsgiver og er underlagt dennes styring og kontroll, fremfor hos egen arbeidsgiver.</w:t>
      </w:r>
    </w:p>
    <w:p w14:paraId="31727ACE" w14:textId="77777777" w:rsidR="0016483D" w:rsidRPr="006D7319" w:rsidRDefault="0016483D" w:rsidP="007173E8">
      <w:pPr>
        <w:pStyle w:val="avsnitt-under-undertittel"/>
      </w:pPr>
      <w:r w:rsidRPr="006D7319">
        <w:t>Likebehandlingsprinsippet</w:t>
      </w:r>
    </w:p>
    <w:p w14:paraId="0FDE08E1" w14:textId="633D9AFE" w:rsidR="0016483D" w:rsidRPr="006D7319" w:rsidRDefault="0016483D" w:rsidP="006D7319">
      <w:r w:rsidRPr="006D7319">
        <w:t>Likebehandling av lønns- og arbeidsvilkår ved utleie fra bemanningsforetak er regulert i arbeidsmiljø</w:t>
      </w:r>
      <w:r w:rsidRPr="006D7319">
        <w:t xml:space="preserve">loven </w:t>
      </w:r>
      <w:r w:rsidR="006A50F4">
        <w:t>§ </w:t>
      </w:r>
      <w:r w:rsidR="006A50F4" w:rsidRPr="006D7319">
        <w:t>1</w:t>
      </w:r>
      <w:r w:rsidRPr="006D7319">
        <w:t xml:space="preserve">4-12 a, og er en gjennomføring av vikarbyrådirektivet artikkel 5, se også </w:t>
      </w:r>
      <w:proofErr w:type="spellStart"/>
      <w:r w:rsidR="006A50F4">
        <w:t>Prop</w:t>
      </w:r>
      <w:proofErr w:type="spellEnd"/>
      <w:r w:rsidR="006A50F4">
        <w:t xml:space="preserve">. </w:t>
      </w:r>
      <w:r w:rsidR="006A50F4" w:rsidRPr="006D7319">
        <w:t>74</w:t>
      </w:r>
      <w:r w:rsidR="006A50F4">
        <w:t xml:space="preserve"> </w:t>
      </w:r>
      <w:r w:rsidR="006A50F4" w:rsidRPr="006D7319">
        <w:t>L (2011</w:t>
      </w:r>
      <w:r w:rsidRPr="006D7319">
        <w:t>–</w:t>
      </w:r>
      <w:r w:rsidRPr="006D7319">
        <w:lastRenderedPageBreak/>
        <w:t>2012). Kjernen i likebehandlingsregelen er at lønns- og arbeidsvilkårene til den innleide skal være de samme som om vedkommende var direkte ansatt hos innleier for å utføre samme arbeid.</w:t>
      </w:r>
    </w:p>
    <w:p w14:paraId="5407639F" w14:textId="1179B318" w:rsidR="0016483D" w:rsidRPr="006D7319" w:rsidRDefault="0016483D" w:rsidP="006D7319">
      <w:r w:rsidRPr="006D7319">
        <w:t xml:space="preserve">Bestemmelsen i </w:t>
      </w:r>
      <w:r w:rsidR="006A50F4">
        <w:t>§ </w:t>
      </w:r>
      <w:r w:rsidR="006A50F4" w:rsidRPr="006D7319">
        <w:t>1</w:t>
      </w:r>
      <w:r w:rsidRPr="006D7319">
        <w:t xml:space="preserve">4-12 a slår fast at bemanningsforetaket skal sørge for at utleid arbeidstaker minst sikres de vilkår som ville kommet til anvendelse dersom arbeidstaker hadde vært ansatt hos innleier for å utføre samme arbeid, når det gjelder arbeidstidens lengde og plassering, overtidsarbeid, varighet og plassering av pauser og hvileperioder, </w:t>
      </w:r>
      <w:r w:rsidRPr="006D7319">
        <w:t xml:space="preserve">nattarbeid, feriefritid, feriepenger, fridager og godtgjøring på slike dager, og lønn og utgiftsdekning. Etter andre ledd skal arbeidstaker som blir leid ut, ha samme tilgang til felles goder og tjenester hos innleier som virksomhetens egne arbeidstakere, med mindre objektive grunner tilsier noe annet. Etter tredje ledd kan departementet i forskrift bestemme om og i </w:t>
      </w:r>
      <w:r w:rsidRPr="006D7319">
        <w:t xml:space="preserve">hvilken utstrekning bestemmelsene om likebehandling kan fravikes ved tariffavtale. Den </w:t>
      </w:r>
      <w:r w:rsidRPr="006D7319">
        <w:t>generelle beskyttelse av arbeidstakerne må i alle tilfelle respekteres.</w:t>
      </w:r>
    </w:p>
    <w:p w14:paraId="3A85BA55" w14:textId="77777777" w:rsidR="0016483D" w:rsidRPr="006D7319" w:rsidRDefault="0016483D" w:rsidP="007173E8">
      <w:pPr>
        <w:pStyle w:val="avsnitt-under-undertittel"/>
      </w:pPr>
      <w:r w:rsidRPr="006D7319">
        <w:t>Opplysningsplikt og innsynsrett ved leie av arbeidstaker fra bemanningsforetak</w:t>
      </w:r>
    </w:p>
    <w:p w14:paraId="374A141D" w14:textId="0B63CEB4" w:rsidR="0016483D" w:rsidRPr="006D7319" w:rsidRDefault="0016483D" w:rsidP="006D7319">
      <w:r w:rsidRPr="006D7319">
        <w:t>Ved innføringen av likebehandlingsprinsippet la departementet til grunn at gjennomføring av vikarbyrådirektivet og likebehandlingsprinsippet krever at det etableres ordninger som sikrer at reglene etterleves.</w:t>
      </w:r>
      <w:r w:rsidR="006A50F4" w:rsidRPr="006A50F4">
        <w:rPr>
          <w:rStyle w:val="Fotnotereferanse"/>
        </w:rPr>
        <w:footnoteReference w:id="70"/>
      </w:r>
      <w:r w:rsidRPr="006D7319">
        <w:t xml:space="preserve"> I arbeidsmiljøloven </w:t>
      </w:r>
      <w:r w:rsidR="006A50F4">
        <w:t>§ </w:t>
      </w:r>
      <w:r w:rsidR="006A50F4" w:rsidRPr="006D7319">
        <w:t>1</w:t>
      </w:r>
      <w:r w:rsidRPr="006D7319">
        <w:t xml:space="preserve">4-12 b er det derfor gitt regler om opplysningsplikt og innsynsrett knyttet til likebehandlingsregelen i ulike </w:t>
      </w:r>
      <w:r w:rsidRPr="006D7319">
        <w:t>relasjoner. Formålet med reglene er å sikre en effektiv gjennom</w:t>
      </w:r>
      <w:r w:rsidRPr="006D7319">
        <w:t>f</w:t>
      </w:r>
      <w:r w:rsidRPr="006D7319">
        <w:t>øring av likebehandlingskravet.</w:t>
      </w:r>
    </w:p>
    <w:p w14:paraId="2FF27015" w14:textId="38BCDB0C" w:rsidR="0016483D" w:rsidRPr="006D7319" w:rsidRDefault="0016483D" w:rsidP="006D7319">
      <w:r w:rsidRPr="006D7319">
        <w:t xml:space="preserve">Etter </w:t>
      </w:r>
      <w:r w:rsidR="006A50F4">
        <w:t>§ </w:t>
      </w:r>
      <w:r w:rsidR="006A50F4" w:rsidRPr="006D7319">
        <w:t>1</w:t>
      </w:r>
      <w:r w:rsidRPr="006D7319">
        <w:t>4-12 b første ledd skal innleier gi bemann</w:t>
      </w:r>
      <w:r w:rsidRPr="006D7319">
        <w:t xml:space="preserve">ingsforetaket de opplysninger som er nødvendige for at bemanningsforetaket skal kunne ivareta </w:t>
      </w:r>
      <w:r w:rsidRPr="006D7319">
        <w:t>kravet om likebehandling. Bemanningsforetaket skal, når arbeidstaker ber om det, gi de opplysninger som er nødvendige for at arbeidstaker skal kunne vurdere om egne lønns- og arbeidsvilkår oppfyller kravet om likebehandling, jf. andre ledd. Bemann</w:t>
      </w:r>
      <w:r w:rsidRPr="006D7319">
        <w:t xml:space="preserve">ingsforetaket skal, når innleier ber om det, dokumentere hvilke lønns- og arbeidsvilkår som er avtalt med arbeidstaker som leies ut til innleier, jf. tredje ledd. Videre skal innleier, når tillitsvalgte hos innleier ber om det, dokumentere hvilke lønns- og arbeidsvilkår som er avtalt mellom innleid arbeidstaker og </w:t>
      </w:r>
      <w:r w:rsidRPr="006D7319">
        <w:t>dennes arbeidsgiver, jf. fjerde ledd. Opplysnings</w:t>
      </w:r>
      <w:r w:rsidRPr="006D7319">
        <w:t xml:space="preserve">plikten etter tredje og fjerde ledd gjelder bare de vilkår som er gjenstand for likebehandlingskravet i </w:t>
      </w:r>
      <w:r w:rsidR="006A50F4">
        <w:t>§ </w:t>
      </w:r>
      <w:r w:rsidR="006A50F4" w:rsidRPr="006D7319">
        <w:t>1</w:t>
      </w:r>
      <w:r w:rsidRPr="006D7319">
        <w:t xml:space="preserve">4-12 a, jf. femte ledd. I sjette ledd er </w:t>
      </w:r>
      <w:r w:rsidRPr="006D7319">
        <w:t>departementet gitt forskriftshjemmel til å gi nærmere regler om innsynsrett, opplysningsplikt og taushetsplikt mv.</w:t>
      </w:r>
      <w:r w:rsidR="006A50F4" w:rsidRPr="006A50F4">
        <w:rPr>
          <w:rStyle w:val="Fotnotereferanse"/>
        </w:rPr>
        <w:footnoteReference w:id="71"/>
      </w:r>
    </w:p>
    <w:p w14:paraId="02C29D6A" w14:textId="77777777" w:rsidR="0016483D" w:rsidRPr="006D7319" w:rsidRDefault="0016483D" w:rsidP="007173E8">
      <w:pPr>
        <w:pStyle w:val="avsnitt-under-undertittel"/>
      </w:pPr>
      <w:r w:rsidRPr="006D7319">
        <w:lastRenderedPageBreak/>
        <w:t>Solidaransvar for innleier</w:t>
      </w:r>
    </w:p>
    <w:p w14:paraId="7F1D9F6E" w14:textId="6C1B053F" w:rsidR="0016483D" w:rsidRPr="006D7319" w:rsidRDefault="0016483D" w:rsidP="006D7319">
      <w:r w:rsidRPr="006D7319">
        <w:t>Som vist over er det bemanningsforetaket som er pliktsubjekt for likebehandlingsregelen, og har ansvar for å utbetale lønn mv. til sine arbeidstakere som leies ut. Ved innføringen av likebehandlings</w:t>
      </w:r>
      <w:r w:rsidRPr="006D7319">
        <w:t>regelen ble det imidlertid samtidig innført en regel om solidaransvar for innleier.</w:t>
      </w:r>
    </w:p>
    <w:p w14:paraId="2E7A3A72" w14:textId="69854147" w:rsidR="0016483D" w:rsidRPr="006D7319" w:rsidRDefault="0016483D" w:rsidP="006D7319">
      <w:r w:rsidRPr="006D7319">
        <w:t xml:space="preserve">Regelen om solidaransvar for innleier følger av arbeidsmiljøloven </w:t>
      </w:r>
      <w:r w:rsidR="006A50F4">
        <w:t>§ </w:t>
      </w:r>
      <w:r w:rsidR="006A50F4" w:rsidRPr="006D7319">
        <w:t>1</w:t>
      </w:r>
      <w:r w:rsidRPr="006D7319">
        <w:t>4-12 c, som fastsetter at virksom</w:t>
      </w:r>
      <w:r w:rsidRPr="006D7319">
        <w:t>heter som leier inn arbeidstaker fra bemann</w:t>
      </w:r>
      <w:r w:rsidRPr="006D7319">
        <w:t xml:space="preserve">ingsforetak, hefter på samme måte som en selvskyldnerkausjonist for utbetaling av lønn, feriepenger og eventuell annen godtgjøring etter kravet om likebehandling i </w:t>
      </w:r>
      <w:r w:rsidR="006A50F4">
        <w:t>§ </w:t>
      </w:r>
      <w:r w:rsidR="006A50F4" w:rsidRPr="006D7319">
        <w:t>1</w:t>
      </w:r>
      <w:r w:rsidRPr="006D7319">
        <w:t xml:space="preserve">4-12 a, inkludert krav som følger av tariffavtale som nevnt i </w:t>
      </w:r>
      <w:r w:rsidR="006A50F4">
        <w:t>§ </w:t>
      </w:r>
      <w:r w:rsidR="006A50F4" w:rsidRPr="006D7319">
        <w:t>1</w:t>
      </w:r>
      <w:r w:rsidRPr="006D7319">
        <w:t xml:space="preserve">4-12 a tredje ledd. Ved solidaransvar etter første punktum hefter </w:t>
      </w:r>
      <w:proofErr w:type="spellStart"/>
      <w:r w:rsidRPr="006D7319">
        <w:t>solidaransvarlig</w:t>
      </w:r>
      <w:proofErr w:type="spellEnd"/>
      <w:r w:rsidRPr="006D7319">
        <w:t xml:space="preserve"> også for feriepenger opptjent i tilknytning til kravet. I andre til fjerde ledd følger visse prosessuelle regler og ansvarsbegrensninger i visse situasjoner.</w:t>
      </w:r>
    </w:p>
    <w:p w14:paraId="2220FF28" w14:textId="77777777" w:rsidR="0016483D" w:rsidRPr="006D7319" w:rsidRDefault="0016483D" w:rsidP="006D7319">
      <w:r w:rsidRPr="006D7319">
        <w:t>Om behovet for en slik regel for å sikre etterlevelsen av likebehandlingsprinsippet skrev departementet følgende i forarbeidene:</w:t>
      </w:r>
    </w:p>
    <w:p w14:paraId="66E96FE7" w14:textId="1695C4E7" w:rsidR="0016483D" w:rsidRPr="006A50F4" w:rsidRDefault="0016483D" w:rsidP="006D7319">
      <w:pPr>
        <w:pStyle w:val="blokksit"/>
      </w:pPr>
      <w:r w:rsidRPr="006A50F4">
        <w:t>Det er av stor betydning at likebehandlings</w:t>
      </w:r>
      <w:r w:rsidRPr="006A50F4">
        <w:t xml:space="preserve">prinsippet blir effektivt. Oppfyllelse av lønnsforpliktelsene er en grunnleggende </w:t>
      </w:r>
      <w:r w:rsidRPr="006A50F4">
        <w:t xml:space="preserve">rettighet for arbeidstaker. I denne sammenheng mener departementet at solidaransvar vil være et godt tiltak. Utsikten til å kunne bli stilt solidarisk ansvarlig vil kunne virke som en sterk motivasjon for </w:t>
      </w:r>
      <w:r w:rsidRPr="006A50F4">
        <w:t>innleievirksomhetene til å velge vikarbyråer som driver seriøst og følger gjeldende regler, og til å følge opp dette så lenge oppdraget pågår. Et solidaransvar vil styrke arbeids</w:t>
      </w:r>
      <w:r w:rsidRPr="006A50F4">
        <w:t xml:space="preserve">takernes muligheter til å få utbetalt den </w:t>
      </w:r>
      <w:r w:rsidRPr="006A50F4">
        <w:t>lønnen de har krav på, og vil dermed bidra til å effektivisere likebehandlingsprinsippet.</w:t>
      </w:r>
    </w:p>
    <w:p w14:paraId="2476F0F9" w14:textId="2AFF147D" w:rsidR="0016483D" w:rsidRPr="006A50F4" w:rsidRDefault="0016483D" w:rsidP="006D7319">
      <w:pPr>
        <w:pStyle w:val="blokksit"/>
      </w:pPr>
      <w:r w:rsidRPr="006A50F4">
        <w:t>Selv om innleievirksomheten ikke er arbeidsgiver for den aktuelle arbeidstakeren, utøver den vesentlige praktiske arbeidsgiverfunksjoner i den perioden arbeidstaker er innleid. Dette gjør at det etter departementets syn ikke er urimelig at innleier også får et ansvar for at arbeidstakerens krav på lønn mv. etter likebehandlingsprinsippet overholdes. Innleievirksomheten kan også selv bidra til å oppfylle lovkravet om li</w:t>
      </w:r>
      <w:r w:rsidRPr="006A50F4">
        <w:t xml:space="preserve">kebehandling ved å gi god og dekkende informasjon til vikarbyrået om hva som ville vært vilkårene ved ansettelse i stedet for </w:t>
      </w:r>
      <w:proofErr w:type="gramStart"/>
      <w:r w:rsidRPr="006A50F4">
        <w:t>innleie</w:t>
      </w:r>
      <w:proofErr w:type="gramEnd"/>
      <w:r w:rsidRPr="006A50F4">
        <w:t>, jf. forslag om opplysningsplikt for innleievirksomheten i punkt 12.4. Innleievirksomheten vil også ofte kunne holde tilbake betalingen til vikarbyrået, og står dermed i en sterkere posisjon overfor vikarbyrået enn hva arbeidstakeren gjør.</w:t>
      </w:r>
      <w:r w:rsidR="006A50F4" w:rsidRPr="006A50F4">
        <w:rPr>
          <w:rStyle w:val="Fotnotereferanse"/>
        </w:rPr>
        <w:footnoteReference w:id="72"/>
      </w:r>
    </w:p>
    <w:p w14:paraId="02074432" w14:textId="77777777" w:rsidR="0016483D" w:rsidRPr="006D7319" w:rsidRDefault="0016483D" w:rsidP="006D7319">
      <w:pPr>
        <w:pStyle w:val="Overskrift4"/>
      </w:pPr>
      <w:r w:rsidRPr="006D7319">
        <w:t>Innleie fra virksomhet som ikke har til formål å drive utleie (produksjonsbedrift)</w:t>
      </w:r>
    </w:p>
    <w:p w14:paraId="6BCFED6E" w14:textId="19272B01" w:rsidR="0016483D" w:rsidRPr="006D7319" w:rsidRDefault="0016483D" w:rsidP="006D7319">
      <w:r w:rsidRPr="006D7319">
        <w:t xml:space="preserve">Vilkårene for å leie inn fra virksomhet som ikke har til formål å drive utleie </w:t>
      </w:r>
      <w:proofErr w:type="gramStart"/>
      <w:r w:rsidRPr="006D7319">
        <w:t>fremgår</w:t>
      </w:r>
      <w:proofErr w:type="gramEnd"/>
      <w:r w:rsidRPr="006D7319">
        <w:t xml:space="preserve"> av arbeidsmiljø</w:t>
      </w:r>
      <w:r w:rsidRPr="006D7319">
        <w:t xml:space="preserve">loven </w:t>
      </w:r>
      <w:r w:rsidR="006A50F4">
        <w:t>§ </w:t>
      </w:r>
      <w:r w:rsidR="006A50F4" w:rsidRPr="006D7319">
        <w:t>1</w:t>
      </w:r>
      <w:r w:rsidRPr="006D7319">
        <w:t xml:space="preserve">4-13. Dette omtales gjerne som innleie fra </w:t>
      </w:r>
      <w:r w:rsidR="006A50F4">
        <w:t>«</w:t>
      </w:r>
      <w:r w:rsidRPr="006D7319">
        <w:t>produksjonsbedrift</w:t>
      </w:r>
      <w:r w:rsidR="006A50F4">
        <w:t>»</w:t>
      </w:r>
      <w:r w:rsidRPr="006D7319">
        <w:t>. Adgangen til slik innleie kom inn i den tidligere arbeidsmiljøloven i 2000, og fulgte opp Arbeidsformidlings- og arbeidsleieut</w:t>
      </w:r>
      <w:r w:rsidRPr="006D7319">
        <w:t xml:space="preserve">valgets forslag om særskilt regulering av adgangen til </w:t>
      </w:r>
      <w:proofErr w:type="gramStart"/>
      <w:r w:rsidRPr="006D7319">
        <w:t>innleie</w:t>
      </w:r>
      <w:proofErr w:type="gramEnd"/>
      <w:r w:rsidRPr="006D7319">
        <w:t xml:space="preserve"> ved arbeidsleie mellom virksomheter som ikke har til formål å drive utleie.</w:t>
      </w:r>
      <w:r w:rsidR="006A50F4" w:rsidRPr="006A50F4">
        <w:rPr>
          <w:rStyle w:val="Fotnotereferanse"/>
        </w:rPr>
        <w:footnoteReference w:id="73"/>
      </w:r>
      <w:r w:rsidRPr="006D7319">
        <w:t xml:space="preserve"> Departementet omtalte dette som ordinære virksomheter, tradisjonelt </w:t>
      </w:r>
      <w:r w:rsidRPr="006D7319">
        <w:lastRenderedPageBreak/>
        <w:t>produksjons</w:t>
      </w:r>
      <w:r w:rsidRPr="006D7319">
        <w:t>bedrifter innenfor verksteds- eller oljeindustrien. I forarbeidene følger det videre om begrunnelsen for regelen at:</w:t>
      </w:r>
    </w:p>
    <w:p w14:paraId="22D488CE" w14:textId="153C62E0" w:rsidR="0016483D" w:rsidRPr="006A50F4" w:rsidRDefault="0016483D" w:rsidP="006D7319">
      <w:pPr>
        <w:pStyle w:val="blokksit"/>
      </w:pPr>
      <w:r w:rsidRPr="006A50F4">
        <w:t xml:space="preserve">Begrunnelsen for å gi særskilte regler for virksomheter som ikke har til formål å drive utleie er at det er ønskelig med en videre adgang til arbeidsleie mellom slike virksomheter enn det </w:t>
      </w:r>
      <w:r w:rsidR="006A50F4">
        <w:t>§ </w:t>
      </w:r>
      <w:r w:rsidR="006A50F4" w:rsidRPr="006A50F4">
        <w:t>5</w:t>
      </w:r>
      <w:r w:rsidRPr="006A50F4">
        <w:t>8 A-modellen</w:t>
      </w:r>
      <w:r w:rsidR="006A50F4" w:rsidRPr="006A50F4">
        <w:rPr>
          <w:rStyle w:val="Fotnotereferanse"/>
        </w:rPr>
        <w:footnoteReference w:id="74"/>
      </w:r>
      <w:r w:rsidRPr="006A50F4">
        <w:t xml:space="preserve"> gir adgang til. For eksempel vil en </w:t>
      </w:r>
      <w:r w:rsidR="006A50F4">
        <w:t>§ </w:t>
      </w:r>
      <w:r w:rsidR="006A50F4" w:rsidRPr="006A50F4">
        <w:t>5</w:t>
      </w:r>
      <w:r w:rsidRPr="006A50F4">
        <w:t>8 A-</w:t>
      </w:r>
      <w:r w:rsidRPr="006A50F4">
        <w:t xml:space="preserve">løsning ikke være egnet for </w:t>
      </w:r>
      <w:r w:rsidRPr="006A50F4">
        <w:t xml:space="preserve">virksomheter som ønsker å leie ut sine tilsatte som </w:t>
      </w:r>
      <w:r w:rsidRPr="006A50F4">
        <w:t xml:space="preserve">alternativ til f.eks. </w:t>
      </w:r>
      <w:r w:rsidRPr="006A50F4">
        <w:t xml:space="preserve">oppsigelse eller </w:t>
      </w:r>
      <w:r w:rsidRPr="006A50F4">
        <w:t xml:space="preserve">permittering. </w:t>
      </w:r>
      <w:r w:rsidRPr="006A50F4">
        <w:t xml:space="preserve">Utvalget beskriver dette som </w:t>
      </w:r>
      <w:r w:rsidRPr="006A50F4">
        <w:t xml:space="preserve">utlånslignende </w:t>
      </w:r>
      <w:r w:rsidRPr="006A50F4">
        <w:t xml:space="preserve">situasjoner mellom virksomheter som </w:t>
      </w:r>
      <w:r w:rsidRPr="006A50F4">
        <w:t xml:space="preserve">driver aktivitet innenfor noenlunde samme </w:t>
      </w:r>
      <w:r w:rsidRPr="006A50F4">
        <w:t xml:space="preserve">områder. Utvalget viser til at skillet har lang tradisjon i Norge, ettersom det i utgangspunktet har vært et forbud mot utleie av arbeidskraft fra vikarbyråer, med unntak av kontorsektoren mv., mens det i </w:t>
      </w:r>
      <w:r w:rsidRPr="006A50F4">
        <w:t xml:space="preserve">praksis har vært vid adgang til å få </w:t>
      </w:r>
      <w:r w:rsidRPr="006A50F4">
        <w:t>dispensasjon for arbeidsleie mellom tradisjonelle produksjons</w:t>
      </w:r>
      <w:r w:rsidRPr="006A50F4">
        <w:t xml:space="preserve">bedrifter. Forslaget tar </w:t>
      </w:r>
      <w:proofErr w:type="gramStart"/>
      <w:r w:rsidRPr="006A50F4">
        <w:t>således</w:t>
      </w:r>
      <w:proofErr w:type="gramEnd"/>
      <w:r w:rsidRPr="006A50F4">
        <w:t xml:space="preserve"> sikte på å videreføre muligheten til å benytte arbeidsleie i disse tilfellene.</w:t>
      </w:r>
      <w:r w:rsidR="006A50F4" w:rsidRPr="006A50F4">
        <w:rPr>
          <w:rStyle w:val="Fotnotereferanse"/>
        </w:rPr>
        <w:footnoteReference w:id="75"/>
      </w:r>
    </w:p>
    <w:p w14:paraId="4E910A59" w14:textId="2FC0B182" w:rsidR="0016483D" w:rsidRPr="006D7319" w:rsidRDefault="0016483D" w:rsidP="006D7319">
      <w:r w:rsidRPr="006D7319">
        <w:t xml:space="preserve">Slik innleie er tillatt når den innleide er fast ansatt hos utleier. For at virksomheten skal sies ikke å ha til formål å drive utleie, er det et vilkår at utleie skjer innenfor de samme fagområder som utgjør utleierens hovedbeskjeftigelse og at utleieaktiviteten ikke omfatter mer enn 50 prosent av de fast ansatte hos utleier. Innleier skal foreta drøftelser med </w:t>
      </w:r>
      <w:r w:rsidRPr="006D7319">
        <w:t xml:space="preserve">tillitsvalgte som til sammen representerer et flertall av den arbeidstakerkategori </w:t>
      </w:r>
      <w:proofErr w:type="spellStart"/>
      <w:r w:rsidRPr="006D7319">
        <w:t>innleien</w:t>
      </w:r>
      <w:proofErr w:type="spellEnd"/>
      <w:r w:rsidRPr="006D7319">
        <w:t xml:space="preserve"> gjelder før beslutning om </w:t>
      </w:r>
      <w:proofErr w:type="gramStart"/>
      <w:r w:rsidRPr="006D7319">
        <w:t>innleie</w:t>
      </w:r>
      <w:proofErr w:type="gramEnd"/>
      <w:r w:rsidRPr="006D7319">
        <w:t xml:space="preserve"> foretas.</w:t>
      </w:r>
    </w:p>
    <w:p w14:paraId="2D46C50F" w14:textId="42F2AD84" w:rsidR="0016483D" w:rsidRPr="006D7319" w:rsidRDefault="0016483D" w:rsidP="006D7319">
      <w:r w:rsidRPr="006D7319">
        <w:t>De to vilkårene ordlyden oppstiller for at virksomheten ikke skal sies å ha til formål å drive utleie, er minstevilkår.</w:t>
      </w:r>
      <w:r w:rsidR="006A50F4" w:rsidRPr="006A50F4">
        <w:rPr>
          <w:rStyle w:val="Fotnotereferanse"/>
        </w:rPr>
        <w:footnoteReference w:id="76"/>
      </w:r>
      <w:r w:rsidRPr="006D7319">
        <w:t xml:space="preserve"> Det innebærer at selv om minstevilkårene er oppfylt, vil en helhetsvurdering kunne lede til at innleieforholdet likevel ikke kan anses omfattet av </w:t>
      </w:r>
      <w:r w:rsidR="006A50F4">
        <w:t>§ </w:t>
      </w:r>
      <w:r w:rsidR="006A50F4" w:rsidRPr="006D7319">
        <w:t>1</w:t>
      </w:r>
      <w:r w:rsidRPr="006D7319">
        <w:t xml:space="preserve">4-13, og dermed reguleres av </w:t>
      </w:r>
      <w:r w:rsidR="006A50F4">
        <w:t>§ </w:t>
      </w:r>
      <w:r w:rsidR="006A50F4" w:rsidRPr="006D7319">
        <w:t>1</w:t>
      </w:r>
      <w:r w:rsidRPr="006D7319">
        <w:t xml:space="preserve">4-12. Ved helhetsvurderingen vil formålet med </w:t>
      </w:r>
      <w:r w:rsidR="006A50F4">
        <w:t>§ </w:t>
      </w:r>
      <w:r w:rsidR="006A50F4" w:rsidRPr="006D7319">
        <w:t>1</w:t>
      </w:r>
      <w:r w:rsidRPr="006D7319">
        <w:t xml:space="preserve">4-13 stå sentralt, jf. Rt-2013-1730 (YIT-dommen) avsnitt 48. Saken gjaldt krav om fast ansettelse som følge av at den ansatte hadde vært innleid til Statoil i mer enn fire år, jf. tidligere </w:t>
      </w:r>
      <w:r w:rsidR="006A50F4">
        <w:t>§ </w:t>
      </w:r>
      <w:r w:rsidR="006A50F4" w:rsidRPr="006D7319">
        <w:t>1</w:t>
      </w:r>
      <w:r w:rsidRPr="006D7319">
        <w:t>4-9 syvende ledd. Arbeids</w:t>
      </w:r>
      <w:r w:rsidRPr="006D7319">
        <w:t xml:space="preserve">takeren var ansatt som IT-tekniker i YIT, men ble fra første dag leid ut til Statoil. Både ansettelsen i YIT og utleien til Statoil var initiert av og begrunnet i </w:t>
      </w:r>
      <w:r w:rsidRPr="006D7319">
        <w:t xml:space="preserve">Statoils behov. Høyesterett viste til at hovedformålet med </w:t>
      </w:r>
      <w:r w:rsidR="006A50F4">
        <w:t>§ </w:t>
      </w:r>
      <w:r w:rsidR="006A50F4" w:rsidRPr="006D7319">
        <w:t>1</w:t>
      </w:r>
      <w:r w:rsidRPr="006D7319">
        <w:t xml:space="preserve">4-13 er å tilgodese utleiebedriftens behov for å kunne leie ut egne ansatte når de ellers ville blitt midlertidig overflødige, og konkluderte </w:t>
      </w:r>
      <w:r w:rsidRPr="006D7319">
        <w:lastRenderedPageBreak/>
        <w:t xml:space="preserve">med at </w:t>
      </w:r>
      <w:proofErr w:type="spellStart"/>
      <w:r w:rsidRPr="006D7319">
        <w:t>innleien</w:t>
      </w:r>
      <w:proofErr w:type="spellEnd"/>
      <w:r w:rsidRPr="006D7319">
        <w:t xml:space="preserve"> av IT-teknikeren lå </w:t>
      </w:r>
      <w:r w:rsidR="006A50F4">
        <w:t>«</w:t>
      </w:r>
      <w:r w:rsidRPr="006D7319">
        <w:t xml:space="preserve">såpass fjernt fra det som var ment omfattet av </w:t>
      </w:r>
      <w:r w:rsidR="006A50F4">
        <w:t>§ </w:t>
      </w:r>
      <w:r w:rsidR="006A50F4" w:rsidRPr="006D7319">
        <w:t>1</w:t>
      </w:r>
      <w:r w:rsidRPr="006D7319">
        <w:t>4-13, at utleien ikke kan anses å ha hjemmel i bestemmelsen</w:t>
      </w:r>
      <w:r w:rsidR="006A50F4">
        <w:t>»</w:t>
      </w:r>
      <w:r w:rsidRPr="006D7319">
        <w:t xml:space="preserve"> (avsnitt 52).</w:t>
      </w:r>
      <w:r w:rsidR="006A50F4" w:rsidRPr="006A50F4">
        <w:rPr>
          <w:rStyle w:val="Fotnotereferanse"/>
        </w:rPr>
        <w:footnoteReference w:id="77"/>
      </w:r>
    </w:p>
    <w:p w14:paraId="0F02AA4B" w14:textId="073091D3" w:rsidR="0016483D" w:rsidRPr="006D7319" w:rsidRDefault="0016483D" w:rsidP="006D7319">
      <w:r w:rsidRPr="006D7319">
        <w:t xml:space="preserve">For </w:t>
      </w:r>
      <w:proofErr w:type="gramStart"/>
      <w:r w:rsidRPr="006D7319">
        <w:t>innleie</w:t>
      </w:r>
      <w:proofErr w:type="gramEnd"/>
      <w:r w:rsidRPr="006D7319">
        <w:t xml:space="preserve"> som overstiger 10 prosent av de ansatte hos</w:t>
      </w:r>
      <w:r w:rsidRPr="006A50F4">
        <w:rPr>
          <w:rStyle w:val="kursiv"/>
        </w:rPr>
        <w:t xml:space="preserve"> innleier</w:t>
      </w:r>
      <w:r w:rsidRPr="006D7319">
        <w:t xml:space="preserve">, likevel ikke færre enn tre personer, eller som har en varighet ut over ett år, skal det inngås skriftlig avtale med tillitsvalgte som til sammen representerer et flertall av den arbeidstakerkategori </w:t>
      </w:r>
      <w:proofErr w:type="spellStart"/>
      <w:r w:rsidRPr="006D7319">
        <w:t>innleien</w:t>
      </w:r>
      <w:proofErr w:type="spellEnd"/>
      <w:r w:rsidRPr="006D7319">
        <w:t xml:space="preserve"> gjelder. Dette gjelder ikke for </w:t>
      </w:r>
      <w:proofErr w:type="gramStart"/>
      <w:r w:rsidRPr="006D7319">
        <w:t>innleie</w:t>
      </w:r>
      <w:proofErr w:type="gramEnd"/>
      <w:r w:rsidRPr="006D7319">
        <w:t xml:space="preserve"> innenfor samme konsern, jf. </w:t>
      </w:r>
      <w:r w:rsidR="006A50F4">
        <w:t>§ </w:t>
      </w:r>
      <w:r w:rsidR="006A50F4" w:rsidRPr="006D7319">
        <w:t>1</w:t>
      </w:r>
      <w:r w:rsidRPr="006D7319">
        <w:t>4-13 andre ledd.</w:t>
      </w:r>
    </w:p>
    <w:p w14:paraId="744BAA8D" w14:textId="723C7ADA" w:rsidR="0016483D" w:rsidRPr="006D7319" w:rsidRDefault="0016483D" w:rsidP="006D7319">
      <w:r w:rsidRPr="006D7319">
        <w:t xml:space="preserve">Etter krav fra tillitsvalgte som representerer den arbeidstakerkategori </w:t>
      </w:r>
      <w:proofErr w:type="spellStart"/>
      <w:r w:rsidRPr="006D7319">
        <w:t>innleien</w:t>
      </w:r>
      <w:proofErr w:type="spellEnd"/>
      <w:r w:rsidRPr="006D7319">
        <w:t xml:space="preserve"> gjelder, skal arbeids</w:t>
      </w:r>
      <w:r w:rsidRPr="006D7319">
        <w:t xml:space="preserve">giver dokumentere at vilkårene for </w:t>
      </w:r>
      <w:proofErr w:type="gramStart"/>
      <w:r w:rsidRPr="006D7319">
        <w:t>innleie</w:t>
      </w:r>
      <w:proofErr w:type="gramEnd"/>
      <w:r w:rsidRPr="006D7319">
        <w:t xml:space="preserve"> etter </w:t>
      </w:r>
      <w:r w:rsidRPr="006D7319">
        <w:t>første ledd er oppfylt.</w:t>
      </w:r>
    </w:p>
    <w:p w14:paraId="15DAE2FA" w14:textId="77777777" w:rsidR="0016483D" w:rsidRPr="006D7319" w:rsidRDefault="0016483D" w:rsidP="006D7319">
      <w:pPr>
        <w:pStyle w:val="Overskrift3"/>
      </w:pPr>
      <w:r w:rsidRPr="006D7319">
        <w:t>Tjenestekjøp fra selvstendige oppdragstakere (oppdrag) og andre virksomheter (entreprise)</w:t>
      </w:r>
    </w:p>
    <w:p w14:paraId="09425F20" w14:textId="77777777" w:rsidR="0016483D" w:rsidRPr="006D7319" w:rsidRDefault="0016483D" w:rsidP="006D7319">
      <w:r w:rsidRPr="006D7319">
        <w:t>Med tjenestekjøp menes at en virksomhet (oppdragsgiver) kjøper tjenester fra en annen (oppdragstaker). Dette kan være tjenestekjøp fra selvstendige oppdragstakere eller fra andre virksomheter med egne ansatte. Hvis det dreier seg om tjenestekjøp fra selvstendige oppdragstakere, vil det rettslig sett bli omtalt som et oppdrag i denne rapporten. Dersom tjenestekjøpet er fra en annen virksomhet med egne ansatte, vil det rettslig sett bli omtalt som entreprise i denne rapporten.</w:t>
      </w:r>
    </w:p>
    <w:p w14:paraId="5247FAFB" w14:textId="35F7F7CE" w:rsidR="0016483D" w:rsidRPr="006D7319" w:rsidRDefault="0016483D" w:rsidP="006D7319">
      <w:r w:rsidRPr="006D7319">
        <w:t xml:space="preserve">I praksis er det ikke uvanlig at selvstendige som leverer oppdrag de selv utfører, omtaler oppdragsforholdet som et </w:t>
      </w:r>
      <w:r w:rsidR="006A50F4">
        <w:t>«</w:t>
      </w:r>
      <w:r w:rsidRPr="006D7319">
        <w:t>utleieoppdrag</w:t>
      </w:r>
      <w:r w:rsidR="006A50F4">
        <w:t>»</w:t>
      </w:r>
      <w:r w:rsidRPr="006D7319">
        <w:t xml:space="preserve"> eller at de </w:t>
      </w:r>
      <w:r w:rsidR="006A50F4">
        <w:t>«</w:t>
      </w:r>
      <w:r w:rsidRPr="006D7319">
        <w:t>leier seg ut</w:t>
      </w:r>
      <w:r w:rsidR="006A50F4">
        <w:t>»</w:t>
      </w:r>
      <w:r w:rsidRPr="006D7319">
        <w:t xml:space="preserve">, selv om kontraktsforholdet rettslig sett ikke omfattes av innleiereglene etter arbeidsmiljøloven. Det er heller ikke uvanlig at selvstendige i praksis omtaler oppdrag de selv utfører som en entreprise eller tjenesteentreprise. Dette medfører at den </w:t>
      </w:r>
      <w:r w:rsidRPr="006D7319">
        <w:t>dagligdagse benevnelsen av tjenestekjøpet ikke nødvendigvis harmonerer med de rettslige begrepene som benyttes i denne rapporten.</w:t>
      </w:r>
    </w:p>
    <w:p w14:paraId="2E745D68" w14:textId="77777777" w:rsidR="0016483D" w:rsidRPr="006D7319" w:rsidRDefault="0016483D" w:rsidP="007173E8">
      <w:pPr>
        <w:pStyle w:val="avsnitt-under-undertittel"/>
      </w:pPr>
      <w:r w:rsidRPr="006D7319">
        <w:t>Selvstendige oppdragstakere</w:t>
      </w:r>
    </w:p>
    <w:p w14:paraId="413019AD" w14:textId="33D3427C" w:rsidR="0016483D" w:rsidRPr="006D7319" w:rsidRDefault="0016483D" w:rsidP="006D7319">
      <w:r w:rsidRPr="006D7319">
        <w:t>Med selvstendige oppdragstakere forstås enkelt</w:t>
      </w:r>
      <w:r w:rsidRPr="006D7319">
        <w:t>personer som uten egne ansatte utfører arbeid for en virksomhet uten å være arbeidstaker.</w:t>
      </w:r>
      <w:r w:rsidR="006A50F4" w:rsidRPr="006A50F4">
        <w:rPr>
          <w:rStyle w:val="Fotnotereferanse"/>
        </w:rPr>
        <w:footnoteReference w:id="78"/>
      </w:r>
      <w:r w:rsidRPr="006D7319">
        <w:t xml:space="preserve"> Begrepene selvstendige, selvstendig næringsdrivende, selvstendige oppdragstakere og frilansere benyttes til dels om hverandre i forskningslitteraturen og i ulike kartlegginger.</w:t>
      </w:r>
      <w:r w:rsidR="006A50F4" w:rsidRPr="006A50F4">
        <w:rPr>
          <w:rStyle w:val="Fotnotereferanse"/>
        </w:rPr>
        <w:footnoteReference w:id="79"/>
      </w:r>
    </w:p>
    <w:p w14:paraId="6D55D2D8" w14:textId="77777777" w:rsidR="0016483D" w:rsidRPr="006D7319" w:rsidRDefault="0016483D" w:rsidP="006D7319">
      <w:r w:rsidRPr="006D7319">
        <w:lastRenderedPageBreak/>
        <w:t>I forarbeidene gis det følgende beskrivelse av hva som menes med selvstendige:</w:t>
      </w:r>
    </w:p>
    <w:p w14:paraId="10868FDF" w14:textId="2ABCE922" w:rsidR="0016483D" w:rsidRPr="006A50F4" w:rsidRDefault="0016483D" w:rsidP="006D7319">
      <w:pPr>
        <w:pStyle w:val="blokksit"/>
      </w:pPr>
      <w:r w:rsidRPr="006A50F4">
        <w:t xml:space="preserve">Med selvstendige menes her personer som utøver sin yrkesaktivitet uten et ansettelsesforhold av noen art og uten å være underordnet en tredjeperson. Dette er samme innhold som legges til grunn i EUs henstilling om å forbedre helse og sikkerhet for selvstendige. Begrepet </w:t>
      </w:r>
      <w:r w:rsidR="006A50F4">
        <w:t>«</w:t>
      </w:r>
      <w:r w:rsidRPr="006A50F4">
        <w:t>selvstendige</w:t>
      </w:r>
      <w:r w:rsidR="006A50F4">
        <w:t>»</w:t>
      </w:r>
      <w:r w:rsidRPr="006A50F4">
        <w:t xml:space="preserve"> omfatter </w:t>
      </w:r>
      <w:proofErr w:type="gramStart"/>
      <w:r w:rsidRPr="006A50F4">
        <w:t>således</w:t>
      </w:r>
      <w:proofErr w:type="gramEnd"/>
      <w:r w:rsidRPr="006A50F4">
        <w:t xml:space="preserve"> både enmannsbedrifter/-foretak og selvstendige oppdragstakere.</w:t>
      </w:r>
      <w:r w:rsidR="006A50F4" w:rsidRPr="006A50F4">
        <w:rPr>
          <w:rStyle w:val="Fotnotereferanse"/>
        </w:rPr>
        <w:footnoteReference w:id="80"/>
      </w:r>
    </w:p>
    <w:p w14:paraId="154A2AF7" w14:textId="5674FA0C" w:rsidR="0016483D" w:rsidRPr="006D7319" w:rsidRDefault="0016483D" w:rsidP="006D7319">
      <w:r w:rsidRPr="006D7319">
        <w:t>Utgangspunktet er at arbeidsmiljøloven ikke gjelder for selvstendige oppdragstakere.</w:t>
      </w:r>
      <w:r w:rsidR="006A50F4" w:rsidRPr="006A50F4">
        <w:rPr>
          <w:rStyle w:val="Fotnotereferanse"/>
        </w:rPr>
        <w:footnoteReference w:id="81"/>
      </w:r>
      <w:r w:rsidRPr="006D7319">
        <w:t xml:space="preserve"> Den </w:t>
      </w:r>
      <w:r w:rsidRPr="006D7319">
        <w:t>selvstendige oppdragstakeren vil følgelig heller ikke være vernet av arbeidsmiljølovens regler om stillingsvern og arbeidstid mv., og må som utgangspunkt selv sørge for at arbeidet utføres under forsvarlige forhold.</w:t>
      </w:r>
      <w:r w:rsidR="006A50F4" w:rsidRPr="006A50F4">
        <w:rPr>
          <w:rStyle w:val="Fotnotereferanse"/>
        </w:rPr>
        <w:footnoteReference w:id="82"/>
      </w:r>
      <w:r w:rsidRPr="006D7319">
        <w:t xml:space="preserve"> Forholdet mellom oppdragsgiver og den </w:t>
      </w:r>
      <w:r w:rsidRPr="006D7319">
        <w:t>selvstendige oppdragstakeren er et kontraktsforhold som reguleres av alminnelige avtalerettslige prinsipper og hvor partene derfor har større forhandlingsfrihet enn i et arbeidsforhold.</w:t>
      </w:r>
    </w:p>
    <w:p w14:paraId="595F0E1C" w14:textId="77777777" w:rsidR="0016483D" w:rsidRPr="006D7319" w:rsidRDefault="0016483D" w:rsidP="007173E8">
      <w:pPr>
        <w:pStyle w:val="avsnitt-under-undertittel"/>
      </w:pPr>
      <w:r w:rsidRPr="006D7319">
        <w:t>Entreprise</w:t>
      </w:r>
    </w:p>
    <w:p w14:paraId="2EAD33D8" w14:textId="06290BE5" w:rsidR="0016483D" w:rsidRPr="006D7319" w:rsidRDefault="0016483D" w:rsidP="006D7319">
      <w:r w:rsidRPr="006D7319">
        <w:t xml:space="preserve">Tjenestekjøp fra andre virksomheter med egne ansatte, omtales gjerne som entreprise. I denne rapporten benyttes </w:t>
      </w:r>
      <w:r w:rsidR="006A50F4">
        <w:t>«</w:t>
      </w:r>
      <w:r w:rsidRPr="006D7319">
        <w:t>entreprise</w:t>
      </w:r>
      <w:r w:rsidR="006A50F4">
        <w:t>»</w:t>
      </w:r>
      <w:r w:rsidRPr="006D7319">
        <w:t xml:space="preserve"> om situasjoner hvor det foretas tjenestekjøp fra andre virksomheter med egne ansatte (i motsetning til tjenestekjøp fra selvstendig oppdragstaker). Eksempler på dette kan være kjøp av kantine- og renholdstjenester. Grensedragningen mellom </w:t>
      </w:r>
      <w:proofErr w:type="gramStart"/>
      <w:r w:rsidRPr="006D7319">
        <w:t>innleie</w:t>
      </w:r>
      <w:proofErr w:type="gramEnd"/>
      <w:r w:rsidRPr="006D7319">
        <w:t xml:space="preserve"> og entreprise er omtalt i punkt 2.4.5 nedenfor.</w:t>
      </w:r>
    </w:p>
    <w:p w14:paraId="45AABFFB" w14:textId="134ECBE6" w:rsidR="0016483D" w:rsidRPr="006D7319" w:rsidRDefault="0016483D" w:rsidP="006D7319">
      <w:r w:rsidRPr="006D7319">
        <w:t>Når det gjelder de arbeidsrettslige sidene i et entrepriseforhold, vil forholdet mellom oppdragstaker og egne arbeidstakere være underlagt de alminnelige reglene i arbeidsforhold.</w:t>
      </w:r>
      <w:r w:rsidR="006A50F4" w:rsidRPr="006A50F4">
        <w:rPr>
          <w:rStyle w:val="Fotnotereferanse"/>
        </w:rPr>
        <w:footnoteReference w:id="83"/>
      </w:r>
      <w:r w:rsidRPr="006D7319">
        <w:t xml:space="preserve"> Oppdragsgiver har i utgangspunktet ingen arbeidsgiverplikter overfor oppdragstakers arbeidstakere. Det finnes likevel </w:t>
      </w:r>
      <w:r w:rsidRPr="006D7319">
        <w:lastRenderedPageBreak/>
        <w:t>noen regler som gir oppdragsgiver visse plikter og ansvar i entreprisesituasjoner.</w:t>
      </w:r>
      <w:r w:rsidR="006A50F4" w:rsidRPr="006A50F4">
        <w:rPr>
          <w:rStyle w:val="Fotnotereferanse"/>
        </w:rPr>
        <w:footnoteReference w:id="84"/>
      </w:r>
      <w:r w:rsidRPr="006D7319">
        <w:t xml:space="preserve"> Dette gjelder eksempelvis arbeidsmiljøloven </w:t>
      </w:r>
      <w:r w:rsidR="006A50F4">
        <w:t>§ </w:t>
      </w:r>
      <w:r w:rsidR="006A50F4" w:rsidRPr="006D7319">
        <w:t>2</w:t>
      </w:r>
      <w:r w:rsidRPr="006D7319">
        <w:t>-2 om arbeids</w:t>
      </w:r>
      <w:r w:rsidRPr="006D7319">
        <w:t>givers plikter overfor andre enn egne arbeidstakere, regler i byggherreforskriften om samordning og HMS-ansvar mv. og regler om lønns- og arbeids</w:t>
      </w:r>
      <w:r w:rsidRPr="006D7319">
        <w:t>vilkår etter allmenngjøringsregelverket og forskrift om lønns- og arbeidsvilkår i offentlige kontrakter, som gjelder for offentlige oppdragsgivere.</w:t>
      </w:r>
    </w:p>
    <w:p w14:paraId="4293EA35" w14:textId="5C2E921C" w:rsidR="0016483D" w:rsidRPr="006D7319" w:rsidRDefault="0016483D" w:rsidP="006D7319">
      <w:r w:rsidRPr="006A50F4">
        <w:rPr>
          <w:rStyle w:val="kursiv"/>
        </w:rPr>
        <w:t xml:space="preserve">Bemanningsentreprise </w:t>
      </w:r>
      <w:r w:rsidRPr="006D7319">
        <w:t xml:space="preserve">er et begrep som i </w:t>
      </w:r>
      <w:r w:rsidRPr="006D7319">
        <w:t>rettspraksis er benyttet om visse entreprisesituasjoner hvor bemanning står sentralt i leveransen.</w:t>
      </w:r>
      <w:r w:rsidR="006A50F4" w:rsidRPr="006A50F4">
        <w:rPr>
          <w:rStyle w:val="Fotnotereferanse"/>
        </w:rPr>
        <w:footnoteReference w:id="85"/>
      </w:r>
      <w:r w:rsidRPr="006D7319">
        <w:t xml:space="preserve"> I NOU 2021: 9 </w:t>
      </w:r>
      <w:r w:rsidRPr="006D7319">
        <w:t>Den norske modellen og fremtidens arbeidsliv</w:t>
      </w:r>
      <w:r w:rsidRPr="006D7319">
        <w:t xml:space="preserve"> </w:t>
      </w:r>
      <w:r w:rsidRPr="006D7319">
        <w:t>omtaler utvalget begrepet slik:</w:t>
      </w:r>
    </w:p>
    <w:p w14:paraId="3F8CCDEB" w14:textId="6240FDB7" w:rsidR="0016483D" w:rsidRPr="006A50F4" w:rsidRDefault="0016483D" w:rsidP="006D7319">
      <w:pPr>
        <w:pStyle w:val="blokksit"/>
      </w:pPr>
      <w:r w:rsidRPr="006A50F4">
        <w:t xml:space="preserve">Utvalget vurderer at begrepet </w:t>
      </w:r>
      <w:r w:rsidR="006A50F4">
        <w:t>«</w:t>
      </w:r>
      <w:r w:rsidRPr="006A50F4">
        <w:t>bemannings</w:t>
      </w:r>
      <w:r w:rsidRPr="006A50F4">
        <w:t>entreprise</w:t>
      </w:r>
      <w:r w:rsidR="006A50F4">
        <w:t>»</w:t>
      </w:r>
      <w:r w:rsidRPr="006A50F4">
        <w:t xml:space="preserve"> ikke har et klart, avgrenset innhold, men kan likestilles med tjenestekjøp mellom virksomheter hvor arbeidskraften utgjør den bærende innsatsfaktoren, men hvor det fortsatt er, eller hevdes å være, avtalt en resultatforpliktelse.</w:t>
      </w:r>
      <w:r w:rsidR="006A50F4" w:rsidRPr="006A50F4">
        <w:rPr>
          <w:rStyle w:val="Fotnotereferanse"/>
        </w:rPr>
        <w:footnoteReference w:id="86"/>
      </w:r>
    </w:p>
    <w:p w14:paraId="17C481F9" w14:textId="339D88B3" w:rsidR="0016483D" w:rsidRPr="006D7319" w:rsidRDefault="0016483D" w:rsidP="006D7319">
      <w:r w:rsidRPr="006D7319">
        <w:t>HR-2018-2371-A (Norwegian) gjaldt blant annet spørsmål om avtaler om tjenestekjøp</w:t>
      </w:r>
      <w:r w:rsidRPr="006D7319">
        <w:t xml:space="preserve"> innad i et konsern skulle anses som innleie eller entreprise. Flyselskapet Norwegian foretok en omfattende omorganisering som innebar at piloter og kabin</w:t>
      </w:r>
      <w:r w:rsidRPr="006D7319">
        <w:t>personale ble virksomhetsoverdratt til nyopprettede datterselskaper, og at driftsselskapene i konsernet, herunder morselskapet, skulle bemanne flyene gjennom egne avtaler om tjenestekjøp fra datterselskapene. Arbeidstakerne reiste søksmål og krevde fast ansettelse i morselskapet, blant annet med påstand om at det forelå ulovlig innleie. Høyesterett kom til at avtalene ikke var å anse som innleie, selv om bemanning sto sentralt i leveransen. Høyesterett kom til at det forelå en bemanningsentreprise og la vek</w:t>
      </w:r>
      <w:r w:rsidRPr="006D7319">
        <w:t>t på at det var oppdragstaker som var ansvarlig for arbeidsledelsen og at det forelå en resultatforpliktelse. Arbeidstakerne vant derfor ikke frem med krav om fast ansettelse i morselskapet. Høyesterett viste til uttalelser i Rt-2013-998 (</w:t>
      </w:r>
      <w:proofErr w:type="spellStart"/>
      <w:r w:rsidRPr="006D7319">
        <w:t>Quality</w:t>
      </w:r>
      <w:proofErr w:type="spellEnd"/>
      <w:r w:rsidRPr="006D7319">
        <w:t xml:space="preserve"> People) avsnitt 63 om at nye måter å organisere næringsvirksomhet på kan utfordre arbeidsmiljølovens formål om å sikre trygge ansettelsesforhold, og uttalte at det er en lovgiveroppgave å vurdere behovet for eventuelle regelendringer.</w:t>
      </w:r>
    </w:p>
    <w:p w14:paraId="68BAD983" w14:textId="2B2E325F" w:rsidR="0016483D" w:rsidRPr="006D7319" w:rsidRDefault="0016483D" w:rsidP="006D7319">
      <w:r w:rsidRPr="006D7319">
        <w:t>Avgjørelsen førte til økt oppm</w:t>
      </w:r>
      <w:r w:rsidRPr="006D7319">
        <w:t xml:space="preserve">erksomhet knyttet til grensen mellom </w:t>
      </w:r>
      <w:proofErr w:type="gramStart"/>
      <w:r w:rsidRPr="006D7319">
        <w:t>innleie</w:t>
      </w:r>
      <w:proofErr w:type="gramEnd"/>
      <w:r w:rsidRPr="006D7319">
        <w:t xml:space="preserve"> og entreprise, og ble grundig drøftet i NOU 2021: 9. Utvalget foreslo å lovfeste momentene som taler for at en oppdragsavtale </w:t>
      </w:r>
      <w:r w:rsidRPr="006D7319">
        <w:lastRenderedPageBreak/>
        <w:t>er å anse som innleie. Forslaget ble fulgt opp av departe</w:t>
      </w:r>
      <w:r w:rsidRPr="006D7319">
        <w:t xml:space="preserve">mentet i </w:t>
      </w:r>
      <w:proofErr w:type="spellStart"/>
      <w:r w:rsidR="006A50F4">
        <w:t>Prop</w:t>
      </w:r>
      <w:proofErr w:type="spellEnd"/>
      <w:r w:rsidR="006A50F4">
        <w:t xml:space="preserve">. </w:t>
      </w:r>
      <w:r w:rsidR="006A50F4" w:rsidRPr="006D7319">
        <w:t>131</w:t>
      </w:r>
      <w:r w:rsidR="006A50F4">
        <w:t xml:space="preserve"> </w:t>
      </w:r>
      <w:r w:rsidR="006A50F4" w:rsidRPr="006D7319">
        <w:t>L (2021</w:t>
      </w:r>
      <w:r w:rsidRPr="006D7319">
        <w:t>–2022), jf. punkt 2.4.5 nedenfor.</w:t>
      </w:r>
    </w:p>
    <w:p w14:paraId="63376F4C" w14:textId="77777777" w:rsidR="0016483D" w:rsidRPr="006D7319" w:rsidRDefault="0016483D" w:rsidP="006D7319">
      <w:pPr>
        <w:pStyle w:val="Overskrift3"/>
      </w:pPr>
      <w:r w:rsidRPr="006D7319">
        <w:t xml:space="preserve">Grensen mellom </w:t>
      </w:r>
      <w:proofErr w:type="gramStart"/>
      <w:r w:rsidRPr="006D7319">
        <w:t>innleie</w:t>
      </w:r>
      <w:proofErr w:type="gramEnd"/>
      <w:r w:rsidRPr="006D7319">
        <w:t xml:space="preserve"> og entreprise</w:t>
      </w:r>
    </w:p>
    <w:p w14:paraId="60B5A859" w14:textId="0C06C8F1" w:rsidR="0016483D" w:rsidRPr="006D7319" w:rsidRDefault="0016483D" w:rsidP="006D7319">
      <w:r w:rsidRPr="006D7319">
        <w:t xml:space="preserve">Bestemmelsen i arbeidsmiljøloven </w:t>
      </w:r>
      <w:r w:rsidR="006A50F4">
        <w:t>§ </w:t>
      </w:r>
      <w:r w:rsidR="006A50F4" w:rsidRPr="006D7319">
        <w:t>1</w:t>
      </w:r>
      <w:r w:rsidRPr="006D7319">
        <w:t xml:space="preserve">4-12 fjerde ledd har til formål å tydeliggjøre grensen mellom </w:t>
      </w:r>
      <w:proofErr w:type="gramStart"/>
      <w:r w:rsidRPr="006D7319">
        <w:t>innleie</w:t>
      </w:r>
      <w:proofErr w:type="gramEnd"/>
      <w:r w:rsidRPr="006D7319">
        <w:t xml:space="preserve"> og entreprise, og trådte i kraft 1. april 2023. Bestemmelsen gjelder både ved innleie fra bemann</w:t>
      </w:r>
      <w:r w:rsidRPr="006D7319">
        <w:t xml:space="preserve">ingsforetak og innleie fra produksjonsbedrift, jf. </w:t>
      </w:r>
      <w:r w:rsidR="006A50F4">
        <w:t>§ </w:t>
      </w:r>
      <w:r w:rsidR="006A50F4" w:rsidRPr="006D7319">
        <w:t>1</w:t>
      </w:r>
      <w:r w:rsidRPr="006D7319">
        <w:t xml:space="preserve">4-13 femte ledd. Grensedragningen mellom </w:t>
      </w:r>
      <w:proofErr w:type="gramStart"/>
      <w:r w:rsidRPr="006D7319">
        <w:t>innleie</w:t>
      </w:r>
      <w:proofErr w:type="gramEnd"/>
      <w:r w:rsidRPr="006D7319">
        <w:t xml:space="preserve"> og entreprise ble tidligere regulert av ulovfestet rett. Grensedragningen må gjøres basert på en helhetsvurdering, hvor de momentene som er nevnt i bestemmelsen er relevante. De er imidlertid ikke uttømmende, jf. ordlyden </w:t>
      </w:r>
      <w:r w:rsidR="006A50F4">
        <w:t>«</w:t>
      </w:r>
      <w:r w:rsidRPr="006D7319">
        <w:t>blant annet</w:t>
      </w:r>
      <w:r w:rsidR="006A50F4">
        <w:t>»</w:t>
      </w:r>
      <w:r w:rsidRPr="006D7319">
        <w:t xml:space="preserve"> i andre punktum.</w:t>
      </w:r>
    </w:p>
    <w:p w14:paraId="34085432" w14:textId="5CB7D1CD" w:rsidR="0016483D" w:rsidRPr="006D7319" w:rsidRDefault="0016483D" w:rsidP="006D7319">
      <w:r w:rsidRPr="006D7319">
        <w:t>To sentrale momenter som tilsier at det foreligger innleie, er angitt i første punktum, nemlig om oppdragsgiver har i) ledelsen av arbeidet, og ii) ansvar for resultatet. Dette svarer til hva som har vært gjeld</w:t>
      </w:r>
      <w:r w:rsidRPr="006D7319">
        <w:t>ende rett tidligere, og tidligere forarbeider og retts</w:t>
      </w:r>
      <w:r w:rsidRPr="006D7319">
        <w:t>praksis vil være relevante ved tolkningen av dem.</w:t>
      </w:r>
      <w:r w:rsidR="006A50F4" w:rsidRPr="006A50F4">
        <w:rPr>
          <w:rStyle w:val="Fotnotereferanse"/>
        </w:rPr>
        <w:footnoteReference w:id="87"/>
      </w:r>
      <w:r w:rsidRPr="006D7319">
        <w:t xml:space="preserve"> I andre punktum fremgår det at andre relevante forhold blant annet er om det i hovedsak skal leveres arbeidskraft, om arbeidet skjer i nær </w:t>
      </w:r>
      <w:r w:rsidRPr="006D7319">
        <w:t xml:space="preserve">tilknytning til oppdragsgivers virksomhet, om </w:t>
      </w:r>
      <w:r w:rsidRPr="006D7319">
        <w:t>arbeidet dekker et vedvarende arbeidskraftbehov hos oppdrags</w:t>
      </w:r>
      <w:r w:rsidRPr="006D7319">
        <w:t>giver og om arbeidet skjer innenfor oppdrags</w:t>
      </w:r>
      <w:r w:rsidRPr="006D7319">
        <w:t>givers kjerne- eller hovedaktivitet. Det fremgår av for</w:t>
      </w:r>
      <w:r w:rsidRPr="006D7319">
        <w:t xml:space="preserve">arbeidene at momentene som er nevnt i andre punktum vil være </w:t>
      </w:r>
      <w:r w:rsidR="006A50F4">
        <w:t>«</w:t>
      </w:r>
      <w:r w:rsidRPr="006D7319">
        <w:t xml:space="preserve">av særlig betydning for å avklare om oppdragsavtalen utfordrer lovens formål om trygge ansettelsesforhold på en slik måte at den omfattes av de strengere reglene om </w:t>
      </w:r>
      <w:proofErr w:type="gramStart"/>
      <w:r w:rsidRPr="006D7319">
        <w:t>innleie</w:t>
      </w:r>
      <w:proofErr w:type="gramEnd"/>
      <w:r w:rsidR="006A50F4">
        <w:t>»</w:t>
      </w:r>
      <w:r w:rsidRPr="006D7319">
        <w:t xml:space="preserve">. Videre at momentene vil være særlig relevante ved avgrensningen mot entreprise av løpende tjenester, hvor arbeidskraften er det bærende elementet i </w:t>
      </w:r>
      <w:r w:rsidRPr="006D7319">
        <w:t>leveransen, såkalte bemanningsentrepriser.</w:t>
      </w:r>
      <w:r w:rsidR="006A50F4" w:rsidRPr="006A50F4">
        <w:rPr>
          <w:rStyle w:val="Fotnotereferanse"/>
        </w:rPr>
        <w:footnoteReference w:id="88"/>
      </w:r>
    </w:p>
    <w:p w14:paraId="3E92D14A" w14:textId="77777777" w:rsidR="0016483D" w:rsidRPr="006D7319" w:rsidRDefault="0016483D" w:rsidP="006D7319">
      <w:pPr>
        <w:pStyle w:val="Overskrift2"/>
      </w:pPr>
      <w:r w:rsidRPr="006D7319">
        <w:t>Nærmere om selvstendige rådgivere og konsulenters rettslige status etter arbeidsmiljøloven</w:t>
      </w:r>
    </w:p>
    <w:p w14:paraId="2173D688" w14:textId="77777777" w:rsidR="0016483D" w:rsidRPr="006D7319" w:rsidRDefault="0016483D" w:rsidP="006D7319">
      <w:pPr>
        <w:pStyle w:val="Overskrift3"/>
      </w:pPr>
      <w:r w:rsidRPr="006D7319">
        <w:t>Innledning</w:t>
      </w:r>
    </w:p>
    <w:p w14:paraId="73F9E04B" w14:textId="2DD576D2" w:rsidR="0016483D" w:rsidRPr="006D7319" w:rsidRDefault="0016483D" w:rsidP="006D7319">
      <w:r w:rsidRPr="006D7319">
        <w:t xml:space="preserve">Som beskrevet i punkt 1.1 har det vært en viss </w:t>
      </w:r>
      <w:r w:rsidRPr="006D7319">
        <w:t xml:space="preserve">praksis der flere har lagt til grunn at det er mulig å leie inn arbeidskraft fra enkeltpersonforetak og aksjeselskap hvor eier er eneste arbeidende person i virksomheten etter arbeidsmiljølovens regler om </w:t>
      </w:r>
      <w:proofErr w:type="gramStart"/>
      <w:r w:rsidRPr="006D7319">
        <w:t>innleie</w:t>
      </w:r>
      <w:proofErr w:type="gramEnd"/>
      <w:r w:rsidRPr="006D7319">
        <w:t xml:space="preserve"> fra bemanningsforetak.</w:t>
      </w:r>
    </w:p>
    <w:p w14:paraId="541E82A0" w14:textId="25BF3D7D" w:rsidR="0016483D" w:rsidRPr="006D7319" w:rsidRDefault="0016483D" w:rsidP="006D7319">
      <w:r w:rsidRPr="006D7319">
        <w:t xml:space="preserve">Problemstillingen knyttet til om det kan leies inn arbeidskraft fra enkeltpersonforetak eller aksjeselskap hvor eier er eneste arbeidende person i virksomheten, kan trolig ses på fra flere </w:t>
      </w:r>
      <w:r w:rsidRPr="006D7319">
        <w:t>innfallsvinkler. Arbeidsgruppen er ikke kjent med at problem</w:t>
      </w:r>
      <w:r w:rsidRPr="006D7319">
        <w:t xml:space="preserve">stillingen har vært behandlet av nasjonale domstoler </w:t>
      </w:r>
      <w:r w:rsidRPr="006D7319">
        <w:lastRenderedPageBreak/>
        <w:t xml:space="preserve">eller EU-domstolen tidligere, og det er derfor </w:t>
      </w:r>
      <w:r w:rsidRPr="006D7319">
        <w:t xml:space="preserve">usikkert hvordan en domstol ville vurdert spørsmålet. Det er mulig å se for seg ulike innganger til </w:t>
      </w:r>
      <w:r w:rsidRPr="006D7319">
        <w:t xml:space="preserve">spørsmålet. En mulig inngang vil kunne være å starte med utgangspunkt i innleiereglene og vurdere hvorvidt innleiereglene kommer til anvendelse. En annen mulig innfallsvinkel er å vurdere spørsmålet med utgangspunkt i arbeidsmiljølovens arbeidstakerbegrep i </w:t>
      </w:r>
      <w:r w:rsidR="006A50F4">
        <w:t>§ </w:t>
      </w:r>
      <w:r w:rsidR="006A50F4" w:rsidRPr="006D7319">
        <w:t>1</w:t>
      </w:r>
      <w:r w:rsidRPr="006D7319">
        <w:t xml:space="preserve">-8 og omfangsbestemmelsen i </w:t>
      </w:r>
      <w:r w:rsidR="006A50F4">
        <w:t>§ </w:t>
      </w:r>
      <w:r w:rsidR="006A50F4" w:rsidRPr="006D7319">
        <w:t>1</w:t>
      </w:r>
      <w:r w:rsidRPr="006D7319">
        <w:t>-2, og vurdere hvorvidt enpersonsbedriften faller inn under lovens bestemmelser, herunder innleiereglene. I det følg</w:t>
      </w:r>
      <w:r w:rsidRPr="006D7319">
        <w:t>ende tas det utgangspunkt i innleiereglene.</w:t>
      </w:r>
    </w:p>
    <w:p w14:paraId="318604D3" w14:textId="068CFA4B" w:rsidR="0016483D" w:rsidRPr="006D7319" w:rsidRDefault="0016483D" w:rsidP="006D7319">
      <w:r w:rsidRPr="006D7319">
        <w:t xml:space="preserve">Gjennomgangen av gjeldende rett hittil har vist at innleiereglene i arbeidsmiljøloven forutsetter et </w:t>
      </w:r>
      <w:proofErr w:type="spellStart"/>
      <w:r w:rsidRPr="006D7319">
        <w:t>trepartsforhold</w:t>
      </w:r>
      <w:proofErr w:type="spellEnd"/>
      <w:r w:rsidRPr="006D7319">
        <w:t>, og at det er naturlig å lese ordlyden i §</w:t>
      </w:r>
      <w:r w:rsidR="006A50F4">
        <w:t>§ </w:t>
      </w:r>
      <w:r w:rsidR="006A50F4" w:rsidRPr="006D7319">
        <w:t>1</w:t>
      </w:r>
      <w:r w:rsidRPr="006D7319">
        <w:t xml:space="preserve">4-12 og 14-13 slik at den som leies ut/inn er </w:t>
      </w:r>
      <w:r w:rsidR="006A50F4">
        <w:t>«</w:t>
      </w:r>
      <w:r w:rsidRPr="006D7319">
        <w:t>arbeidstaker</w:t>
      </w:r>
      <w:r w:rsidR="006A50F4">
        <w:t>»</w:t>
      </w:r>
      <w:r w:rsidRPr="006D7319">
        <w:t xml:space="preserve"> i arbeidsmiljølovens forstand. Videre har gjennomgangen vist at vurderingen av hvorvidt man er arbeidstaker etter arbeidsmiljøloven beror på en konkret vurdering av realitetene, i lys av lovens verneformål.</w:t>
      </w:r>
    </w:p>
    <w:p w14:paraId="7D73DE2D" w14:textId="348EFCB0" w:rsidR="0016483D" w:rsidRPr="006D7319" w:rsidRDefault="0016483D" w:rsidP="006D7319">
      <w:r w:rsidRPr="006D7319">
        <w:t xml:space="preserve">Ved vurderingen av om innleiemodellen er en mulig tilknytningsform etter gjeldende rett for kjøp av konsulent- og rådgivertjenester fra virksomhet hvor eier er eneste arbeidende person, er det naturlig å </w:t>
      </w:r>
      <w:r w:rsidRPr="006D7319">
        <w:t>vurdere hvorvidt konsulenten/rådgiveren kan regnes som arbeidstaker i egen virksomhet i arbeidsmiljø</w:t>
      </w:r>
      <w:r w:rsidRPr="006D7319">
        <w:t>lovens forstand. Dette gjelder enten virksomheten er organisert som et enkeltpersonforetak eller et aksjeselskap.</w:t>
      </w:r>
    </w:p>
    <w:p w14:paraId="611F6825" w14:textId="28A6722E" w:rsidR="0016483D" w:rsidRPr="006D7319" w:rsidRDefault="0016483D" w:rsidP="006D7319">
      <w:r w:rsidRPr="006D7319">
        <w:t xml:space="preserve">I dette punktet skal det derfor sees nærmere på rettskilder som belyser </w:t>
      </w:r>
      <w:proofErr w:type="gramStart"/>
      <w:r w:rsidRPr="006D7319">
        <w:t>anvendelsen</w:t>
      </w:r>
      <w:proofErr w:type="gramEnd"/>
      <w:r w:rsidRPr="006D7319">
        <w:t xml:space="preserve"> av arbeids</w:t>
      </w:r>
      <w:r w:rsidRPr="006D7319">
        <w:t>takerbegrepet på relasjonen mellom slike konsulenter/rådgivere og den virksomheten de selv eier og driver, særlig betydningen av eierposisjon og styring over virksomheten. Det vil også trekkes inn rettskilder knyttet til bestemmelsene om lovens anvendelsesområde i arbeidsmiljøloven §</w:t>
      </w:r>
      <w:r w:rsidR="006A50F4">
        <w:t>§ </w:t>
      </w:r>
      <w:r w:rsidR="006A50F4" w:rsidRPr="006D7319">
        <w:t>1</w:t>
      </w:r>
      <w:r w:rsidRPr="006D7319">
        <w:t xml:space="preserve">-2 og 1-4, ettersom hva som regnes som </w:t>
      </w:r>
      <w:r w:rsidR="006A50F4">
        <w:t>«</w:t>
      </w:r>
      <w:r w:rsidRPr="006D7319">
        <w:t>virksomhet som sysselsetter arbeidstaker</w:t>
      </w:r>
      <w:r w:rsidR="006A50F4">
        <w:t>»</w:t>
      </w:r>
      <w:r w:rsidRPr="006D7319">
        <w:t xml:space="preserve"> også kaster lys over spørsmålet.</w:t>
      </w:r>
    </w:p>
    <w:p w14:paraId="0CEB40C4" w14:textId="4B6816D5" w:rsidR="0016483D" w:rsidRPr="006D7319" w:rsidRDefault="0016483D" w:rsidP="006D7319">
      <w:r w:rsidRPr="006D7319">
        <w:t xml:space="preserve">I tillegg vil det trekkes inn rettskilder som belyser den rettslige klassifiseringen av avtalerelasjonen mellom virksomhet der eier er eneste arbeidende person og dennes </w:t>
      </w:r>
      <w:r w:rsidR="006A50F4">
        <w:t>«</w:t>
      </w:r>
      <w:r w:rsidRPr="006D7319">
        <w:t>kunde</w:t>
      </w:r>
      <w:r w:rsidR="006A50F4">
        <w:t>»</w:t>
      </w:r>
      <w:r w:rsidRPr="006D7319">
        <w:t xml:space="preserve"> eller oppdragsgiver. Dersom klassifiseringen vurderes som et spørsmål om arbeidstaker- eller oppdragsforhold (topartsforhold) fremfor som et spørsmål om </w:t>
      </w:r>
      <w:proofErr w:type="gramStart"/>
      <w:r w:rsidRPr="006D7319">
        <w:t>innleie</w:t>
      </w:r>
      <w:proofErr w:type="gramEnd"/>
      <w:r w:rsidRPr="006D7319">
        <w:t xml:space="preserve"> eller entreprise (</w:t>
      </w:r>
      <w:proofErr w:type="spellStart"/>
      <w:r w:rsidRPr="006D7319">
        <w:t>trepartsforhold</w:t>
      </w:r>
      <w:proofErr w:type="spellEnd"/>
      <w:r w:rsidRPr="006D7319">
        <w:t>), kan det gi en indikasjon på at slik virksomhet vurderes ut fra at den i realiteten består av én person, altså at man ikke regnes som arbeidstaker i eget foretak, uten at dette vil være en tungtveiende rettskilde i seg selv.</w:t>
      </w:r>
    </w:p>
    <w:p w14:paraId="38205334" w14:textId="77777777" w:rsidR="0016483D" w:rsidRPr="006D7319" w:rsidRDefault="0016483D" w:rsidP="006D7319">
      <w:r w:rsidRPr="006D7319">
        <w:t>Ettersom både de rettslige utgangspunktene og rettskildesituasjonen er noe ulike for enkel</w:t>
      </w:r>
      <w:r w:rsidRPr="006D7319">
        <w:t>tpersonforetak sammenlignet med aksjeselskap, behandles hver organisasjonsform for seg i det følgende.</w:t>
      </w:r>
    </w:p>
    <w:p w14:paraId="4B24CDFA" w14:textId="77777777" w:rsidR="0016483D" w:rsidRPr="006D7319" w:rsidRDefault="0016483D" w:rsidP="006D7319">
      <w:pPr>
        <w:pStyle w:val="Overskrift3"/>
      </w:pPr>
      <w:r w:rsidRPr="006D7319">
        <w:t>Forholdet mellom arbeidstakerbegrepet og eneeier av enkeltpersonforetak</w:t>
      </w:r>
    </w:p>
    <w:p w14:paraId="5DFED2B9" w14:textId="64708DBE" w:rsidR="0016483D" w:rsidRPr="006D7319" w:rsidRDefault="0016483D" w:rsidP="006D7319">
      <w:r w:rsidRPr="006D7319">
        <w:t xml:space="preserve">Som beskrevet i punkt 2.2.2 er det grunnleggende vurderingstemaet når det skal tas stilling til om en person er arbeidstaker i arbeidsmiljølovens forstand, hvorvidt det foreligger avhengighet, </w:t>
      </w:r>
      <w:r w:rsidRPr="006D7319">
        <w:lastRenderedPageBreak/>
        <w:t>underordning og skjevhet i avtaleforholdet, på en slik måte at det er behov for vernelovgivning.</w:t>
      </w:r>
      <w:r w:rsidR="006A50F4" w:rsidRPr="006A50F4">
        <w:rPr>
          <w:rStyle w:val="Fotnotereferanse"/>
        </w:rPr>
        <w:footnoteReference w:id="89"/>
      </w:r>
      <w:r w:rsidRPr="006D7319">
        <w:t xml:space="preserve"> En naturlig forståelse av dette utgangspunktet er også at underordnings</w:t>
      </w:r>
      <w:r w:rsidRPr="006D7319">
        <w:t>elementet tilsier at arbeidstakerstatus forutsetter en motpart – arbeidsgiver – som styrer, leder og kontrollerer arbeidet.</w:t>
      </w:r>
      <w:r w:rsidR="006A50F4" w:rsidRPr="006A50F4">
        <w:rPr>
          <w:rStyle w:val="Fotnotereferanse"/>
        </w:rPr>
        <w:footnoteReference w:id="90"/>
      </w:r>
    </w:p>
    <w:p w14:paraId="13E6FA6C" w14:textId="699D48B6" w:rsidR="0016483D" w:rsidRPr="006D7319" w:rsidRDefault="0016483D" w:rsidP="006D7319">
      <w:r w:rsidRPr="006D7319">
        <w:t>Et enkeltpersonforetak kjennetegnes som nevnt ved at det eies, styres og drives av én person, som har fullt personlig ansvar for eventuell gjeld og forplikt</w:t>
      </w:r>
      <w:r w:rsidRPr="006D7319">
        <w:t xml:space="preserve">elser. Dette innebærer med andre ord at det ikke er et juridisk skille mellom eieren og foretaket, og at de formaljuridisk må anses som samme rettssubjekt. Dette taler i seg selv for at eier ikke kan anses som </w:t>
      </w:r>
      <w:r w:rsidR="006A50F4">
        <w:t>«</w:t>
      </w:r>
      <w:r w:rsidRPr="006D7319">
        <w:t>arbeidstaker</w:t>
      </w:r>
      <w:r w:rsidR="006A50F4">
        <w:t>»</w:t>
      </w:r>
      <w:r w:rsidRPr="006D7319">
        <w:t xml:space="preserve"> som utfører arbeid </w:t>
      </w:r>
      <w:r w:rsidR="006A50F4">
        <w:t>«</w:t>
      </w:r>
      <w:r w:rsidRPr="006D7319">
        <w:t xml:space="preserve">for og underordnet </w:t>
      </w:r>
      <w:r w:rsidRPr="006A50F4">
        <w:rPr>
          <w:rStyle w:val="kursiv"/>
        </w:rPr>
        <w:t>en annen</w:t>
      </w:r>
      <w:r w:rsidR="006A50F4">
        <w:t>»</w:t>
      </w:r>
      <w:r w:rsidRPr="006D7319">
        <w:t xml:space="preserve"> i eget enkeltpersonforetak, jf. </w:t>
      </w:r>
      <w:r w:rsidR="006A50F4">
        <w:t>§ </w:t>
      </w:r>
      <w:r w:rsidR="006A50F4" w:rsidRPr="006D7319">
        <w:t>1</w:t>
      </w:r>
      <w:r w:rsidRPr="006D7319">
        <w:t>-8 første ledd. Fravær av underordningselementet og behov for vern i eget foretak hvor en selv besitter all beslutningsmyndighet i foretaket, understøtter dette.</w:t>
      </w:r>
    </w:p>
    <w:p w14:paraId="1F21B456" w14:textId="41BF0535" w:rsidR="0016483D" w:rsidRPr="006D7319" w:rsidRDefault="0016483D" w:rsidP="006D7319">
      <w:r w:rsidRPr="006D7319">
        <w:t xml:space="preserve">Videre har lovgiver i flere forarbeidsuttalelser lagt til grunn at </w:t>
      </w:r>
      <w:r w:rsidR="006A50F4">
        <w:t>«</w:t>
      </w:r>
      <w:r w:rsidRPr="006D7319">
        <w:t>enmannsvirksomheter</w:t>
      </w:r>
      <w:r w:rsidR="006A50F4">
        <w:t>»</w:t>
      </w:r>
      <w:r w:rsidRPr="006D7319">
        <w:t xml:space="preserve"> regnes som </w:t>
      </w:r>
      <w:r w:rsidR="006A50F4">
        <w:t>«</w:t>
      </w:r>
      <w:r w:rsidRPr="006D7319">
        <w:t>virksomhet som ikke sysselsetter arbeidstaker</w:t>
      </w:r>
      <w:r w:rsidR="006A50F4">
        <w:t>»</w:t>
      </w:r>
      <w:r w:rsidRPr="006D7319">
        <w:t xml:space="preserve"> etter</w:t>
      </w:r>
      <w:r w:rsidR="006D7319" w:rsidRPr="006D7319">
        <w:t xml:space="preserve"> </w:t>
      </w:r>
      <w:r w:rsidR="006A50F4">
        <w:t>§ </w:t>
      </w:r>
      <w:r w:rsidR="006A50F4" w:rsidRPr="006D7319">
        <w:t>1</w:t>
      </w:r>
      <w:r w:rsidRPr="006D7319">
        <w:t xml:space="preserve">-4, og dermed som utgangspunkt faller utenfor arbeidsmiljøloven, jf. </w:t>
      </w:r>
      <w:r w:rsidR="006A50F4">
        <w:t>§ </w:t>
      </w:r>
      <w:r w:rsidR="006A50F4" w:rsidRPr="006D7319">
        <w:t>1</w:t>
      </w:r>
      <w:r w:rsidRPr="006D7319">
        <w:t>-2.</w:t>
      </w:r>
      <w:r w:rsidR="006A50F4" w:rsidRPr="006A50F4">
        <w:rPr>
          <w:rStyle w:val="Fotnotereferanse"/>
        </w:rPr>
        <w:footnoteReference w:id="91"/>
      </w:r>
    </w:p>
    <w:p w14:paraId="6B101C6F" w14:textId="266A38F4" w:rsidR="0016483D" w:rsidRPr="006D7319" w:rsidRDefault="0016483D" w:rsidP="006D7319">
      <w:r w:rsidRPr="006D7319">
        <w:t xml:space="preserve">Spørsmålet er hvilke virksomheter lovgiver ved slike forarbeidsuttalelser har forutsatt at </w:t>
      </w:r>
      <w:r w:rsidR="006A50F4">
        <w:t>«</w:t>
      </w:r>
      <w:r w:rsidRPr="006D7319">
        <w:t>ikke sysselsetter arbeidstaker</w:t>
      </w:r>
      <w:r w:rsidR="006A50F4">
        <w:t>»</w:t>
      </w:r>
      <w:r w:rsidRPr="006D7319">
        <w:t>, og dermed i utgangspunktet faller utenfor arbeidsmiljøloven. Ut fra sammenhengen i de aktuelle forarbeidsuttalelsene er det naturlig å tolke uttalelsene slik at enkeltperson</w:t>
      </w:r>
      <w:r w:rsidRPr="006D7319">
        <w:t>foretak er omfattet av begrepet enmannsvirksomhet. Det er mer uklart om lovgiver også har ment at enmannsvirksomheter organisert som aksjeselskap som utgangspunkt faller utenfor loven, se nærmere om dette i punkt 2.5.3.</w:t>
      </w:r>
    </w:p>
    <w:p w14:paraId="641FBC51" w14:textId="0E41DACC" w:rsidR="0016483D" w:rsidRPr="006D7319" w:rsidRDefault="0016483D" w:rsidP="006D7319">
      <w:r w:rsidRPr="006D7319">
        <w:t xml:space="preserve">At eier og eneste arbeidende person i eget enkeltpersonforetak ikke er omfattet av arbeidsmiljøloven og ikke kan anses som </w:t>
      </w:r>
      <w:r w:rsidR="006A50F4">
        <w:t>«</w:t>
      </w:r>
      <w:r w:rsidRPr="006D7319">
        <w:t>arbeidstaker</w:t>
      </w:r>
      <w:r w:rsidR="006A50F4">
        <w:t>»</w:t>
      </w:r>
      <w:r w:rsidRPr="006D7319">
        <w:t xml:space="preserve"> i eget foretak, understøttes også av rettspraksis hvor det har vært spørsmål om den rettslige klassifiseringen av avtale</w:t>
      </w:r>
      <w:r w:rsidRPr="006D7319">
        <w:t xml:space="preserve">relasjonen mellom enkeltpersonforetaket og </w:t>
      </w:r>
      <w:r w:rsidRPr="006D7319">
        <w:t xml:space="preserve">dennes </w:t>
      </w:r>
      <w:r w:rsidR="006A50F4">
        <w:t>«</w:t>
      </w:r>
      <w:r w:rsidRPr="006D7319">
        <w:t>kunde</w:t>
      </w:r>
      <w:r w:rsidR="006A50F4">
        <w:t>»</w:t>
      </w:r>
      <w:r w:rsidRPr="006D7319">
        <w:t xml:space="preserve"> eller oppdragsgiver.</w:t>
      </w:r>
    </w:p>
    <w:p w14:paraId="30886224" w14:textId="77777777" w:rsidR="0016483D" w:rsidRPr="006D7319" w:rsidRDefault="0016483D" w:rsidP="006D7319">
      <w:r w:rsidRPr="006D7319">
        <w:t xml:space="preserve">I </w:t>
      </w:r>
      <w:proofErr w:type="spellStart"/>
      <w:r w:rsidRPr="006D7319">
        <w:t>Stendi</w:t>
      </w:r>
      <w:proofErr w:type="spellEnd"/>
      <w:r w:rsidRPr="006D7319">
        <w:t>/</w:t>
      </w:r>
      <w:proofErr w:type="spellStart"/>
      <w:r w:rsidRPr="006D7319">
        <w:t>Aleris</w:t>
      </w:r>
      <w:proofErr w:type="spellEnd"/>
      <w:r w:rsidRPr="006D7319">
        <w:t xml:space="preserve"> gikk 24 omsorgsarbeidere til sak mot </w:t>
      </w:r>
      <w:proofErr w:type="spellStart"/>
      <w:r w:rsidRPr="006D7319">
        <w:t>Stendi</w:t>
      </w:r>
      <w:proofErr w:type="spellEnd"/>
      <w:r w:rsidRPr="006D7319">
        <w:t>/</w:t>
      </w:r>
      <w:proofErr w:type="spellStart"/>
      <w:r w:rsidRPr="006D7319">
        <w:t>Aleris</w:t>
      </w:r>
      <w:proofErr w:type="spellEnd"/>
      <w:r w:rsidRPr="006D7319">
        <w:t xml:space="preserve"> med påstand om at de var å anse som arbeidstakere hos oppdragsgiver. Saksøkerne hadde opprettet enkeltpersonforetak, og i </w:t>
      </w:r>
      <w:r w:rsidRPr="006D7319">
        <w:lastRenderedPageBreak/>
        <w:t xml:space="preserve">oppdragsavtalene med </w:t>
      </w:r>
      <w:proofErr w:type="spellStart"/>
      <w:r w:rsidRPr="006D7319">
        <w:t>Stendi</w:t>
      </w:r>
      <w:proofErr w:type="spellEnd"/>
      <w:r w:rsidRPr="006D7319">
        <w:t>/</w:t>
      </w:r>
      <w:proofErr w:type="spellStart"/>
      <w:r w:rsidRPr="006D7319">
        <w:t>Aleris</w:t>
      </w:r>
      <w:proofErr w:type="spellEnd"/>
      <w:r w:rsidRPr="006D7319">
        <w:t xml:space="preserve"> var enkeltpersonforetakene angitt som part. Oppdragstakerne ble betegnet som konsulenter. Retten kom til at saksøkerne var å anse som arbeidstakere hos </w:t>
      </w:r>
      <w:proofErr w:type="spellStart"/>
      <w:r w:rsidRPr="006D7319">
        <w:t>Stendi</w:t>
      </w:r>
      <w:proofErr w:type="spellEnd"/>
      <w:r w:rsidRPr="006D7319">
        <w:t>/</w:t>
      </w:r>
      <w:proofErr w:type="spellStart"/>
      <w:r w:rsidRPr="006D7319">
        <w:t>Aleris</w:t>
      </w:r>
      <w:proofErr w:type="spellEnd"/>
      <w:r w:rsidRPr="006D7319">
        <w:t>. Om klassifiseringen uttalte lagmannsretten følgende:</w:t>
      </w:r>
    </w:p>
    <w:p w14:paraId="7B29DC6F" w14:textId="237F785C" w:rsidR="0016483D" w:rsidRPr="006A50F4" w:rsidRDefault="0016483D" w:rsidP="006D7319">
      <w:pPr>
        <w:pStyle w:val="blokksit"/>
      </w:pPr>
      <w:r w:rsidRPr="006A50F4">
        <w:t xml:space="preserve">Uttalelsene fra Høyesterett er generelle og gjelder uavhengig av hvordan den som har signert oppdragsavtalen har innrettet seg. Det bemerkes at også </w:t>
      </w:r>
      <w:proofErr w:type="spellStart"/>
      <w:r w:rsidRPr="006A50F4">
        <w:t>Stendi</w:t>
      </w:r>
      <w:proofErr w:type="spellEnd"/>
      <w:r w:rsidRPr="006A50F4">
        <w:t xml:space="preserve"> er enig i at det ikke har selvstendig betydning for den arbeidsrettslige klassifiseringen om den som har signert oppdragsavtalen har opprettet enkeltmannsforetak.</w:t>
      </w:r>
      <w:r w:rsidR="006A50F4" w:rsidRPr="006A50F4">
        <w:rPr>
          <w:rStyle w:val="Fotnotereferanse"/>
        </w:rPr>
        <w:footnoteReference w:id="92"/>
      </w:r>
    </w:p>
    <w:p w14:paraId="0FFA9AF8" w14:textId="77777777" w:rsidR="0016483D" w:rsidRPr="006D7319" w:rsidRDefault="0016483D" w:rsidP="006D7319">
      <w:r w:rsidRPr="006D7319">
        <w:t xml:space="preserve">Avgjørelsen viser at klassifiseringen vurderes som et spørsmål om arbeidstaker- eller oppdragsforhold (topartsforhold) hos kunden/oppdragsgiver, fremfor et spørsmål om </w:t>
      </w:r>
      <w:proofErr w:type="gramStart"/>
      <w:r w:rsidRPr="006D7319">
        <w:t>innleie</w:t>
      </w:r>
      <w:proofErr w:type="gramEnd"/>
      <w:r w:rsidRPr="006D7319">
        <w:t xml:space="preserve"> eller entreprise (</w:t>
      </w:r>
      <w:proofErr w:type="spellStart"/>
      <w:r w:rsidRPr="006D7319">
        <w:t>trepartsforhold</w:t>
      </w:r>
      <w:proofErr w:type="spellEnd"/>
      <w:r w:rsidRPr="006D7319">
        <w:t>), hvor oppdragstaker er ansatt hos oppdragsgiver. Avgjørelsen viser også at det ikke har noen betydning for spørsmålet hvorvidt oppdragstaker har opprettet et eget enkeltpersonforetak. Det tas utgangspunkt i at enkeltpersonforetaket i realiteten består av én person, og det problematiseres ikke hvorvidt vedkommende er arbeidstaker i sitt eget foretak.</w:t>
      </w:r>
    </w:p>
    <w:p w14:paraId="1C17CD53" w14:textId="77777777" w:rsidR="0016483D" w:rsidRPr="006D7319" w:rsidRDefault="0016483D" w:rsidP="006D7319">
      <w:r w:rsidRPr="006D7319">
        <w:t>På denne bakgrunn tilsier rettskildene at eier av eget enkeltpersonforetak ikke vil kunne anses som arbeidstaker i eg</w:t>
      </w:r>
      <w:r w:rsidRPr="006D7319">
        <w:t>et foretak, og derfor heller ikke vil kunne leies inn etter reglene i arbeidsmiljøloven etter gjeldende rett.</w:t>
      </w:r>
    </w:p>
    <w:p w14:paraId="582CA997" w14:textId="77777777" w:rsidR="0016483D" w:rsidRPr="006D7319" w:rsidRDefault="0016483D" w:rsidP="006D7319">
      <w:pPr>
        <w:pStyle w:val="Overskrift3"/>
      </w:pPr>
      <w:r w:rsidRPr="006D7319">
        <w:t>Forholdet mellom arbeidstakerbegrepet og eneeier av aksjeselskap</w:t>
      </w:r>
    </w:p>
    <w:p w14:paraId="4472E7C9" w14:textId="57ABFBE3" w:rsidR="0016483D" w:rsidRPr="006D7319" w:rsidRDefault="0016483D" w:rsidP="006D7319">
      <w:r w:rsidRPr="006D7319">
        <w:t>I motsetning til enkeltpersonforetak anses aksjeselskap som nevnt som en egen juridisk enhet som er skilt fra eieren personlig. Slik sett kan det argumenteres for at det formaljuridisk foreligger et topartsforhold mellom eieren og aksjeselskapet, også der hvor eieren er eneste ansatte i selskapet. Skatterettslig og trygderettslig kan eiere av eget aksjeselskap ansette seg selv og få rettigheter og plikter som skiller seg fra eiere av eget enkeltpersonforetak.</w:t>
      </w:r>
      <w:r w:rsidR="006A50F4" w:rsidRPr="006A50F4">
        <w:rPr>
          <w:rStyle w:val="Fotnotereferanse"/>
        </w:rPr>
        <w:footnoteReference w:id="93"/>
      </w:r>
      <w:r w:rsidRPr="006D7319">
        <w:t xml:space="preserve"> I NOU 2021: 9 er det vist til at en slik løsning vil innebære at eier og eneste ansatte i eget aksjeselskap da også kan regnes som arbeidstaker etter arbeidsmiljøloven, og at aksjeselskapet vil ha arbeidsgiveransvaret.</w:t>
      </w:r>
      <w:r w:rsidR="006A50F4" w:rsidRPr="006A50F4">
        <w:rPr>
          <w:rStyle w:val="Fotnotereferanse"/>
        </w:rPr>
        <w:footnoteReference w:id="94"/>
      </w:r>
      <w:r w:rsidRPr="006D7319">
        <w:t xml:space="preserve"> Uttalelsen inngår i </w:t>
      </w:r>
      <w:proofErr w:type="spellStart"/>
      <w:r w:rsidRPr="006D7319">
        <w:t>NOUens</w:t>
      </w:r>
      <w:proofErr w:type="spellEnd"/>
      <w:r w:rsidRPr="006D7319">
        <w:t xml:space="preserve"> </w:t>
      </w:r>
      <w:r w:rsidRPr="006D7319">
        <w:lastRenderedPageBreak/>
        <w:t>beskrivelse av bruk og omfang av ulike tilknytningsformer i arbeidslivet, og spørsmålet er ikke drøftet noe nærmere under utvalgets vurderinger.</w:t>
      </w:r>
    </w:p>
    <w:p w14:paraId="0732F35F" w14:textId="7DC7BF0B" w:rsidR="0016483D" w:rsidRPr="006D7319" w:rsidRDefault="0016483D" w:rsidP="006D7319">
      <w:r w:rsidRPr="006D7319">
        <w:t xml:space="preserve">Dersom eieren og eneste ansatte i selskapet ikke skal anses som arbeidstaker etter arbeidsrettslige regler på grunn av sitt eierskap, innebærer det i </w:t>
      </w:r>
      <w:r w:rsidRPr="006D7319">
        <w:t xml:space="preserve">realiteten en identifikasjon mellom selskapet og eieren. Identifikasjon mellom aksjeeieren og </w:t>
      </w:r>
      <w:r w:rsidRPr="006D7319">
        <w:t>selskapet bør fra et selskapsrettslig ståsted begrunnes.</w:t>
      </w:r>
      <w:r w:rsidR="006A50F4" w:rsidRPr="006A50F4">
        <w:rPr>
          <w:rStyle w:val="Fotnotereferanse"/>
        </w:rPr>
        <w:footnoteReference w:id="95"/>
      </w:r>
    </w:p>
    <w:p w14:paraId="48AF45D3" w14:textId="50F79EBF" w:rsidR="0016483D" w:rsidRPr="006D7319" w:rsidRDefault="0016483D" w:rsidP="006D7319">
      <w:r w:rsidRPr="006D7319">
        <w:t xml:space="preserve">Som nevnt over er det ved vurderingen av om det foreligger et arbeidstakerforhold realitetene i avtaleforholdet som er avgjørende, ikke hvordan partene har betegnet kontraktsforholdet. Arbeidstakerbegrepet er relativt og skal tolkes i lys av reglenes formål. Hvorvidt eier og eneste ansatte i eget aksjeselskap også kan anses som </w:t>
      </w:r>
      <w:r w:rsidR="006A50F4">
        <w:t>«</w:t>
      </w:r>
      <w:r w:rsidRPr="006D7319">
        <w:t>arbeidstaker</w:t>
      </w:r>
      <w:r w:rsidR="006A50F4">
        <w:t>»</w:t>
      </w:r>
      <w:r w:rsidRPr="006D7319">
        <w:t xml:space="preserve"> i arbeidsmiljølovens forstand, vil vurderes nærmere i det følgende.</w:t>
      </w:r>
    </w:p>
    <w:p w14:paraId="07167FFB" w14:textId="27AE68EE" w:rsidR="0016483D" w:rsidRPr="006D7319" w:rsidRDefault="0016483D" w:rsidP="006D7319">
      <w:r w:rsidRPr="006D7319">
        <w:t>Ved denne vurderingen er det relevant å se hen til kilder som knytter seg til arbeidsmiljøloven §</w:t>
      </w:r>
      <w:r w:rsidR="006A50F4">
        <w:t>§ </w:t>
      </w:r>
      <w:r w:rsidR="006A50F4" w:rsidRPr="006D7319">
        <w:t>1</w:t>
      </w:r>
      <w:r w:rsidRPr="006D7319">
        <w:t xml:space="preserve">-2 og 1-4 som gjelder arbeidsmiljølovens virkeområde, og til </w:t>
      </w:r>
      <w:r w:rsidR="006A50F4">
        <w:t>§ </w:t>
      </w:r>
      <w:r w:rsidR="006A50F4" w:rsidRPr="006D7319">
        <w:t>1</w:t>
      </w:r>
      <w:r w:rsidRPr="006D7319">
        <w:t>-8 om arbeidstakerbegrepet.</w:t>
      </w:r>
    </w:p>
    <w:p w14:paraId="053868E0" w14:textId="624FBF32" w:rsidR="0016483D" w:rsidRPr="006D7319" w:rsidRDefault="0016483D" w:rsidP="006D7319">
      <w:r w:rsidRPr="006D7319">
        <w:t xml:space="preserve">Arbeidsmiljøloven gjelder kun for </w:t>
      </w:r>
      <w:r w:rsidR="006A50F4">
        <w:t>«</w:t>
      </w:r>
      <w:r w:rsidRPr="006D7319">
        <w:t>virksomhet som sysselsetter arbeidstaker</w:t>
      </w:r>
      <w:r w:rsidR="006A50F4">
        <w:t>»</w:t>
      </w:r>
      <w:r w:rsidRPr="006D7319">
        <w:t xml:space="preserve">, jf. </w:t>
      </w:r>
      <w:r w:rsidR="006A50F4">
        <w:t>§ </w:t>
      </w:r>
      <w:r w:rsidR="006A50F4" w:rsidRPr="006D7319">
        <w:t>1</w:t>
      </w:r>
      <w:r w:rsidRPr="006D7319">
        <w:t xml:space="preserve">-2. </w:t>
      </w:r>
      <w:r w:rsidRPr="006D7319">
        <w:t xml:space="preserve">Departementet er i </w:t>
      </w:r>
      <w:r w:rsidR="006A50F4">
        <w:t>§ </w:t>
      </w:r>
      <w:r w:rsidR="006A50F4" w:rsidRPr="006D7319">
        <w:t>1</w:t>
      </w:r>
      <w:r w:rsidRPr="006D7319">
        <w:t>-4 gitt hjemmel til å gjøre loven helt eller delvis gjeldende for virksomhet som ikke syssel</w:t>
      </w:r>
      <w:r w:rsidRPr="006D7319">
        <w:t xml:space="preserve">setter arbeidstaker. I forarbeidene til </w:t>
      </w:r>
      <w:r w:rsidR="006A50F4">
        <w:t>§ </w:t>
      </w:r>
      <w:r w:rsidR="006A50F4" w:rsidRPr="006D7319">
        <w:t>1</w:t>
      </w:r>
      <w:r w:rsidRPr="006D7319">
        <w:t xml:space="preserve">-4 </w:t>
      </w:r>
      <w:r w:rsidRPr="006D7319">
        <w:t xml:space="preserve">benyttes som nevnt begrepet </w:t>
      </w:r>
      <w:r w:rsidR="006A50F4">
        <w:t>«</w:t>
      </w:r>
      <w:r w:rsidRPr="006D7319">
        <w:t>enmannsvirksomhet</w:t>
      </w:r>
      <w:r w:rsidR="006A50F4">
        <w:t>»</w:t>
      </w:r>
      <w:r w:rsidRPr="006D7319">
        <w:t xml:space="preserve"> og </w:t>
      </w:r>
      <w:r w:rsidR="006A50F4">
        <w:t>«</w:t>
      </w:r>
      <w:r w:rsidRPr="006D7319">
        <w:t>enmannsbedrift</w:t>
      </w:r>
      <w:r w:rsidR="006A50F4">
        <w:t>»</w:t>
      </w:r>
      <w:r w:rsidRPr="006D7319">
        <w:t xml:space="preserve"> om virksomheter som ikke syssel</w:t>
      </w:r>
      <w:r w:rsidRPr="006D7319">
        <w:t>setter arbeidstaker.</w:t>
      </w:r>
      <w:r w:rsidR="006A50F4" w:rsidRPr="006A50F4">
        <w:rPr>
          <w:rStyle w:val="Fotnotereferanse"/>
        </w:rPr>
        <w:footnoteReference w:id="96"/>
      </w:r>
      <w:r w:rsidRPr="006D7319">
        <w:t xml:space="preserve"> Begrepene er ikke nærmere definert i forarbeidene.</w:t>
      </w:r>
    </w:p>
    <w:p w14:paraId="601BFEB0" w14:textId="6C445A85" w:rsidR="0016483D" w:rsidRPr="006D7319" w:rsidRDefault="0016483D" w:rsidP="006D7319">
      <w:r w:rsidRPr="006D7319">
        <w:t xml:space="preserve">Som beskrevet i punkt 2.5.2 er det en nærliggende tolkning at dette omfatter enkeltpersonforetak. Det er usikkert om lovgiver med begrepet </w:t>
      </w:r>
      <w:r w:rsidR="006A50F4">
        <w:t>«</w:t>
      </w:r>
      <w:r w:rsidRPr="006D7319">
        <w:t>enmannsvirksomheter</w:t>
      </w:r>
      <w:r w:rsidR="006A50F4">
        <w:t>»</w:t>
      </w:r>
      <w:r w:rsidRPr="006D7319">
        <w:t xml:space="preserve"> har ment å bare sikte til enkeltpersonforetak eller også andre organisasjonsformer der virksomheten i realiteten kun består av én person. Det kan tenkes at det ville vært naturlig å benytte den formelle betegnelsen </w:t>
      </w:r>
      <w:r w:rsidRPr="006A50F4">
        <w:rPr>
          <w:rStyle w:val="kursiv"/>
        </w:rPr>
        <w:t xml:space="preserve">enkeltpersonforetak </w:t>
      </w:r>
      <w:r w:rsidRPr="006D7319">
        <w:t xml:space="preserve">(eller </w:t>
      </w:r>
      <w:r w:rsidRPr="006A50F4">
        <w:rPr>
          <w:rStyle w:val="kursiv"/>
        </w:rPr>
        <w:t xml:space="preserve">enkeltmannsforetak </w:t>
      </w:r>
      <w:r w:rsidRPr="006D7319">
        <w:t xml:space="preserve">som det het frem til 2004) dersom man kun siktet til denne </w:t>
      </w:r>
      <w:r w:rsidRPr="006D7319">
        <w:t xml:space="preserve">organisasjonsformen. I </w:t>
      </w:r>
      <w:r w:rsidR="006A50F4" w:rsidRPr="006D7319">
        <w:t>Ot</w:t>
      </w:r>
      <w:r w:rsidR="006A50F4">
        <w:t xml:space="preserve">.prp. nr. </w:t>
      </w:r>
      <w:r w:rsidR="006A50F4" w:rsidRPr="006D7319">
        <w:t>49</w:t>
      </w:r>
      <w:r w:rsidRPr="006D7319">
        <w:t xml:space="preserve"> (2004–2005) brukes begrepet </w:t>
      </w:r>
      <w:r w:rsidR="006A50F4">
        <w:t>«</w:t>
      </w:r>
      <w:r w:rsidRPr="006D7319">
        <w:t>enmannsvirksomhet</w:t>
      </w:r>
      <w:r w:rsidR="006A50F4">
        <w:t>»</w:t>
      </w:r>
      <w:r w:rsidRPr="006D7319">
        <w:t xml:space="preserve"> ved omtale av </w:t>
      </w:r>
      <w:r w:rsidR="006A50F4">
        <w:t>§ </w:t>
      </w:r>
      <w:r w:rsidR="006A50F4" w:rsidRPr="006D7319">
        <w:t>1</w:t>
      </w:r>
      <w:r w:rsidRPr="006D7319">
        <w:t xml:space="preserve">-4, mens den formelle betegnelsen </w:t>
      </w:r>
      <w:r w:rsidR="006A50F4">
        <w:t>«</w:t>
      </w:r>
      <w:r w:rsidRPr="006D7319">
        <w:t>enkeltmannsforetak</w:t>
      </w:r>
      <w:r w:rsidR="006A50F4">
        <w:t>»</w:t>
      </w:r>
      <w:r w:rsidRPr="006D7319">
        <w:t xml:space="preserve"> benyttes andre steder i lovproposisjonen.</w:t>
      </w:r>
    </w:p>
    <w:p w14:paraId="2D069150" w14:textId="11E7A8AD" w:rsidR="0016483D" w:rsidRPr="006D7319" w:rsidRDefault="0016483D" w:rsidP="006D7319">
      <w:r w:rsidRPr="006D7319">
        <w:t xml:space="preserve">Lovgivers bruk av begrepet </w:t>
      </w:r>
      <w:r w:rsidR="006A50F4">
        <w:t>«</w:t>
      </w:r>
      <w:r w:rsidRPr="006D7319">
        <w:t>enmannsvirksomheter</w:t>
      </w:r>
      <w:r w:rsidR="006A50F4">
        <w:t>»</w:t>
      </w:r>
      <w:r w:rsidRPr="006D7319">
        <w:t xml:space="preserve"> kan forstås som en bredere betegnelse på virksomheter som i realiteten består av kun én </w:t>
      </w:r>
      <w:r w:rsidRPr="006D7319">
        <w:t xml:space="preserve">person, uavhengig av organisasjonsform. I så fall kan uttalelsene i forarbeidene tilsi at eier og eneste ansatte i eget aksjeselskap ikke skal anses som </w:t>
      </w:r>
      <w:r w:rsidRPr="006D7319">
        <w:lastRenderedPageBreak/>
        <w:t>arbeidstaker i lovens forstand. Usikkerheten knyttet til lovgivers bruk av begrepet innebærer imidlertid at forarbeidsuttalelsene har begrenset vekt.</w:t>
      </w:r>
      <w:r w:rsidR="006A50F4" w:rsidRPr="006A50F4">
        <w:rPr>
          <w:rStyle w:val="Fotnotereferanse"/>
        </w:rPr>
        <w:footnoteReference w:id="97"/>
      </w:r>
    </w:p>
    <w:p w14:paraId="700168B3" w14:textId="091E9DC7" w:rsidR="0016483D" w:rsidRPr="006D7319" w:rsidRDefault="0016483D" w:rsidP="006D7319">
      <w:r w:rsidRPr="006D7319">
        <w:t xml:space="preserve">Arbeidstakerbegrepet i arbeidsmiljøloven </w:t>
      </w:r>
      <w:r w:rsidR="006A50F4">
        <w:t>§ </w:t>
      </w:r>
      <w:r w:rsidR="006A50F4" w:rsidRPr="006D7319">
        <w:t>1</w:t>
      </w:r>
      <w:r w:rsidRPr="006D7319">
        <w:t>-8 forutsetter som nevnt i punkt 2.2.2 og 2.5.2 at det foreligger et underordningsforhold der behov for vern står sentralt i vurderingen. Likevel vil ikke eier</w:t>
      </w:r>
      <w:r w:rsidRPr="006D7319">
        <w:t>interesser i virksomheten i seg selv utelukke at en person kan ha behov for vern og anses som arbeidstaker.</w:t>
      </w:r>
      <w:r w:rsidR="006A50F4" w:rsidRPr="006A50F4">
        <w:rPr>
          <w:rStyle w:val="Fotnotereferanse"/>
        </w:rPr>
        <w:footnoteReference w:id="98"/>
      </w:r>
      <w:r w:rsidRPr="006D7319">
        <w:t xml:space="preserve"> Det er ikke uvanlig at virksomheter tilbyr ulike aksje- og opsjonsprogrammer for sine ansatte. Også</w:t>
      </w:r>
      <w:r w:rsidRPr="006D7319">
        <w:t xml:space="preserve"> personer med ledende stillinger i selskapet er som hovedregel arbeidstakere i arbeidsmiljølovens forstand. Høyesterett har lagt til grunn at stor grad av selvstendighet i arbeidet ikke behøver å utelukke arbeidstakerstatus.</w:t>
      </w:r>
      <w:r w:rsidR="006A50F4" w:rsidRPr="006A50F4">
        <w:rPr>
          <w:rStyle w:val="Fotnotereferanse"/>
        </w:rPr>
        <w:footnoteReference w:id="99"/>
      </w:r>
    </w:p>
    <w:p w14:paraId="011A958A" w14:textId="379EE53C" w:rsidR="0016483D" w:rsidRPr="006D7319" w:rsidRDefault="0016483D" w:rsidP="006D7319">
      <w:r w:rsidRPr="006D7319">
        <w:t>Spørsmålet har imidlertid kommet på spissen i retts</w:t>
      </w:r>
      <w:r w:rsidRPr="006D7319">
        <w:t>praksis i de tilfellene hvor vedkommende har hatt styring over selskapet gjennom dominerende eier</w:t>
      </w:r>
      <w:r w:rsidRPr="006D7319">
        <w:t>interesser. Ifølge rettspraksis kan det i slike tilfeller reises spørsmål om det foreligger et slikt underordningsforhold som gjør at lovens verneregler bør komme til anvendelse.</w:t>
      </w:r>
    </w:p>
    <w:p w14:paraId="73E78202" w14:textId="0007FF5F" w:rsidR="0016483D" w:rsidRPr="006D7319" w:rsidRDefault="0016483D" w:rsidP="006D7319">
      <w:r w:rsidRPr="006D7319">
        <w:t xml:space="preserve">En av de sentrale avgjørelsene som omhandler denne problemstillingen er </w:t>
      </w:r>
      <w:proofErr w:type="spellStart"/>
      <w:r w:rsidRPr="006D7319">
        <w:t>Rt</w:t>
      </w:r>
      <w:proofErr w:type="spellEnd"/>
      <w:r w:rsidRPr="006D7319">
        <w:t xml:space="preserve">. 1986 s. 1322 (Norsk Stålpress). Høyesterett kom i denne saken til at en daglig leder som var styremedlem og eide 54,8 prosent av aksjene i selskapet, ikke kunne anses som arbeidstaker etter dagjeldende ferielov. Selskapet fikk derfor ikke medhold i kravet om å få refundert utgifter fra folketrygden til feriegodtgjørelse for selskapets daglige leder. Høyesterett anså det som klart at vedkommende </w:t>
      </w:r>
      <w:r w:rsidR="006A50F4">
        <w:t>«</w:t>
      </w:r>
      <w:r w:rsidRPr="006D7319">
        <w:t>i det alt vesentlige hadde styring over selskapet</w:t>
      </w:r>
      <w:r w:rsidR="006A50F4">
        <w:t>»</w:t>
      </w:r>
      <w:r w:rsidRPr="006D7319">
        <w:t xml:space="preserve">, og kom til at det ikke forelå et </w:t>
      </w:r>
      <w:r w:rsidR="006A50F4">
        <w:t>«</w:t>
      </w:r>
      <w:r w:rsidRPr="006D7319">
        <w:t>arbeidsmessig avhengighetsforhold</w:t>
      </w:r>
      <w:r w:rsidR="006A50F4">
        <w:t>»</w:t>
      </w:r>
      <w:r w:rsidRPr="006D7319">
        <w:t>.</w:t>
      </w:r>
    </w:p>
    <w:p w14:paraId="13736D62" w14:textId="49851D2E" w:rsidR="0016483D" w:rsidRPr="006D7319" w:rsidRDefault="0016483D" w:rsidP="006D7319">
      <w:r w:rsidRPr="006D7319">
        <w:t>Høyesterettsavgjørelsen ble drøftet i forarbeidene til ny ferielov. Etter innspill fra Direktoratet for arbeidstilsynet vurderte Kommunal- og arbeids</w:t>
      </w:r>
      <w:r w:rsidRPr="006D7319">
        <w:t xml:space="preserve">departementet om det skulle presiseres at daglig leder av aksjeselskap ikke kan anses som arbeidstaker etter loven, når vedkommende </w:t>
      </w:r>
      <w:r w:rsidR="006A50F4">
        <w:t>«</w:t>
      </w:r>
      <w:r w:rsidRPr="006D7319">
        <w:t xml:space="preserve">på grunn av </w:t>
      </w:r>
      <w:r w:rsidRPr="006D7319">
        <w:lastRenderedPageBreak/>
        <w:t xml:space="preserve">dominerende eierinteresser i selskapet eller </w:t>
      </w:r>
      <w:r w:rsidRPr="006D7319">
        <w:t xml:space="preserve">gjennom betydelige eierinteresser og </w:t>
      </w:r>
      <w:r w:rsidRPr="006D7319">
        <w:t>dominerende styringsfunksjoner, ikke kan sies å være reell arbeidstaker i virksomheten</w:t>
      </w:r>
      <w:r w:rsidR="006A50F4">
        <w:t>»</w:t>
      </w:r>
      <w:r w:rsidRPr="006D7319">
        <w:t>.</w:t>
      </w:r>
      <w:r w:rsidR="006A50F4" w:rsidRPr="006A50F4">
        <w:rPr>
          <w:rStyle w:val="Fotnotereferanse"/>
        </w:rPr>
        <w:footnoteReference w:id="100"/>
      </w:r>
      <w:r w:rsidRPr="006D7319">
        <w:t xml:space="preserve"> Departementet la imidlertid til grunn at Høyesteretts avgjørelse i </w:t>
      </w:r>
      <w:proofErr w:type="spellStart"/>
      <w:r w:rsidRPr="006D7319">
        <w:t>Rt</w:t>
      </w:r>
      <w:proofErr w:type="spellEnd"/>
      <w:r w:rsidRPr="006D7319">
        <w:t>. 1986 s. 1322 (Norsk Stålpress) langt på vei avklarer rettstilstanden, og at det derfor ikke var behov for å avklare spørsmålet i lovteksten.</w:t>
      </w:r>
    </w:p>
    <w:p w14:paraId="4E3801C5" w14:textId="45C35D91" w:rsidR="0016483D" w:rsidRPr="006D7319" w:rsidRDefault="0016483D" w:rsidP="006D7319">
      <w:r w:rsidRPr="006D7319">
        <w:t xml:space="preserve">Det at departementet skriver uttrykkelig at det ikke finner grunn til å endre loven, viser at </w:t>
      </w:r>
      <w:r w:rsidRPr="006D7319">
        <w:t>departementet sluttet seg til Høyesteretts tolkning av arbeidstakerbegrepet i ferieloven. Som nevnt i punkt 2.2.2 skal arbeidstakerbegrepet i ferieloven og arbeidsmiljø</w:t>
      </w:r>
      <w:r w:rsidRPr="006D7319">
        <w:t>loven forstås på samme måte.</w:t>
      </w:r>
      <w:r w:rsidR="006A50F4" w:rsidRPr="006A50F4">
        <w:rPr>
          <w:rStyle w:val="Fotnotereferanse"/>
        </w:rPr>
        <w:footnoteReference w:id="101"/>
      </w:r>
      <w:r w:rsidRPr="006D7319">
        <w:t xml:space="preserve"> Det innebærer at avgjørelsen har overfør</w:t>
      </w:r>
      <w:r w:rsidRPr="006D7319">
        <w:t>ingsverdi ved tolkningen av arbeidsmiljølovens arbeidstakerbegrep.</w:t>
      </w:r>
    </w:p>
    <w:p w14:paraId="55A8D31C" w14:textId="06C13784" w:rsidR="0016483D" w:rsidRPr="006D7319" w:rsidRDefault="0016483D" w:rsidP="006D7319">
      <w:r w:rsidRPr="006D7319">
        <w:t xml:space="preserve">I den aktuelle saken var daglig leder som nevnt </w:t>
      </w:r>
      <w:r w:rsidRPr="006D7319">
        <w:t xml:space="preserve">styremedlem og eide 54,8 prosent av aksjene i </w:t>
      </w:r>
      <w:r w:rsidRPr="006D7319">
        <w:t xml:space="preserve">selskapet. De øvrige aksjene var fordelt på 72 aksjonærer. Som det </w:t>
      </w:r>
      <w:proofErr w:type="gramStart"/>
      <w:r w:rsidRPr="006D7319">
        <w:t>fremgår</w:t>
      </w:r>
      <w:proofErr w:type="gramEnd"/>
      <w:r w:rsidRPr="006D7319">
        <w:t xml:space="preserve"> av arbeidsgruppens mandat, skal arbeidsgruppen vurdere mulige tilknytningsformer for kjøp av konsulenttjenester fra aksjeselskap hvor eier er eneste arbeidende </w:t>
      </w:r>
      <w:r w:rsidRPr="006D7319">
        <w:t>person i virksomheten. I slike tilfeller vil det normalt være eieren som har styring over selskapet alene. Høyeste</w:t>
      </w:r>
      <w:r w:rsidRPr="006D7319">
        <w:t>retts uttalelser knyttet til styring over sel</w:t>
      </w:r>
      <w:r w:rsidRPr="006D7319">
        <w:t xml:space="preserve">skapet og manglende </w:t>
      </w:r>
      <w:r w:rsidR="006A50F4">
        <w:t>«</w:t>
      </w:r>
      <w:r w:rsidRPr="006D7319">
        <w:t>arbeidsmessig avhengighetsforhold</w:t>
      </w:r>
      <w:r w:rsidR="006A50F4">
        <w:t>»</w:t>
      </w:r>
      <w:r w:rsidRPr="006D7319">
        <w:t>, gjør seg derfor gjeldende i enda større grad enn i de tilfellene der det også er andre som eier aksjer i selskapet.</w:t>
      </w:r>
    </w:p>
    <w:p w14:paraId="48B7AC44" w14:textId="17D1DC21" w:rsidR="0016483D" w:rsidRPr="006D7319" w:rsidRDefault="0016483D" w:rsidP="006D7319">
      <w:r w:rsidRPr="006D7319">
        <w:t>Arbeidstakerbegrepet i permitteringslønnsloven skal ifølge forarbeidene forstås på samme måte som i arbeidsmiljøloven og ferieloven.</w:t>
      </w:r>
      <w:r w:rsidR="006A50F4" w:rsidRPr="006A50F4">
        <w:rPr>
          <w:rStyle w:val="Fotnotereferanse"/>
        </w:rPr>
        <w:footnoteReference w:id="102"/>
      </w:r>
      <w:r w:rsidRPr="006D7319">
        <w:t xml:space="preserve"> I juridisk teori er det antatt at ansatte i eget aksjeselskap skal anses som arbeidstakere etter permitteringslønnsloven.</w:t>
      </w:r>
      <w:r w:rsidR="006A50F4" w:rsidRPr="006A50F4">
        <w:rPr>
          <w:rStyle w:val="Fotnotereferanse"/>
        </w:rPr>
        <w:footnoteReference w:id="103"/>
      </w:r>
      <w:r w:rsidRPr="006D7319">
        <w:t xml:space="preserve"> Permitteringsinstituttet henger nært sammen med folketrygdlovens regler om dagpenger ved arbeidsløshet. Retten til dagpenger ved permittering følger ikke av permitteringslønnsloven, men av folketrygdloven </w:t>
      </w:r>
      <w:r w:rsidR="006A50F4">
        <w:t>§ </w:t>
      </w:r>
      <w:r w:rsidR="006A50F4" w:rsidRPr="006D7319">
        <w:t>4</w:t>
      </w:r>
      <w:r w:rsidRPr="006D7319">
        <w:t xml:space="preserve">-7. I praksis knyttet til denne </w:t>
      </w:r>
      <w:r w:rsidRPr="006D7319">
        <w:lastRenderedPageBreak/>
        <w:t>bestemmelsen er det lagt til grunn at også ansatt i eget aksjeselskap kan ha rett til dagpenger under permittering.</w:t>
      </w:r>
      <w:r w:rsidR="006A50F4" w:rsidRPr="006A50F4">
        <w:rPr>
          <w:rStyle w:val="Fotnotereferanse"/>
        </w:rPr>
        <w:footnoteReference w:id="104"/>
      </w:r>
    </w:p>
    <w:p w14:paraId="49589767" w14:textId="339A8E70" w:rsidR="0016483D" w:rsidRPr="006D7319" w:rsidRDefault="0016483D" w:rsidP="006D7319">
      <w:r w:rsidRPr="006D7319">
        <w:t xml:space="preserve">Det finnes flere avgjørelser hvor lignende </w:t>
      </w:r>
      <w:r w:rsidRPr="006D7319">
        <w:t xml:space="preserve">spørsmål har vært til behandling i Høyesterett. </w:t>
      </w:r>
      <w:proofErr w:type="spellStart"/>
      <w:r w:rsidRPr="006D7319">
        <w:t>Rt</w:t>
      </w:r>
      <w:proofErr w:type="spellEnd"/>
      <w:r w:rsidRPr="006D7319">
        <w:t>. 2010 s. 93 (Skogsarbeider) gjaldt arbeidstakerbegrepet i yrkesskadeforsikringsloven. Høyesterett kom til at en daglig leder som var eneeier, styreleder og eneste ansatt i selskapet (broren hadde en underordnet rolle), hadde krav på yrkesskadeerstatning som arbeidstaker i henhold til yrkesskadeforsikrings</w:t>
      </w:r>
      <w:r w:rsidRPr="006D7319">
        <w:t xml:space="preserve">loven, selv om virksomheten han selv hadde styring over, hadde forsømt plikten til å tegne yrkesskadeforsikring. Den daglige lederens yrkesskadeerstatningskrav var rettet mot forsikringspool-ordningen. Høyesterett la avgjørende vekt på at lovgivers konkrete begrunnelse for å innføre bestemmelsen om manglende forsikring, var </w:t>
      </w:r>
      <w:r w:rsidR="006A50F4">
        <w:t>«</w:t>
      </w:r>
      <w:r w:rsidRPr="006D7319">
        <w:t xml:space="preserve">at arbeidstakere </w:t>
      </w:r>
      <w:r w:rsidRPr="006A50F4">
        <w:rPr>
          <w:rStyle w:val="kursiv"/>
        </w:rPr>
        <w:t>alltid</w:t>
      </w:r>
      <w:r w:rsidRPr="006D7319">
        <w:t xml:space="preserve"> skal være sikret forsikringsdekning</w:t>
      </w:r>
      <w:r w:rsidR="006A50F4">
        <w:t>»</w:t>
      </w:r>
      <w:r w:rsidRPr="006D7319">
        <w:t>, og at det her var tale om en rettighetslov.</w:t>
      </w:r>
    </w:p>
    <w:p w14:paraId="66B51711" w14:textId="2001AEAB" w:rsidR="0016483D" w:rsidRPr="006D7319" w:rsidRDefault="0016483D" w:rsidP="006D7319">
      <w:r w:rsidRPr="006D7319">
        <w:t xml:space="preserve">I </w:t>
      </w:r>
      <w:proofErr w:type="spellStart"/>
      <w:r w:rsidRPr="006D7319">
        <w:t>Rt</w:t>
      </w:r>
      <w:proofErr w:type="spellEnd"/>
      <w:r w:rsidRPr="006D7319">
        <w:t>. 1929 s. 640 (Skipsfører) ble en skipsfører gitt vern ved rederiets konkurs etter regler om prioritet for lønnskrav. Skipsføreren var disponent i rederiet og eide halvparten av aksjene. Dette var etter Høyeste</w:t>
      </w:r>
      <w:r w:rsidRPr="006D7319">
        <w:t>retts syn ikke til hinder for vern som arbeidstaker.</w:t>
      </w:r>
    </w:p>
    <w:p w14:paraId="4C42E069" w14:textId="6D8CEF6F" w:rsidR="0016483D" w:rsidRPr="006D7319" w:rsidRDefault="0016483D" w:rsidP="006D7319">
      <w:proofErr w:type="spellStart"/>
      <w:r w:rsidRPr="006D7319">
        <w:t>Rt</w:t>
      </w:r>
      <w:proofErr w:type="spellEnd"/>
      <w:r w:rsidRPr="006D7319">
        <w:t xml:space="preserve">. 1994 s. 1064 (Bye) gjaldt skatterettslig klassifisering. Bye leverte konsulenttjenester til Aker gjennom en konsulentavtale som var inngått med Bye sitt eget aksjeselskap. Han var selskapets eneeier og var sammen med sin kone (kun en marginal rolle) ansatt i selskapet. Spørsmålet var om inntekten skulle lignes som arbeidsinntekt for Bye eller som næringsinntekt for selskapet. Det ble vurdert som et spørsmål om avtalen mellom selskapet og Aker i realiteten var en arbeidsavtale for Bye, eller om det var et </w:t>
      </w:r>
      <w:r w:rsidRPr="006D7319">
        <w:t xml:space="preserve">oppdrag for aksjeselskapet. Etter en helhetsvurdering kom Høyesterett til at det forelå et oppdragsforhold, særlig på grunn av den økonomiske risikofordelingen. Dermed kom spørsmålet om å anerkjenne selskapskonstruksjonen ikke helt på spissen. Høyesterett vurderte ikke om næringsinntekten kunne tilordnes Bye personlig. Høyesterett foretok en etter skatterettslige regler </w:t>
      </w:r>
      <w:r w:rsidR="006A50F4">
        <w:t>«</w:t>
      </w:r>
      <w:r w:rsidRPr="006D7319">
        <w:t>ordinær</w:t>
      </w:r>
      <w:r w:rsidR="006A50F4">
        <w:t>»</w:t>
      </w:r>
      <w:r w:rsidRPr="006D7319">
        <w:t xml:space="preserve"> </w:t>
      </w:r>
      <w:r w:rsidRPr="006D7319">
        <w:t>prøvelse av om relasjonen mellom Bye og Aker i realiteten var et arbeidstakerforhold, selv om han formelt var ansatt i eget aksjeselskap.</w:t>
      </w:r>
    </w:p>
    <w:p w14:paraId="3CA7F1F0" w14:textId="77777777" w:rsidR="0016483D" w:rsidRPr="006D7319" w:rsidRDefault="0016483D" w:rsidP="006D7319">
      <w:r w:rsidRPr="006D7319">
        <w:t xml:space="preserve">Disse tre høyesterettsavgjørelsene gjaldt imidlertid spørsmål om arbeidstakerstatus etter andre lover enn arbeidsmiljøloven. Siden arbeidstakerbegrepet er relativt, og vurderingene i de nevnte avgjørelsene er knyttet konkret til den enkelte lov og de aktuelle reglenes særskilte formål, er det noe begrenset hvilken overføringsverdi de kan ha for om eneeier av aksjeselskap </w:t>
      </w:r>
      <w:r w:rsidRPr="006D7319">
        <w:t>kan anses som arbeidstaker etter arbeidsmiljøloven.</w:t>
      </w:r>
    </w:p>
    <w:p w14:paraId="11F95D35" w14:textId="77777777" w:rsidR="0016483D" w:rsidRPr="006D7319" w:rsidRDefault="0016483D" w:rsidP="006D7319">
      <w:r w:rsidRPr="006D7319">
        <w:lastRenderedPageBreak/>
        <w:t>Det finnes likevel eksempler fra underrettspraksis hvor spørsmålet om betydelige eierinteresser og innflytelse over virksomheten har vært problematisert med utgangspunkt i arbeidsmiljølovens regler om virksomhetsoverdragelse.</w:t>
      </w:r>
    </w:p>
    <w:p w14:paraId="267965A4" w14:textId="72E407C7" w:rsidR="0016483D" w:rsidRPr="006D7319" w:rsidRDefault="0016483D" w:rsidP="006D7319">
      <w:r w:rsidRPr="006D7319">
        <w:t xml:space="preserve">I RG 1999 s. 1607 kom lagmannsretten i en nokså kortfattet kjennelse til at en eneaksjonær og </w:t>
      </w:r>
      <w:r w:rsidRPr="006D7319">
        <w:t>daglig leder ved en bensinstasjon ikke var å anse som arbeids</w:t>
      </w:r>
      <w:r w:rsidRPr="006D7319">
        <w:t>taker i relasjon til reglene om virksomhetsover</w:t>
      </w:r>
      <w:r w:rsidRPr="006D7319">
        <w:t>dragelse. Retten la til grunn at vedkommende som daglig leder og eneeier ikke var underlagt styring i noen form av andre, og at det var opp til vedkommende alene å bestemme hvordan han ville organisere driften av bensinstasjonen. Vedkommende ble derfor ansett som innehaver av virksomheten og ikke som arbeidstaker i relasjon til reglene om virksomhetsover</w:t>
      </w:r>
      <w:r w:rsidRPr="006D7319">
        <w:t>dragelse i tidligere arbeidsmiljø</w:t>
      </w:r>
      <w:r w:rsidRPr="006D7319">
        <w:t>lov (1977) kapittel XII A.</w:t>
      </w:r>
    </w:p>
    <w:p w14:paraId="1A3CFE93" w14:textId="77777777" w:rsidR="0016483D" w:rsidRPr="006D7319" w:rsidRDefault="0016483D" w:rsidP="006D7319">
      <w:r w:rsidRPr="006D7319">
        <w:t>RG 2000 s. 1572 gjaldt også spørsmål om virksomhetsoverdragelse. Lagmannsretten kom under tvil til at en person som var styreleder og eide 50 prosent av aksjene ikke var å anse som arbeidstaker. Vedkommende hadde etter rettens syn ikke et slikt avhengighetsforhold til virksomheten som tilsa at han måtte bli regnet som arbeidstaker i relasjon til reglene om virksomhetsoverdragelse.</w:t>
      </w:r>
    </w:p>
    <w:p w14:paraId="30FF1782" w14:textId="77777777" w:rsidR="0016483D" w:rsidRPr="006D7319" w:rsidRDefault="0016483D" w:rsidP="006D7319">
      <w:r w:rsidRPr="006D7319">
        <w:t xml:space="preserve">Avgjørelsene nevnt over viser at vurderingen av hvorvidt man kan anses som arbeidstaker i arbeidsmiljølovens forstand må foretas med utgangspunkt i de aktuelle reglenes formål og vernebehovet i det konkrete tilfellet. Det kan foreligge vernebehov på en slik måte at en person skal anses som arbeidstaker til tross for betydelige eierinteresser i virksomheten. I </w:t>
      </w:r>
      <w:proofErr w:type="spellStart"/>
      <w:r w:rsidRPr="006D7319">
        <w:t>Rt</w:t>
      </w:r>
      <w:proofErr w:type="spellEnd"/>
      <w:r w:rsidRPr="006D7319">
        <w:t xml:space="preserve">. 2010 s. 93 (Skogsarbeider) og </w:t>
      </w:r>
      <w:proofErr w:type="spellStart"/>
      <w:r w:rsidRPr="006D7319">
        <w:t>Rt</w:t>
      </w:r>
      <w:proofErr w:type="spellEnd"/>
      <w:r w:rsidRPr="006D7319">
        <w:t xml:space="preserve">. 1929 s. 640 (Skipsfører) forelå det etter Høyesteretts vurdering forhold som tilsa at vedkommende hadde behov for arbeidstakervern. Vernebehovet var derimot ikke like fremtredende i </w:t>
      </w:r>
      <w:proofErr w:type="spellStart"/>
      <w:r w:rsidRPr="006D7319">
        <w:t>Rt</w:t>
      </w:r>
      <w:proofErr w:type="spellEnd"/>
      <w:r w:rsidRPr="006D7319">
        <w:t xml:space="preserve">. 1986 s. 1322 (Norsk Stålpress), som omhandlet virksomhetens økonomiske krav overfor folketrygden. Ingen av avgjørelsene gjaldt imidlertid spørsmål om </w:t>
      </w:r>
      <w:proofErr w:type="gramStart"/>
      <w:r w:rsidRPr="006D7319">
        <w:t>innleie</w:t>
      </w:r>
      <w:proofErr w:type="gramEnd"/>
      <w:r w:rsidRPr="006D7319">
        <w:t xml:space="preserve"> etter reglene i arbeidsmiljøloven.</w:t>
      </w:r>
    </w:p>
    <w:p w14:paraId="4535A25B" w14:textId="661DC2CE" w:rsidR="0016483D" w:rsidRPr="006D7319" w:rsidRDefault="0016483D" w:rsidP="006D7319">
      <w:r w:rsidRPr="006D7319">
        <w:t>Alle de nevnte sakene gjaldt krav overfor en tredje</w:t>
      </w:r>
      <w:r w:rsidRPr="006D7319">
        <w:t>part, hvor vernehensyn kan gjøre seg gjeldende i større grad enn overfor en selv som arbeids</w:t>
      </w:r>
      <w:r w:rsidRPr="006D7319">
        <w:t>giver. Persongruppen arbeidsgruppen skal ta stilling til er imidlertid eiere i eget aksjeselskap, hvor arbeidstaker</w:t>
      </w:r>
      <w:r w:rsidRPr="006D7319">
        <w:t xml:space="preserve">status vurderes i relasjon til deres eget selskap som arbeidsgiver. Det kan stilles spørsmål ved om vernehensyn gjør seg gjeldende i den </w:t>
      </w:r>
      <w:r w:rsidRPr="006D7319">
        <w:t xml:space="preserve">aktuelle relasjonen, til tross for at det kan argumenteres for at det foreligger et topartsforhold mellom eieren og aksjeselskapet som et eget rettssubjekt. Dette understøttes også av rettspraksis hvor </w:t>
      </w:r>
      <w:r w:rsidRPr="006D7319">
        <w:t>graden av styring og kontroll, og fravær av risiko for at underordningsforholdet misbrukes, har begrunnet mindre behov for vern som arbeidstaker.</w:t>
      </w:r>
    </w:p>
    <w:p w14:paraId="35A24584" w14:textId="4A1DFDE0" w:rsidR="0016483D" w:rsidRPr="006D7319" w:rsidRDefault="0016483D" w:rsidP="006D7319">
      <w:r w:rsidRPr="006D7319">
        <w:t>Betydningen av underordningsforhold og vernebehov for status som arbeidstaker er også problematisert i rettspraksis fra EU- domstolen, jf. sak C-603/17.</w:t>
      </w:r>
      <w:r w:rsidRPr="006A50F4">
        <w:rPr>
          <w:rStyle w:val="halvfet"/>
        </w:rPr>
        <w:t xml:space="preserve"> </w:t>
      </w:r>
      <w:r w:rsidRPr="006D7319">
        <w:t xml:space="preserve">Saken gjaldt lovvalg etter Luganokonvensjonen artikkel 18-21. EU-domstolen kom til at to daglige ledere av ulike selskaper i samme konsern (de var også CEO og CFO i morselskapet) ikke kunne anses som arbeidstakere etter konvensjonen. De hadde inngått arbeidsavtaler med datterselskapene, men det forelå ifølge domstolen ingen </w:t>
      </w:r>
      <w:r w:rsidR="006A50F4">
        <w:t>«</w:t>
      </w:r>
      <w:proofErr w:type="spellStart"/>
      <w:r w:rsidRPr="006D7319">
        <w:t>individual</w:t>
      </w:r>
      <w:proofErr w:type="spellEnd"/>
      <w:r w:rsidRPr="006D7319">
        <w:t xml:space="preserve"> </w:t>
      </w:r>
      <w:proofErr w:type="spellStart"/>
      <w:r w:rsidRPr="006D7319">
        <w:t>contract</w:t>
      </w:r>
      <w:proofErr w:type="spellEnd"/>
      <w:r w:rsidRPr="006D7319">
        <w:t xml:space="preserve"> </w:t>
      </w:r>
      <w:proofErr w:type="spellStart"/>
      <w:r w:rsidRPr="006D7319">
        <w:t>of</w:t>
      </w:r>
      <w:proofErr w:type="spellEnd"/>
      <w:r w:rsidRPr="006D7319">
        <w:t xml:space="preserve"> </w:t>
      </w:r>
      <w:proofErr w:type="spellStart"/>
      <w:r w:rsidRPr="006D7319">
        <w:t>employment</w:t>
      </w:r>
      <w:proofErr w:type="spellEnd"/>
      <w:r w:rsidR="006A50F4">
        <w:t>»</w:t>
      </w:r>
      <w:r w:rsidRPr="006D7319">
        <w:t>, ettersom de selv hadde bestemt innholdet i kontraktene og utøvet den daglige ledelsen av selskapene og fastsatte sine egne arbeidsoppgaver. Retten kom til at det ikke forelå noe underordningsforhold, og viste til tidligere avgjørelser (sak C</w:t>
      </w:r>
      <w:r w:rsidRPr="006D7319">
        <w:noBreakHyphen/>
        <w:t xml:space="preserve">116/06 </w:t>
      </w:r>
      <w:proofErr w:type="spellStart"/>
      <w:r w:rsidRPr="006D7319">
        <w:t>Kiiski</w:t>
      </w:r>
      <w:proofErr w:type="spellEnd"/>
      <w:r w:rsidRPr="006D7319">
        <w:t>). Det hadde ingen betydning at aksjonærene hadde myndighet til å si opp kontraktene.</w:t>
      </w:r>
    </w:p>
    <w:p w14:paraId="2D51A53B" w14:textId="77777777" w:rsidR="0016483D" w:rsidRPr="006D7319" w:rsidRDefault="0016483D" w:rsidP="006D7319">
      <w:r w:rsidRPr="006D7319">
        <w:lastRenderedPageBreak/>
        <w:t xml:space="preserve">Sak C-107/94 gjaldt </w:t>
      </w:r>
      <w:r w:rsidRPr="006D7319">
        <w:t>beregning av inntektsskatt. Ved vurderingen av om vedkommende skulle anses som arbeidstaker eller selvstendig næringsdrivende la domstolen vekt på at vedkommende var daglig leder og eneeier av selskapet, og at det derfor ikke forelå et underordningsforhold. Domstolen uttalte følgende i avsnitt 25 og 26:</w:t>
      </w:r>
    </w:p>
    <w:p w14:paraId="303C9ED4" w14:textId="77777777" w:rsidR="0016483D" w:rsidRPr="006A50F4" w:rsidRDefault="0016483D" w:rsidP="006D7319">
      <w:pPr>
        <w:pStyle w:val="blokksit"/>
      </w:pPr>
      <w:r w:rsidRPr="006A50F4">
        <w:t xml:space="preserve">Det </w:t>
      </w:r>
      <w:proofErr w:type="spellStart"/>
      <w:r w:rsidRPr="006A50F4">
        <w:t>væsentligste</w:t>
      </w:r>
      <w:proofErr w:type="spellEnd"/>
      <w:r w:rsidRPr="006A50F4">
        <w:t xml:space="preserve"> </w:t>
      </w:r>
      <w:proofErr w:type="spellStart"/>
      <w:r w:rsidRPr="006A50F4">
        <w:t>kendetegn</w:t>
      </w:r>
      <w:proofErr w:type="spellEnd"/>
      <w:r w:rsidRPr="006A50F4">
        <w:t xml:space="preserve"> ved </w:t>
      </w:r>
      <w:proofErr w:type="spellStart"/>
      <w:r w:rsidRPr="006A50F4">
        <w:t>arbejdsforholdet</w:t>
      </w:r>
      <w:proofErr w:type="spellEnd"/>
      <w:r w:rsidRPr="006A50F4">
        <w:t xml:space="preserve"> er efter denne praksis, at en person i en vis periode </w:t>
      </w:r>
      <w:proofErr w:type="spellStart"/>
      <w:r w:rsidRPr="006A50F4">
        <w:t>præsterer</w:t>
      </w:r>
      <w:proofErr w:type="spellEnd"/>
      <w:r w:rsidRPr="006A50F4">
        <w:t xml:space="preserve"> </w:t>
      </w:r>
      <w:proofErr w:type="spellStart"/>
      <w:r w:rsidRPr="006A50F4">
        <w:t>ydelser</w:t>
      </w:r>
      <w:proofErr w:type="spellEnd"/>
      <w:r w:rsidRPr="006A50F4">
        <w:t xml:space="preserve"> mod vederlag for </w:t>
      </w:r>
      <w:proofErr w:type="gramStart"/>
      <w:r w:rsidRPr="006A50F4">
        <w:t>en anden</w:t>
      </w:r>
      <w:proofErr w:type="gramEnd"/>
      <w:r w:rsidRPr="006A50F4">
        <w:t xml:space="preserve"> og efter dennes anvisninger (dom </w:t>
      </w:r>
      <w:proofErr w:type="spellStart"/>
      <w:r w:rsidRPr="006A50F4">
        <w:t>af</w:t>
      </w:r>
      <w:proofErr w:type="spellEnd"/>
      <w:r w:rsidRPr="006A50F4">
        <w:t xml:space="preserve"> 3.7.1986, sag 66/85, </w:t>
      </w:r>
      <w:proofErr w:type="spellStart"/>
      <w:r w:rsidRPr="006A50F4">
        <w:t>Lawrie-Blum</w:t>
      </w:r>
      <w:proofErr w:type="spellEnd"/>
      <w:r w:rsidRPr="006A50F4">
        <w:t xml:space="preserve">, Sml. s. 2121, </w:t>
      </w:r>
      <w:proofErr w:type="spellStart"/>
      <w:r w:rsidRPr="006A50F4">
        <w:t>præmis</w:t>
      </w:r>
      <w:proofErr w:type="spellEnd"/>
      <w:r w:rsidRPr="006A50F4">
        <w:t xml:space="preserve"> 17).</w:t>
      </w:r>
    </w:p>
    <w:p w14:paraId="20A5EF0E" w14:textId="7B9B83F4" w:rsidR="0016483D" w:rsidRPr="006A50F4" w:rsidRDefault="0016483D" w:rsidP="006D7319">
      <w:pPr>
        <w:pStyle w:val="blokksit"/>
      </w:pPr>
      <w:r w:rsidRPr="006A50F4">
        <w:t xml:space="preserve">Da P. H. </w:t>
      </w:r>
      <w:proofErr w:type="spellStart"/>
      <w:r w:rsidRPr="006A50F4">
        <w:t>Asscher</w:t>
      </w:r>
      <w:proofErr w:type="spellEnd"/>
      <w:r w:rsidRPr="006A50F4">
        <w:t xml:space="preserve"> i Nederlandene er direktør for et selskab, som han </w:t>
      </w:r>
      <w:proofErr w:type="spellStart"/>
      <w:r w:rsidRPr="006A50F4">
        <w:t>ejer</w:t>
      </w:r>
      <w:proofErr w:type="spellEnd"/>
      <w:r w:rsidRPr="006A50F4">
        <w:t xml:space="preserve"> 100%, har han ikke været </w:t>
      </w:r>
      <w:proofErr w:type="spellStart"/>
      <w:r w:rsidRPr="006A50F4">
        <w:t>beskæftiget</w:t>
      </w:r>
      <w:proofErr w:type="spellEnd"/>
      <w:r w:rsidRPr="006A50F4">
        <w:t xml:space="preserve"> i et </w:t>
      </w:r>
      <w:proofErr w:type="spellStart"/>
      <w:r w:rsidRPr="006A50F4">
        <w:t>underordnelsesforhold</w:t>
      </w:r>
      <w:proofErr w:type="spellEnd"/>
      <w:r w:rsidRPr="006A50F4">
        <w:t xml:space="preserve">, og han kan derfor ikke anses for </w:t>
      </w:r>
      <w:r w:rsidR="006A50F4">
        <w:t>«</w:t>
      </w:r>
      <w:proofErr w:type="spellStart"/>
      <w:r w:rsidRPr="006A50F4">
        <w:t>arbejdstager</w:t>
      </w:r>
      <w:proofErr w:type="spellEnd"/>
      <w:r w:rsidR="006A50F4">
        <w:t>»</w:t>
      </w:r>
      <w:r w:rsidRPr="006A50F4">
        <w:t xml:space="preserve"> i henhold til traktatens </w:t>
      </w:r>
      <w:proofErr w:type="spellStart"/>
      <w:r w:rsidRPr="006A50F4">
        <w:t>artikel</w:t>
      </w:r>
      <w:proofErr w:type="spellEnd"/>
      <w:r w:rsidRPr="006A50F4">
        <w:t xml:space="preserve"> 48, men han må </w:t>
      </w:r>
      <w:proofErr w:type="spellStart"/>
      <w:r w:rsidRPr="006A50F4">
        <w:t>antages</w:t>
      </w:r>
      <w:proofErr w:type="spellEnd"/>
      <w:r w:rsidRPr="006A50F4">
        <w:t xml:space="preserve"> at udøve </w:t>
      </w:r>
      <w:proofErr w:type="spellStart"/>
      <w:r w:rsidRPr="006A50F4">
        <w:t>selvstændig</w:t>
      </w:r>
      <w:proofErr w:type="spellEnd"/>
      <w:r w:rsidRPr="006A50F4">
        <w:t xml:space="preserve"> </w:t>
      </w:r>
      <w:proofErr w:type="spellStart"/>
      <w:r w:rsidRPr="006A50F4">
        <w:t>erhvervsvirksomhed</w:t>
      </w:r>
      <w:proofErr w:type="spellEnd"/>
      <w:r w:rsidRPr="006A50F4">
        <w:t>, som omhandlet i traktatens artikkel 52.</w:t>
      </w:r>
    </w:p>
    <w:p w14:paraId="18D09CDE" w14:textId="77777777" w:rsidR="0016483D" w:rsidRPr="006D7319" w:rsidRDefault="0016483D" w:rsidP="006D7319">
      <w:r w:rsidRPr="006D7319">
        <w:t>Domstolen konkluderte med at vedkommende drev selvstendig næringsvirksomhet.</w:t>
      </w:r>
    </w:p>
    <w:p w14:paraId="161EADA5" w14:textId="1EC7481B" w:rsidR="0016483D" w:rsidRPr="006D7319" w:rsidRDefault="0016483D" w:rsidP="006D7319">
      <w:r w:rsidRPr="006D7319">
        <w:t xml:space="preserve">De nevnte avgjørelsene fra EU-domstolen gjelder ikke regler av direkte betydning for tolkningen av arbeidstakerbegrepet etter norsk rett. Avgjørelsene indikerer imidlertid at det også i EU-rettslig sammenheng er usikkert om personer med </w:t>
      </w:r>
      <w:r w:rsidRPr="006D7319">
        <w:t>dominerende eierinteresser vil bli ansett som arbeidstaker i virksomheten.</w:t>
      </w:r>
    </w:p>
    <w:p w14:paraId="31F840E0" w14:textId="5E260388" w:rsidR="0016483D" w:rsidRPr="006D7319" w:rsidRDefault="0016483D" w:rsidP="006D7319">
      <w:r w:rsidRPr="006D7319">
        <w:t>I juridisk litteratur har flere tatt til orde for at domine</w:t>
      </w:r>
      <w:r w:rsidRPr="006D7319">
        <w:t>rende eierinteresser og innflytelse over selskapet kan utelukke arbeidstakerstatus. Fougner skriver for eksempel at:</w:t>
      </w:r>
    </w:p>
    <w:p w14:paraId="1BDD921E" w14:textId="7BF8A2F4" w:rsidR="0016483D" w:rsidRPr="006A50F4" w:rsidRDefault="0016483D" w:rsidP="006D7319">
      <w:pPr>
        <w:pStyle w:val="blokksit"/>
      </w:pPr>
      <w:r w:rsidRPr="006A50F4">
        <w:t>(…) dersom en person som arbeider i en virksomhet, har en eierposisjon som innebærer at underordningsforholdet blir borte eller reduseres på en slik måte at det ikke lenger karakteriserer relasjonen, vil vedkommende ikke kunne regnes som arbeidstaker selv om personen nedlegger arbeid i virksomheten.</w:t>
      </w:r>
      <w:r w:rsidR="006A50F4" w:rsidRPr="006A50F4">
        <w:rPr>
          <w:rStyle w:val="Fotnotereferanse"/>
        </w:rPr>
        <w:footnoteReference w:id="105"/>
      </w:r>
    </w:p>
    <w:p w14:paraId="1E3B39FB" w14:textId="7BF49062" w:rsidR="0016483D" w:rsidRPr="006D7319" w:rsidRDefault="0016483D" w:rsidP="006D7319">
      <w:r w:rsidRPr="006D7319">
        <w:t xml:space="preserve">I lovkommentar på </w:t>
      </w:r>
      <w:proofErr w:type="spellStart"/>
      <w:r w:rsidRPr="006D7319">
        <w:t>Juridika</w:t>
      </w:r>
      <w:proofErr w:type="spellEnd"/>
      <w:r w:rsidRPr="006D7319">
        <w:t xml:space="preserve"> til </w:t>
      </w:r>
      <w:r w:rsidR="006A50F4">
        <w:t>§ </w:t>
      </w:r>
      <w:r w:rsidR="006A50F4" w:rsidRPr="006D7319">
        <w:t>1</w:t>
      </w:r>
      <w:r w:rsidRPr="006D7319">
        <w:t xml:space="preserve">-8 </w:t>
      </w:r>
      <w:proofErr w:type="gramStart"/>
      <w:r w:rsidRPr="006D7319">
        <w:t>fremgår</w:t>
      </w:r>
      <w:proofErr w:type="gramEnd"/>
      <w:r w:rsidRPr="006D7319">
        <w:t xml:space="preserve"> at:</w:t>
      </w:r>
    </w:p>
    <w:p w14:paraId="612C04AF" w14:textId="09977320" w:rsidR="0016483D" w:rsidRPr="006A50F4" w:rsidRDefault="0016483D" w:rsidP="006D7319">
      <w:pPr>
        <w:pStyle w:val="blokksit"/>
      </w:pPr>
      <w:r w:rsidRPr="006A50F4">
        <w:t xml:space="preserve">(…) foruten eierandelens størrelse må man antakelig også kunne legge vekt på andre faktorer som har betydning for eierandelens reelle innflytelse, herunder vedtektsbestemmelser eller bestemmelser i </w:t>
      </w:r>
      <w:r w:rsidRPr="006A50F4">
        <w:t>aksjonæravtaler, graden av spredning av aksjer, hvorvidt arbeidspersonens nærstående også er aksjeeiere mv.</w:t>
      </w:r>
      <w:r w:rsidR="006A50F4" w:rsidRPr="006A50F4">
        <w:rPr>
          <w:rStyle w:val="Fotnotereferanse"/>
        </w:rPr>
        <w:footnoteReference w:id="106"/>
      </w:r>
    </w:p>
    <w:p w14:paraId="70BC97BF" w14:textId="6EFF0649" w:rsidR="0016483D" w:rsidRPr="006D7319" w:rsidRDefault="0016483D" w:rsidP="006D7319">
      <w:r w:rsidRPr="006D7319">
        <w:t xml:space="preserve">Videre har arbeidsgruppen fått opplyst at det finnes eksempler på at departementet og Arbeidstilsynet har hatt ulike tolkninger av spørsmålet. Departementet har blant annet uttrykt at det alltid har lagt til grunn at aksjeselskap uten andre ansatte enn eieren ikke er </w:t>
      </w:r>
      <w:r w:rsidR="006A50F4">
        <w:t>«</w:t>
      </w:r>
      <w:r w:rsidRPr="006D7319">
        <w:t xml:space="preserve">virksomhet som sysselsetter </w:t>
      </w:r>
      <w:r w:rsidRPr="006D7319">
        <w:lastRenderedPageBreak/>
        <w:t>arbeidstaker</w:t>
      </w:r>
      <w:r w:rsidR="006A50F4">
        <w:t>»</w:t>
      </w:r>
      <w:r w:rsidRPr="006D7319">
        <w:t xml:space="preserve"> og faller utenfor lovens virkeområde.</w:t>
      </w:r>
      <w:r w:rsidR="006A50F4" w:rsidRPr="006A50F4">
        <w:rPr>
          <w:rStyle w:val="Fotnotereferanse"/>
        </w:rPr>
        <w:footnoteReference w:id="107"/>
      </w:r>
      <w:r w:rsidRPr="006D7319">
        <w:t xml:space="preserve"> Arbeidstilsynet har derimot gitt uttrykk for at eier og eneste ansatt i eget aksjeselskap kan være omfattet av arbeidsmiljølovens virkeområde.</w:t>
      </w:r>
      <w:r w:rsidR="006A50F4" w:rsidRPr="006A50F4">
        <w:rPr>
          <w:rStyle w:val="Fotnotereferanse"/>
        </w:rPr>
        <w:footnoteReference w:id="108"/>
      </w:r>
    </w:p>
    <w:p w14:paraId="0E1662FD" w14:textId="1F80FAF9" w:rsidR="0016483D" w:rsidRPr="006D7319" w:rsidRDefault="0016483D" w:rsidP="006D7319">
      <w:r w:rsidRPr="006D7319">
        <w:t>Arbeidsgruppen er delt i sitt syn på hvorvidt retts</w:t>
      </w:r>
      <w:r w:rsidRPr="006D7319">
        <w:t xml:space="preserve">kildene nevnt ovenfor tilsier at eneeier vil bli anerkjent som arbeidstaker i eget aksjeselskap i arbeidsmiljølovens forstand eller ikke. Denne vurderingen får betydning for spørsmålet om adgangen til </w:t>
      </w:r>
      <w:proofErr w:type="gramStart"/>
      <w:r w:rsidRPr="006D7319">
        <w:t>innleie</w:t>
      </w:r>
      <w:proofErr w:type="gramEnd"/>
      <w:r w:rsidRPr="006D7319">
        <w:t xml:space="preserve"> fra aksjeselskap der eier er eneste ansatt. Medlemmenes syn på spørsmålet fremgår av punkt 2.6.4 nedenfor om </w:t>
      </w:r>
      <w:proofErr w:type="gramStart"/>
      <w:r w:rsidRPr="006D7319">
        <w:t>innleie</w:t>
      </w:r>
      <w:proofErr w:type="gramEnd"/>
      <w:r w:rsidRPr="006D7319">
        <w:t>.</w:t>
      </w:r>
    </w:p>
    <w:p w14:paraId="0BE04D45" w14:textId="77777777" w:rsidR="0016483D" w:rsidRPr="006D7319" w:rsidRDefault="0016483D" w:rsidP="006D7319">
      <w:pPr>
        <w:pStyle w:val="Overskrift2"/>
      </w:pPr>
      <w:r w:rsidRPr="006D7319">
        <w:t>Arbeidsgruppens vurderinger av aktuelle tilknytningsformer for enpersonsbedrifter etter gjeldende rett</w:t>
      </w:r>
    </w:p>
    <w:p w14:paraId="3700FCE0" w14:textId="77777777" w:rsidR="0016483D" w:rsidRPr="006D7319" w:rsidRDefault="0016483D" w:rsidP="006D7319">
      <w:pPr>
        <w:pStyle w:val="Overskrift3"/>
      </w:pPr>
      <w:r w:rsidRPr="006D7319">
        <w:t>Innledning</w:t>
      </w:r>
    </w:p>
    <w:p w14:paraId="3BF1E8AE" w14:textId="0FDB4BA2" w:rsidR="0016483D" w:rsidRPr="006D7319" w:rsidRDefault="0016483D" w:rsidP="006D7319">
      <w:r w:rsidRPr="006D7319">
        <w:t xml:space="preserve">Arbeidsgruppen skal ifølge mandatet blant annet </w:t>
      </w:r>
      <w:r w:rsidR="006A50F4">
        <w:t>«</w:t>
      </w:r>
      <w:r w:rsidRPr="006D7319">
        <w:t xml:space="preserve">beskrive gjeldende rett </w:t>
      </w:r>
      <w:proofErr w:type="gramStart"/>
      <w:r w:rsidRPr="006D7319">
        <w:t>hva gjelder</w:t>
      </w:r>
      <w:proofErr w:type="gramEnd"/>
      <w:r w:rsidRPr="006D7319">
        <w:t xml:space="preserve"> mulige tilknytningsformer for kjøp av konsulent- og rådgiver</w:t>
      </w:r>
      <w:r w:rsidRPr="006D7319">
        <w:t>tjenester, herunder fra enkeltpersonforetak og aksjeselskap hvor eier er eneste arbeidende person i virksomheten</w:t>
      </w:r>
      <w:r w:rsidR="006A50F4">
        <w:t>»</w:t>
      </w:r>
      <w:r w:rsidRPr="006D7319">
        <w:t>. Nedenfor gis en oppsummering av hvilke tilknytningsformer som kan benyttes ved kjøp av tjenester fra slike enpersonsbedrifter.</w:t>
      </w:r>
    </w:p>
    <w:p w14:paraId="4A7823BE" w14:textId="77777777" w:rsidR="0016483D" w:rsidRPr="006D7319" w:rsidRDefault="0016483D" w:rsidP="006D7319">
      <w:pPr>
        <w:pStyle w:val="Overskrift3"/>
      </w:pPr>
      <w:r w:rsidRPr="006D7319">
        <w:t>Oppdragsforhold</w:t>
      </w:r>
    </w:p>
    <w:p w14:paraId="7E000344" w14:textId="77777777" w:rsidR="0016483D" w:rsidRPr="006D7319" w:rsidRDefault="0016483D" w:rsidP="006D7319">
      <w:r w:rsidRPr="006D7319">
        <w:t>Selvstendige konsulenter og rådgivere kan selge sine tjenester ved å inngå oppdragskontrakter. Dette gjelder uavhengig av om virksomheten er organisert som et enkeltpersonforetak eller et aksjeselskap. Som beskrevet nedenfor i punkt 3.3.3 er dette imidlertid en kontraktsform som er mindre foretrukket ved kjøp av IT- tjenester. Ofte foreligger det et behov for at IT-konsulenten arbeider under kundens ledelse og kontroll, og uten resultatansvar.</w:t>
      </w:r>
    </w:p>
    <w:p w14:paraId="618A4056" w14:textId="77777777" w:rsidR="0016483D" w:rsidRPr="006D7319" w:rsidRDefault="0016483D" w:rsidP="006D7319">
      <w:pPr>
        <w:pStyle w:val="Overskrift3"/>
      </w:pPr>
      <w:r w:rsidRPr="006D7319">
        <w:t>Direkte ansettelse</w:t>
      </w:r>
    </w:p>
    <w:p w14:paraId="0FD30E2B" w14:textId="14100B19" w:rsidR="0016483D" w:rsidRPr="006D7319" w:rsidRDefault="0016483D" w:rsidP="006D7319">
      <w:r w:rsidRPr="006D7319">
        <w:t>Selvstendige konsulenter og rådgivere med eget enkeltpersonforetak eller aksjeselskap kan også ansettes direkte hos kunden, enten fast eller midler</w:t>
      </w:r>
      <w:r w:rsidRPr="006D7319">
        <w:t xml:space="preserve">tidig. Til tross for at direkte ansettelse er </w:t>
      </w:r>
      <w:r w:rsidRPr="006D7319">
        <w:lastRenderedPageBreak/>
        <w:t>hoved</w:t>
      </w:r>
      <w:r w:rsidRPr="006D7319">
        <w:t>regelen i norsk arbeidsliv, synes oppfatningen å være at dette er en mindre aktuell tilknytningsform for selvstendige rådgivere og konsulenter, se nærmere i punkt 3.3 nedenfor.</w:t>
      </w:r>
    </w:p>
    <w:p w14:paraId="2ED342D1" w14:textId="77777777" w:rsidR="0016483D" w:rsidRPr="006D7319" w:rsidRDefault="0016483D" w:rsidP="006D7319">
      <w:pPr>
        <w:pStyle w:val="Overskrift3"/>
      </w:pPr>
      <w:r w:rsidRPr="006D7319">
        <w:t>Innleie</w:t>
      </w:r>
    </w:p>
    <w:p w14:paraId="79B7126E" w14:textId="77777777" w:rsidR="0016483D" w:rsidRPr="006D7319" w:rsidRDefault="0016483D" w:rsidP="006D7319">
      <w:r w:rsidRPr="006D7319">
        <w:t xml:space="preserve">En forutsetning for at innleie etter reglene i arbeidsmiljøloven kan benyttes som tilknytningsform, er som nevnt at det må foreligge et reelt </w:t>
      </w:r>
      <w:proofErr w:type="spellStart"/>
      <w:r w:rsidRPr="006D7319">
        <w:t>trepartsforhold</w:t>
      </w:r>
      <w:proofErr w:type="spellEnd"/>
      <w:r w:rsidRPr="006D7319">
        <w:t>, herunder at konsulenten eller rådgiveren anerkjennes som arbeidstaker i egen virksomhet.</w:t>
      </w:r>
    </w:p>
    <w:p w14:paraId="7F4B033D" w14:textId="46868903" w:rsidR="0016483D" w:rsidRPr="006D7319" w:rsidRDefault="0016483D" w:rsidP="006D7319">
      <w:r w:rsidRPr="006D7319">
        <w:t xml:space="preserve">Gjennomgangen av rettskildene viser at det er relativt klart at konsulenter og rådgivere organisert som </w:t>
      </w:r>
      <w:r w:rsidRPr="006A50F4">
        <w:rPr>
          <w:rStyle w:val="kursiv"/>
        </w:rPr>
        <w:t>enkeltpersonforetak</w:t>
      </w:r>
      <w:r w:rsidRPr="006D7319">
        <w:t xml:space="preserve"> ikke kan anses som arbeids</w:t>
      </w:r>
      <w:r w:rsidRPr="006D7319">
        <w:t>takere i egen virksomhet, og heller ikke som en virksomhet som sysselsetter arbeidstaker. Dette innebærer at arbeidsmiljøloven som hovedregel ikke kommer til anvendelse, og at det ikke vil være mulig å leie inn konsulenter og rådgivere fra slike virksomheter etter arbeidsmiljølovens regler.</w:t>
      </w:r>
    </w:p>
    <w:p w14:paraId="7BC82FF8" w14:textId="5751F88F" w:rsidR="0016483D" w:rsidRPr="006D7319" w:rsidRDefault="0016483D" w:rsidP="006D7319">
      <w:r w:rsidRPr="006D7319">
        <w:t>Vurderingstemaet blir da hvorvidt konsulenten eller rådgiveren skal anses som arbeidstaker eller oppdragstaker i relasjon til kunden. Ifølge rettspraksis synes det ved denne vurderingen ikke å ha betydning om oppdragstak</w:t>
      </w:r>
      <w:r w:rsidRPr="006D7319">
        <w:t xml:space="preserve">er har organisert sin virksomhet som et enkeltpersonforetak, se for eksempel </w:t>
      </w:r>
      <w:proofErr w:type="spellStart"/>
      <w:r w:rsidRPr="006D7319">
        <w:t>Aleris</w:t>
      </w:r>
      <w:proofErr w:type="spellEnd"/>
      <w:r w:rsidRPr="006D7319">
        <w:t>-dommen.</w:t>
      </w:r>
      <w:r w:rsidR="006A50F4" w:rsidRPr="006A50F4">
        <w:rPr>
          <w:rStyle w:val="Fotnotereferanse"/>
        </w:rPr>
        <w:footnoteReference w:id="109"/>
      </w:r>
    </w:p>
    <w:p w14:paraId="49E54430" w14:textId="32430425" w:rsidR="0016483D" w:rsidRPr="006D7319" w:rsidRDefault="0016483D" w:rsidP="006D7319">
      <w:r w:rsidRPr="006D7319">
        <w:t xml:space="preserve">Når det gjelder konsulenter og rådgivere som har organisert virksomheten gjennom et eget </w:t>
      </w:r>
      <w:r w:rsidRPr="006A50F4">
        <w:rPr>
          <w:rStyle w:val="kursiv"/>
        </w:rPr>
        <w:t>aksjeselskap</w:t>
      </w:r>
      <w:r w:rsidRPr="006D7319">
        <w:t xml:space="preserve"> der eieren er eneste ansatt, er </w:t>
      </w:r>
      <w:r w:rsidRPr="006D7319">
        <w:t>rettskildebildet ikke like avklart. Gjennomgangen av relevante rettskilder etterlater en usikkerhet når det gjelder hvorvidt eneeier vil bli anerkjent som arbeidstaker i eget aksjeselskap i arbeidsmiljølovens forstand.</w:t>
      </w:r>
    </w:p>
    <w:p w14:paraId="7B75D274" w14:textId="5002C0EE" w:rsidR="0016483D" w:rsidRPr="006D7319" w:rsidRDefault="0016483D" w:rsidP="006D7319">
      <w:r w:rsidRPr="006A50F4">
        <w:rPr>
          <w:rStyle w:val="kursiv"/>
        </w:rPr>
        <w:t xml:space="preserve">Medlemmene Hotvedt, Fjeldstad, Dahle, Kastet, Nordbø og Arthur </w:t>
      </w:r>
      <w:r w:rsidRPr="006D7319">
        <w:t xml:space="preserve">anerkjenner at ettersom spørsmålet ikke har kommet på spissen og fått en konkret avklaring, er det en viss usikkerhet. De rettskildene som er gjennomgått ovenfor i punkt 2.5.3, trekker imidlertid i hovedsak i retning av at en konsulent eller </w:t>
      </w:r>
      <w:r w:rsidRPr="006D7319">
        <w:t>rådgiver som har organisert seg som et aksjeselskap der en selv som eier er eneste ansatte ikke anses som arbeidstaker i eget selskap etter arbeidsmiljøloven. Dette på grunn av fraværet av et reelt underordningsforhold i relasjon til selskapet.</w:t>
      </w:r>
    </w:p>
    <w:p w14:paraId="7217B75B" w14:textId="14B03ADD" w:rsidR="0016483D" w:rsidRPr="006D7319" w:rsidRDefault="0016483D" w:rsidP="006D7319">
      <w:r w:rsidRPr="006D7319">
        <w:t>Det er grunnleggende at hvem som er arbeidstaker i arbeidsrettslig sammenheng vurderes ut fra realitetene. At en dominerende eier som leder selskapet ikke anses å være i et reelt underordningsforhold til eget selskap, og dermed ikke er arbeidstaker etter arbeidsretts</w:t>
      </w:r>
      <w:r w:rsidRPr="006D7319">
        <w:t>lige regler, er kommet til uttrykk i høyeste</w:t>
      </w:r>
      <w:r w:rsidRPr="006D7319">
        <w:t>rettspraksis og annen rettspraksis. Dette er også bekreftet i forarbeidsuttalelser og lagt til grunn av flere i juridisk litteratur. EU-domstolen har resonnert på tilsvarende måte der spørsmålet om arbeidstakerstatus i slike relasjoner har kommet på spissen i annen sammenheng.</w:t>
      </w:r>
    </w:p>
    <w:p w14:paraId="12E20AC8" w14:textId="38B2B902" w:rsidR="0016483D" w:rsidRPr="006D7319" w:rsidRDefault="0016483D" w:rsidP="006D7319">
      <w:r w:rsidRPr="006D7319">
        <w:lastRenderedPageBreak/>
        <w:t xml:space="preserve">Forvaltningspraksis tilsier ikke noe annet. Departementet har gitt uttrykk for at aksjeselskap med eier som eneste ansatt ikke er </w:t>
      </w:r>
      <w:r w:rsidR="006A50F4">
        <w:t>«</w:t>
      </w:r>
      <w:r w:rsidRPr="006D7319">
        <w:t>virksomhet som sysselsetter arbeidstaker</w:t>
      </w:r>
      <w:r w:rsidR="006A50F4">
        <w:t>»</w:t>
      </w:r>
      <w:r w:rsidRPr="006D7319">
        <w:t xml:space="preserve"> etter arbeidsmiljøloven </w:t>
      </w:r>
      <w:r w:rsidR="006A50F4">
        <w:t>§ </w:t>
      </w:r>
      <w:r w:rsidR="006A50F4" w:rsidRPr="006D7319">
        <w:t>1</w:t>
      </w:r>
      <w:r w:rsidRPr="006D7319">
        <w:t>-2.</w:t>
      </w:r>
      <w:r w:rsidR="006A50F4" w:rsidRPr="006A50F4">
        <w:rPr>
          <w:rStyle w:val="Fotnotereferanse"/>
        </w:rPr>
        <w:footnoteReference w:id="110"/>
      </w:r>
      <w:r w:rsidRPr="006D7319">
        <w:t xml:space="preserve"> I den grad Arbeidstilsynet i enkelte uttalelser har gitt uttrykk for en annen forståelse, er dette blitt korrigert av departementet som overordnet forvaltningsorgan i forbindelse med innføringen av godkjenningsordningen.</w:t>
      </w:r>
    </w:p>
    <w:p w14:paraId="04C463B7" w14:textId="55D8D374" w:rsidR="0016483D" w:rsidRPr="006D7319" w:rsidRDefault="0016483D" w:rsidP="006D7319">
      <w:r w:rsidRPr="006A50F4">
        <w:rPr>
          <w:rStyle w:val="kursiv"/>
        </w:rPr>
        <w:t>Disse medlemmene</w:t>
      </w:r>
      <w:r w:rsidRPr="006D7319">
        <w:t xml:space="preserve"> mener derfor det er mest nærliggende å konkludere med at de aktuelle konsulentene eller rådgiverne ikke anses som arbeidstaker i eget selskap i arbeidsmiljølovens forstand. Konsekvensen vil være at det ikke er adgang til </w:t>
      </w:r>
      <w:proofErr w:type="gramStart"/>
      <w:r w:rsidRPr="006D7319">
        <w:t>innleie</w:t>
      </w:r>
      <w:proofErr w:type="gramEnd"/>
      <w:r w:rsidRPr="006D7319">
        <w:t xml:space="preserve"> av disse etter arbeidsmiljøloven. Dette er imidlertid ikke til hinder for at vedkommende konsulent eller rådgiver kan være arbeidstaker etter andre regler, som skatte- og trygderettslige regler, herunder regler som gir rett til dagpenger under permittering. Ved endringen i arbeidst</w:t>
      </w:r>
      <w:r w:rsidRPr="006D7319">
        <w:t xml:space="preserve">akerdefinisjonen i 2023, ble det lagt til grunn at arbeidstakerbegrepet i tre spesifikke lover – arbeidsmiljøloven, ferieloven og arbeidstvistloven – skal forstås på samme måte. Om arbeidstakerdefinisjonene i øvrige lover ble det derimot fremhevet behovet for en konkret vurdering </w:t>
      </w:r>
      <w:r w:rsidR="006A50F4">
        <w:t>«</w:t>
      </w:r>
      <w:r w:rsidRPr="006D7319">
        <w:t>for den enkelte lov, i lys av dens særlige formål og hensyn</w:t>
      </w:r>
      <w:r w:rsidR="006A50F4">
        <w:t>»</w:t>
      </w:r>
      <w:r w:rsidRPr="006D7319">
        <w:t>.</w:t>
      </w:r>
      <w:r w:rsidR="006A50F4" w:rsidRPr="006A50F4">
        <w:rPr>
          <w:rStyle w:val="Fotnotereferanse"/>
        </w:rPr>
        <w:footnoteReference w:id="111"/>
      </w:r>
    </w:p>
    <w:p w14:paraId="7D321AC6" w14:textId="6671E81B" w:rsidR="0016483D" w:rsidRPr="006D7319" w:rsidRDefault="0016483D" w:rsidP="006D7319">
      <w:r w:rsidRPr="006A50F4">
        <w:rPr>
          <w:rStyle w:val="kursiv"/>
        </w:rPr>
        <w:t>Medlemmene</w:t>
      </w:r>
      <w:r w:rsidRPr="006D7319">
        <w:t xml:space="preserve"> </w:t>
      </w:r>
      <w:r w:rsidRPr="006A50F4">
        <w:rPr>
          <w:rStyle w:val="kursiv"/>
        </w:rPr>
        <w:t xml:space="preserve">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Svele og Solberg</w:t>
      </w:r>
      <w:r w:rsidRPr="006D7319">
        <w:t xml:space="preserve"> viser på sin side til at det verken i retts</w:t>
      </w:r>
      <w:r w:rsidRPr="006D7319">
        <w:t xml:space="preserve">praksis fra EU-domstolen eller norsk rettspraksis finnes saker som fastslår at rådgivere og konsulenter i eget foretak ikke kan leies inn. Tematikken har så langt disse medlemmene kan se, aldri vært </w:t>
      </w:r>
      <w:r w:rsidRPr="006D7319">
        <w:t>problematisert. Dette til tross for at det i hvert fall i norsk sammenheng er langvarig og omfattende praksis med hensyn til slik utleie, både i offentlig og privat virksomhet.</w:t>
      </w:r>
    </w:p>
    <w:p w14:paraId="063A2016" w14:textId="3AE23F8E" w:rsidR="0016483D" w:rsidRPr="006D7319" w:rsidRDefault="0016483D" w:rsidP="006D7319">
      <w:r w:rsidRPr="006D7319">
        <w:t xml:space="preserve">Etter </w:t>
      </w:r>
      <w:r w:rsidRPr="006A50F4">
        <w:rPr>
          <w:rStyle w:val="kursiv"/>
        </w:rPr>
        <w:t>disse medlemmenes</w:t>
      </w:r>
      <w:r w:rsidRPr="006D7319">
        <w:t xml:space="preserve"> vurdering synliggjør imidler</w:t>
      </w:r>
      <w:r w:rsidRPr="006D7319">
        <w:t>tid gjennomgangen av rettskildene flere momenter som peker i retning av at konsulenter og rådgivere ansatt i eget aksjeselskap klassifiseres som arbeidstakere i arbeidsmiljølovens forstand.</w:t>
      </w:r>
    </w:p>
    <w:p w14:paraId="7EED8CBB" w14:textId="0F072C3A" w:rsidR="0016483D" w:rsidRPr="006D7319" w:rsidRDefault="0016483D" w:rsidP="006D7319">
      <w:r w:rsidRPr="006D7319">
        <w:t>Etter arbeidsmiljøloven §</w:t>
      </w:r>
      <w:r w:rsidRPr="006D7319">
        <w:rPr>
          <w:rFonts w:ascii="Arial" w:hAnsi="Arial" w:cs="Arial"/>
        </w:rPr>
        <w:t> </w:t>
      </w:r>
      <w:r w:rsidRPr="006D7319">
        <w:t>1</w:t>
      </w:r>
      <w:r w:rsidRPr="006D7319">
        <w:noBreakHyphen/>
        <w:t xml:space="preserve">2 gjelder loven for </w:t>
      </w:r>
      <w:r w:rsidRPr="006D7319">
        <w:t xml:space="preserve">virksomheter som sysselsetter arbeidstaker. </w:t>
      </w:r>
      <w:r w:rsidRPr="006A50F4">
        <w:rPr>
          <w:rStyle w:val="kursiv"/>
        </w:rPr>
        <w:t>Disse medlemmene</w:t>
      </w:r>
      <w:r w:rsidRPr="006D7319">
        <w:t xml:space="preserve"> mener at verken lovens ordlyd, forarbeider eller rettspraksis gir grunnlag for å </w:t>
      </w:r>
      <w:r w:rsidRPr="006D7319">
        <w:t>identifisere selskapet med den ene ansatte, selv der vedkommende også er eier. Tvert imot følger det av lovens forarbeider at hovedregelen er at arbeids</w:t>
      </w:r>
      <w:r w:rsidRPr="006D7319">
        <w:t xml:space="preserve">takers </w:t>
      </w:r>
      <w:r w:rsidRPr="006D7319">
        <w:t xml:space="preserve">rettigheter er knyttet til den enkelte virksomhet, og at avgrensningen av virksomhetsbegrepet som alminnelig regel vil falle sammen med det rettssubjekt </w:t>
      </w:r>
      <w:r w:rsidRPr="006D7319">
        <w:lastRenderedPageBreak/>
        <w:t>som er arbeidsgiver.</w:t>
      </w:r>
      <w:r w:rsidR="006A50F4" w:rsidRPr="006A50F4">
        <w:rPr>
          <w:rStyle w:val="Fotnotereferanse"/>
        </w:rPr>
        <w:footnoteReference w:id="112"/>
      </w:r>
      <w:r w:rsidRPr="006D7319">
        <w:t xml:space="preserve"> At ansatt i eget aksjeselskap anses som arbeidstaker etter arbeidsmiljø</w:t>
      </w:r>
      <w:r w:rsidRPr="006D7319">
        <w:t>loven, legges også til grunn av Fougner-utvalget.</w:t>
      </w:r>
      <w:r w:rsidR="006A50F4" w:rsidRPr="006A50F4">
        <w:rPr>
          <w:rStyle w:val="Fotnotereferanse"/>
        </w:rPr>
        <w:footnoteReference w:id="113"/>
      </w:r>
    </w:p>
    <w:p w14:paraId="7A3CF098" w14:textId="700D1EE3" w:rsidR="0016483D" w:rsidRPr="006D7319" w:rsidRDefault="0016483D" w:rsidP="006D7319">
      <w:r w:rsidRPr="006D7319">
        <w:t xml:space="preserve">Videre viser </w:t>
      </w:r>
      <w:r w:rsidRPr="006D7319">
        <w:t>disse medlemmene</w:t>
      </w:r>
      <w:r w:rsidRPr="006D7319">
        <w:t xml:space="preserve"> til at personer ansatt i eget aksjeselskap regnes som arbeidstaker på en rekke andre, tilsluttede rettsområder/lovgivning, for eksempel etter skatte- og trygderettslige regler, samt reglene i lov om lønnsplikt under permitte</w:t>
      </w:r>
      <w:r w:rsidRPr="006D7319">
        <w:t>ring. Når det gjelder sistnevnte lov er det klart lagt til grunn i både forarbeider og juridisk teori at lovens arbeidstakerbegrep skal forstås likt som etter arbeidsmiljøloven.</w:t>
      </w:r>
      <w:r w:rsidR="006A50F4" w:rsidRPr="006A50F4">
        <w:rPr>
          <w:rStyle w:val="Fotnotereferanse"/>
        </w:rPr>
        <w:footnoteReference w:id="114"/>
      </w:r>
    </w:p>
    <w:p w14:paraId="0EE6F16E" w14:textId="77777777" w:rsidR="0016483D" w:rsidRPr="006D7319" w:rsidRDefault="0016483D" w:rsidP="006D7319">
      <w:r w:rsidRPr="006D7319">
        <w:t xml:space="preserve">Det er etter </w:t>
      </w:r>
      <w:r w:rsidRPr="006D7319">
        <w:t>disse</w:t>
      </w:r>
      <w:r w:rsidRPr="006D7319">
        <w:t xml:space="preserve"> </w:t>
      </w:r>
      <w:r w:rsidRPr="006A50F4">
        <w:rPr>
          <w:rStyle w:val="kursiv"/>
        </w:rPr>
        <w:t xml:space="preserve">medlemmenes </w:t>
      </w:r>
      <w:r w:rsidRPr="006A50F4">
        <w:rPr>
          <w:rStyle w:val="kursiv"/>
        </w:rPr>
        <w:t>syn</w:t>
      </w:r>
      <w:r w:rsidRPr="006A50F4">
        <w:rPr>
          <w:rStyle w:val="kursiv"/>
        </w:rPr>
        <w:t xml:space="preserve"> </w:t>
      </w:r>
      <w:r w:rsidRPr="006D7319">
        <w:t>derfor ingen klare holdepunkter i rettskildene for å gjøre unntak fra utgangspunktet om at et aksjeselskap er et eget rettssubjekt, selv om eieren også er den eneste arbeidstakeren. En slik forståelse støttes også av at arbeidstakeren sikres rettigheter og vern overfor både arbeidsgiver og eventuelle kunder gjennom arbeidsmiljølovens regler.</w:t>
      </w:r>
    </w:p>
    <w:p w14:paraId="4CC8C654" w14:textId="4FABDC4C" w:rsidR="0016483D" w:rsidRPr="006D7319" w:rsidRDefault="0016483D" w:rsidP="006D7319">
      <w:r w:rsidRPr="006A50F4">
        <w:rPr>
          <w:rStyle w:val="kursiv"/>
        </w:rPr>
        <w:t>Disse medlemmene</w:t>
      </w:r>
      <w:r w:rsidRPr="006D7319">
        <w:t xml:space="preserve"> vil også påpeke at verken innfør</w:t>
      </w:r>
      <w:r w:rsidRPr="006D7319">
        <w:t>ingen av en godkjenningsordning for bemannings</w:t>
      </w:r>
      <w:r w:rsidRPr="006D7319">
        <w:t xml:space="preserve">foretak eller innføringen av et presumsjonsprinsipp for arbeidstakerklassifisering i </w:t>
      </w:r>
      <w:r w:rsidRPr="006D7319">
        <w:t xml:space="preserve">arbeidsmiljøloven </w:t>
      </w:r>
      <w:r w:rsidR="006A50F4">
        <w:t>§ </w:t>
      </w:r>
      <w:r w:rsidR="006A50F4" w:rsidRPr="006D7319">
        <w:t>1</w:t>
      </w:r>
      <w:r w:rsidRPr="006D7319">
        <w:t xml:space="preserve">-8 første ledd, medførte noen materielle endringer i verken reglene for </w:t>
      </w:r>
      <w:proofErr w:type="gramStart"/>
      <w:r w:rsidRPr="006D7319">
        <w:t>innleie</w:t>
      </w:r>
      <w:proofErr w:type="gramEnd"/>
      <w:r w:rsidRPr="006D7319">
        <w:t xml:space="preserve"> etter arbeidsmiljøloven </w:t>
      </w:r>
      <w:r w:rsidR="006A50F4">
        <w:t>§ </w:t>
      </w:r>
      <w:r w:rsidR="006A50F4" w:rsidRPr="006D7319">
        <w:t>1</w:t>
      </w:r>
      <w:r w:rsidRPr="006D7319">
        <w:t>4-12 eller lovens arbeidstakerbegrep. I tilknytning til dette vil medlemmene også vise til at det i tidligere forvaltningspraksis fra Arbeidstil</w:t>
      </w:r>
      <w:r w:rsidRPr="006D7319">
        <w:t>synet er lagt til grunn at man i eget foretak er å anse som arbeidstaker, og dermed kan leie seg ut etter arbeidsmiljølovens regler for bemanningsforetak og produksjonsbedrifter.</w:t>
      </w:r>
    </w:p>
    <w:p w14:paraId="4D6D554A" w14:textId="73AA95D6" w:rsidR="0016483D" w:rsidRPr="006D7319" w:rsidRDefault="0016483D" w:rsidP="006D7319">
      <w:r w:rsidRPr="006D7319">
        <w:t>Selv om det anerkjennes at det foreligger en usikker</w:t>
      </w:r>
      <w:r w:rsidRPr="006D7319">
        <w:t xml:space="preserve">het, mener </w:t>
      </w:r>
      <w:r w:rsidRPr="006A50F4">
        <w:rPr>
          <w:rStyle w:val="kursiv"/>
        </w:rPr>
        <w:t>disse medlemmene</w:t>
      </w:r>
      <w:r w:rsidRPr="006D7319">
        <w:t xml:space="preserve"> at det ut fra kilder som omhandler spørsmålet er mest nærliggende å konkludere med at de aktuelle konsulentene eller rådgiverne anses som arbeidstaker i eget foretak i arbeidsmiljølovens forstand. Det fremgår heller ikke av vurderingen at de juridiske betraktningene kan foretas med utgangspunkt i et kontraktsrettslig ståsted. </w:t>
      </w:r>
      <w:proofErr w:type="gramStart"/>
      <w:r w:rsidRPr="006D7319">
        <w:t>For øvrig</w:t>
      </w:r>
      <w:proofErr w:type="gramEnd"/>
      <w:r w:rsidRPr="006D7319">
        <w:t xml:space="preserve"> viser </w:t>
      </w:r>
      <w:r w:rsidRPr="006A50F4">
        <w:rPr>
          <w:rStyle w:val="kursiv"/>
        </w:rPr>
        <w:t>disse medlemmene</w:t>
      </w:r>
      <w:r w:rsidRPr="006D7319">
        <w:t xml:space="preserve"> til sine merknader i punkt 4.3.3.</w:t>
      </w:r>
    </w:p>
    <w:p w14:paraId="766DCA60" w14:textId="72431EB6" w:rsidR="0016483D" w:rsidRPr="006D7319" w:rsidRDefault="0016483D" w:rsidP="006D7319">
      <w:r w:rsidRPr="006A50F4">
        <w:rPr>
          <w:rStyle w:val="kursiv"/>
        </w:rPr>
        <w:lastRenderedPageBreak/>
        <w:t xml:space="preserve">Medlemmet Svele </w:t>
      </w:r>
      <w:r w:rsidRPr="006D7319">
        <w:t>etterlyser en helhetlig vurdering av vernehensyn for råd</w:t>
      </w:r>
      <w:r w:rsidRPr="006D7319">
        <w:t>givere og konsulenter ansatt i eget aksjeselskap, herunder konsekvenser av mang</w:t>
      </w:r>
      <w:r w:rsidRPr="006D7319">
        <w:t>lende innleievern dersom man ikke anses som arbeidstaker.</w:t>
      </w:r>
    </w:p>
    <w:p w14:paraId="6CF9C48D" w14:textId="77777777" w:rsidR="0016483D" w:rsidRPr="006D7319" w:rsidRDefault="0016483D" w:rsidP="006D7319">
      <w:pPr>
        <w:pStyle w:val="Overskrift1"/>
      </w:pPr>
      <w:r w:rsidRPr="006D7319">
        <w:t>Kunnskapsgrunnlag</w:t>
      </w:r>
    </w:p>
    <w:p w14:paraId="44F642D8" w14:textId="77777777" w:rsidR="0016483D" w:rsidRPr="006D7319" w:rsidRDefault="0016483D" w:rsidP="006D7319">
      <w:pPr>
        <w:pStyle w:val="Overskrift2"/>
      </w:pPr>
      <w:r w:rsidRPr="006D7319">
        <w:t>Innledning</w:t>
      </w:r>
    </w:p>
    <w:p w14:paraId="366F286B" w14:textId="13FE2295" w:rsidR="0016483D" w:rsidRPr="006D7319" w:rsidRDefault="0016483D" w:rsidP="006D7319">
      <w:r w:rsidRPr="006D7319">
        <w:t>Konsulent- og rådgivningsvirksomhet kan foregå i ulike nær</w:t>
      </w:r>
      <w:r w:rsidRPr="006D7319">
        <w:t xml:space="preserve">inger og med ulike tilknytningsformer. Arbeidsgruppen har hatt behov for oppdatert kunnskap om rådgivernæringen. Det har vært viktig å både belyse hvilke bransjer innen </w:t>
      </w:r>
      <w:r w:rsidRPr="006D7319">
        <w:t>rådgivernæringen som har blitt berørt av regelverksendringene, omfang av personer og virksomheter som har blitt berørt og hvordan denne næringen organiserer sitt arbeid.</w:t>
      </w:r>
    </w:p>
    <w:p w14:paraId="616E6371" w14:textId="6FFAC83D" w:rsidR="0016483D" w:rsidRPr="006D7319" w:rsidRDefault="0016483D" w:rsidP="006D7319">
      <w:r w:rsidRPr="006D7319">
        <w:t xml:space="preserve">Menon </w:t>
      </w:r>
      <w:proofErr w:type="spellStart"/>
      <w:r w:rsidRPr="006D7319">
        <w:t>Economics</w:t>
      </w:r>
      <w:proofErr w:type="spellEnd"/>
      <w:r w:rsidRPr="006D7319">
        <w:t xml:space="preserve"> har, i samarbeid med Advokatfirmaet Hjort, utført et forsknings- og utredningsoppdrag for Arbeids- og inkluderingsdepartementet for å styrke kunnskapsgrunnlaget om konsulent- og </w:t>
      </w:r>
      <w:r w:rsidRPr="006D7319">
        <w:t xml:space="preserve">rådgivernæringen. Sluttrapporten </w:t>
      </w:r>
      <w:r w:rsidRPr="006A50F4">
        <w:rPr>
          <w:rStyle w:val="kursiv"/>
        </w:rPr>
        <w:t>Oppdragsorganise</w:t>
      </w:r>
      <w:r w:rsidRPr="006A50F4">
        <w:rPr>
          <w:rStyle w:val="kursiv"/>
        </w:rPr>
        <w:t xml:space="preserve">ring i rådgivernæringen – Kartlegging av organisering av arbeid og oppdrag innen konsulent- og rådgivningsvirksomhet </w:t>
      </w:r>
      <w:r w:rsidRPr="006D7319">
        <w:t>(Skogli m.fl. 2025) ble overlevert departementet 1. oktober 2025.</w:t>
      </w:r>
      <w:r w:rsidR="006A50F4" w:rsidRPr="006A50F4">
        <w:rPr>
          <w:rStyle w:val="Fotnotereferanse"/>
        </w:rPr>
        <w:footnoteReference w:id="115"/>
      </w:r>
      <w:r w:rsidRPr="006D7319">
        <w:t xml:space="preserve"> Menon </w:t>
      </w:r>
      <w:proofErr w:type="spellStart"/>
      <w:r w:rsidRPr="006D7319">
        <w:t>Economics</w:t>
      </w:r>
      <w:proofErr w:type="spellEnd"/>
      <w:r w:rsidRPr="006D7319">
        <w:t xml:space="preserve"> gjennomførte i 2023 et lignende prosjekt på oppdrag fra Akademikerne (Skogli m.fl. </w:t>
      </w:r>
      <w:r w:rsidRPr="006A50F4">
        <w:rPr>
          <w:rStyle w:val="kursiv"/>
        </w:rPr>
        <w:t>Oppdragsformer i råd</w:t>
      </w:r>
      <w:r w:rsidRPr="006A50F4">
        <w:rPr>
          <w:rStyle w:val="kursiv"/>
        </w:rPr>
        <w:t xml:space="preserve">givernæringen, </w:t>
      </w:r>
      <w:r w:rsidRPr="006D7319">
        <w:t>2023).</w:t>
      </w:r>
    </w:p>
    <w:p w14:paraId="62E9C655" w14:textId="77777777" w:rsidR="0016483D" w:rsidRPr="006D7319" w:rsidRDefault="0016483D" w:rsidP="006D7319">
      <w:r w:rsidRPr="006D7319">
        <w:t xml:space="preserve">Dette kapittelet bygger på rapportene fra Menon, med mindre annet er oppgitt, og tabeller og figurer er utformet av Menon </w:t>
      </w:r>
      <w:proofErr w:type="spellStart"/>
      <w:r w:rsidRPr="006D7319">
        <w:t>Economics</w:t>
      </w:r>
      <w:proofErr w:type="spellEnd"/>
      <w:r w:rsidRPr="006D7319">
        <w:t>.</w:t>
      </w:r>
    </w:p>
    <w:p w14:paraId="3D6A9461" w14:textId="77777777" w:rsidR="0016483D" w:rsidRPr="006D7319" w:rsidRDefault="0016483D" w:rsidP="006D7319">
      <w:pPr>
        <w:pStyle w:val="Overskrift2"/>
      </w:pPr>
      <w:r w:rsidRPr="006D7319">
        <w:t>Organisasjonsformer og omfang i rådgivernæringen</w:t>
      </w:r>
    </w:p>
    <w:p w14:paraId="3CCB1D7D" w14:textId="77777777" w:rsidR="0016483D" w:rsidRPr="006D7319" w:rsidRDefault="0016483D" w:rsidP="006D7319">
      <w:pPr>
        <w:pStyle w:val="Overskrift3"/>
      </w:pPr>
      <w:r w:rsidRPr="006D7319">
        <w:t>Nærmere om rådgivernæringens vekst og omfang</w:t>
      </w:r>
    </w:p>
    <w:p w14:paraId="57370C7D" w14:textId="0B434C4F" w:rsidR="0016483D" w:rsidRPr="006D7319" w:rsidRDefault="0016483D" w:rsidP="006D7319">
      <w:r w:rsidRPr="006D7319">
        <w:t xml:space="preserve">Rådgivernæringen sett under ett har hatt en vekst de siste årene, både i verdiskapning, omsetning og sysselsetting. Menon (2025) viser til at </w:t>
      </w:r>
      <w:r w:rsidRPr="006D7319">
        <w:t>næringen har et betydelig fotavtrykk i norsk arbeidsliv. I 2023 syssel</w:t>
      </w:r>
      <w:r w:rsidRPr="006D7319">
        <w:t>satte næringen rundt 15</w:t>
      </w:r>
      <w:r w:rsidR="006A50F4" w:rsidRPr="006D7319">
        <w:t>1</w:t>
      </w:r>
      <w:r w:rsidR="006A50F4">
        <w:t> </w:t>
      </w:r>
      <w:r w:rsidR="006A50F4" w:rsidRPr="006D7319">
        <w:t>500</w:t>
      </w:r>
      <w:r w:rsidRPr="006D7319">
        <w:t xml:space="preserve"> personer, hadde en verdiskapning på 184 milliarder kroner og hadde en samlet omsetning på nærmere 372 milliarder kroner.</w:t>
      </w:r>
    </w:p>
    <w:p w14:paraId="75E70D92" w14:textId="4A246AD2" w:rsidR="0016483D" w:rsidRPr="006D7319" w:rsidRDefault="0016483D" w:rsidP="006D7319">
      <w:r w:rsidRPr="006D7319">
        <w:t>Veksten har vært særlig sterk etter 2020, drevet av digitalisering og teknologiske tjenester. IKT og tekno</w:t>
      </w:r>
      <w:r w:rsidRPr="006D7319">
        <w:t>logi utgjør mer enn halvparten av de sysselsatte i næringen og har vært en av de viktigste vekstmotorene, både i omfang og omsetning. Tabell 3.1 viser fordelingen av bransje og gjennomsnittlig årlig vekstrate siden 2016.</w:t>
      </w:r>
    </w:p>
    <w:p w14:paraId="3C00850A" w14:textId="77777777" w:rsidR="0016483D" w:rsidRPr="006D7319" w:rsidRDefault="0016483D" w:rsidP="006D7319">
      <w:r w:rsidRPr="006D7319">
        <w:t>HR og rekruttering har et mindre antall sysselsatte i bransjen, men har hatt den største vekstraten.</w:t>
      </w:r>
    </w:p>
    <w:p w14:paraId="7AFC92CB" w14:textId="77777777" w:rsidR="0016483D" w:rsidRPr="006D7319" w:rsidRDefault="0016483D" w:rsidP="006D7319">
      <w:pPr>
        <w:pStyle w:val="tabell-tittel"/>
      </w:pPr>
      <w:r w:rsidRPr="006D7319">
        <w:lastRenderedPageBreak/>
        <w:t>Antall ansatte i de ulike bransjene i rådgivernæringene i 2023.</w:t>
      </w:r>
    </w:p>
    <w:tbl>
      <w:tblPr>
        <w:tblStyle w:val="StandardTabell"/>
        <w:tblW w:w="5000" w:type="pct"/>
        <w:tblLook w:val="0000" w:firstRow="0" w:lastRow="0" w:firstColumn="0" w:lastColumn="0" w:noHBand="0" w:noVBand="0"/>
      </w:tblPr>
      <w:tblGrid>
        <w:gridCol w:w="3426"/>
        <w:gridCol w:w="1982"/>
        <w:gridCol w:w="2344"/>
        <w:gridCol w:w="2704"/>
      </w:tblGrid>
      <w:tr w:rsidR="00000000" w:rsidRPr="006D7319" w14:paraId="0612AD00" w14:textId="77777777" w:rsidTr="00103D63">
        <w:trPr>
          <w:trHeight w:val="283"/>
        </w:trPr>
        <w:tc>
          <w:tcPr>
            <w:tcW w:w="1638" w:type="pct"/>
            <w:vAlign w:val="bottom"/>
          </w:tcPr>
          <w:p w14:paraId="46985E7F" w14:textId="77777777" w:rsidR="0016483D" w:rsidRPr="006A50F4" w:rsidRDefault="0016483D" w:rsidP="00103D63">
            <w:pPr>
              <w:pStyle w:val="TabellHode-kolonne"/>
              <w:rPr>
                <w:rStyle w:val="halvfet"/>
              </w:rPr>
            </w:pPr>
            <w:r w:rsidRPr="006A50F4">
              <w:rPr>
                <w:rStyle w:val="halvfet"/>
              </w:rPr>
              <w:t>Bransje</w:t>
            </w:r>
          </w:p>
        </w:tc>
        <w:tc>
          <w:tcPr>
            <w:tcW w:w="948" w:type="pct"/>
            <w:vAlign w:val="bottom"/>
          </w:tcPr>
          <w:p w14:paraId="5E6E0594" w14:textId="77777777" w:rsidR="0016483D" w:rsidRPr="006A50F4" w:rsidRDefault="0016483D" w:rsidP="00103D63">
            <w:pPr>
              <w:pStyle w:val="TabellHode-kolonne"/>
              <w:jc w:val="right"/>
              <w:rPr>
                <w:rStyle w:val="halvfet"/>
              </w:rPr>
            </w:pPr>
            <w:r w:rsidRPr="006A50F4">
              <w:rPr>
                <w:rStyle w:val="halvfet"/>
              </w:rPr>
              <w:t>Antall ansatte i 2023</w:t>
            </w:r>
          </w:p>
        </w:tc>
        <w:tc>
          <w:tcPr>
            <w:tcW w:w="1121" w:type="pct"/>
            <w:vAlign w:val="bottom"/>
          </w:tcPr>
          <w:p w14:paraId="3DD8D7A2" w14:textId="77777777" w:rsidR="0016483D" w:rsidRPr="006A50F4" w:rsidRDefault="0016483D" w:rsidP="00103D63">
            <w:pPr>
              <w:pStyle w:val="TabellHode-kolonne"/>
              <w:jc w:val="right"/>
              <w:rPr>
                <w:rStyle w:val="halvfet"/>
              </w:rPr>
            </w:pPr>
            <w:r w:rsidRPr="006A50F4">
              <w:rPr>
                <w:rStyle w:val="halvfet"/>
              </w:rPr>
              <w:t>Andel av næringens ansatte i 2023</w:t>
            </w:r>
          </w:p>
        </w:tc>
        <w:tc>
          <w:tcPr>
            <w:tcW w:w="1293" w:type="pct"/>
            <w:vAlign w:val="bottom"/>
          </w:tcPr>
          <w:p w14:paraId="42D525A9" w14:textId="77777777" w:rsidR="0016483D" w:rsidRPr="006A50F4" w:rsidRDefault="0016483D" w:rsidP="00103D63">
            <w:pPr>
              <w:pStyle w:val="TabellHode-kolonne"/>
              <w:jc w:val="right"/>
              <w:rPr>
                <w:rStyle w:val="halvfet"/>
              </w:rPr>
            </w:pPr>
            <w:r w:rsidRPr="006A50F4">
              <w:rPr>
                <w:rStyle w:val="halvfet"/>
              </w:rPr>
              <w:t>Gjennomsnittlig årlig vekstrate siden 2016</w:t>
            </w:r>
          </w:p>
        </w:tc>
      </w:tr>
      <w:tr w:rsidR="00000000" w:rsidRPr="006D7319" w14:paraId="2848DEFE" w14:textId="77777777" w:rsidTr="007173E8">
        <w:trPr>
          <w:trHeight w:val="283"/>
        </w:trPr>
        <w:tc>
          <w:tcPr>
            <w:tcW w:w="1638" w:type="pct"/>
          </w:tcPr>
          <w:p w14:paraId="15837BFF" w14:textId="77777777" w:rsidR="0016483D" w:rsidRPr="006D7319" w:rsidRDefault="0016483D" w:rsidP="00103D63">
            <w:pPr>
              <w:pStyle w:val="TabellHode-rad"/>
            </w:pPr>
            <w:r w:rsidRPr="006D7319">
              <w:t>IKT-rådgivere</w:t>
            </w:r>
          </w:p>
        </w:tc>
        <w:tc>
          <w:tcPr>
            <w:tcW w:w="948" w:type="pct"/>
            <w:vAlign w:val="bottom"/>
          </w:tcPr>
          <w:p w14:paraId="70389271" w14:textId="4FCF214D" w:rsidR="0016483D" w:rsidRPr="006D7319" w:rsidRDefault="0016483D" w:rsidP="007173E8">
            <w:pPr>
              <w:jc w:val="right"/>
            </w:pPr>
            <w:r w:rsidRPr="006D7319">
              <w:t>5</w:t>
            </w:r>
            <w:r w:rsidR="006A50F4" w:rsidRPr="006D7319">
              <w:t>3</w:t>
            </w:r>
            <w:r w:rsidR="006A50F4">
              <w:t> </w:t>
            </w:r>
            <w:r w:rsidR="006A50F4" w:rsidRPr="006D7319">
              <w:t>200</w:t>
            </w:r>
          </w:p>
        </w:tc>
        <w:tc>
          <w:tcPr>
            <w:tcW w:w="1121" w:type="pct"/>
            <w:vAlign w:val="bottom"/>
          </w:tcPr>
          <w:p w14:paraId="4556EAB8" w14:textId="2F897122" w:rsidR="0016483D" w:rsidRPr="006D7319" w:rsidRDefault="0016483D" w:rsidP="007173E8">
            <w:pPr>
              <w:jc w:val="right"/>
            </w:pPr>
            <w:r w:rsidRPr="006D7319">
              <w:t>3</w:t>
            </w:r>
            <w:r w:rsidR="006A50F4" w:rsidRPr="006D7319">
              <w:t>5</w:t>
            </w:r>
            <w:r w:rsidR="006A50F4">
              <w:t> %</w:t>
            </w:r>
          </w:p>
        </w:tc>
        <w:tc>
          <w:tcPr>
            <w:tcW w:w="1293" w:type="pct"/>
            <w:vAlign w:val="bottom"/>
          </w:tcPr>
          <w:p w14:paraId="32775D73" w14:textId="658D279C" w:rsidR="0016483D" w:rsidRPr="006D7319" w:rsidRDefault="006A50F4" w:rsidP="007173E8">
            <w:pPr>
              <w:jc w:val="right"/>
            </w:pPr>
            <w:r w:rsidRPr="006D7319">
              <w:t>7</w:t>
            </w:r>
            <w:r>
              <w:t> %</w:t>
            </w:r>
          </w:p>
        </w:tc>
      </w:tr>
      <w:tr w:rsidR="00000000" w:rsidRPr="006D7319" w14:paraId="03B163D1" w14:textId="77777777" w:rsidTr="007173E8">
        <w:trPr>
          <w:trHeight w:val="283"/>
        </w:trPr>
        <w:tc>
          <w:tcPr>
            <w:tcW w:w="1638" w:type="pct"/>
          </w:tcPr>
          <w:p w14:paraId="0E9F846D" w14:textId="77777777" w:rsidR="0016483D" w:rsidRPr="006D7319" w:rsidRDefault="0016483D" w:rsidP="00103D63">
            <w:pPr>
              <w:pStyle w:val="TabellHode-rad"/>
            </w:pPr>
            <w:r w:rsidRPr="006D7319">
              <w:t>Teknologiske rådgivere</w:t>
            </w:r>
          </w:p>
        </w:tc>
        <w:tc>
          <w:tcPr>
            <w:tcW w:w="948" w:type="pct"/>
            <w:vAlign w:val="bottom"/>
          </w:tcPr>
          <w:p w14:paraId="18A80E62" w14:textId="54A8072F" w:rsidR="0016483D" w:rsidRPr="006D7319" w:rsidRDefault="0016483D" w:rsidP="007173E8">
            <w:pPr>
              <w:jc w:val="right"/>
            </w:pPr>
            <w:r w:rsidRPr="006D7319">
              <w:t>4</w:t>
            </w:r>
            <w:r w:rsidR="006A50F4" w:rsidRPr="006D7319">
              <w:t>3</w:t>
            </w:r>
            <w:r w:rsidR="006A50F4">
              <w:t> </w:t>
            </w:r>
            <w:r w:rsidR="006A50F4" w:rsidRPr="006D7319">
              <w:t>900</w:t>
            </w:r>
          </w:p>
        </w:tc>
        <w:tc>
          <w:tcPr>
            <w:tcW w:w="1121" w:type="pct"/>
            <w:vAlign w:val="bottom"/>
          </w:tcPr>
          <w:p w14:paraId="023C95B4" w14:textId="79102129" w:rsidR="0016483D" w:rsidRPr="006D7319" w:rsidRDefault="0016483D" w:rsidP="007173E8">
            <w:pPr>
              <w:jc w:val="right"/>
            </w:pPr>
            <w:r w:rsidRPr="006D7319">
              <w:t>2</w:t>
            </w:r>
            <w:r w:rsidR="006A50F4" w:rsidRPr="006D7319">
              <w:t>9</w:t>
            </w:r>
            <w:r w:rsidR="006A50F4">
              <w:t> %</w:t>
            </w:r>
          </w:p>
        </w:tc>
        <w:tc>
          <w:tcPr>
            <w:tcW w:w="1293" w:type="pct"/>
            <w:vAlign w:val="bottom"/>
          </w:tcPr>
          <w:p w14:paraId="6947D488" w14:textId="2D89B052" w:rsidR="0016483D" w:rsidRPr="006D7319" w:rsidRDefault="006A50F4" w:rsidP="007173E8">
            <w:pPr>
              <w:jc w:val="right"/>
            </w:pPr>
            <w:r w:rsidRPr="006D7319">
              <w:t>4</w:t>
            </w:r>
            <w:r>
              <w:t> %</w:t>
            </w:r>
          </w:p>
        </w:tc>
      </w:tr>
      <w:tr w:rsidR="00000000" w:rsidRPr="006D7319" w14:paraId="6489971A" w14:textId="77777777" w:rsidTr="007173E8">
        <w:trPr>
          <w:trHeight w:val="283"/>
        </w:trPr>
        <w:tc>
          <w:tcPr>
            <w:tcW w:w="1638" w:type="pct"/>
          </w:tcPr>
          <w:p w14:paraId="474EFD73" w14:textId="77777777" w:rsidR="0016483D" w:rsidRPr="006D7319" w:rsidRDefault="0016483D" w:rsidP="00103D63">
            <w:pPr>
              <w:pStyle w:val="TabellHode-rad"/>
            </w:pPr>
            <w:r w:rsidRPr="006D7319">
              <w:t>Bedriftsrådgivere</w:t>
            </w:r>
          </w:p>
        </w:tc>
        <w:tc>
          <w:tcPr>
            <w:tcW w:w="948" w:type="pct"/>
            <w:vAlign w:val="bottom"/>
          </w:tcPr>
          <w:p w14:paraId="3C5E0B48" w14:textId="4EF1EB23" w:rsidR="0016483D" w:rsidRPr="006D7319" w:rsidRDefault="0016483D" w:rsidP="007173E8">
            <w:pPr>
              <w:jc w:val="right"/>
            </w:pPr>
            <w:r w:rsidRPr="006D7319">
              <w:t>1</w:t>
            </w:r>
            <w:r w:rsidR="006A50F4" w:rsidRPr="006D7319">
              <w:t>8</w:t>
            </w:r>
            <w:r w:rsidR="006A50F4">
              <w:t> </w:t>
            </w:r>
            <w:r w:rsidR="006A50F4" w:rsidRPr="006D7319">
              <w:t>900</w:t>
            </w:r>
          </w:p>
        </w:tc>
        <w:tc>
          <w:tcPr>
            <w:tcW w:w="1121" w:type="pct"/>
            <w:vAlign w:val="bottom"/>
          </w:tcPr>
          <w:p w14:paraId="7EE38F36" w14:textId="3218400B" w:rsidR="0016483D" w:rsidRPr="006D7319" w:rsidRDefault="0016483D" w:rsidP="007173E8">
            <w:pPr>
              <w:jc w:val="right"/>
            </w:pPr>
            <w:r w:rsidRPr="006D7319">
              <w:t>1</w:t>
            </w:r>
            <w:r w:rsidR="006A50F4" w:rsidRPr="006D7319">
              <w:t>2</w:t>
            </w:r>
            <w:r w:rsidR="006A50F4">
              <w:t> %</w:t>
            </w:r>
          </w:p>
        </w:tc>
        <w:tc>
          <w:tcPr>
            <w:tcW w:w="1293" w:type="pct"/>
            <w:vAlign w:val="bottom"/>
          </w:tcPr>
          <w:p w14:paraId="7AFA0473" w14:textId="5BEEECFE" w:rsidR="0016483D" w:rsidRPr="006D7319" w:rsidRDefault="006A50F4" w:rsidP="007173E8">
            <w:pPr>
              <w:jc w:val="right"/>
            </w:pPr>
            <w:r w:rsidRPr="006D7319">
              <w:t>5</w:t>
            </w:r>
            <w:r>
              <w:t> %</w:t>
            </w:r>
          </w:p>
        </w:tc>
      </w:tr>
      <w:tr w:rsidR="00000000" w:rsidRPr="006D7319" w14:paraId="07AC46CF" w14:textId="77777777" w:rsidTr="007173E8">
        <w:trPr>
          <w:trHeight w:val="283"/>
        </w:trPr>
        <w:tc>
          <w:tcPr>
            <w:tcW w:w="1638" w:type="pct"/>
          </w:tcPr>
          <w:p w14:paraId="0D76ACDF" w14:textId="77777777" w:rsidR="0016483D" w:rsidRPr="006D7319" w:rsidRDefault="0016483D" w:rsidP="00103D63">
            <w:pPr>
              <w:pStyle w:val="TabellHode-rad"/>
            </w:pPr>
            <w:r w:rsidRPr="006D7319">
              <w:t>Revisjon og skatt</w:t>
            </w:r>
          </w:p>
        </w:tc>
        <w:tc>
          <w:tcPr>
            <w:tcW w:w="948" w:type="pct"/>
            <w:vAlign w:val="bottom"/>
          </w:tcPr>
          <w:p w14:paraId="1CD2941F" w14:textId="667DBA58" w:rsidR="0016483D" w:rsidRPr="006D7319" w:rsidRDefault="006A50F4" w:rsidP="007173E8">
            <w:pPr>
              <w:jc w:val="right"/>
            </w:pPr>
            <w:r w:rsidRPr="006D7319">
              <w:t>8</w:t>
            </w:r>
            <w:r>
              <w:t> </w:t>
            </w:r>
            <w:r w:rsidRPr="006D7319">
              <w:t>100</w:t>
            </w:r>
          </w:p>
        </w:tc>
        <w:tc>
          <w:tcPr>
            <w:tcW w:w="1121" w:type="pct"/>
            <w:vAlign w:val="bottom"/>
          </w:tcPr>
          <w:p w14:paraId="55892A13" w14:textId="09199C8E" w:rsidR="0016483D" w:rsidRPr="006D7319" w:rsidRDefault="006A50F4" w:rsidP="007173E8">
            <w:pPr>
              <w:jc w:val="right"/>
            </w:pPr>
            <w:r w:rsidRPr="006D7319">
              <w:t>5</w:t>
            </w:r>
            <w:r>
              <w:t> %</w:t>
            </w:r>
          </w:p>
        </w:tc>
        <w:tc>
          <w:tcPr>
            <w:tcW w:w="1293" w:type="pct"/>
            <w:vAlign w:val="bottom"/>
          </w:tcPr>
          <w:p w14:paraId="0A1FF951" w14:textId="718473C6" w:rsidR="0016483D" w:rsidRPr="006D7319" w:rsidRDefault="006A50F4" w:rsidP="007173E8">
            <w:pPr>
              <w:jc w:val="right"/>
            </w:pPr>
            <w:r w:rsidRPr="006D7319">
              <w:t>4</w:t>
            </w:r>
            <w:r>
              <w:t> %</w:t>
            </w:r>
          </w:p>
        </w:tc>
      </w:tr>
      <w:tr w:rsidR="00000000" w:rsidRPr="006D7319" w14:paraId="70BA821C" w14:textId="77777777" w:rsidTr="007173E8">
        <w:trPr>
          <w:trHeight w:val="283"/>
        </w:trPr>
        <w:tc>
          <w:tcPr>
            <w:tcW w:w="1638" w:type="pct"/>
          </w:tcPr>
          <w:p w14:paraId="77253762" w14:textId="7222E210" w:rsidR="0016483D" w:rsidRPr="006D7319" w:rsidRDefault="0016483D" w:rsidP="00103D63">
            <w:pPr>
              <w:pStyle w:val="TabellHode-rad"/>
            </w:pPr>
            <w:r w:rsidRPr="006D7319">
              <w:t xml:space="preserve">Markedsføring og </w:t>
            </w:r>
            <w:r w:rsidRPr="006D7319">
              <w:t>kommunikasjon</w:t>
            </w:r>
          </w:p>
        </w:tc>
        <w:tc>
          <w:tcPr>
            <w:tcW w:w="948" w:type="pct"/>
            <w:vAlign w:val="bottom"/>
          </w:tcPr>
          <w:p w14:paraId="69CA8FAD" w14:textId="0E8118BE" w:rsidR="0016483D" w:rsidRPr="006D7319" w:rsidRDefault="006A50F4" w:rsidP="007173E8">
            <w:pPr>
              <w:jc w:val="right"/>
            </w:pPr>
            <w:r w:rsidRPr="006D7319">
              <w:t>7</w:t>
            </w:r>
            <w:r>
              <w:t> </w:t>
            </w:r>
            <w:r w:rsidRPr="006D7319">
              <w:t>500</w:t>
            </w:r>
          </w:p>
        </w:tc>
        <w:tc>
          <w:tcPr>
            <w:tcW w:w="1121" w:type="pct"/>
            <w:vAlign w:val="bottom"/>
          </w:tcPr>
          <w:p w14:paraId="1AF6E167" w14:textId="628489AF" w:rsidR="0016483D" w:rsidRPr="006D7319" w:rsidRDefault="006A50F4" w:rsidP="007173E8">
            <w:pPr>
              <w:jc w:val="right"/>
            </w:pPr>
            <w:r w:rsidRPr="006D7319">
              <w:t>5</w:t>
            </w:r>
            <w:r>
              <w:t> %</w:t>
            </w:r>
          </w:p>
        </w:tc>
        <w:tc>
          <w:tcPr>
            <w:tcW w:w="1293" w:type="pct"/>
            <w:vAlign w:val="bottom"/>
          </w:tcPr>
          <w:p w14:paraId="0C31E212" w14:textId="735B5097" w:rsidR="0016483D" w:rsidRPr="006D7319" w:rsidRDefault="006A50F4" w:rsidP="007173E8">
            <w:pPr>
              <w:jc w:val="right"/>
            </w:pPr>
            <w:r w:rsidRPr="006D7319">
              <w:t>1</w:t>
            </w:r>
            <w:r>
              <w:t> %</w:t>
            </w:r>
          </w:p>
        </w:tc>
      </w:tr>
      <w:tr w:rsidR="00000000" w:rsidRPr="006D7319" w14:paraId="28875A7F" w14:textId="77777777" w:rsidTr="007173E8">
        <w:trPr>
          <w:trHeight w:val="283"/>
        </w:trPr>
        <w:tc>
          <w:tcPr>
            <w:tcW w:w="1638" w:type="pct"/>
          </w:tcPr>
          <w:p w14:paraId="3E1E6781" w14:textId="77777777" w:rsidR="0016483D" w:rsidRPr="006D7319" w:rsidRDefault="0016483D" w:rsidP="00103D63">
            <w:pPr>
              <w:pStyle w:val="TabellHode-rad"/>
            </w:pPr>
            <w:r w:rsidRPr="006D7319">
              <w:t>Advokater</w:t>
            </w:r>
          </w:p>
        </w:tc>
        <w:tc>
          <w:tcPr>
            <w:tcW w:w="948" w:type="pct"/>
            <w:vAlign w:val="bottom"/>
          </w:tcPr>
          <w:p w14:paraId="2F75991B" w14:textId="01116842" w:rsidR="0016483D" w:rsidRPr="006D7319" w:rsidRDefault="006A50F4" w:rsidP="007173E8">
            <w:pPr>
              <w:jc w:val="right"/>
            </w:pPr>
            <w:r w:rsidRPr="006D7319">
              <w:t>7</w:t>
            </w:r>
            <w:r>
              <w:t> </w:t>
            </w:r>
            <w:r w:rsidRPr="006D7319">
              <w:t>300</w:t>
            </w:r>
          </w:p>
        </w:tc>
        <w:tc>
          <w:tcPr>
            <w:tcW w:w="1121" w:type="pct"/>
            <w:vAlign w:val="bottom"/>
          </w:tcPr>
          <w:p w14:paraId="4D7F6119" w14:textId="47700DA3" w:rsidR="0016483D" w:rsidRPr="006D7319" w:rsidRDefault="006A50F4" w:rsidP="007173E8">
            <w:pPr>
              <w:jc w:val="right"/>
            </w:pPr>
            <w:r w:rsidRPr="006D7319">
              <w:t>5</w:t>
            </w:r>
            <w:r>
              <w:t> %</w:t>
            </w:r>
          </w:p>
        </w:tc>
        <w:tc>
          <w:tcPr>
            <w:tcW w:w="1293" w:type="pct"/>
            <w:vAlign w:val="bottom"/>
          </w:tcPr>
          <w:p w14:paraId="2ABCD014" w14:textId="04E743C1" w:rsidR="0016483D" w:rsidRPr="006D7319" w:rsidRDefault="006A50F4" w:rsidP="007173E8">
            <w:pPr>
              <w:jc w:val="right"/>
            </w:pPr>
            <w:r w:rsidRPr="006D7319">
              <w:t>1</w:t>
            </w:r>
            <w:r>
              <w:t> %</w:t>
            </w:r>
          </w:p>
        </w:tc>
      </w:tr>
      <w:tr w:rsidR="00000000" w:rsidRPr="006D7319" w14:paraId="55E9F406" w14:textId="77777777" w:rsidTr="007173E8">
        <w:trPr>
          <w:trHeight w:val="283"/>
        </w:trPr>
        <w:tc>
          <w:tcPr>
            <w:tcW w:w="1638" w:type="pct"/>
          </w:tcPr>
          <w:p w14:paraId="6BA77BB2" w14:textId="77777777" w:rsidR="0016483D" w:rsidRPr="006D7319" w:rsidRDefault="0016483D" w:rsidP="00103D63">
            <w:pPr>
              <w:pStyle w:val="TabellHode-rad"/>
            </w:pPr>
            <w:r w:rsidRPr="006D7319">
              <w:t>Arkitekter</w:t>
            </w:r>
          </w:p>
        </w:tc>
        <w:tc>
          <w:tcPr>
            <w:tcW w:w="948" w:type="pct"/>
            <w:vAlign w:val="bottom"/>
          </w:tcPr>
          <w:p w14:paraId="13415966" w14:textId="74737680" w:rsidR="0016483D" w:rsidRPr="006D7319" w:rsidRDefault="006A50F4" w:rsidP="007173E8">
            <w:pPr>
              <w:jc w:val="right"/>
            </w:pPr>
            <w:r w:rsidRPr="006D7319">
              <w:t>6</w:t>
            </w:r>
            <w:r>
              <w:t> </w:t>
            </w:r>
            <w:r w:rsidRPr="006D7319">
              <w:t>200</w:t>
            </w:r>
          </w:p>
        </w:tc>
        <w:tc>
          <w:tcPr>
            <w:tcW w:w="1121" w:type="pct"/>
            <w:vAlign w:val="bottom"/>
          </w:tcPr>
          <w:p w14:paraId="4D0F49BD" w14:textId="5DD19990" w:rsidR="0016483D" w:rsidRPr="006D7319" w:rsidRDefault="006A50F4" w:rsidP="007173E8">
            <w:pPr>
              <w:jc w:val="right"/>
            </w:pPr>
            <w:r w:rsidRPr="006D7319">
              <w:t>4</w:t>
            </w:r>
            <w:r>
              <w:t> %</w:t>
            </w:r>
          </w:p>
        </w:tc>
        <w:tc>
          <w:tcPr>
            <w:tcW w:w="1293" w:type="pct"/>
            <w:vAlign w:val="bottom"/>
          </w:tcPr>
          <w:p w14:paraId="5E8CAD87" w14:textId="67889289" w:rsidR="0016483D" w:rsidRPr="006D7319" w:rsidRDefault="006A50F4" w:rsidP="007173E8">
            <w:pPr>
              <w:jc w:val="right"/>
            </w:pPr>
            <w:r w:rsidRPr="006D7319">
              <w:t>2</w:t>
            </w:r>
            <w:r>
              <w:t> %</w:t>
            </w:r>
          </w:p>
        </w:tc>
      </w:tr>
      <w:tr w:rsidR="00000000" w:rsidRPr="006D7319" w14:paraId="73FC95A2" w14:textId="77777777" w:rsidTr="007173E8">
        <w:trPr>
          <w:trHeight w:val="283"/>
        </w:trPr>
        <w:tc>
          <w:tcPr>
            <w:tcW w:w="1638" w:type="pct"/>
          </w:tcPr>
          <w:p w14:paraId="0B437E2C" w14:textId="77777777" w:rsidR="0016483D" w:rsidRPr="006D7319" w:rsidRDefault="0016483D" w:rsidP="00103D63">
            <w:pPr>
              <w:pStyle w:val="TabellHode-rad"/>
            </w:pPr>
            <w:r w:rsidRPr="006D7319">
              <w:t>HR og rekruttering</w:t>
            </w:r>
          </w:p>
        </w:tc>
        <w:tc>
          <w:tcPr>
            <w:tcW w:w="948" w:type="pct"/>
            <w:vAlign w:val="bottom"/>
          </w:tcPr>
          <w:p w14:paraId="374C185B" w14:textId="443DE7C8" w:rsidR="0016483D" w:rsidRPr="006D7319" w:rsidRDefault="006A50F4" w:rsidP="007173E8">
            <w:pPr>
              <w:jc w:val="right"/>
            </w:pPr>
            <w:r w:rsidRPr="006D7319">
              <w:t>2</w:t>
            </w:r>
            <w:r>
              <w:t> </w:t>
            </w:r>
            <w:r w:rsidRPr="006D7319">
              <w:t>700</w:t>
            </w:r>
          </w:p>
        </w:tc>
        <w:tc>
          <w:tcPr>
            <w:tcW w:w="1121" w:type="pct"/>
            <w:vAlign w:val="bottom"/>
          </w:tcPr>
          <w:p w14:paraId="7D4F21A3" w14:textId="11A591D1" w:rsidR="0016483D" w:rsidRPr="006D7319" w:rsidRDefault="006A50F4" w:rsidP="007173E8">
            <w:pPr>
              <w:jc w:val="right"/>
            </w:pPr>
            <w:r w:rsidRPr="006D7319">
              <w:t>2</w:t>
            </w:r>
            <w:r>
              <w:t> %</w:t>
            </w:r>
          </w:p>
        </w:tc>
        <w:tc>
          <w:tcPr>
            <w:tcW w:w="1293" w:type="pct"/>
            <w:vAlign w:val="bottom"/>
          </w:tcPr>
          <w:p w14:paraId="5FCA6E76" w14:textId="76E5D8B0" w:rsidR="0016483D" w:rsidRPr="006D7319" w:rsidRDefault="0016483D" w:rsidP="007173E8">
            <w:pPr>
              <w:jc w:val="right"/>
            </w:pPr>
            <w:r w:rsidRPr="006D7319">
              <w:t>1</w:t>
            </w:r>
            <w:r w:rsidR="006A50F4" w:rsidRPr="006D7319">
              <w:t>7</w:t>
            </w:r>
            <w:r w:rsidR="006A50F4">
              <w:t> %</w:t>
            </w:r>
          </w:p>
        </w:tc>
      </w:tr>
      <w:tr w:rsidR="00000000" w:rsidRPr="006D7319" w14:paraId="496C27F1" w14:textId="77777777" w:rsidTr="007173E8">
        <w:trPr>
          <w:trHeight w:val="283"/>
        </w:trPr>
        <w:tc>
          <w:tcPr>
            <w:tcW w:w="1638" w:type="pct"/>
          </w:tcPr>
          <w:p w14:paraId="3C054FDA" w14:textId="3F476F9B" w:rsidR="0016483D" w:rsidRPr="006D7319" w:rsidRDefault="0016483D" w:rsidP="00103D63">
            <w:pPr>
              <w:pStyle w:val="TabellHode-rad"/>
            </w:pPr>
            <w:r w:rsidRPr="006D7319">
              <w:t xml:space="preserve">Markedsanalyse og </w:t>
            </w:r>
            <w:r w:rsidRPr="006D7319">
              <w:t>meningsmåling</w:t>
            </w:r>
          </w:p>
        </w:tc>
        <w:tc>
          <w:tcPr>
            <w:tcW w:w="948" w:type="pct"/>
            <w:vAlign w:val="bottom"/>
          </w:tcPr>
          <w:p w14:paraId="32D53C88" w14:textId="5F356FA2" w:rsidR="0016483D" w:rsidRPr="006D7319" w:rsidRDefault="006A50F4" w:rsidP="007173E8">
            <w:pPr>
              <w:jc w:val="right"/>
            </w:pPr>
            <w:r w:rsidRPr="006D7319">
              <w:t>1</w:t>
            </w:r>
            <w:r>
              <w:t> </w:t>
            </w:r>
            <w:r w:rsidRPr="006D7319">
              <w:t>400</w:t>
            </w:r>
          </w:p>
        </w:tc>
        <w:tc>
          <w:tcPr>
            <w:tcW w:w="1121" w:type="pct"/>
            <w:vAlign w:val="bottom"/>
          </w:tcPr>
          <w:p w14:paraId="397FFB2F" w14:textId="01C13115" w:rsidR="0016483D" w:rsidRPr="006D7319" w:rsidRDefault="006A50F4" w:rsidP="007173E8">
            <w:pPr>
              <w:jc w:val="right"/>
            </w:pPr>
            <w:r w:rsidRPr="006D7319">
              <w:t>1</w:t>
            </w:r>
            <w:r>
              <w:t> %</w:t>
            </w:r>
          </w:p>
        </w:tc>
        <w:tc>
          <w:tcPr>
            <w:tcW w:w="1293" w:type="pct"/>
            <w:vAlign w:val="bottom"/>
          </w:tcPr>
          <w:p w14:paraId="7DD40260" w14:textId="2B3FD8C4" w:rsidR="0016483D" w:rsidRPr="006D7319" w:rsidRDefault="0016483D" w:rsidP="007173E8">
            <w:pPr>
              <w:jc w:val="right"/>
            </w:pPr>
            <w:r w:rsidRPr="006D7319">
              <w:t>-</w:t>
            </w:r>
            <w:r w:rsidR="006A50F4" w:rsidRPr="006D7319">
              <w:t>3</w:t>
            </w:r>
            <w:r w:rsidR="006A50F4">
              <w:t> %</w:t>
            </w:r>
          </w:p>
        </w:tc>
      </w:tr>
      <w:tr w:rsidR="00000000" w:rsidRPr="006D7319" w14:paraId="155175F6" w14:textId="77777777" w:rsidTr="007173E8">
        <w:trPr>
          <w:trHeight w:val="283"/>
        </w:trPr>
        <w:tc>
          <w:tcPr>
            <w:tcW w:w="1638" w:type="pct"/>
          </w:tcPr>
          <w:p w14:paraId="5545272F" w14:textId="77777777" w:rsidR="0016483D" w:rsidRPr="006D7319" w:rsidRDefault="0016483D" w:rsidP="00103D63">
            <w:pPr>
              <w:pStyle w:val="TabellHode-rad"/>
            </w:pPr>
            <w:r w:rsidRPr="006D7319">
              <w:t>Annen forretningsrådgivning</w:t>
            </w:r>
          </w:p>
        </w:tc>
        <w:tc>
          <w:tcPr>
            <w:tcW w:w="948" w:type="pct"/>
            <w:vAlign w:val="bottom"/>
          </w:tcPr>
          <w:p w14:paraId="58FD1FB9" w14:textId="6978E49D" w:rsidR="0016483D" w:rsidRPr="006D7319" w:rsidRDefault="006A50F4" w:rsidP="007173E8">
            <w:pPr>
              <w:jc w:val="right"/>
            </w:pPr>
            <w:r w:rsidRPr="006D7319">
              <w:t>1</w:t>
            </w:r>
            <w:r>
              <w:t> </w:t>
            </w:r>
            <w:r w:rsidRPr="006D7319">
              <w:t>200</w:t>
            </w:r>
          </w:p>
        </w:tc>
        <w:tc>
          <w:tcPr>
            <w:tcW w:w="1121" w:type="pct"/>
            <w:vAlign w:val="bottom"/>
          </w:tcPr>
          <w:p w14:paraId="01B6DA65" w14:textId="17231FE1" w:rsidR="0016483D" w:rsidRPr="006D7319" w:rsidRDefault="006A50F4" w:rsidP="007173E8">
            <w:pPr>
              <w:jc w:val="right"/>
            </w:pPr>
            <w:r w:rsidRPr="006D7319">
              <w:t>1</w:t>
            </w:r>
            <w:r>
              <w:t> %</w:t>
            </w:r>
          </w:p>
        </w:tc>
        <w:tc>
          <w:tcPr>
            <w:tcW w:w="1293" w:type="pct"/>
            <w:vAlign w:val="bottom"/>
          </w:tcPr>
          <w:p w14:paraId="5EE51487" w14:textId="6D0897B7" w:rsidR="0016483D" w:rsidRPr="006D7319" w:rsidRDefault="006A50F4" w:rsidP="007173E8">
            <w:pPr>
              <w:jc w:val="right"/>
            </w:pPr>
            <w:r w:rsidRPr="006D7319">
              <w:t>2</w:t>
            </w:r>
            <w:r>
              <w:t> %</w:t>
            </w:r>
          </w:p>
        </w:tc>
      </w:tr>
      <w:tr w:rsidR="00000000" w:rsidRPr="006D7319" w14:paraId="506CFB37" w14:textId="77777777" w:rsidTr="007173E8">
        <w:trPr>
          <w:trHeight w:val="283"/>
        </w:trPr>
        <w:tc>
          <w:tcPr>
            <w:tcW w:w="1638" w:type="pct"/>
          </w:tcPr>
          <w:p w14:paraId="71270C98" w14:textId="77777777" w:rsidR="0016483D" w:rsidRPr="006D7319" w:rsidRDefault="0016483D" w:rsidP="00103D63">
            <w:pPr>
              <w:pStyle w:val="TabellHode-rad"/>
            </w:pPr>
            <w:r w:rsidRPr="006D7319">
              <w:t>Designrådgivere</w:t>
            </w:r>
          </w:p>
        </w:tc>
        <w:tc>
          <w:tcPr>
            <w:tcW w:w="948" w:type="pct"/>
            <w:vAlign w:val="bottom"/>
          </w:tcPr>
          <w:p w14:paraId="021B2633" w14:textId="47CF4230" w:rsidR="0016483D" w:rsidRPr="006D7319" w:rsidRDefault="006A50F4" w:rsidP="007173E8">
            <w:pPr>
              <w:jc w:val="right"/>
            </w:pPr>
            <w:r w:rsidRPr="006D7319">
              <w:t>1</w:t>
            </w:r>
            <w:r>
              <w:t> </w:t>
            </w:r>
            <w:r w:rsidRPr="006D7319">
              <w:t>100</w:t>
            </w:r>
          </w:p>
        </w:tc>
        <w:tc>
          <w:tcPr>
            <w:tcW w:w="1121" w:type="pct"/>
            <w:vAlign w:val="bottom"/>
          </w:tcPr>
          <w:p w14:paraId="6695131E" w14:textId="5E6B0B04" w:rsidR="0016483D" w:rsidRPr="006D7319" w:rsidRDefault="006A50F4" w:rsidP="007173E8">
            <w:pPr>
              <w:jc w:val="right"/>
            </w:pPr>
            <w:r w:rsidRPr="006D7319">
              <w:t>1</w:t>
            </w:r>
            <w:r>
              <w:t> %</w:t>
            </w:r>
          </w:p>
        </w:tc>
        <w:tc>
          <w:tcPr>
            <w:tcW w:w="1293" w:type="pct"/>
            <w:vAlign w:val="bottom"/>
          </w:tcPr>
          <w:p w14:paraId="000B66A2" w14:textId="4B657EA4" w:rsidR="0016483D" w:rsidRPr="006D7319" w:rsidRDefault="006A50F4" w:rsidP="007173E8">
            <w:pPr>
              <w:jc w:val="right"/>
            </w:pPr>
            <w:r w:rsidRPr="006D7319">
              <w:t>4</w:t>
            </w:r>
            <w:r>
              <w:t> %</w:t>
            </w:r>
          </w:p>
        </w:tc>
      </w:tr>
      <w:tr w:rsidR="00000000" w:rsidRPr="006D7319" w14:paraId="3BDE82EB" w14:textId="77777777" w:rsidTr="007173E8">
        <w:trPr>
          <w:trHeight w:val="283"/>
        </w:trPr>
        <w:tc>
          <w:tcPr>
            <w:tcW w:w="1638" w:type="pct"/>
          </w:tcPr>
          <w:p w14:paraId="7FEE46D1" w14:textId="77777777" w:rsidR="0016483D" w:rsidRPr="006D7319" w:rsidRDefault="0016483D" w:rsidP="00103D63">
            <w:pPr>
              <w:pStyle w:val="TabellHode-rad"/>
            </w:pPr>
            <w:r w:rsidRPr="006D7319">
              <w:t>Totalt for rådgivernæringen</w:t>
            </w:r>
          </w:p>
        </w:tc>
        <w:tc>
          <w:tcPr>
            <w:tcW w:w="948" w:type="pct"/>
            <w:vAlign w:val="bottom"/>
          </w:tcPr>
          <w:p w14:paraId="731FC598" w14:textId="642F733E" w:rsidR="0016483D" w:rsidRPr="006D7319" w:rsidRDefault="0016483D" w:rsidP="007173E8">
            <w:pPr>
              <w:jc w:val="right"/>
            </w:pPr>
            <w:r w:rsidRPr="006D7319">
              <w:t>15</w:t>
            </w:r>
            <w:r w:rsidR="006A50F4" w:rsidRPr="006D7319">
              <w:t>1</w:t>
            </w:r>
            <w:r w:rsidR="006A50F4">
              <w:t> </w:t>
            </w:r>
            <w:r w:rsidR="006A50F4" w:rsidRPr="006D7319">
              <w:t>400</w:t>
            </w:r>
          </w:p>
        </w:tc>
        <w:tc>
          <w:tcPr>
            <w:tcW w:w="1121" w:type="pct"/>
            <w:vAlign w:val="bottom"/>
          </w:tcPr>
          <w:p w14:paraId="24EC5A39" w14:textId="77777777" w:rsidR="0016483D" w:rsidRPr="006D7319" w:rsidRDefault="0016483D" w:rsidP="007173E8">
            <w:pPr>
              <w:jc w:val="right"/>
            </w:pPr>
          </w:p>
        </w:tc>
        <w:tc>
          <w:tcPr>
            <w:tcW w:w="1293" w:type="pct"/>
            <w:vAlign w:val="bottom"/>
          </w:tcPr>
          <w:p w14:paraId="1A4DF5E1" w14:textId="54FC0DC1" w:rsidR="0016483D" w:rsidRPr="006D7319" w:rsidRDefault="006A50F4" w:rsidP="007173E8">
            <w:pPr>
              <w:jc w:val="right"/>
            </w:pPr>
            <w:r w:rsidRPr="006D7319">
              <w:t>5</w:t>
            </w:r>
            <w:r>
              <w:t> %</w:t>
            </w:r>
          </w:p>
        </w:tc>
      </w:tr>
    </w:tbl>
    <w:p w14:paraId="62BC73ED" w14:textId="77777777" w:rsidR="0016483D" w:rsidRPr="006D7319" w:rsidRDefault="0016483D" w:rsidP="00103D63">
      <w:pPr>
        <w:pStyle w:val="Kilde"/>
      </w:pPr>
      <w:r w:rsidRPr="006D7319">
        <w:t xml:space="preserve">Menon </w:t>
      </w:r>
      <w:proofErr w:type="spellStart"/>
      <w:r w:rsidRPr="006D7319">
        <w:t>Economics</w:t>
      </w:r>
      <w:proofErr w:type="spellEnd"/>
      <w:r w:rsidRPr="006D7319">
        <w:t xml:space="preserve"> regnskapsdatabase</w:t>
      </w:r>
    </w:p>
    <w:p w14:paraId="72B83E1C" w14:textId="0B89AA18" w:rsidR="0016483D" w:rsidRPr="006D7319" w:rsidRDefault="0016483D" w:rsidP="006D7319">
      <w:r w:rsidRPr="006D7319">
        <w:t>Det private næringslivet står for hoveddelen av etterspørselen etter råd</w:t>
      </w:r>
      <w:r w:rsidRPr="006D7319">
        <w:t xml:space="preserve">givertjenester, mens om lag 10 prosent av leveransene går til offentlig </w:t>
      </w:r>
      <w:r w:rsidRPr="006D7319">
        <w:t>sektor. Også i det offentlige er etterspørselen etter konsulent</w:t>
      </w:r>
      <w:r w:rsidRPr="006D7319">
        <w:t>bistand i stor grad drevet av behovet for IKT-tjenester.</w:t>
      </w:r>
      <w:r w:rsidR="006A50F4" w:rsidRPr="006A50F4">
        <w:rPr>
          <w:rStyle w:val="Fotnotereferanse"/>
        </w:rPr>
        <w:footnoteReference w:id="116"/>
      </w:r>
    </w:p>
    <w:p w14:paraId="2133B168" w14:textId="77777777" w:rsidR="0016483D" w:rsidRPr="006D7319" w:rsidRDefault="0016483D" w:rsidP="006D7319">
      <w:r w:rsidRPr="006D7319">
        <w:t>Rådgivernæringen er representert over hele landet, men har størst konsentrasjon på det sentrale Østlandet og færrest aktører i de nordligste fylkene. 61 prosent av rådgivernæringen er lokalisert utenfor Oslo, målt i sysselsetting. Tabell 3.2 viser hvordan rådgivernæringen fordeler seg blant landets fylker.</w:t>
      </w:r>
    </w:p>
    <w:p w14:paraId="5729B8B9" w14:textId="77777777" w:rsidR="0016483D" w:rsidRPr="006D7319" w:rsidRDefault="0016483D" w:rsidP="006D7319">
      <w:pPr>
        <w:pStyle w:val="tabell-tittel"/>
      </w:pPr>
      <w:r w:rsidRPr="006D7319">
        <w:t>Ansatte i rådgivernæringen fordelt på fylker.</w:t>
      </w:r>
    </w:p>
    <w:tbl>
      <w:tblPr>
        <w:tblStyle w:val="StandardTabell"/>
        <w:tblW w:w="5000" w:type="pct"/>
        <w:tblLook w:val="0000" w:firstRow="0" w:lastRow="0" w:firstColumn="0" w:lastColumn="0" w:noHBand="0" w:noVBand="0"/>
      </w:tblPr>
      <w:tblGrid>
        <w:gridCol w:w="3329"/>
        <w:gridCol w:w="3354"/>
        <w:gridCol w:w="3773"/>
      </w:tblGrid>
      <w:tr w:rsidR="00000000" w:rsidRPr="006D7319" w14:paraId="07026631" w14:textId="77777777" w:rsidTr="00103D63">
        <w:trPr>
          <w:trHeight w:val="290"/>
        </w:trPr>
        <w:tc>
          <w:tcPr>
            <w:tcW w:w="1592" w:type="pct"/>
            <w:vAlign w:val="bottom"/>
          </w:tcPr>
          <w:p w14:paraId="76A07828" w14:textId="77777777" w:rsidR="0016483D" w:rsidRPr="006A50F4" w:rsidRDefault="0016483D" w:rsidP="00103D63">
            <w:pPr>
              <w:pStyle w:val="TabellHode-kolonne"/>
              <w:jc w:val="right"/>
              <w:rPr>
                <w:rStyle w:val="halvfet"/>
              </w:rPr>
            </w:pPr>
          </w:p>
        </w:tc>
        <w:tc>
          <w:tcPr>
            <w:tcW w:w="1604" w:type="pct"/>
            <w:vAlign w:val="bottom"/>
          </w:tcPr>
          <w:p w14:paraId="052E8667" w14:textId="77777777" w:rsidR="0016483D" w:rsidRPr="006A50F4" w:rsidRDefault="0016483D" w:rsidP="00103D63">
            <w:pPr>
              <w:pStyle w:val="TabellHode-kolonne"/>
              <w:jc w:val="right"/>
              <w:rPr>
                <w:rStyle w:val="halvfet"/>
              </w:rPr>
            </w:pPr>
            <w:r w:rsidRPr="006A50F4">
              <w:rPr>
                <w:rStyle w:val="halvfet"/>
              </w:rPr>
              <w:t>Antall ansatte i 2023</w:t>
            </w:r>
          </w:p>
        </w:tc>
        <w:tc>
          <w:tcPr>
            <w:tcW w:w="1804" w:type="pct"/>
            <w:vAlign w:val="bottom"/>
          </w:tcPr>
          <w:p w14:paraId="64E6D83C" w14:textId="77777777" w:rsidR="0016483D" w:rsidRPr="006A50F4" w:rsidRDefault="0016483D" w:rsidP="00103D63">
            <w:pPr>
              <w:pStyle w:val="TabellHode-kolonne"/>
              <w:jc w:val="right"/>
              <w:rPr>
                <w:rStyle w:val="halvfet"/>
              </w:rPr>
            </w:pPr>
            <w:r w:rsidRPr="006A50F4">
              <w:rPr>
                <w:rStyle w:val="halvfet"/>
              </w:rPr>
              <w:t>Andel av næringens ansatte i 2023</w:t>
            </w:r>
          </w:p>
        </w:tc>
      </w:tr>
      <w:tr w:rsidR="00000000" w:rsidRPr="006D7319" w14:paraId="203F38D8" w14:textId="77777777" w:rsidTr="00103D63">
        <w:trPr>
          <w:trHeight w:val="290"/>
        </w:trPr>
        <w:tc>
          <w:tcPr>
            <w:tcW w:w="1592" w:type="pct"/>
          </w:tcPr>
          <w:p w14:paraId="02172AF7" w14:textId="77777777" w:rsidR="0016483D" w:rsidRPr="006D7319" w:rsidRDefault="0016483D" w:rsidP="00103D63">
            <w:pPr>
              <w:pStyle w:val="TabellHode-rad"/>
            </w:pPr>
            <w:r w:rsidRPr="006D7319">
              <w:lastRenderedPageBreak/>
              <w:t>Oslo</w:t>
            </w:r>
          </w:p>
        </w:tc>
        <w:tc>
          <w:tcPr>
            <w:tcW w:w="1604" w:type="pct"/>
            <w:vAlign w:val="bottom"/>
          </w:tcPr>
          <w:p w14:paraId="4DD7EBF2" w14:textId="42BD1CDC" w:rsidR="0016483D" w:rsidRPr="006D7319" w:rsidRDefault="0016483D" w:rsidP="00103D63">
            <w:pPr>
              <w:jc w:val="right"/>
            </w:pPr>
            <w:r w:rsidRPr="006D7319">
              <w:t>5</w:t>
            </w:r>
            <w:r w:rsidR="006A50F4" w:rsidRPr="006D7319">
              <w:t>9</w:t>
            </w:r>
            <w:r w:rsidR="006A50F4">
              <w:t> </w:t>
            </w:r>
            <w:r w:rsidR="006A50F4" w:rsidRPr="006D7319">
              <w:t>800</w:t>
            </w:r>
            <w:r w:rsidRPr="006D7319">
              <w:t xml:space="preserve"> </w:t>
            </w:r>
          </w:p>
        </w:tc>
        <w:tc>
          <w:tcPr>
            <w:tcW w:w="1804" w:type="pct"/>
            <w:vAlign w:val="bottom"/>
          </w:tcPr>
          <w:p w14:paraId="6F836ED1" w14:textId="13E47E9D" w:rsidR="0016483D" w:rsidRPr="006D7319" w:rsidRDefault="0016483D" w:rsidP="00103D63">
            <w:pPr>
              <w:jc w:val="right"/>
            </w:pPr>
            <w:r w:rsidRPr="006D7319">
              <w:t>3</w:t>
            </w:r>
            <w:r w:rsidR="006A50F4" w:rsidRPr="006D7319">
              <w:t>9</w:t>
            </w:r>
            <w:r w:rsidR="006A50F4">
              <w:t> %</w:t>
            </w:r>
          </w:p>
        </w:tc>
      </w:tr>
      <w:tr w:rsidR="00000000" w:rsidRPr="006D7319" w14:paraId="51C429A4" w14:textId="77777777" w:rsidTr="00103D63">
        <w:trPr>
          <w:trHeight w:val="290"/>
        </w:trPr>
        <w:tc>
          <w:tcPr>
            <w:tcW w:w="1592" w:type="pct"/>
          </w:tcPr>
          <w:p w14:paraId="3474861E" w14:textId="77777777" w:rsidR="0016483D" w:rsidRPr="006D7319" w:rsidRDefault="0016483D" w:rsidP="00103D63">
            <w:pPr>
              <w:pStyle w:val="TabellHode-rad"/>
            </w:pPr>
            <w:r w:rsidRPr="006D7319">
              <w:t>Akershus</w:t>
            </w:r>
          </w:p>
        </w:tc>
        <w:tc>
          <w:tcPr>
            <w:tcW w:w="1604" w:type="pct"/>
            <w:vAlign w:val="bottom"/>
          </w:tcPr>
          <w:p w14:paraId="754A09F5" w14:textId="488EEFDD" w:rsidR="0016483D" w:rsidRPr="006D7319" w:rsidRDefault="0016483D" w:rsidP="00103D63">
            <w:pPr>
              <w:jc w:val="right"/>
            </w:pPr>
            <w:r w:rsidRPr="006D7319">
              <w:t>1</w:t>
            </w:r>
            <w:r w:rsidR="006A50F4" w:rsidRPr="006D7319">
              <w:t>8</w:t>
            </w:r>
            <w:r w:rsidR="006A50F4">
              <w:t> </w:t>
            </w:r>
            <w:r w:rsidR="006A50F4" w:rsidRPr="006D7319">
              <w:t>000</w:t>
            </w:r>
            <w:r w:rsidRPr="006D7319">
              <w:t xml:space="preserve"> </w:t>
            </w:r>
          </w:p>
        </w:tc>
        <w:tc>
          <w:tcPr>
            <w:tcW w:w="1804" w:type="pct"/>
            <w:vAlign w:val="bottom"/>
          </w:tcPr>
          <w:p w14:paraId="346CECC6" w14:textId="0E24FD7A" w:rsidR="0016483D" w:rsidRPr="006D7319" w:rsidRDefault="0016483D" w:rsidP="00103D63">
            <w:pPr>
              <w:jc w:val="right"/>
            </w:pPr>
            <w:r w:rsidRPr="006D7319">
              <w:t>1</w:t>
            </w:r>
            <w:r w:rsidR="006A50F4" w:rsidRPr="006D7319">
              <w:t>2</w:t>
            </w:r>
            <w:r w:rsidR="006A50F4">
              <w:t> %</w:t>
            </w:r>
          </w:p>
        </w:tc>
      </w:tr>
      <w:tr w:rsidR="00000000" w:rsidRPr="006D7319" w14:paraId="14D83E96" w14:textId="77777777" w:rsidTr="00103D63">
        <w:trPr>
          <w:trHeight w:val="290"/>
        </w:trPr>
        <w:tc>
          <w:tcPr>
            <w:tcW w:w="1592" w:type="pct"/>
          </w:tcPr>
          <w:p w14:paraId="6D7E5DE1" w14:textId="77777777" w:rsidR="0016483D" w:rsidRPr="006D7319" w:rsidRDefault="0016483D" w:rsidP="00103D63">
            <w:pPr>
              <w:pStyle w:val="TabellHode-rad"/>
            </w:pPr>
            <w:r w:rsidRPr="006D7319">
              <w:t>Rogaland</w:t>
            </w:r>
          </w:p>
        </w:tc>
        <w:tc>
          <w:tcPr>
            <w:tcW w:w="1604" w:type="pct"/>
            <w:vAlign w:val="bottom"/>
          </w:tcPr>
          <w:p w14:paraId="23E470C2" w14:textId="3881DF1A" w:rsidR="0016483D" w:rsidRPr="006D7319" w:rsidRDefault="0016483D" w:rsidP="00103D63">
            <w:pPr>
              <w:jc w:val="right"/>
            </w:pPr>
            <w:r w:rsidRPr="006D7319">
              <w:t>1</w:t>
            </w:r>
            <w:r w:rsidR="006A50F4" w:rsidRPr="006D7319">
              <w:t>4</w:t>
            </w:r>
            <w:r w:rsidR="006A50F4">
              <w:t> </w:t>
            </w:r>
            <w:r w:rsidR="006A50F4" w:rsidRPr="006D7319">
              <w:t>900</w:t>
            </w:r>
            <w:r w:rsidRPr="006D7319">
              <w:t xml:space="preserve"> </w:t>
            </w:r>
          </w:p>
        </w:tc>
        <w:tc>
          <w:tcPr>
            <w:tcW w:w="1804" w:type="pct"/>
            <w:vAlign w:val="bottom"/>
          </w:tcPr>
          <w:p w14:paraId="0DC68B3C" w14:textId="77993538" w:rsidR="0016483D" w:rsidRPr="006D7319" w:rsidRDefault="0016483D" w:rsidP="00103D63">
            <w:pPr>
              <w:jc w:val="right"/>
            </w:pPr>
            <w:r w:rsidRPr="006D7319">
              <w:t>1</w:t>
            </w:r>
            <w:r w:rsidR="006A50F4" w:rsidRPr="006D7319">
              <w:t>0</w:t>
            </w:r>
            <w:r w:rsidR="006A50F4">
              <w:t> %</w:t>
            </w:r>
          </w:p>
        </w:tc>
      </w:tr>
      <w:tr w:rsidR="00000000" w:rsidRPr="006D7319" w14:paraId="4E009166" w14:textId="77777777" w:rsidTr="00103D63">
        <w:trPr>
          <w:trHeight w:val="290"/>
        </w:trPr>
        <w:tc>
          <w:tcPr>
            <w:tcW w:w="1592" w:type="pct"/>
          </w:tcPr>
          <w:p w14:paraId="46E5C666" w14:textId="77777777" w:rsidR="0016483D" w:rsidRPr="006D7319" w:rsidRDefault="0016483D" w:rsidP="00103D63">
            <w:pPr>
              <w:pStyle w:val="TabellHode-rad"/>
            </w:pPr>
            <w:proofErr w:type="spellStart"/>
            <w:r w:rsidRPr="006D7319">
              <w:t>Vestland</w:t>
            </w:r>
            <w:proofErr w:type="spellEnd"/>
          </w:p>
        </w:tc>
        <w:tc>
          <w:tcPr>
            <w:tcW w:w="1604" w:type="pct"/>
            <w:vAlign w:val="bottom"/>
          </w:tcPr>
          <w:p w14:paraId="77F922F3" w14:textId="38FBD14A" w:rsidR="0016483D" w:rsidRPr="006D7319" w:rsidRDefault="0016483D" w:rsidP="00103D63">
            <w:pPr>
              <w:jc w:val="right"/>
            </w:pPr>
            <w:r w:rsidRPr="006D7319">
              <w:t>1</w:t>
            </w:r>
            <w:r w:rsidR="006A50F4" w:rsidRPr="006D7319">
              <w:t>4</w:t>
            </w:r>
            <w:r w:rsidR="006A50F4">
              <w:t> </w:t>
            </w:r>
            <w:r w:rsidR="006A50F4" w:rsidRPr="006D7319">
              <w:t>100</w:t>
            </w:r>
            <w:r w:rsidRPr="006D7319">
              <w:t xml:space="preserve"> </w:t>
            </w:r>
          </w:p>
        </w:tc>
        <w:tc>
          <w:tcPr>
            <w:tcW w:w="1804" w:type="pct"/>
            <w:vAlign w:val="bottom"/>
          </w:tcPr>
          <w:p w14:paraId="2BBEB3B3" w14:textId="3736D238" w:rsidR="0016483D" w:rsidRPr="006D7319" w:rsidRDefault="006A50F4" w:rsidP="00103D63">
            <w:pPr>
              <w:jc w:val="right"/>
            </w:pPr>
            <w:r w:rsidRPr="006D7319">
              <w:t>9</w:t>
            </w:r>
            <w:r>
              <w:t> %</w:t>
            </w:r>
          </w:p>
        </w:tc>
      </w:tr>
      <w:tr w:rsidR="00000000" w:rsidRPr="006D7319" w14:paraId="69027B33" w14:textId="77777777" w:rsidTr="00103D63">
        <w:trPr>
          <w:trHeight w:val="290"/>
        </w:trPr>
        <w:tc>
          <w:tcPr>
            <w:tcW w:w="1592" w:type="pct"/>
          </w:tcPr>
          <w:p w14:paraId="06D6D8D0" w14:textId="77777777" w:rsidR="0016483D" w:rsidRPr="006D7319" w:rsidRDefault="0016483D" w:rsidP="00103D63">
            <w:pPr>
              <w:pStyle w:val="TabellHode-rad"/>
            </w:pPr>
            <w:r w:rsidRPr="006D7319">
              <w:t>Trøndelag</w:t>
            </w:r>
          </w:p>
        </w:tc>
        <w:tc>
          <w:tcPr>
            <w:tcW w:w="1604" w:type="pct"/>
            <w:vAlign w:val="bottom"/>
          </w:tcPr>
          <w:p w14:paraId="7B486678" w14:textId="3BDA09A6" w:rsidR="0016483D" w:rsidRPr="006D7319" w:rsidRDefault="0016483D" w:rsidP="00103D63">
            <w:pPr>
              <w:jc w:val="right"/>
            </w:pPr>
            <w:r w:rsidRPr="006D7319">
              <w:t>1</w:t>
            </w:r>
            <w:r w:rsidR="006A50F4" w:rsidRPr="006D7319">
              <w:t>0</w:t>
            </w:r>
            <w:r w:rsidR="006A50F4">
              <w:t> </w:t>
            </w:r>
            <w:r w:rsidR="006A50F4" w:rsidRPr="006D7319">
              <w:t>100</w:t>
            </w:r>
            <w:r w:rsidRPr="006D7319">
              <w:t xml:space="preserve"> </w:t>
            </w:r>
          </w:p>
        </w:tc>
        <w:tc>
          <w:tcPr>
            <w:tcW w:w="1804" w:type="pct"/>
            <w:vAlign w:val="bottom"/>
          </w:tcPr>
          <w:p w14:paraId="239011AA" w14:textId="75E441EB" w:rsidR="0016483D" w:rsidRPr="006D7319" w:rsidRDefault="006A50F4" w:rsidP="00103D63">
            <w:pPr>
              <w:jc w:val="right"/>
            </w:pPr>
            <w:r w:rsidRPr="006D7319">
              <w:t>7</w:t>
            </w:r>
            <w:r>
              <w:t> %</w:t>
            </w:r>
          </w:p>
        </w:tc>
      </w:tr>
      <w:tr w:rsidR="00000000" w:rsidRPr="006D7319" w14:paraId="3780480B" w14:textId="77777777" w:rsidTr="00103D63">
        <w:trPr>
          <w:trHeight w:val="290"/>
        </w:trPr>
        <w:tc>
          <w:tcPr>
            <w:tcW w:w="1592" w:type="pct"/>
          </w:tcPr>
          <w:p w14:paraId="1F3D4891" w14:textId="77777777" w:rsidR="0016483D" w:rsidRPr="006D7319" w:rsidRDefault="0016483D" w:rsidP="00103D63">
            <w:pPr>
              <w:pStyle w:val="TabellHode-rad"/>
            </w:pPr>
            <w:r w:rsidRPr="006D7319">
              <w:t>Agder</w:t>
            </w:r>
          </w:p>
        </w:tc>
        <w:tc>
          <w:tcPr>
            <w:tcW w:w="1604" w:type="pct"/>
            <w:vAlign w:val="bottom"/>
          </w:tcPr>
          <w:p w14:paraId="0D15B1E1" w14:textId="185D8490" w:rsidR="0016483D" w:rsidRPr="006D7319" w:rsidRDefault="006A50F4" w:rsidP="00103D63">
            <w:pPr>
              <w:jc w:val="right"/>
            </w:pPr>
            <w:r w:rsidRPr="006D7319">
              <w:t>5</w:t>
            </w:r>
            <w:r>
              <w:t> </w:t>
            </w:r>
            <w:r w:rsidRPr="006D7319">
              <w:t>000</w:t>
            </w:r>
            <w:r w:rsidR="0016483D" w:rsidRPr="006D7319">
              <w:t xml:space="preserve"> </w:t>
            </w:r>
          </w:p>
        </w:tc>
        <w:tc>
          <w:tcPr>
            <w:tcW w:w="1804" w:type="pct"/>
            <w:vAlign w:val="bottom"/>
          </w:tcPr>
          <w:p w14:paraId="1455B7FE" w14:textId="50D39F60" w:rsidR="0016483D" w:rsidRPr="006D7319" w:rsidRDefault="006A50F4" w:rsidP="00103D63">
            <w:pPr>
              <w:jc w:val="right"/>
            </w:pPr>
            <w:r w:rsidRPr="006D7319">
              <w:t>3</w:t>
            </w:r>
            <w:r>
              <w:t> %</w:t>
            </w:r>
          </w:p>
        </w:tc>
      </w:tr>
      <w:tr w:rsidR="00000000" w:rsidRPr="006D7319" w14:paraId="772F1B33" w14:textId="77777777" w:rsidTr="00103D63">
        <w:trPr>
          <w:trHeight w:val="290"/>
        </w:trPr>
        <w:tc>
          <w:tcPr>
            <w:tcW w:w="1592" w:type="pct"/>
          </w:tcPr>
          <w:p w14:paraId="4F588D63" w14:textId="77777777" w:rsidR="0016483D" w:rsidRPr="006D7319" w:rsidRDefault="0016483D" w:rsidP="00103D63">
            <w:pPr>
              <w:pStyle w:val="TabellHode-rad"/>
            </w:pPr>
            <w:r w:rsidRPr="006D7319">
              <w:t>Vestfold</w:t>
            </w:r>
          </w:p>
        </w:tc>
        <w:tc>
          <w:tcPr>
            <w:tcW w:w="1604" w:type="pct"/>
            <w:vAlign w:val="bottom"/>
          </w:tcPr>
          <w:p w14:paraId="1334DC12" w14:textId="08B514A5" w:rsidR="0016483D" w:rsidRPr="006D7319" w:rsidRDefault="006A50F4" w:rsidP="00103D63">
            <w:pPr>
              <w:jc w:val="right"/>
            </w:pPr>
            <w:r w:rsidRPr="006D7319">
              <w:t>4</w:t>
            </w:r>
            <w:r>
              <w:t> </w:t>
            </w:r>
            <w:r w:rsidRPr="006D7319">
              <w:t>900</w:t>
            </w:r>
            <w:r w:rsidR="0016483D" w:rsidRPr="006D7319">
              <w:t xml:space="preserve"> </w:t>
            </w:r>
          </w:p>
        </w:tc>
        <w:tc>
          <w:tcPr>
            <w:tcW w:w="1804" w:type="pct"/>
            <w:vAlign w:val="bottom"/>
          </w:tcPr>
          <w:p w14:paraId="6DEB4E7E" w14:textId="35FF3E32" w:rsidR="0016483D" w:rsidRPr="006D7319" w:rsidRDefault="006A50F4" w:rsidP="00103D63">
            <w:pPr>
              <w:jc w:val="right"/>
            </w:pPr>
            <w:r w:rsidRPr="006D7319">
              <w:t>3</w:t>
            </w:r>
            <w:r>
              <w:t> %</w:t>
            </w:r>
          </w:p>
        </w:tc>
      </w:tr>
      <w:tr w:rsidR="00000000" w:rsidRPr="006D7319" w14:paraId="59F64433" w14:textId="77777777" w:rsidTr="00103D63">
        <w:trPr>
          <w:trHeight w:val="290"/>
        </w:trPr>
        <w:tc>
          <w:tcPr>
            <w:tcW w:w="1592" w:type="pct"/>
          </w:tcPr>
          <w:p w14:paraId="6533753A" w14:textId="77777777" w:rsidR="0016483D" w:rsidRPr="006D7319" w:rsidRDefault="0016483D" w:rsidP="00103D63">
            <w:pPr>
              <w:pStyle w:val="TabellHode-rad"/>
            </w:pPr>
            <w:r w:rsidRPr="006D7319">
              <w:t>Buskerud</w:t>
            </w:r>
          </w:p>
        </w:tc>
        <w:tc>
          <w:tcPr>
            <w:tcW w:w="1604" w:type="pct"/>
            <w:vAlign w:val="bottom"/>
          </w:tcPr>
          <w:p w14:paraId="02251C19" w14:textId="2146A737" w:rsidR="0016483D" w:rsidRPr="006D7319" w:rsidRDefault="006A50F4" w:rsidP="00103D63">
            <w:pPr>
              <w:jc w:val="right"/>
            </w:pPr>
            <w:r w:rsidRPr="006D7319">
              <w:t>4</w:t>
            </w:r>
            <w:r>
              <w:t> </w:t>
            </w:r>
            <w:r w:rsidRPr="006D7319">
              <w:t>300</w:t>
            </w:r>
            <w:r w:rsidR="0016483D" w:rsidRPr="006D7319">
              <w:t xml:space="preserve"> </w:t>
            </w:r>
          </w:p>
        </w:tc>
        <w:tc>
          <w:tcPr>
            <w:tcW w:w="1804" w:type="pct"/>
            <w:vAlign w:val="bottom"/>
          </w:tcPr>
          <w:p w14:paraId="64B39F61" w14:textId="2B91116D" w:rsidR="0016483D" w:rsidRPr="006D7319" w:rsidRDefault="006A50F4" w:rsidP="00103D63">
            <w:pPr>
              <w:jc w:val="right"/>
            </w:pPr>
            <w:r w:rsidRPr="006D7319">
              <w:t>3</w:t>
            </w:r>
            <w:r>
              <w:t> %</w:t>
            </w:r>
          </w:p>
        </w:tc>
      </w:tr>
      <w:tr w:rsidR="00000000" w:rsidRPr="006D7319" w14:paraId="2531D19D" w14:textId="77777777" w:rsidTr="00103D63">
        <w:trPr>
          <w:trHeight w:val="290"/>
        </w:trPr>
        <w:tc>
          <w:tcPr>
            <w:tcW w:w="1592" w:type="pct"/>
          </w:tcPr>
          <w:p w14:paraId="57A341F3" w14:textId="77777777" w:rsidR="0016483D" w:rsidRPr="006D7319" w:rsidRDefault="0016483D" w:rsidP="00103D63">
            <w:pPr>
              <w:pStyle w:val="TabellHode-rad"/>
            </w:pPr>
            <w:r w:rsidRPr="006D7319">
              <w:t>Møre og Romsdal</w:t>
            </w:r>
          </w:p>
        </w:tc>
        <w:tc>
          <w:tcPr>
            <w:tcW w:w="1604" w:type="pct"/>
            <w:vAlign w:val="bottom"/>
          </w:tcPr>
          <w:p w14:paraId="2D25F6EC" w14:textId="7AD00019" w:rsidR="0016483D" w:rsidRPr="006D7319" w:rsidRDefault="006A50F4" w:rsidP="00103D63">
            <w:pPr>
              <w:jc w:val="right"/>
            </w:pPr>
            <w:r w:rsidRPr="006D7319">
              <w:t>4</w:t>
            </w:r>
            <w:r>
              <w:t> </w:t>
            </w:r>
            <w:r w:rsidRPr="006D7319">
              <w:t>200</w:t>
            </w:r>
            <w:r w:rsidR="0016483D" w:rsidRPr="006D7319">
              <w:t xml:space="preserve"> </w:t>
            </w:r>
          </w:p>
        </w:tc>
        <w:tc>
          <w:tcPr>
            <w:tcW w:w="1804" w:type="pct"/>
            <w:vAlign w:val="bottom"/>
          </w:tcPr>
          <w:p w14:paraId="247E87F0" w14:textId="65CF5FBC" w:rsidR="0016483D" w:rsidRPr="006D7319" w:rsidRDefault="006A50F4" w:rsidP="00103D63">
            <w:pPr>
              <w:jc w:val="right"/>
            </w:pPr>
            <w:r w:rsidRPr="006D7319">
              <w:t>3</w:t>
            </w:r>
            <w:r>
              <w:t> %</w:t>
            </w:r>
          </w:p>
        </w:tc>
      </w:tr>
      <w:tr w:rsidR="00000000" w:rsidRPr="006D7319" w14:paraId="209AE821" w14:textId="77777777" w:rsidTr="00103D63">
        <w:trPr>
          <w:trHeight w:val="290"/>
        </w:trPr>
        <w:tc>
          <w:tcPr>
            <w:tcW w:w="1592" w:type="pct"/>
          </w:tcPr>
          <w:p w14:paraId="03433C32" w14:textId="77777777" w:rsidR="0016483D" w:rsidRPr="006D7319" w:rsidRDefault="0016483D" w:rsidP="00103D63">
            <w:pPr>
              <w:pStyle w:val="TabellHode-rad"/>
            </w:pPr>
            <w:r w:rsidRPr="006D7319">
              <w:t>Østfold</w:t>
            </w:r>
          </w:p>
        </w:tc>
        <w:tc>
          <w:tcPr>
            <w:tcW w:w="1604" w:type="pct"/>
            <w:vAlign w:val="bottom"/>
          </w:tcPr>
          <w:p w14:paraId="4568FA91" w14:textId="74F387E8" w:rsidR="0016483D" w:rsidRPr="006D7319" w:rsidRDefault="006A50F4" w:rsidP="00103D63">
            <w:pPr>
              <w:jc w:val="right"/>
            </w:pPr>
            <w:r w:rsidRPr="006D7319">
              <w:t>4</w:t>
            </w:r>
            <w:r>
              <w:t> </w:t>
            </w:r>
            <w:r w:rsidRPr="006D7319">
              <w:t>200</w:t>
            </w:r>
            <w:r w:rsidR="0016483D" w:rsidRPr="006D7319">
              <w:t xml:space="preserve"> </w:t>
            </w:r>
          </w:p>
        </w:tc>
        <w:tc>
          <w:tcPr>
            <w:tcW w:w="1804" w:type="pct"/>
            <w:vAlign w:val="bottom"/>
          </w:tcPr>
          <w:p w14:paraId="6761738D" w14:textId="13164B99" w:rsidR="0016483D" w:rsidRPr="006D7319" w:rsidRDefault="006A50F4" w:rsidP="00103D63">
            <w:pPr>
              <w:jc w:val="right"/>
            </w:pPr>
            <w:r w:rsidRPr="006D7319">
              <w:t>3</w:t>
            </w:r>
            <w:r>
              <w:t> %</w:t>
            </w:r>
          </w:p>
        </w:tc>
      </w:tr>
      <w:tr w:rsidR="00000000" w:rsidRPr="006D7319" w14:paraId="73EF6D14" w14:textId="77777777" w:rsidTr="00103D63">
        <w:trPr>
          <w:trHeight w:val="290"/>
        </w:trPr>
        <w:tc>
          <w:tcPr>
            <w:tcW w:w="1592" w:type="pct"/>
          </w:tcPr>
          <w:p w14:paraId="71C7EFC9" w14:textId="77777777" w:rsidR="0016483D" w:rsidRPr="006D7319" w:rsidRDefault="0016483D" w:rsidP="00103D63">
            <w:pPr>
              <w:pStyle w:val="TabellHode-rad"/>
            </w:pPr>
            <w:r w:rsidRPr="006D7319">
              <w:t>Innlandet</w:t>
            </w:r>
          </w:p>
        </w:tc>
        <w:tc>
          <w:tcPr>
            <w:tcW w:w="1604" w:type="pct"/>
            <w:vAlign w:val="bottom"/>
          </w:tcPr>
          <w:p w14:paraId="1E46DBE5" w14:textId="1CF5E41C" w:rsidR="0016483D" w:rsidRPr="006D7319" w:rsidRDefault="006A50F4" w:rsidP="00103D63">
            <w:pPr>
              <w:jc w:val="right"/>
            </w:pPr>
            <w:r w:rsidRPr="006D7319">
              <w:t>3</w:t>
            </w:r>
            <w:r>
              <w:t> </w:t>
            </w:r>
            <w:r w:rsidRPr="006D7319">
              <w:t>900</w:t>
            </w:r>
            <w:r w:rsidR="0016483D" w:rsidRPr="006D7319">
              <w:t xml:space="preserve"> </w:t>
            </w:r>
          </w:p>
        </w:tc>
        <w:tc>
          <w:tcPr>
            <w:tcW w:w="1804" w:type="pct"/>
            <w:vAlign w:val="bottom"/>
          </w:tcPr>
          <w:p w14:paraId="1F6EACFF" w14:textId="0F2EFC25" w:rsidR="0016483D" w:rsidRPr="006D7319" w:rsidRDefault="006A50F4" w:rsidP="00103D63">
            <w:pPr>
              <w:jc w:val="right"/>
            </w:pPr>
            <w:r w:rsidRPr="006D7319">
              <w:t>3</w:t>
            </w:r>
            <w:r>
              <w:t> %</w:t>
            </w:r>
          </w:p>
        </w:tc>
      </w:tr>
      <w:tr w:rsidR="00000000" w:rsidRPr="006D7319" w14:paraId="79B0FEBA" w14:textId="77777777" w:rsidTr="00103D63">
        <w:trPr>
          <w:trHeight w:val="290"/>
        </w:trPr>
        <w:tc>
          <w:tcPr>
            <w:tcW w:w="1592" w:type="pct"/>
          </w:tcPr>
          <w:p w14:paraId="43388C2E" w14:textId="77777777" w:rsidR="0016483D" w:rsidRPr="006D7319" w:rsidRDefault="0016483D" w:rsidP="00103D63">
            <w:pPr>
              <w:pStyle w:val="TabellHode-rad"/>
            </w:pPr>
            <w:r w:rsidRPr="006D7319">
              <w:t>Telemark</w:t>
            </w:r>
          </w:p>
        </w:tc>
        <w:tc>
          <w:tcPr>
            <w:tcW w:w="1604" w:type="pct"/>
            <w:vAlign w:val="bottom"/>
          </w:tcPr>
          <w:p w14:paraId="6B669A8C" w14:textId="60BBA747" w:rsidR="0016483D" w:rsidRPr="006D7319" w:rsidRDefault="006A50F4" w:rsidP="00103D63">
            <w:pPr>
              <w:jc w:val="right"/>
            </w:pPr>
            <w:r w:rsidRPr="006D7319">
              <w:t>2</w:t>
            </w:r>
            <w:r>
              <w:t> </w:t>
            </w:r>
            <w:r w:rsidRPr="006D7319">
              <w:t>600</w:t>
            </w:r>
            <w:r w:rsidR="0016483D" w:rsidRPr="006D7319">
              <w:t xml:space="preserve"> </w:t>
            </w:r>
          </w:p>
        </w:tc>
        <w:tc>
          <w:tcPr>
            <w:tcW w:w="1804" w:type="pct"/>
            <w:vAlign w:val="bottom"/>
          </w:tcPr>
          <w:p w14:paraId="5A43E4E5" w14:textId="17A3A5F6" w:rsidR="0016483D" w:rsidRPr="006D7319" w:rsidRDefault="006A50F4" w:rsidP="00103D63">
            <w:pPr>
              <w:jc w:val="right"/>
            </w:pPr>
            <w:r w:rsidRPr="006D7319">
              <w:t>2</w:t>
            </w:r>
            <w:r>
              <w:t> %</w:t>
            </w:r>
          </w:p>
        </w:tc>
      </w:tr>
      <w:tr w:rsidR="00000000" w:rsidRPr="006D7319" w14:paraId="177A328A" w14:textId="77777777" w:rsidTr="00103D63">
        <w:trPr>
          <w:trHeight w:val="290"/>
        </w:trPr>
        <w:tc>
          <w:tcPr>
            <w:tcW w:w="1592" w:type="pct"/>
          </w:tcPr>
          <w:p w14:paraId="16292819" w14:textId="77777777" w:rsidR="0016483D" w:rsidRPr="006D7319" w:rsidRDefault="0016483D" w:rsidP="00103D63">
            <w:pPr>
              <w:pStyle w:val="TabellHode-rad"/>
            </w:pPr>
            <w:r w:rsidRPr="006D7319">
              <w:t>Nordland</w:t>
            </w:r>
          </w:p>
        </w:tc>
        <w:tc>
          <w:tcPr>
            <w:tcW w:w="1604" w:type="pct"/>
            <w:vAlign w:val="bottom"/>
          </w:tcPr>
          <w:p w14:paraId="43F40ABE" w14:textId="08D6351C" w:rsidR="0016483D" w:rsidRPr="006D7319" w:rsidRDefault="006A50F4" w:rsidP="00103D63">
            <w:pPr>
              <w:jc w:val="right"/>
            </w:pPr>
            <w:r w:rsidRPr="006D7319">
              <w:t>2</w:t>
            </w:r>
            <w:r>
              <w:t> </w:t>
            </w:r>
            <w:r w:rsidRPr="006D7319">
              <w:t>500</w:t>
            </w:r>
            <w:r w:rsidR="0016483D" w:rsidRPr="006D7319">
              <w:t xml:space="preserve"> </w:t>
            </w:r>
          </w:p>
        </w:tc>
        <w:tc>
          <w:tcPr>
            <w:tcW w:w="1804" w:type="pct"/>
            <w:vAlign w:val="bottom"/>
          </w:tcPr>
          <w:p w14:paraId="044CF5B1" w14:textId="4883046E" w:rsidR="0016483D" w:rsidRPr="006D7319" w:rsidRDefault="006A50F4" w:rsidP="00103D63">
            <w:pPr>
              <w:jc w:val="right"/>
            </w:pPr>
            <w:r w:rsidRPr="006D7319">
              <w:t>2</w:t>
            </w:r>
            <w:r>
              <w:t> %</w:t>
            </w:r>
          </w:p>
        </w:tc>
      </w:tr>
      <w:tr w:rsidR="00000000" w:rsidRPr="006D7319" w14:paraId="0407D194" w14:textId="77777777" w:rsidTr="00103D63">
        <w:trPr>
          <w:trHeight w:val="290"/>
        </w:trPr>
        <w:tc>
          <w:tcPr>
            <w:tcW w:w="1592" w:type="pct"/>
          </w:tcPr>
          <w:p w14:paraId="45F18431" w14:textId="77777777" w:rsidR="0016483D" w:rsidRPr="006D7319" w:rsidRDefault="0016483D" w:rsidP="00103D63">
            <w:pPr>
              <w:pStyle w:val="TabellHode-rad"/>
            </w:pPr>
            <w:r w:rsidRPr="006D7319">
              <w:t>Troms</w:t>
            </w:r>
          </w:p>
        </w:tc>
        <w:tc>
          <w:tcPr>
            <w:tcW w:w="1604" w:type="pct"/>
            <w:vAlign w:val="bottom"/>
          </w:tcPr>
          <w:p w14:paraId="5D691E25" w14:textId="734D41FB" w:rsidR="0016483D" w:rsidRPr="006D7319" w:rsidRDefault="006A50F4" w:rsidP="00103D63">
            <w:pPr>
              <w:jc w:val="right"/>
            </w:pPr>
            <w:r w:rsidRPr="006D7319">
              <w:t>2</w:t>
            </w:r>
            <w:r>
              <w:t> </w:t>
            </w:r>
            <w:r w:rsidRPr="006D7319">
              <w:t>200</w:t>
            </w:r>
            <w:r w:rsidR="0016483D" w:rsidRPr="006D7319">
              <w:t xml:space="preserve"> </w:t>
            </w:r>
          </w:p>
        </w:tc>
        <w:tc>
          <w:tcPr>
            <w:tcW w:w="1804" w:type="pct"/>
            <w:vAlign w:val="bottom"/>
          </w:tcPr>
          <w:p w14:paraId="24B6632F" w14:textId="42875643" w:rsidR="0016483D" w:rsidRPr="006D7319" w:rsidRDefault="006A50F4" w:rsidP="00103D63">
            <w:pPr>
              <w:jc w:val="right"/>
            </w:pPr>
            <w:r w:rsidRPr="006D7319">
              <w:t>1</w:t>
            </w:r>
            <w:r>
              <w:t> %</w:t>
            </w:r>
          </w:p>
        </w:tc>
      </w:tr>
      <w:tr w:rsidR="00000000" w:rsidRPr="006D7319" w14:paraId="63C5E5D1" w14:textId="77777777" w:rsidTr="00103D63">
        <w:trPr>
          <w:trHeight w:val="290"/>
        </w:trPr>
        <w:tc>
          <w:tcPr>
            <w:tcW w:w="1592" w:type="pct"/>
          </w:tcPr>
          <w:p w14:paraId="3AFFC387" w14:textId="77777777" w:rsidR="0016483D" w:rsidRPr="006D7319" w:rsidRDefault="0016483D" w:rsidP="00103D63">
            <w:pPr>
              <w:pStyle w:val="TabellHode-rad"/>
            </w:pPr>
            <w:r w:rsidRPr="006D7319">
              <w:t>Finnmark</w:t>
            </w:r>
          </w:p>
        </w:tc>
        <w:tc>
          <w:tcPr>
            <w:tcW w:w="1604" w:type="pct"/>
            <w:vAlign w:val="bottom"/>
          </w:tcPr>
          <w:p w14:paraId="00FCE4B1" w14:textId="77777777" w:rsidR="0016483D" w:rsidRPr="006D7319" w:rsidRDefault="0016483D" w:rsidP="00103D63">
            <w:pPr>
              <w:jc w:val="right"/>
            </w:pPr>
            <w:r w:rsidRPr="006D7319">
              <w:t xml:space="preserve">700 </w:t>
            </w:r>
          </w:p>
        </w:tc>
        <w:tc>
          <w:tcPr>
            <w:tcW w:w="1804" w:type="pct"/>
            <w:vAlign w:val="bottom"/>
          </w:tcPr>
          <w:p w14:paraId="00DE1B31" w14:textId="1FE232E3" w:rsidR="0016483D" w:rsidRPr="006D7319" w:rsidRDefault="006A50F4" w:rsidP="00103D63">
            <w:pPr>
              <w:jc w:val="right"/>
            </w:pPr>
            <w:r w:rsidRPr="006D7319">
              <w:t>0</w:t>
            </w:r>
            <w:r>
              <w:t> %</w:t>
            </w:r>
          </w:p>
        </w:tc>
      </w:tr>
      <w:tr w:rsidR="00000000" w:rsidRPr="006D7319" w14:paraId="73C3F21F" w14:textId="77777777" w:rsidTr="00103D63">
        <w:trPr>
          <w:trHeight w:val="290"/>
        </w:trPr>
        <w:tc>
          <w:tcPr>
            <w:tcW w:w="1592" w:type="pct"/>
          </w:tcPr>
          <w:p w14:paraId="3A0E5F0C" w14:textId="77777777" w:rsidR="0016483D" w:rsidRPr="006D7319" w:rsidRDefault="0016483D" w:rsidP="00103D63">
            <w:pPr>
              <w:pStyle w:val="TabellHode-rad"/>
            </w:pPr>
            <w:r w:rsidRPr="006D7319">
              <w:t>Svalbard</w:t>
            </w:r>
          </w:p>
        </w:tc>
        <w:tc>
          <w:tcPr>
            <w:tcW w:w="1604" w:type="pct"/>
            <w:vAlign w:val="bottom"/>
          </w:tcPr>
          <w:p w14:paraId="546131F7" w14:textId="77777777" w:rsidR="0016483D" w:rsidRPr="006D7319" w:rsidRDefault="0016483D" w:rsidP="00103D63">
            <w:pPr>
              <w:jc w:val="right"/>
            </w:pPr>
            <w:r w:rsidRPr="006D7319">
              <w:t>&lt;20</w:t>
            </w:r>
          </w:p>
        </w:tc>
        <w:tc>
          <w:tcPr>
            <w:tcW w:w="1804" w:type="pct"/>
            <w:vAlign w:val="bottom"/>
          </w:tcPr>
          <w:p w14:paraId="2FC6AC12" w14:textId="0C17E591" w:rsidR="0016483D" w:rsidRPr="006D7319" w:rsidRDefault="006A50F4" w:rsidP="00103D63">
            <w:pPr>
              <w:jc w:val="right"/>
            </w:pPr>
            <w:r w:rsidRPr="006D7319">
              <w:t>0</w:t>
            </w:r>
            <w:r>
              <w:t> %</w:t>
            </w:r>
          </w:p>
        </w:tc>
      </w:tr>
      <w:tr w:rsidR="00000000" w:rsidRPr="006D7319" w14:paraId="150ABA31" w14:textId="77777777" w:rsidTr="00103D63">
        <w:trPr>
          <w:trHeight w:val="290"/>
        </w:trPr>
        <w:tc>
          <w:tcPr>
            <w:tcW w:w="1592" w:type="pct"/>
          </w:tcPr>
          <w:p w14:paraId="3F2C8952" w14:textId="77777777" w:rsidR="0016483D" w:rsidRPr="006D7319" w:rsidRDefault="0016483D" w:rsidP="00103D63">
            <w:pPr>
              <w:pStyle w:val="TabellHode-rad"/>
            </w:pPr>
            <w:r w:rsidRPr="006D7319">
              <w:t>Totalt</w:t>
            </w:r>
          </w:p>
        </w:tc>
        <w:tc>
          <w:tcPr>
            <w:tcW w:w="1604" w:type="pct"/>
            <w:vAlign w:val="bottom"/>
          </w:tcPr>
          <w:p w14:paraId="2A9CE495" w14:textId="298B3C3F" w:rsidR="0016483D" w:rsidRPr="006D7319" w:rsidRDefault="0016483D" w:rsidP="00103D63">
            <w:pPr>
              <w:jc w:val="right"/>
            </w:pPr>
            <w:r w:rsidRPr="006D7319">
              <w:t>15</w:t>
            </w:r>
            <w:r w:rsidR="006A50F4" w:rsidRPr="006D7319">
              <w:t>1</w:t>
            </w:r>
            <w:r w:rsidR="006A50F4">
              <w:t> </w:t>
            </w:r>
            <w:r w:rsidR="006A50F4" w:rsidRPr="006D7319">
              <w:t>400</w:t>
            </w:r>
            <w:r w:rsidRPr="006D7319">
              <w:t xml:space="preserve"> </w:t>
            </w:r>
          </w:p>
        </w:tc>
        <w:tc>
          <w:tcPr>
            <w:tcW w:w="1804" w:type="pct"/>
            <w:vAlign w:val="bottom"/>
          </w:tcPr>
          <w:p w14:paraId="5FFA0124" w14:textId="77777777" w:rsidR="0016483D" w:rsidRPr="006D7319" w:rsidRDefault="0016483D" w:rsidP="00103D63">
            <w:pPr>
              <w:jc w:val="right"/>
            </w:pPr>
          </w:p>
        </w:tc>
      </w:tr>
    </w:tbl>
    <w:p w14:paraId="22B99337" w14:textId="77777777" w:rsidR="0016483D" w:rsidRPr="006D7319" w:rsidRDefault="0016483D" w:rsidP="006D7319">
      <w:pPr>
        <w:pStyle w:val="Kilde"/>
      </w:pPr>
      <w:r w:rsidRPr="006D7319">
        <w:t xml:space="preserve">Menon </w:t>
      </w:r>
      <w:proofErr w:type="spellStart"/>
      <w:r w:rsidRPr="006D7319">
        <w:t>Economics</w:t>
      </w:r>
      <w:proofErr w:type="spellEnd"/>
      <w:r w:rsidRPr="006D7319">
        <w:t xml:space="preserve"> regnskapsdatabase</w:t>
      </w:r>
    </w:p>
    <w:p w14:paraId="4451711C" w14:textId="77777777" w:rsidR="0016483D" w:rsidRPr="006D7319" w:rsidRDefault="0016483D" w:rsidP="006D7319">
      <w:pPr>
        <w:pStyle w:val="Overskrift3"/>
      </w:pPr>
      <w:r w:rsidRPr="006D7319">
        <w:t>Enkeltpersonforetak</w:t>
      </w:r>
    </w:p>
    <w:p w14:paraId="036D07A2" w14:textId="65434F66" w:rsidR="0016483D" w:rsidRPr="006D7319" w:rsidRDefault="0016483D" w:rsidP="006D7319">
      <w:r w:rsidRPr="006D7319">
        <w:t>Det er krevende å fastslå omfanget av enkeltpersonforetak i rådgivernæringen. Frem til 1. januar 2024 var det gratis å</w:t>
      </w:r>
      <w:r w:rsidRPr="006D7319">
        <w:t xml:space="preserve"> registrere seg som enkeltpersonforetak, og selv om det nå foreligger et gebyr, er dette fortsatt lavt sammenlignet med kravet til aksje</w:t>
      </w:r>
      <w:r w:rsidRPr="006D7319">
        <w:t>kapital ved registrering av aksjeselskap.</w:t>
      </w:r>
      <w:r w:rsidR="006A50F4" w:rsidRPr="006A50F4">
        <w:rPr>
          <w:rStyle w:val="Fotnotereferanse"/>
        </w:rPr>
        <w:footnoteReference w:id="117"/>
      </w:r>
      <w:r w:rsidRPr="006D7319">
        <w:t xml:space="preserve"> Ettersom det er en forholdsvis lav terskel for å etablere et enkeltpersonforetak, kan mange av foretakene være inaktive eller ha svært lav aktivitet. Undersøkelsene til Menon støtter denne påstanden.</w:t>
      </w:r>
    </w:p>
    <w:p w14:paraId="08CA77C5" w14:textId="193283F7" w:rsidR="0016483D" w:rsidRPr="006D7319" w:rsidRDefault="0016483D" w:rsidP="006D7319">
      <w:r w:rsidRPr="006D7319">
        <w:t xml:space="preserve">Menon </w:t>
      </w:r>
      <w:proofErr w:type="spellStart"/>
      <w:r w:rsidRPr="006D7319">
        <w:t>Economics</w:t>
      </w:r>
      <w:proofErr w:type="spellEnd"/>
      <w:r w:rsidRPr="006D7319">
        <w:t xml:space="preserve"> (2025) har identifisert rundt 1</w:t>
      </w:r>
      <w:r w:rsidR="006A50F4" w:rsidRPr="006D7319">
        <w:t>5</w:t>
      </w:r>
      <w:r w:rsidR="006A50F4">
        <w:t> </w:t>
      </w:r>
      <w:r w:rsidR="006A50F4" w:rsidRPr="006D7319">
        <w:t>900</w:t>
      </w:r>
      <w:r w:rsidRPr="006D7319">
        <w:t xml:space="preserve"> enkeltpersonforetak tilknyttet rådgiver</w:t>
      </w:r>
      <w:r w:rsidRPr="006D7319">
        <w:t xml:space="preserve">næringen basert på antall registrerte enkeltpersonforetak i </w:t>
      </w:r>
      <w:proofErr w:type="spellStart"/>
      <w:r w:rsidRPr="006D7319">
        <w:t>Merverdiavgiftsregisteret</w:t>
      </w:r>
      <w:proofErr w:type="spellEnd"/>
      <w:r w:rsidRPr="006D7319">
        <w:t>. Virksomheter med omsetning med mer enn 5</w:t>
      </w:r>
      <w:r w:rsidR="006A50F4" w:rsidRPr="006D7319">
        <w:t>0</w:t>
      </w:r>
      <w:r w:rsidR="006A50F4">
        <w:t> </w:t>
      </w:r>
      <w:r w:rsidR="006A50F4" w:rsidRPr="006D7319">
        <w:t>000</w:t>
      </w:r>
      <w:r w:rsidR="006A50F4">
        <w:t> kroner</w:t>
      </w:r>
      <w:r w:rsidRPr="006D7319">
        <w:t xml:space="preserve"> er pliktig til å registrere seg der.</w:t>
      </w:r>
      <w:r w:rsidR="006A50F4" w:rsidRPr="006A50F4">
        <w:rPr>
          <w:rStyle w:val="Fotnotereferanse"/>
        </w:rPr>
        <w:footnoteReference w:id="118"/>
      </w:r>
      <w:r w:rsidRPr="006D7319">
        <w:t xml:space="preserve"> Som det </w:t>
      </w:r>
      <w:proofErr w:type="gramStart"/>
      <w:r w:rsidRPr="006D7319">
        <w:t>fremgår</w:t>
      </w:r>
      <w:proofErr w:type="gramEnd"/>
      <w:r w:rsidRPr="006D7319">
        <w:t xml:space="preserve"> av </w:t>
      </w:r>
      <w:r w:rsidRPr="006D7319">
        <w:lastRenderedPageBreak/>
        <w:t>Menons rapport må antall enkeltpersonforetak tolkes med varsomhet, da det er betydelig usikkerhet knyttet til faktisk aktivitetsnivå. Det er rimelig å anta at flere av enkeltpersonforetakene har lav eller ingen aktivitet, og det er derfor sannsynlig at det reelle antallet er lavere enn 1</w:t>
      </w:r>
      <w:r w:rsidR="006A50F4" w:rsidRPr="006D7319">
        <w:t>5</w:t>
      </w:r>
      <w:r w:rsidR="006A50F4">
        <w:t> </w:t>
      </w:r>
      <w:r w:rsidR="006A50F4" w:rsidRPr="006D7319">
        <w:t>900</w:t>
      </w:r>
      <w:r w:rsidRPr="006D7319">
        <w:t>.</w:t>
      </w:r>
    </w:p>
    <w:p w14:paraId="5A617098" w14:textId="77777777" w:rsidR="0016483D" w:rsidRPr="006D7319" w:rsidRDefault="0016483D" w:rsidP="006D7319">
      <w:pPr>
        <w:pStyle w:val="Overskrift3"/>
      </w:pPr>
      <w:r w:rsidRPr="006D7319">
        <w:t>Aksjeselskap som består av én person</w:t>
      </w:r>
    </w:p>
    <w:p w14:paraId="6729619D" w14:textId="13B4D6FA" w:rsidR="0016483D" w:rsidRPr="006D7319" w:rsidRDefault="0016483D" w:rsidP="006D7319">
      <w:r w:rsidRPr="006D7319">
        <w:t xml:space="preserve">Det har de siste årene vært en vekst i antall aksjeselskap der eier er eneste ansatt, og i 2023 var det om lag </w:t>
      </w:r>
      <w:r w:rsidR="006A50F4" w:rsidRPr="006D7319">
        <w:t>9</w:t>
      </w:r>
      <w:r w:rsidR="006A50F4">
        <w:t> </w:t>
      </w:r>
      <w:r w:rsidR="006A50F4" w:rsidRPr="006D7319">
        <w:t>100</w:t>
      </w:r>
      <w:r w:rsidRPr="006D7319">
        <w:t xml:space="preserve"> slike registrerte selskaper. Andelen av disse selskapene sammenliknet med rådgivernær</w:t>
      </w:r>
      <w:r w:rsidRPr="006D7319">
        <w:t xml:space="preserve">ingen </w:t>
      </w:r>
      <w:proofErr w:type="gramStart"/>
      <w:r w:rsidRPr="006D7319">
        <w:t>for øvrig</w:t>
      </w:r>
      <w:proofErr w:type="gramEnd"/>
      <w:r w:rsidRPr="006D7319">
        <w:t xml:space="preserve"> har imidlertid holdt seg relativt stabil siden 2011, på mellom seks og åtte prosent.</w:t>
      </w:r>
    </w:p>
    <w:p w14:paraId="3992C18A" w14:textId="77777777" w:rsidR="0016483D" w:rsidRPr="006D7319" w:rsidRDefault="0016483D" w:rsidP="006D7319">
      <w:r w:rsidRPr="006D7319">
        <w:t>Både på arbeidsgiver- og arbeidstakersiden oppgir de fleste at de oppfordrer til opprettelse av et aksjeselskap, fremfor enkeltpersonforetak, grunnet flere rettigheter og mindre risiko.</w:t>
      </w:r>
    </w:p>
    <w:p w14:paraId="4E17AE7D" w14:textId="592566CF" w:rsidR="0016483D" w:rsidRPr="006D7319" w:rsidRDefault="0016483D" w:rsidP="006D7319">
      <w:r w:rsidRPr="006D7319">
        <w:t>Figur 3.1 viser utviklingen i antall ansatte i rådgiver</w:t>
      </w:r>
      <w:r w:rsidRPr="006D7319">
        <w:t xml:space="preserve">næringen fra 2011 til 2023 og andelen aksjeselskap der eier er eneste ansatt i forhold til næringen </w:t>
      </w:r>
      <w:proofErr w:type="gramStart"/>
      <w:r w:rsidRPr="006D7319">
        <w:t>for øvrig</w:t>
      </w:r>
      <w:proofErr w:type="gramEnd"/>
      <w:r w:rsidRPr="006D7319">
        <w:t>.</w:t>
      </w:r>
    </w:p>
    <w:p w14:paraId="54697079" w14:textId="77777777" w:rsidR="006A50F4" w:rsidRDefault="0016483D" w:rsidP="006D7319">
      <w:pPr>
        <w:pStyle w:val="figur-tittel"/>
      </w:pPr>
      <w:r w:rsidRPr="006D7319">
        <w:t xml:space="preserve">Utviklingen i antall ansatte i rådgivernæringen i aksjeselskap der eier er eneste ansatt og næringen </w:t>
      </w:r>
      <w:proofErr w:type="gramStart"/>
      <w:r w:rsidRPr="006D7319">
        <w:t>for øvrig</w:t>
      </w:r>
      <w:proofErr w:type="gramEnd"/>
      <w:r w:rsidRPr="006D7319">
        <w:t>.</w:t>
      </w:r>
    </w:p>
    <w:p w14:paraId="309E2766" w14:textId="2529ACE1" w:rsidR="0016483D" w:rsidRPr="0016483D" w:rsidRDefault="0016483D" w:rsidP="0016483D">
      <w:r>
        <w:rPr>
          <w:noProof/>
          <w14:ligatures w14:val="standardContextual"/>
        </w:rPr>
        <w:drawing>
          <wp:inline distT="0" distB="0" distL="0" distR="0" wp14:anchorId="4ADA021D" wp14:editId="4F6B3078">
            <wp:extent cx="6086475" cy="3371850"/>
            <wp:effectExtent l="0" t="0" r="9525" b="0"/>
            <wp:docPr id="84294706" name="Bilde 1"/>
            <wp:cNvGraphicFramePr/>
            <a:graphic xmlns:a="http://schemas.openxmlformats.org/drawingml/2006/main">
              <a:graphicData uri="http://schemas.openxmlformats.org/drawingml/2006/picture">
                <pic:pic xmlns:pic="http://schemas.openxmlformats.org/drawingml/2006/picture">
                  <pic:nvPicPr>
                    <pic:cNvPr id="84294706" name=""/>
                    <pic:cNvPicPr/>
                  </pic:nvPicPr>
                  <pic:blipFill>
                    <a:blip r:embed="rId9"/>
                    <a:stretch>
                      <a:fillRect/>
                    </a:stretch>
                  </pic:blipFill>
                  <pic:spPr>
                    <a:xfrm>
                      <a:off x="0" y="0"/>
                      <a:ext cx="6086475" cy="3371850"/>
                    </a:xfrm>
                    <a:prstGeom prst="rect">
                      <a:avLst/>
                    </a:prstGeom>
                  </pic:spPr>
                </pic:pic>
              </a:graphicData>
            </a:graphic>
          </wp:inline>
        </w:drawing>
      </w:r>
    </w:p>
    <w:p w14:paraId="1D9CC638" w14:textId="2E92E50A" w:rsidR="0016483D" w:rsidRPr="006D7319" w:rsidRDefault="0016483D" w:rsidP="006D7319">
      <w:pPr>
        <w:pStyle w:val="Kilde"/>
      </w:pPr>
      <w:r w:rsidRPr="006D7319">
        <w:t xml:space="preserve">Menon </w:t>
      </w:r>
      <w:proofErr w:type="spellStart"/>
      <w:r w:rsidRPr="006D7319">
        <w:t>Economics</w:t>
      </w:r>
      <w:proofErr w:type="spellEnd"/>
      <w:r w:rsidRPr="006D7319">
        <w:t xml:space="preserve"> regnskapsdatabase</w:t>
      </w:r>
    </w:p>
    <w:p w14:paraId="226D04D9" w14:textId="77777777" w:rsidR="0016483D" w:rsidRPr="006D7319" w:rsidRDefault="0016483D" w:rsidP="006D7319">
      <w:pPr>
        <w:pStyle w:val="tabell-tittel"/>
      </w:pPr>
      <w:r w:rsidRPr="006D7319">
        <w:t>Omfanget av aksjeselskap der eier er eneste ansatt, enkeltpersonforetak og antall ansatte i foretak med mer enn én ansatt fordelt på bransjer.</w:t>
      </w:r>
    </w:p>
    <w:tbl>
      <w:tblPr>
        <w:tblStyle w:val="StandardTabell"/>
        <w:tblW w:w="5000" w:type="pct"/>
        <w:tblLook w:val="0000" w:firstRow="0" w:lastRow="0" w:firstColumn="0" w:lastColumn="0" w:noHBand="0" w:noVBand="0"/>
      </w:tblPr>
      <w:tblGrid>
        <w:gridCol w:w="2478"/>
        <w:gridCol w:w="2478"/>
        <w:gridCol w:w="2537"/>
        <w:gridCol w:w="2963"/>
      </w:tblGrid>
      <w:tr w:rsidR="00000000" w:rsidRPr="006D7319" w14:paraId="15C29D59" w14:textId="77777777" w:rsidTr="00103D63">
        <w:trPr>
          <w:trHeight w:val="290"/>
        </w:trPr>
        <w:tc>
          <w:tcPr>
            <w:tcW w:w="1185" w:type="pct"/>
            <w:vAlign w:val="bottom"/>
          </w:tcPr>
          <w:p w14:paraId="4B5FBCA4" w14:textId="77777777" w:rsidR="0016483D" w:rsidRPr="006A50F4" w:rsidRDefault="0016483D" w:rsidP="00103D63">
            <w:pPr>
              <w:pStyle w:val="TabellHode-kolonne"/>
              <w:jc w:val="right"/>
              <w:rPr>
                <w:rStyle w:val="halvfet"/>
              </w:rPr>
            </w:pPr>
          </w:p>
        </w:tc>
        <w:tc>
          <w:tcPr>
            <w:tcW w:w="2398" w:type="pct"/>
            <w:gridSpan w:val="2"/>
            <w:vAlign w:val="bottom"/>
          </w:tcPr>
          <w:p w14:paraId="32D4C82E" w14:textId="77777777" w:rsidR="0016483D" w:rsidRPr="006A50F4" w:rsidRDefault="0016483D" w:rsidP="00103D63">
            <w:pPr>
              <w:pStyle w:val="TabellHode-kolonne"/>
              <w:jc w:val="center"/>
              <w:rPr>
                <w:rStyle w:val="halvfet"/>
              </w:rPr>
            </w:pPr>
            <w:r w:rsidRPr="006A50F4">
              <w:rPr>
                <w:rStyle w:val="halvfet"/>
              </w:rPr>
              <w:t>Antall foretak</w:t>
            </w:r>
          </w:p>
        </w:tc>
        <w:tc>
          <w:tcPr>
            <w:tcW w:w="1417" w:type="pct"/>
            <w:vAlign w:val="bottom"/>
          </w:tcPr>
          <w:p w14:paraId="28105611" w14:textId="77777777" w:rsidR="0016483D" w:rsidRPr="006A50F4" w:rsidRDefault="0016483D" w:rsidP="00103D63">
            <w:pPr>
              <w:pStyle w:val="TabellHode-kolonne"/>
              <w:jc w:val="right"/>
              <w:rPr>
                <w:rStyle w:val="halvfet"/>
              </w:rPr>
            </w:pPr>
            <w:r w:rsidRPr="006A50F4">
              <w:rPr>
                <w:rStyle w:val="halvfet"/>
              </w:rPr>
              <w:t>Antall ansatte i foretak med mer enn én ansatt</w:t>
            </w:r>
          </w:p>
        </w:tc>
      </w:tr>
      <w:tr w:rsidR="00000000" w:rsidRPr="006D7319" w14:paraId="462B7A09" w14:textId="77777777" w:rsidTr="00103D63">
        <w:trPr>
          <w:trHeight w:val="290"/>
        </w:trPr>
        <w:tc>
          <w:tcPr>
            <w:tcW w:w="1185" w:type="pct"/>
            <w:vAlign w:val="bottom"/>
          </w:tcPr>
          <w:p w14:paraId="661B2AA2" w14:textId="77777777" w:rsidR="0016483D" w:rsidRPr="006A50F4" w:rsidRDefault="0016483D" w:rsidP="00103D63">
            <w:pPr>
              <w:pStyle w:val="TabellHode-kolonne"/>
              <w:jc w:val="right"/>
              <w:rPr>
                <w:rStyle w:val="halvfet"/>
              </w:rPr>
            </w:pPr>
          </w:p>
        </w:tc>
        <w:tc>
          <w:tcPr>
            <w:tcW w:w="1185" w:type="pct"/>
            <w:vAlign w:val="bottom"/>
          </w:tcPr>
          <w:p w14:paraId="3B3F77BF" w14:textId="77777777" w:rsidR="0016483D" w:rsidRPr="00103D63" w:rsidRDefault="0016483D" w:rsidP="00103D63">
            <w:pPr>
              <w:pStyle w:val="TabellHode-kolonne"/>
              <w:jc w:val="right"/>
            </w:pPr>
            <w:r w:rsidRPr="00103D63">
              <w:t>AS (eier eneste ansatt)</w:t>
            </w:r>
          </w:p>
        </w:tc>
        <w:tc>
          <w:tcPr>
            <w:tcW w:w="1213" w:type="pct"/>
            <w:vAlign w:val="bottom"/>
          </w:tcPr>
          <w:p w14:paraId="0CE1ADA3" w14:textId="77777777" w:rsidR="0016483D" w:rsidRPr="00103D63" w:rsidRDefault="0016483D" w:rsidP="00103D63">
            <w:pPr>
              <w:pStyle w:val="TabellHode-kolonne"/>
              <w:jc w:val="right"/>
            </w:pPr>
            <w:r w:rsidRPr="00103D63">
              <w:t>Enkeltpersonforetak</w:t>
            </w:r>
          </w:p>
        </w:tc>
        <w:tc>
          <w:tcPr>
            <w:tcW w:w="1417" w:type="pct"/>
            <w:vAlign w:val="bottom"/>
          </w:tcPr>
          <w:p w14:paraId="48CEF21F" w14:textId="77777777" w:rsidR="0016483D" w:rsidRPr="006A50F4" w:rsidRDefault="0016483D" w:rsidP="00103D63">
            <w:pPr>
              <w:pStyle w:val="TabellHode-kolonne"/>
              <w:jc w:val="right"/>
              <w:rPr>
                <w:rStyle w:val="halvfet"/>
              </w:rPr>
            </w:pPr>
          </w:p>
        </w:tc>
      </w:tr>
      <w:tr w:rsidR="00000000" w:rsidRPr="006D7319" w14:paraId="28AE6AEF" w14:textId="77777777" w:rsidTr="00103D63">
        <w:trPr>
          <w:trHeight w:val="290"/>
        </w:trPr>
        <w:tc>
          <w:tcPr>
            <w:tcW w:w="1185" w:type="pct"/>
          </w:tcPr>
          <w:p w14:paraId="0CF57EE5" w14:textId="77777777" w:rsidR="0016483D" w:rsidRPr="006D7319" w:rsidRDefault="0016483D" w:rsidP="00103D63">
            <w:r w:rsidRPr="006D7319">
              <w:t>IKT-rådgivere</w:t>
            </w:r>
          </w:p>
        </w:tc>
        <w:tc>
          <w:tcPr>
            <w:tcW w:w="1185" w:type="pct"/>
            <w:vAlign w:val="bottom"/>
          </w:tcPr>
          <w:p w14:paraId="4111BF94" w14:textId="3FA4191E" w:rsidR="0016483D" w:rsidRPr="006D7319" w:rsidRDefault="006A50F4" w:rsidP="00103D63">
            <w:pPr>
              <w:jc w:val="right"/>
            </w:pPr>
            <w:r w:rsidRPr="006D7319">
              <w:t>2</w:t>
            </w:r>
            <w:r>
              <w:t> </w:t>
            </w:r>
            <w:r w:rsidRPr="006D7319">
              <w:t>200</w:t>
            </w:r>
          </w:p>
        </w:tc>
        <w:tc>
          <w:tcPr>
            <w:tcW w:w="1213" w:type="pct"/>
            <w:vAlign w:val="bottom"/>
          </w:tcPr>
          <w:p w14:paraId="60EF66EE" w14:textId="7815E9F2" w:rsidR="0016483D" w:rsidRPr="006D7319" w:rsidRDefault="006A50F4" w:rsidP="00103D63">
            <w:pPr>
              <w:jc w:val="right"/>
            </w:pPr>
            <w:r w:rsidRPr="006D7319">
              <w:t>2</w:t>
            </w:r>
            <w:r>
              <w:t> </w:t>
            </w:r>
            <w:r w:rsidRPr="006D7319">
              <w:t>600</w:t>
            </w:r>
          </w:p>
        </w:tc>
        <w:tc>
          <w:tcPr>
            <w:tcW w:w="1417" w:type="pct"/>
            <w:vAlign w:val="bottom"/>
          </w:tcPr>
          <w:p w14:paraId="5B4CB451" w14:textId="6F2A1DB8" w:rsidR="0016483D" w:rsidRPr="006D7319" w:rsidRDefault="0016483D" w:rsidP="00103D63">
            <w:pPr>
              <w:jc w:val="right"/>
            </w:pPr>
            <w:r w:rsidRPr="006D7319">
              <w:t>5</w:t>
            </w:r>
            <w:r w:rsidR="006A50F4" w:rsidRPr="006D7319">
              <w:t>1</w:t>
            </w:r>
            <w:r w:rsidR="006A50F4">
              <w:t> </w:t>
            </w:r>
            <w:r w:rsidR="006A50F4" w:rsidRPr="006D7319">
              <w:t>000</w:t>
            </w:r>
            <w:r w:rsidRPr="006D7319">
              <w:t xml:space="preserve"> </w:t>
            </w:r>
          </w:p>
        </w:tc>
      </w:tr>
      <w:tr w:rsidR="00000000" w:rsidRPr="006D7319" w14:paraId="71FC87C2" w14:textId="77777777" w:rsidTr="00103D63">
        <w:trPr>
          <w:trHeight w:val="290"/>
        </w:trPr>
        <w:tc>
          <w:tcPr>
            <w:tcW w:w="1185" w:type="pct"/>
          </w:tcPr>
          <w:p w14:paraId="46490EB1" w14:textId="77777777" w:rsidR="0016483D" w:rsidRPr="006D7319" w:rsidRDefault="0016483D" w:rsidP="00103D63">
            <w:r w:rsidRPr="006D7319">
              <w:t>Teknologisk rådgivere</w:t>
            </w:r>
          </w:p>
        </w:tc>
        <w:tc>
          <w:tcPr>
            <w:tcW w:w="1185" w:type="pct"/>
            <w:vAlign w:val="bottom"/>
          </w:tcPr>
          <w:p w14:paraId="7BC57B28" w14:textId="1C10E0EB" w:rsidR="0016483D" w:rsidRPr="006D7319" w:rsidRDefault="006A50F4" w:rsidP="00103D63">
            <w:pPr>
              <w:jc w:val="right"/>
            </w:pPr>
            <w:r w:rsidRPr="006D7319">
              <w:t>2</w:t>
            </w:r>
            <w:r>
              <w:t> </w:t>
            </w:r>
            <w:r w:rsidRPr="006D7319">
              <w:t>500</w:t>
            </w:r>
          </w:p>
        </w:tc>
        <w:tc>
          <w:tcPr>
            <w:tcW w:w="1213" w:type="pct"/>
            <w:vAlign w:val="bottom"/>
          </w:tcPr>
          <w:p w14:paraId="6212AC15" w14:textId="4011D5DB" w:rsidR="0016483D" w:rsidRPr="006D7319" w:rsidRDefault="006A50F4" w:rsidP="00103D63">
            <w:pPr>
              <w:jc w:val="right"/>
            </w:pPr>
            <w:r w:rsidRPr="006D7319">
              <w:t>2</w:t>
            </w:r>
            <w:r>
              <w:t> </w:t>
            </w:r>
            <w:r w:rsidRPr="006D7319">
              <w:t>900</w:t>
            </w:r>
          </w:p>
        </w:tc>
        <w:tc>
          <w:tcPr>
            <w:tcW w:w="1417" w:type="pct"/>
            <w:vAlign w:val="bottom"/>
          </w:tcPr>
          <w:p w14:paraId="016099E5" w14:textId="62DB62F5" w:rsidR="0016483D" w:rsidRPr="006D7319" w:rsidRDefault="0016483D" w:rsidP="00103D63">
            <w:pPr>
              <w:jc w:val="right"/>
            </w:pPr>
            <w:r w:rsidRPr="006D7319">
              <w:t>4</w:t>
            </w:r>
            <w:r w:rsidR="006A50F4" w:rsidRPr="006D7319">
              <w:t>1</w:t>
            </w:r>
            <w:r w:rsidR="006A50F4">
              <w:t> </w:t>
            </w:r>
            <w:r w:rsidR="006A50F4" w:rsidRPr="006D7319">
              <w:t>400</w:t>
            </w:r>
            <w:r w:rsidRPr="006D7319">
              <w:t xml:space="preserve"> </w:t>
            </w:r>
          </w:p>
        </w:tc>
      </w:tr>
      <w:tr w:rsidR="00000000" w:rsidRPr="006D7319" w14:paraId="184C4EFF" w14:textId="77777777" w:rsidTr="00103D63">
        <w:trPr>
          <w:trHeight w:val="290"/>
        </w:trPr>
        <w:tc>
          <w:tcPr>
            <w:tcW w:w="1185" w:type="pct"/>
          </w:tcPr>
          <w:p w14:paraId="7FF105B3" w14:textId="77777777" w:rsidR="0016483D" w:rsidRPr="006D7319" w:rsidRDefault="0016483D" w:rsidP="00103D63">
            <w:r w:rsidRPr="006D7319">
              <w:t>Bedriftsrådgivere</w:t>
            </w:r>
          </w:p>
        </w:tc>
        <w:tc>
          <w:tcPr>
            <w:tcW w:w="1185" w:type="pct"/>
            <w:vAlign w:val="bottom"/>
          </w:tcPr>
          <w:p w14:paraId="5C74A2E1" w14:textId="62AC83CB" w:rsidR="0016483D" w:rsidRPr="006D7319" w:rsidRDefault="006A50F4" w:rsidP="00103D63">
            <w:pPr>
              <w:jc w:val="right"/>
            </w:pPr>
            <w:r w:rsidRPr="006D7319">
              <w:t>2</w:t>
            </w:r>
            <w:r>
              <w:t> </w:t>
            </w:r>
            <w:r w:rsidRPr="006D7319">
              <w:t>700</w:t>
            </w:r>
          </w:p>
        </w:tc>
        <w:tc>
          <w:tcPr>
            <w:tcW w:w="1213" w:type="pct"/>
            <w:vAlign w:val="bottom"/>
          </w:tcPr>
          <w:p w14:paraId="01997F83" w14:textId="171565E8" w:rsidR="0016483D" w:rsidRPr="006D7319" w:rsidRDefault="006A50F4" w:rsidP="00103D63">
            <w:pPr>
              <w:jc w:val="right"/>
            </w:pPr>
            <w:r w:rsidRPr="006D7319">
              <w:t>3</w:t>
            </w:r>
            <w:r>
              <w:t> </w:t>
            </w:r>
            <w:r w:rsidRPr="006D7319">
              <w:t>700</w:t>
            </w:r>
          </w:p>
        </w:tc>
        <w:tc>
          <w:tcPr>
            <w:tcW w:w="1417" w:type="pct"/>
            <w:vAlign w:val="bottom"/>
          </w:tcPr>
          <w:p w14:paraId="78BD7C09" w14:textId="1B06AB57" w:rsidR="0016483D" w:rsidRPr="006D7319" w:rsidRDefault="0016483D" w:rsidP="00103D63">
            <w:pPr>
              <w:jc w:val="right"/>
            </w:pPr>
            <w:r w:rsidRPr="006D7319">
              <w:t>1</w:t>
            </w:r>
            <w:r w:rsidR="006A50F4" w:rsidRPr="006D7319">
              <w:t>6</w:t>
            </w:r>
            <w:r w:rsidR="006A50F4">
              <w:t> </w:t>
            </w:r>
            <w:r w:rsidR="006A50F4" w:rsidRPr="006D7319">
              <w:t>200</w:t>
            </w:r>
            <w:r w:rsidRPr="006D7319">
              <w:t xml:space="preserve"> </w:t>
            </w:r>
          </w:p>
        </w:tc>
      </w:tr>
      <w:tr w:rsidR="00000000" w:rsidRPr="006D7319" w14:paraId="5364C049" w14:textId="77777777" w:rsidTr="00103D63">
        <w:trPr>
          <w:trHeight w:val="290"/>
        </w:trPr>
        <w:tc>
          <w:tcPr>
            <w:tcW w:w="1185" w:type="pct"/>
          </w:tcPr>
          <w:p w14:paraId="427F570A" w14:textId="0AE5FB94" w:rsidR="0016483D" w:rsidRPr="006D7319" w:rsidRDefault="0016483D" w:rsidP="00103D63">
            <w:r w:rsidRPr="006D7319">
              <w:t>Markedsfør</w:t>
            </w:r>
            <w:r w:rsidRPr="006D7319">
              <w:t xml:space="preserve">ing og </w:t>
            </w:r>
            <w:r w:rsidRPr="006D7319">
              <w:t>kommunikasjon</w:t>
            </w:r>
          </w:p>
        </w:tc>
        <w:tc>
          <w:tcPr>
            <w:tcW w:w="1185" w:type="pct"/>
            <w:vAlign w:val="bottom"/>
          </w:tcPr>
          <w:p w14:paraId="2A3B02A3" w14:textId="77777777" w:rsidR="0016483D" w:rsidRPr="006D7319" w:rsidRDefault="0016483D" w:rsidP="00103D63">
            <w:pPr>
              <w:jc w:val="right"/>
            </w:pPr>
            <w:r w:rsidRPr="006D7319">
              <w:t>500</w:t>
            </w:r>
          </w:p>
        </w:tc>
        <w:tc>
          <w:tcPr>
            <w:tcW w:w="1213" w:type="pct"/>
            <w:vAlign w:val="bottom"/>
          </w:tcPr>
          <w:p w14:paraId="34E0DF30" w14:textId="491A84D0" w:rsidR="0016483D" w:rsidRPr="006D7319" w:rsidRDefault="006A50F4" w:rsidP="00103D63">
            <w:pPr>
              <w:jc w:val="right"/>
            </w:pPr>
            <w:r w:rsidRPr="006D7319">
              <w:t>1</w:t>
            </w:r>
            <w:r>
              <w:t> </w:t>
            </w:r>
            <w:r w:rsidRPr="006D7319">
              <w:t>600</w:t>
            </w:r>
          </w:p>
        </w:tc>
        <w:tc>
          <w:tcPr>
            <w:tcW w:w="1417" w:type="pct"/>
            <w:vAlign w:val="bottom"/>
          </w:tcPr>
          <w:p w14:paraId="31DF0237" w14:textId="7DE4B280" w:rsidR="0016483D" w:rsidRPr="006D7319" w:rsidRDefault="006A50F4" w:rsidP="00103D63">
            <w:pPr>
              <w:jc w:val="right"/>
            </w:pPr>
            <w:r w:rsidRPr="006D7319">
              <w:t>7</w:t>
            </w:r>
            <w:r>
              <w:t> </w:t>
            </w:r>
            <w:r w:rsidRPr="006D7319">
              <w:t>000</w:t>
            </w:r>
            <w:r w:rsidR="0016483D" w:rsidRPr="006D7319">
              <w:t xml:space="preserve"> </w:t>
            </w:r>
          </w:p>
        </w:tc>
      </w:tr>
      <w:tr w:rsidR="00000000" w:rsidRPr="006D7319" w14:paraId="5D0B4463" w14:textId="77777777" w:rsidTr="00103D63">
        <w:trPr>
          <w:trHeight w:val="290"/>
        </w:trPr>
        <w:tc>
          <w:tcPr>
            <w:tcW w:w="1185" w:type="pct"/>
          </w:tcPr>
          <w:p w14:paraId="5B319539" w14:textId="77777777" w:rsidR="0016483D" w:rsidRPr="006D7319" w:rsidRDefault="0016483D" w:rsidP="00103D63">
            <w:r w:rsidRPr="006D7319">
              <w:t>Revisjon og skatt</w:t>
            </w:r>
          </w:p>
        </w:tc>
        <w:tc>
          <w:tcPr>
            <w:tcW w:w="1185" w:type="pct"/>
            <w:vAlign w:val="bottom"/>
          </w:tcPr>
          <w:p w14:paraId="18368A58" w14:textId="77777777" w:rsidR="0016483D" w:rsidRPr="006D7319" w:rsidRDefault="0016483D" w:rsidP="00103D63">
            <w:pPr>
              <w:jc w:val="right"/>
            </w:pPr>
            <w:r w:rsidRPr="006D7319">
              <w:t>100</w:t>
            </w:r>
          </w:p>
        </w:tc>
        <w:tc>
          <w:tcPr>
            <w:tcW w:w="1213" w:type="pct"/>
            <w:vAlign w:val="bottom"/>
          </w:tcPr>
          <w:p w14:paraId="7F661540" w14:textId="77777777" w:rsidR="0016483D" w:rsidRPr="006D7319" w:rsidRDefault="0016483D" w:rsidP="00103D63">
            <w:pPr>
              <w:jc w:val="right"/>
            </w:pPr>
            <w:r w:rsidRPr="006D7319">
              <w:t>100</w:t>
            </w:r>
          </w:p>
        </w:tc>
        <w:tc>
          <w:tcPr>
            <w:tcW w:w="1417" w:type="pct"/>
            <w:vAlign w:val="bottom"/>
          </w:tcPr>
          <w:p w14:paraId="0A4A3CCD" w14:textId="335ED32C" w:rsidR="0016483D" w:rsidRPr="006D7319" w:rsidRDefault="006A50F4" w:rsidP="00103D63">
            <w:pPr>
              <w:jc w:val="right"/>
            </w:pPr>
            <w:r w:rsidRPr="006D7319">
              <w:t>8</w:t>
            </w:r>
            <w:r>
              <w:t> </w:t>
            </w:r>
            <w:r w:rsidRPr="006D7319">
              <w:t>000</w:t>
            </w:r>
            <w:r w:rsidR="0016483D" w:rsidRPr="006D7319">
              <w:t xml:space="preserve"> </w:t>
            </w:r>
          </w:p>
        </w:tc>
      </w:tr>
      <w:tr w:rsidR="00000000" w:rsidRPr="006D7319" w14:paraId="6A4E9770" w14:textId="77777777" w:rsidTr="00103D63">
        <w:trPr>
          <w:trHeight w:val="290"/>
        </w:trPr>
        <w:tc>
          <w:tcPr>
            <w:tcW w:w="1185" w:type="pct"/>
          </w:tcPr>
          <w:p w14:paraId="144B617C" w14:textId="77777777" w:rsidR="0016483D" w:rsidRPr="006D7319" w:rsidRDefault="0016483D" w:rsidP="00103D63">
            <w:r w:rsidRPr="006D7319">
              <w:t>Advokater</w:t>
            </w:r>
          </w:p>
        </w:tc>
        <w:tc>
          <w:tcPr>
            <w:tcW w:w="1185" w:type="pct"/>
            <w:vAlign w:val="bottom"/>
          </w:tcPr>
          <w:p w14:paraId="2AE78B85" w14:textId="77777777" w:rsidR="0016483D" w:rsidRPr="006D7319" w:rsidRDefault="0016483D" w:rsidP="00103D63">
            <w:pPr>
              <w:jc w:val="right"/>
            </w:pPr>
            <w:r w:rsidRPr="006D7319">
              <w:t>400</w:t>
            </w:r>
          </w:p>
        </w:tc>
        <w:tc>
          <w:tcPr>
            <w:tcW w:w="1213" w:type="pct"/>
            <w:vAlign w:val="bottom"/>
          </w:tcPr>
          <w:p w14:paraId="0FE02D02" w14:textId="77777777" w:rsidR="0016483D" w:rsidRPr="006D7319" w:rsidRDefault="0016483D" w:rsidP="00103D63">
            <w:pPr>
              <w:jc w:val="right"/>
            </w:pPr>
            <w:r w:rsidRPr="006D7319">
              <w:t>900</w:t>
            </w:r>
          </w:p>
        </w:tc>
        <w:tc>
          <w:tcPr>
            <w:tcW w:w="1417" w:type="pct"/>
            <w:vAlign w:val="bottom"/>
          </w:tcPr>
          <w:p w14:paraId="262B6857" w14:textId="7CC55C26" w:rsidR="0016483D" w:rsidRPr="006D7319" w:rsidRDefault="006A50F4" w:rsidP="00103D63">
            <w:pPr>
              <w:jc w:val="right"/>
            </w:pPr>
            <w:r w:rsidRPr="006D7319">
              <w:t>6</w:t>
            </w:r>
            <w:r>
              <w:t> </w:t>
            </w:r>
            <w:r w:rsidRPr="006D7319">
              <w:t>900</w:t>
            </w:r>
            <w:r w:rsidR="0016483D" w:rsidRPr="006D7319">
              <w:t xml:space="preserve"> </w:t>
            </w:r>
          </w:p>
        </w:tc>
      </w:tr>
      <w:tr w:rsidR="00000000" w:rsidRPr="006D7319" w14:paraId="04ECB488" w14:textId="77777777" w:rsidTr="00103D63">
        <w:trPr>
          <w:trHeight w:val="290"/>
        </w:trPr>
        <w:tc>
          <w:tcPr>
            <w:tcW w:w="1185" w:type="pct"/>
          </w:tcPr>
          <w:p w14:paraId="6414889D" w14:textId="77777777" w:rsidR="0016483D" w:rsidRPr="006D7319" w:rsidRDefault="0016483D" w:rsidP="00103D63">
            <w:r w:rsidRPr="006D7319">
              <w:t>Arkitekter</w:t>
            </w:r>
          </w:p>
        </w:tc>
        <w:tc>
          <w:tcPr>
            <w:tcW w:w="1185" w:type="pct"/>
            <w:vAlign w:val="bottom"/>
          </w:tcPr>
          <w:p w14:paraId="02C9E294" w14:textId="77777777" w:rsidR="0016483D" w:rsidRPr="006D7319" w:rsidRDefault="0016483D" w:rsidP="00103D63">
            <w:pPr>
              <w:jc w:val="right"/>
            </w:pPr>
            <w:r w:rsidRPr="006D7319">
              <w:t>400</w:t>
            </w:r>
          </w:p>
        </w:tc>
        <w:tc>
          <w:tcPr>
            <w:tcW w:w="1213" w:type="pct"/>
            <w:vAlign w:val="bottom"/>
          </w:tcPr>
          <w:p w14:paraId="1605FEB1" w14:textId="77777777" w:rsidR="0016483D" w:rsidRPr="006D7319" w:rsidRDefault="0016483D" w:rsidP="00103D63">
            <w:pPr>
              <w:jc w:val="right"/>
            </w:pPr>
            <w:r w:rsidRPr="006D7319">
              <w:t>700</w:t>
            </w:r>
          </w:p>
        </w:tc>
        <w:tc>
          <w:tcPr>
            <w:tcW w:w="1417" w:type="pct"/>
            <w:vAlign w:val="bottom"/>
          </w:tcPr>
          <w:p w14:paraId="7F08853F" w14:textId="24BFCA14" w:rsidR="0016483D" w:rsidRPr="006D7319" w:rsidRDefault="006A50F4" w:rsidP="00103D63">
            <w:pPr>
              <w:jc w:val="right"/>
            </w:pPr>
            <w:r w:rsidRPr="006D7319">
              <w:t>5</w:t>
            </w:r>
            <w:r>
              <w:t> </w:t>
            </w:r>
            <w:r w:rsidRPr="006D7319">
              <w:t>800</w:t>
            </w:r>
            <w:r w:rsidR="0016483D" w:rsidRPr="006D7319">
              <w:t xml:space="preserve"> </w:t>
            </w:r>
          </w:p>
        </w:tc>
      </w:tr>
      <w:tr w:rsidR="00000000" w:rsidRPr="006D7319" w14:paraId="6AAAE8F8" w14:textId="77777777" w:rsidTr="00103D63">
        <w:trPr>
          <w:trHeight w:val="290"/>
        </w:trPr>
        <w:tc>
          <w:tcPr>
            <w:tcW w:w="1185" w:type="pct"/>
          </w:tcPr>
          <w:p w14:paraId="07D67597" w14:textId="77777777" w:rsidR="0016483D" w:rsidRPr="006D7319" w:rsidRDefault="0016483D" w:rsidP="00103D63">
            <w:r w:rsidRPr="006D7319">
              <w:t>Designrådgivere</w:t>
            </w:r>
          </w:p>
        </w:tc>
        <w:tc>
          <w:tcPr>
            <w:tcW w:w="1185" w:type="pct"/>
            <w:vAlign w:val="bottom"/>
          </w:tcPr>
          <w:p w14:paraId="4969CD77" w14:textId="77777777" w:rsidR="0016483D" w:rsidRPr="006D7319" w:rsidRDefault="0016483D" w:rsidP="00103D63">
            <w:pPr>
              <w:jc w:val="right"/>
            </w:pPr>
            <w:r w:rsidRPr="006D7319">
              <w:t>100</w:t>
            </w:r>
          </w:p>
        </w:tc>
        <w:tc>
          <w:tcPr>
            <w:tcW w:w="1213" w:type="pct"/>
            <w:vAlign w:val="bottom"/>
          </w:tcPr>
          <w:p w14:paraId="7AFC1D20" w14:textId="28029042" w:rsidR="0016483D" w:rsidRPr="006D7319" w:rsidRDefault="006A50F4" w:rsidP="00103D63">
            <w:pPr>
              <w:jc w:val="right"/>
            </w:pPr>
            <w:r w:rsidRPr="006D7319">
              <w:t>2</w:t>
            </w:r>
            <w:r>
              <w:t> </w:t>
            </w:r>
            <w:r w:rsidRPr="006D7319">
              <w:t>100</w:t>
            </w:r>
          </w:p>
        </w:tc>
        <w:tc>
          <w:tcPr>
            <w:tcW w:w="1417" w:type="pct"/>
            <w:vAlign w:val="bottom"/>
          </w:tcPr>
          <w:p w14:paraId="34F65F18" w14:textId="45478507" w:rsidR="0016483D" w:rsidRPr="006D7319" w:rsidRDefault="006A50F4" w:rsidP="00103D63">
            <w:pPr>
              <w:jc w:val="right"/>
            </w:pPr>
            <w:r w:rsidRPr="006D7319">
              <w:t>1</w:t>
            </w:r>
            <w:r>
              <w:t> </w:t>
            </w:r>
            <w:r w:rsidRPr="006D7319">
              <w:t>000</w:t>
            </w:r>
            <w:r w:rsidR="0016483D" w:rsidRPr="006D7319">
              <w:t xml:space="preserve"> </w:t>
            </w:r>
          </w:p>
        </w:tc>
      </w:tr>
      <w:tr w:rsidR="00000000" w:rsidRPr="006D7319" w14:paraId="5D0C661C" w14:textId="77777777" w:rsidTr="00103D63">
        <w:trPr>
          <w:trHeight w:val="290"/>
        </w:trPr>
        <w:tc>
          <w:tcPr>
            <w:tcW w:w="1185" w:type="pct"/>
          </w:tcPr>
          <w:p w14:paraId="39B85659" w14:textId="77777777" w:rsidR="0016483D" w:rsidRPr="006D7319" w:rsidRDefault="0016483D" w:rsidP="00103D63">
            <w:r w:rsidRPr="006D7319">
              <w:t>HR og rekruttering</w:t>
            </w:r>
          </w:p>
        </w:tc>
        <w:tc>
          <w:tcPr>
            <w:tcW w:w="1185" w:type="pct"/>
            <w:vAlign w:val="bottom"/>
          </w:tcPr>
          <w:p w14:paraId="6FD56F84" w14:textId="77777777" w:rsidR="0016483D" w:rsidRPr="006D7319" w:rsidRDefault="0016483D" w:rsidP="00103D63">
            <w:pPr>
              <w:jc w:val="right"/>
            </w:pPr>
            <w:r w:rsidRPr="006D7319">
              <w:t>100</w:t>
            </w:r>
          </w:p>
        </w:tc>
        <w:tc>
          <w:tcPr>
            <w:tcW w:w="1213" w:type="pct"/>
            <w:vAlign w:val="bottom"/>
          </w:tcPr>
          <w:p w14:paraId="6A241D53" w14:textId="77777777" w:rsidR="0016483D" w:rsidRPr="006D7319" w:rsidRDefault="0016483D" w:rsidP="00103D63">
            <w:pPr>
              <w:jc w:val="right"/>
            </w:pPr>
            <w:r w:rsidRPr="006D7319">
              <w:t>100</w:t>
            </w:r>
          </w:p>
        </w:tc>
        <w:tc>
          <w:tcPr>
            <w:tcW w:w="1417" w:type="pct"/>
            <w:vAlign w:val="bottom"/>
          </w:tcPr>
          <w:p w14:paraId="0685FB75" w14:textId="1023F793" w:rsidR="0016483D" w:rsidRPr="006D7319" w:rsidRDefault="006A50F4" w:rsidP="00103D63">
            <w:pPr>
              <w:jc w:val="right"/>
            </w:pPr>
            <w:r w:rsidRPr="006D7319">
              <w:t>2</w:t>
            </w:r>
            <w:r>
              <w:t> </w:t>
            </w:r>
            <w:r w:rsidRPr="006D7319">
              <w:t>600</w:t>
            </w:r>
            <w:r w:rsidR="0016483D" w:rsidRPr="006D7319">
              <w:t xml:space="preserve"> </w:t>
            </w:r>
          </w:p>
        </w:tc>
      </w:tr>
      <w:tr w:rsidR="00000000" w:rsidRPr="006D7319" w14:paraId="300E569C" w14:textId="77777777" w:rsidTr="00103D63">
        <w:trPr>
          <w:trHeight w:val="290"/>
        </w:trPr>
        <w:tc>
          <w:tcPr>
            <w:tcW w:w="1185" w:type="pct"/>
          </w:tcPr>
          <w:p w14:paraId="3FB61943" w14:textId="33F11137" w:rsidR="0016483D" w:rsidRPr="006D7319" w:rsidRDefault="0016483D" w:rsidP="00103D63">
            <w:r w:rsidRPr="006D7319">
              <w:lastRenderedPageBreak/>
              <w:t>Annen forretnings</w:t>
            </w:r>
            <w:r w:rsidRPr="006D7319">
              <w:t>rådgivning</w:t>
            </w:r>
          </w:p>
        </w:tc>
        <w:tc>
          <w:tcPr>
            <w:tcW w:w="1185" w:type="pct"/>
            <w:vAlign w:val="bottom"/>
          </w:tcPr>
          <w:p w14:paraId="47F3F80E" w14:textId="77777777" w:rsidR="0016483D" w:rsidRPr="006D7319" w:rsidRDefault="0016483D" w:rsidP="00103D63">
            <w:pPr>
              <w:jc w:val="right"/>
            </w:pPr>
            <w:r w:rsidRPr="006D7319">
              <w:t>100</w:t>
            </w:r>
          </w:p>
        </w:tc>
        <w:tc>
          <w:tcPr>
            <w:tcW w:w="1213" w:type="pct"/>
            <w:vAlign w:val="bottom"/>
          </w:tcPr>
          <w:p w14:paraId="75800D52" w14:textId="0CBF5A63" w:rsidR="0016483D" w:rsidRPr="006D7319" w:rsidRDefault="006A50F4" w:rsidP="00103D63">
            <w:pPr>
              <w:jc w:val="right"/>
            </w:pPr>
            <w:r w:rsidRPr="006D7319">
              <w:t>1</w:t>
            </w:r>
            <w:r>
              <w:t> </w:t>
            </w:r>
            <w:r w:rsidRPr="006D7319">
              <w:t>100</w:t>
            </w:r>
          </w:p>
        </w:tc>
        <w:tc>
          <w:tcPr>
            <w:tcW w:w="1417" w:type="pct"/>
            <w:vAlign w:val="bottom"/>
          </w:tcPr>
          <w:p w14:paraId="4C8BF3A1" w14:textId="7A5F7278" w:rsidR="0016483D" w:rsidRPr="006D7319" w:rsidRDefault="006A50F4" w:rsidP="00103D63">
            <w:pPr>
              <w:jc w:val="right"/>
            </w:pPr>
            <w:r w:rsidRPr="006D7319">
              <w:t>1</w:t>
            </w:r>
            <w:r>
              <w:t> </w:t>
            </w:r>
            <w:r w:rsidRPr="006D7319">
              <w:t>100</w:t>
            </w:r>
            <w:r w:rsidR="0016483D" w:rsidRPr="006D7319">
              <w:t xml:space="preserve"> </w:t>
            </w:r>
          </w:p>
        </w:tc>
      </w:tr>
      <w:tr w:rsidR="00000000" w:rsidRPr="006D7319" w14:paraId="5F125933" w14:textId="77777777" w:rsidTr="00103D63">
        <w:trPr>
          <w:trHeight w:val="290"/>
        </w:trPr>
        <w:tc>
          <w:tcPr>
            <w:tcW w:w="1185" w:type="pct"/>
          </w:tcPr>
          <w:p w14:paraId="311D6076" w14:textId="77777777" w:rsidR="0016483D" w:rsidRPr="006D7319" w:rsidRDefault="0016483D" w:rsidP="00103D63">
            <w:r w:rsidRPr="006D7319">
              <w:t>Markedsanalyse og meningsmåling</w:t>
            </w:r>
          </w:p>
        </w:tc>
        <w:tc>
          <w:tcPr>
            <w:tcW w:w="1185" w:type="pct"/>
            <w:vAlign w:val="bottom"/>
          </w:tcPr>
          <w:p w14:paraId="4F0A54C6" w14:textId="77777777" w:rsidR="0016483D" w:rsidRPr="006D7319" w:rsidRDefault="0016483D" w:rsidP="00103D63">
            <w:pPr>
              <w:jc w:val="right"/>
            </w:pPr>
            <w:r w:rsidRPr="006D7319">
              <w:t>-</w:t>
            </w:r>
          </w:p>
        </w:tc>
        <w:tc>
          <w:tcPr>
            <w:tcW w:w="1213" w:type="pct"/>
            <w:vAlign w:val="bottom"/>
          </w:tcPr>
          <w:p w14:paraId="5A631BD3" w14:textId="77777777" w:rsidR="0016483D" w:rsidRPr="006D7319" w:rsidRDefault="0016483D" w:rsidP="00103D63">
            <w:pPr>
              <w:jc w:val="right"/>
            </w:pPr>
            <w:r w:rsidRPr="006D7319">
              <w:t>-</w:t>
            </w:r>
          </w:p>
        </w:tc>
        <w:tc>
          <w:tcPr>
            <w:tcW w:w="1417" w:type="pct"/>
            <w:vAlign w:val="bottom"/>
          </w:tcPr>
          <w:p w14:paraId="272F5D13" w14:textId="05A8D4EC" w:rsidR="0016483D" w:rsidRPr="006D7319" w:rsidRDefault="006A50F4" w:rsidP="00103D63">
            <w:pPr>
              <w:jc w:val="right"/>
            </w:pPr>
            <w:r w:rsidRPr="006D7319">
              <w:t>1</w:t>
            </w:r>
            <w:r>
              <w:t> </w:t>
            </w:r>
            <w:r w:rsidRPr="006D7319">
              <w:t>400</w:t>
            </w:r>
            <w:r w:rsidR="0016483D" w:rsidRPr="006D7319">
              <w:t xml:space="preserve"> </w:t>
            </w:r>
          </w:p>
        </w:tc>
      </w:tr>
      <w:tr w:rsidR="00000000" w:rsidRPr="006D7319" w14:paraId="6D559008" w14:textId="77777777" w:rsidTr="00103D63">
        <w:trPr>
          <w:trHeight w:val="290"/>
        </w:trPr>
        <w:tc>
          <w:tcPr>
            <w:tcW w:w="1185" w:type="pct"/>
          </w:tcPr>
          <w:p w14:paraId="5DF4D550" w14:textId="422E4A84" w:rsidR="0016483D" w:rsidRPr="006D7319" w:rsidRDefault="0016483D" w:rsidP="00103D63">
            <w:r w:rsidRPr="006D7319">
              <w:t>Totalt for rådgiver</w:t>
            </w:r>
            <w:r w:rsidRPr="006D7319">
              <w:t>næringen</w:t>
            </w:r>
          </w:p>
        </w:tc>
        <w:tc>
          <w:tcPr>
            <w:tcW w:w="1185" w:type="pct"/>
            <w:vAlign w:val="bottom"/>
          </w:tcPr>
          <w:p w14:paraId="14A84B76" w14:textId="3368B6A3" w:rsidR="0016483D" w:rsidRPr="006D7319" w:rsidRDefault="006A50F4" w:rsidP="00103D63">
            <w:pPr>
              <w:jc w:val="right"/>
            </w:pPr>
            <w:r w:rsidRPr="006D7319">
              <w:t>9</w:t>
            </w:r>
            <w:r>
              <w:t> </w:t>
            </w:r>
            <w:r w:rsidRPr="006D7319">
              <w:t>100</w:t>
            </w:r>
          </w:p>
        </w:tc>
        <w:tc>
          <w:tcPr>
            <w:tcW w:w="1213" w:type="pct"/>
            <w:vAlign w:val="bottom"/>
          </w:tcPr>
          <w:p w14:paraId="1763A8D7" w14:textId="6061DDC7" w:rsidR="0016483D" w:rsidRPr="006D7319" w:rsidRDefault="0016483D" w:rsidP="00103D63">
            <w:pPr>
              <w:jc w:val="right"/>
            </w:pPr>
            <w:r w:rsidRPr="006D7319">
              <w:t>1</w:t>
            </w:r>
            <w:r w:rsidR="006A50F4" w:rsidRPr="006D7319">
              <w:t>5</w:t>
            </w:r>
            <w:r w:rsidR="006A50F4">
              <w:t> </w:t>
            </w:r>
            <w:r w:rsidR="006A50F4" w:rsidRPr="006D7319">
              <w:t>900</w:t>
            </w:r>
          </w:p>
        </w:tc>
        <w:tc>
          <w:tcPr>
            <w:tcW w:w="1417" w:type="pct"/>
            <w:vAlign w:val="bottom"/>
          </w:tcPr>
          <w:p w14:paraId="6550F1B5" w14:textId="38247CB2" w:rsidR="0016483D" w:rsidRPr="006D7319" w:rsidRDefault="0016483D" w:rsidP="00103D63">
            <w:pPr>
              <w:jc w:val="right"/>
            </w:pPr>
            <w:r w:rsidRPr="006D7319">
              <w:t>14</w:t>
            </w:r>
            <w:r w:rsidR="006A50F4" w:rsidRPr="006D7319">
              <w:t>2</w:t>
            </w:r>
            <w:r w:rsidR="006A50F4">
              <w:t> </w:t>
            </w:r>
            <w:r w:rsidR="006A50F4" w:rsidRPr="006D7319">
              <w:t>300</w:t>
            </w:r>
            <w:r w:rsidRPr="006D7319">
              <w:t xml:space="preserve"> </w:t>
            </w:r>
          </w:p>
        </w:tc>
      </w:tr>
    </w:tbl>
    <w:p w14:paraId="7C699070" w14:textId="77777777" w:rsidR="0016483D" w:rsidRPr="006D7319" w:rsidRDefault="0016483D" w:rsidP="006D7319">
      <w:pPr>
        <w:pStyle w:val="Kilde"/>
      </w:pPr>
      <w:r w:rsidRPr="006D7319">
        <w:t xml:space="preserve">Menon </w:t>
      </w:r>
      <w:proofErr w:type="spellStart"/>
      <w:r w:rsidRPr="006D7319">
        <w:t>Economics</w:t>
      </w:r>
      <w:proofErr w:type="spellEnd"/>
      <w:r w:rsidRPr="006D7319">
        <w:t xml:space="preserve"> regnskapsdatabase og Enhetsregisteret</w:t>
      </w:r>
    </w:p>
    <w:p w14:paraId="78D7161D" w14:textId="77777777" w:rsidR="0016483D" w:rsidRPr="006D7319" w:rsidRDefault="0016483D" w:rsidP="006D7319">
      <w:r w:rsidRPr="006D7319">
        <w:t>Videre har Menon (2025) sammenstilt en oversikt over næringen kategorisert etter bransje.</w:t>
      </w:r>
    </w:p>
    <w:p w14:paraId="6E78596F" w14:textId="77777777" w:rsidR="0016483D" w:rsidRPr="006D7319" w:rsidRDefault="0016483D" w:rsidP="006D7319">
      <w:r w:rsidRPr="006D7319">
        <w:t>Tabell 3.3 viser antall foretak fordelt på aksjeselskap der eier er eneste ansatt, enkeltpersonforetak og antall ansatte i foretak med mer enn én person, fordelt på bransjer. Det er totalt sett flest sysselsatte i rådgivernæringen innen bransjene IKT-rådgivning, teknologisk rådgivning og bedriftsrådgivning.</w:t>
      </w:r>
    </w:p>
    <w:p w14:paraId="1A0BDDC1" w14:textId="3BB48EB2" w:rsidR="0016483D" w:rsidRPr="006D7319" w:rsidRDefault="0016483D" w:rsidP="006D7319">
      <w:r w:rsidRPr="006D7319">
        <w:t>Ifølge tabell 3.3 utgjør aksjeselskap der eier er eneste ansatt og enkeltpersonforetak til sammen 2</w:t>
      </w:r>
      <w:r w:rsidR="006A50F4" w:rsidRPr="006D7319">
        <w:t>5</w:t>
      </w:r>
      <w:r w:rsidR="006A50F4">
        <w:t> </w:t>
      </w:r>
      <w:r w:rsidR="006A50F4" w:rsidRPr="006D7319">
        <w:t>000</w:t>
      </w:r>
      <w:r w:rsidRPr="006D7319">
        <w:t xml:space="preserve"> sysselsatte innen rådgivernæringen. Man må ta høyde for at det reelle tallet er lavere, ettersom det ikke er mulig å få et eksakt antall for aktive enkeltpersonforetak.</w:t>
      </w:r>
    </w:p>
    <w:p w14:paraId="5446F447" w14:textId="662DF359" w:rsidR="0016483D" w:rsidRPr="006D7319" w:rsidRDefault="0016483D" w:rsidP="006D7319">
      <w:r w:rsidRPr="006D7319">
        <w:t>Det totale antallet sysselsatte i Norge er estimert til 2,9 millioner</w:t>
      </w:r>
      <w:r w:rsidR="006A50F4" w:rsidRPr="006A50F4">
        <w:rPr>
          <w:rStyle w:val="Fotnotereferanse"/>
        </w:rPr>
        <w:footnoteReference w:id="119"/>
      </w:r>
      <w:r w:rsidRPr="006D7319">
        <w:t xml:space="preserve"> og det er i underkant av 3,2 mill</w:t>
      </w:r>
      <w:r w:rsidRPr="006D7319">
        <w:t>ioner</w:t>
      </w:r>
      <w:r w:rsidR="006A50F4" w:rsidRPr="006A50F4">
        <w:rPr>
          <w:rStyle w:val="Fotnotereferanse"/>
        </w:rPr>
        <w:footnoteReference w:id="120"/>
      </w:r>
      <w:r w:rsidRPr="006D7319">
        <w:t xml:space="preserve"> jobber. Om man legger tallene fra Menons rapport til grunn, utgjør andelen aksjeselskap der eier er eneste ansatt og enkeltpersonforetak innen rådgivernæringen om lag 0,86</w:t>
      </w:r>
      <w:r w:rsidR="006A50F4">
        <w:t xml:space="preserve"> </w:t>
      </w:r>
      <w:r w:rsidRPr="006D7319">
        <w:t>prosent av de sysselsatte i Norge og 0,8</w:t>
      </w:r>
      <w:r w:rsidR="006A50F4">
        <w:t xml:space="preserve"> </w:t>
      </w:r>
      <w:r w:rsidRPr="006D7319">
        <w:t>prosent av jobbene.</w:t>
      </w:r>
      <w:r w:rsidR="006A50F4" w:rsidRPr="006A50F4">
        <w:rPr>
          <w:rStyle w:val="Fotnotereferanse"/>
        </w:rPr>
        <w:footnoteReference w:id="121"/>
      </w:r>
      <w:r w:rsidRPr="006D7319">
        <w:t xml:space="preserve"> Dersom man kun inkluderer aksjeselskap der eier er eneste ansatt, uten enkeltpersonforetak, blir andelen henholdsvis 0,31</w:t>
      </w:r>
      <w:r w:rsidR="006A50F4">
        <w:t xml:space="preserve"> </w:t>
      </w:r>
      <w:r w:rsidRPr="006D7319">
        <w:t xml:space="preserve">prosent </w:t>
      </w:r>
      <w:proofErr w:type="spellStart"/>
      <w:r w:rsidRPr="006D7319">
        <w:t>prosent</w:t>
      </w:r>
      <w:proofErr w:type="spellEnd"/>
      <w:r w:rsidRPr="006D7319">
        <w:t xml:space="preserve"> av de sysselsatte og 0,28</w:t>
      </w:r>
      <w:r w:rsidR="006A50F4">
        <w:t xml:space="preserve"> </w:t>
      </w:r>
      <w:r w:rsidRPr="006D7319">
        <w:t>prosent av jobbene i Norge.</w:t>
      </w:r>
    </w:p>
    <w:p w14:paraId="4116265A" w14:textId="77777777" w:rsidR="0016483D" w:rsidRPr="006D7319" w:rsidRDefault="0016483D" w:rsidP="006D7319">
      <w:pPr>
        <w:pStyle w:val="Overskrift2"/>
      </w:pPr>
      <w:r w:rsidRPr="006D7319">
        <w:lastRenderedPageBreak/>
        <w:t>Bruk av kontrakts- og tilknytningsformer i rådgivernæringen</w:t>
      </w:r>
    </w:p>
    <w:p w14:paraId="09CA2D61" w14:textId="77777777" w:rsidR="0016483D" w:rsidRPr="006D7319" w:rsidRDefault="0016483D" w:rsidP="006D7319">
      <w:pPr>
        <w:pStyle w:val="Overskrift3"/>
      </w:pPr>
      <w:r w:rsidRPr="006D7319">
        <w:t>Om tilknytningsformer og begrepsbruk</w:t>
      </w:r>
    </w:p>
    <w:p w14:paraId="2C3B9E2F" w14:textId="33D3C04F" w:rsidR="0016483D" w:rsidRPr="006D7319" w:rsidRDefault="0016483D" w:rsidP="006D7319">
      <w:r w:rsidRPr="006D7319">
        <w:t>Rådgivernæringen organiserer sine tjenester gjennom ulike tilknytningsformer. Valg av tilknytnings</w:t>
      </w:r>
      <w:r w:rsidRPr="006D7319">
        <w:t>former påvirker både oppdragsgivers og oppdrags</w:t>
      </w:r>
      <w:r w:rsidRPr="006D7319">
        <w:t>takers ansvar og rettigheter. Typiske tilknytnings</w:t>
      </w:r>
      <w:r w:rsidRPr="006D7319">
        <w:t xml:space="preserve">former som blir brukt i næringen er innleie, </w:t>
      </w:r>
      <w:r w:rsidRPr="006D7319">
        <w:t>selvstendige oppdrag og entreprise, og i liten grad midlertidig ansettelse.</w:t>
      </w:r>
    </w:p>
    <w:p w14:paraId="0630308B" w14:textId="0A5848EA" w:rsidR="0016483D" w:rsidRPr="006D7319" w:rsidRDefault="0016483D" w:rsidP="006D7319">
      <w:r w:rsidRPr="006D7319">
        <w:t>Menon (2025) benytter begrepet entreprise/selvstendig oppdrag for klart avgrensede oppdrag der oppdragstaker har ansvar for ledelse og resultat, og hvor oppdraget gjennomføres selvstendig av oppdragstaker uten at oppdragsgiver deltar i gjennom</w:t>
      </w:r>
      <w:r w:rsidRPr="006D7319">
        <w:t xml:space="preserve">føringen. Oppdragene kjennetegnes gjerne av en tydelig start og slutt, og det avtales vanligvis fastpris for leveransen. I Menons rapport skilles det ikke </w:t>
      </w:r>
      <w:r w:rsidRPr="006D7319">
        <w:t xml:space="preserve">mellom tilknytningsformene entreprise og </w:t>
      </w:r>
      <w:r w:rsidRPr="006D7319">
        <w:t>selvstendig oppdrag, slik arbeidsgruppen gjør i denne rapporten. I arbeidsgruppens rapport omtales tjenestekjøp fra selvstendige oppdragstakere som oppdrag/selvstendig oppdrag, mens tjenestekjøp fra en annen virksomhet med egne ansatte omtales som entreprise, se punkt 2.4.4 ovenfor.</w:t>
      </w:r>
    </w:p>
    <w:p w14:paraId="01C2F235" w14:textId="77777777" w:rsidR="0016483D" w:rsidRPr="006D7319" w:rsidRDefault="0016483D" w:rsidP="006D7319">
      <w:r w:rsidRPr="006D7319">
        <w:t xml:space="preserve">Menon (2025) benytter begrepet utleie når arbeidsgiver stiller sine ansatte til disposisjon for en annen virksomhet. Arbeidet utføres under </w:t>
      </w:r>
      <w:proofErr w:type="spellStart"/>
      <w:r w:rsidRPr="006D7319">
        <w:t>innleiers</w:t>
      </w:r>
      <w:proofErr w:type="spellEnd"/>
      <w:r w:rsidRPr="006D7319">
        <w:t xml:space="preserve"> ledelse og kontroll, og konsulenten inngår i oppdragsgivers organisasjon og fungerer som en midlertidig ressurs som bidrar til virksomhetens interne kapasitet eller kompetanse. Ved oppdrag organisert som utleie inngår den innleide arbeidstakeren gjerne som en del av arbeidsgivers øvrige faste ansatte, i deres lokaler og med deres utstyr, og det avtales vanligvis en timepris for medgått arbeid.</w:t>
      </w:r>
    </w:p>
    <w:p w14:paraId="2ED28717" w14:textId="77777777" w:rsidR="0016483D" w:rsidRPr="006D7319" w:rsidRDefault="0016483D" w:rsidP="006D7319">
      <w:pPr>
        <w:pStyle w:val="Overskrift3"/>
      </w:pPr>
      <w:r w:rsidRPr="006D7319">
        <w:t>Entreprise og selvstendig oppdrag</w:t>
      </w:r>
    </w:p>
    <w:p w14:paraId="5D953ACC" w14:textId="4390E5B4" w:rsidR="0016483D" w:rsidRPr="006D7319" w:rsidRDefault="0016483D" w:rsidP="006D7319">
      <w:r w:rsidRPr="006D7319">
        <w:t>Menon (2025) anslår at andelen totalt sett i rådgiver</w:t>
      </w:r>
      <w:r w:rsidRPr="006D7319">
        <w:t>næringen som utgjør entreprise/selvstendig oppdrag (tjenestekjøp) er 71 prosent. Dette er en vanlig tilknytningsform på tvers av alle bransjene i rådgiver</w:t>
      </w:r>
      <w:r w:rsidRPr="006D7319">
        <w:t>næringen, men det er likevel noe variasjon. Det er høyest andel entrepriseoppdrag innen advokat</w:t>
      </w:r>
      <w:r w:rsidRPr="006D7319">
        <w:t>tjenester, revisjon, regnskap og skatt. Den laveste andelen entrepriseoppdrag finner man i bransjene IKT-rådgivning og teknisk rådgivning.</w:t>
      </w:r>
    </w:p>
    <w:p w14:paraId="3BC312D1" w14:textId="77777777" w:rsidR="006A50F4" w:rsidRDefault="0016483D" w:rsidP="006D7319">
      <w:pPr>
        <w:pStyle w:val="figur-tittel"/>
      </w:pPr>
      <w:r w:rsidRPr="006D7319">
        <w:t>Andelen som har svart at majoriteten til alle oppdrag (mer enn femti prosent) på spørsmålet: Hvor stor andel av deres oppdrag betegnes som entrepriseoppdrag/selvstendige oppdrag?</w:t>
      </w:r>
    </w:p>
    <w:p w14:paraId="54AD3A55" w14:textId="69A59D4F" w:rsidR="0016483D" w:rsidRPr="0016483D" w:rsidRDefault="0016483D" w:rsidP="0016483D">
      <w:r>
        <w:rPr>
          <w:noProof/>
          <w14:ligatures w14:val="standardContextual"/>
        </w:rPr>
        <w:drawing>
          <wp:inline distT="0" distB="0" distL="0" distR="0" wp14:anchorId="1190D770" wp14:editId="47A3AC33">
            <wp:extent cx="6086475" cy="3476625"/>
            <wp:effectExtent l="0" t="0" r="9525" b="9525"/>
            <wp:docPr id="2020096464" name="Bilde 2"/>
            <wp:cNvGraphicFramePr/>
            <a:graphic xmlns:a="http://schemas.openxmlformats.org/drawingml/2006/main">
              <a:graphicData uri="http://schemas.openxmlformats.org/drawingml/2006/picture">
                <pic:pic xmlns:pic="http://schemas.openxmlformats.org/drawingml/2006/picture">
                  <pic:nvPicPr>
                    <pic:cNvPr id="2020096464" name=""/>
                    <pic:cNvPicPr/>
                  </pic:nvPicPr>
                  <pic:blipFill>
                    <a:blip r:embed="rId10"/>
                    <a:stretch>
                      <a:fillRect/>
                    </a:stretch>
                  </pic:blipFill>
                  <pic:spPr>
                    <a:xfrm>
                      <a:off x="0" y="0"/>
                      <a:ext cx="6086475" cy="3476625"/>
                    </a:xfrm>
                    <a:prstGeom prst="rect">
                      <a:avLst/>
                    </a:prstGeom>
                  </pic:spPr>
                </pic:pic>
              </a:graphicData>
            </a:graphic>
          </wp:inline>
        </w:drawing>
      </w:r>
    </w:p>
    <w:p w14:paraId="68E33F29" w14:textId="79B58359" w:rsidR="0016483D" w:rsidRPr="006D7319" w:rsidRDefault="0016483D" w:rsidP="006D7319">
      <w:pPr>
        <w:pStyle w:val="Kilde"/>
      </w:pPr>
      <w:r w:rsidRPr="006D7319">
        <w:t xml:space="preserve">Spørreundersøkelse til rådgivernæringen fra Menon </w:t>
      </w:r>
      <w:proofErr w:type="spellStart"/>
      <w:r w:rsidRPr="006D7319">
        <w:t>Economics</w:t>
      </w:r>
      <w:proofErr w:type="spellEnd"/>
      <w:r w:rsidRPr="006D7319">
        <w:t xml:space="preserve">. Kategorien </w:t>
      </w:r>
      <w:r w:rsidR="006A50F4">
        <w:t>«</w:t>
      </w:r>
      <w:r w:rsidRPr="006D7319">
        <w:t>én ansatt</w:t>
      </w:r>
      <w:r w:rsidR="006A50F4">
        <w:t>»</w:t>
      </w:r>
      <w:r w:rsidRPr="006D7319">
        <w:t xml:space="preserve"> består av enkeltpersonforetak og foretak som kun er registrert med én ansatt. Merk at enkelte respondenter oppgir å være del av flere bransjer, noe som fører til at summen av respondenter per bransje ikke vil tilsvare 1000.</w:t>
      </w:r>
    </w:p>
    <w:p w14:paraId="70FAF1EA" w14:textId="77777777" w:rsidR="0016483D" w:rsidRPr="006D7319" w:rsidRDefault="0016483D" w:rsidP="006D7319">
      <w:r w:rsidRPr="006D7319">
        <w:lastRenderedPageBreak/>
        <w:t>Figur 3.2 skiller mellom virksomheter med én ansatt og virksomheter med mer enn én ansatt. Av virksomhetene som har svart at mer enn halvparten av oppdragene kan betegnes som entrepriseoppdrag/selvstendige oppdrag, ser vi at skillet er størst mellom virksomheter med én ansatt og virksomheter med mer enn én ansatt innen bransjene arkitekt og HR og rekruttering.</w:t>
      </w:r>
    </w:p>
    <w:p w14:paraId="661F9F08" w14:textId="77777777" w:rsidR="0016483D" w:rsidRPr="006D7319" w:rsidRDefault="0016483D" w:rsidP="006D7319">
      <w:r w:rsidRPr="006D7319">
        <w:t>Også blant virksomheter som oftest bruker entreprise/selvstendige oppdrag, er andelen entrepriseoppdrag/selvstendig oppdrag lavest innen bransjene IKT-rådgivning og teknisk rådgivning. For virksomheter innen IKT-rådgivning med én ansatt er andelen 67 prosent, og for virksomheter med mer enn én ansatt er andelen 60 prosent. Tilsvarende for teknisk rådgivning er 65 prosent og 60 prosent.</w:t>
      </w:r>
    </w:p>
    <w:p w14:paraId="6624EE04" w14:textId="41B4489E" w:rsidR="0016483D" w:rsidRPr="006D7319" w:rsidRDefault="0016483D" w:rsidP="006D7319">
      <w:r w:rsidRPr="006D7319">
        <w:t>Tallene fra rapporten til Menon bygger på en spørre</w:t>
      </w:r>
      <w:r w:rsidRPr="006D7319">
        <w:t xml:space="preserve">undersøkelse til rådgivernæringen og </w:t>
      </w:r>
      <w:r w:rsidRPr="006D7319">
        <w:t>klassifiseringen som er oppgitt er dermed selvrapportert. Ut ifra Menons egne analyser kan dette gi en skjevhet i resultatet, ved at flere rapporterer at de benytter entreprise/selvstendige oppdrag som tilknytningsform når oppdraget burde vært klassifisert som innleie eller ansettelse. Det er dermed ikke nødvendigvis fullt ut samsvar mellom det aktører i rådgivernæringen omtaler kontraktsforholdet som, og det som er den rettslige realiteten.</w:t>
      </w:r>
    </w:p>
    <w:p w14:paraId="31CBEFD0" w14:textId="77777777" w:rsidR="0016483D" w:rsidRPr="006D7319" w:rsidRDefault="0016483D" w:rsidP="006D7319">
      <w:pPr>
        <w:pStyle w:val="Overskrift3"/>
      </w:pPr>
      <w:r w:rsidRPr="006D7319">
        <w:t>Inn- og utleie</w:t>
      </w:r>
    </w:p>
    <w:p w14:paraId="77BBC8AA" w14:textId="2C19A007" w:rsidR="0016483D" w:rsidRPr="006D7319" w:rsidRDefault="0016483D" w:rsidP="006D7319">
      <w:r w:rsidRPr="006D7319">
        <w:t xml:space="preserve">Menon (2025) anslår at andelen i </w:t>
      </w:r>
      <w:r w:rsidRPr="006D7319">
        <w:t xml:space="preserve">rådgivernæringen som utgjør utleie er 24 prosent. Utleie er mest </w:t>
      </w:r>
      <w:r w:rsidRPr="006D7319">
        <w:t xml:space="preserve">vanlig innenfor IKT-rådgivning og teknisk rådgivning, der henholdsvis 31 og 25 prosent av alle oppdrag </w:t>
      </w:r>
      <w:r w:rsidRPr="006D7319">
        <w:t>betegnes som utleie. En av årsakene til dette er at det har blitt mer vanlig at oppdragsgiver eier og styrer egne IT-systemer og utviklingen av disse. Virksomheten har derfor behov for å leie inn ekspertise for en begrenset periode som inngår som en del av teamet til virksomheten.</w:t>
      </w:r>
    </w:p>
    <w:p w14:paraId="68D6DD2E" w14:textId="77777777" w:rsidR="006A50F4" w:rsidRDefault="0016483D" w:rsidP="006D7319">
      <w:pPr>
        <w:pStyle w:val="figur-tittel"/>
      </w:pPr>
      <w:r w:rsidRPr="006D7319">
        <w:t xml:space="preserve">Andelen som har svart at majoriteten av alle oppdrag (mer enn femti prosent) på </w:t>
      </w:r>
      <w:r w:rsidRPr="006D7319">
        <w:t>spørsmålet: Hvor stor andel av deres oppdrag betegnes som utleie?</w:t>
      </w:r>
    </w:p>
    <w:p w14:paraId="65CA394D" w14:textId="53D18FFD" w:rsidR="0016483D" w:rsidRPr="0016483D" w:rsidRDefault="0016483D" w:rsidP="0016483D">
      <w:r>
        <w:rPr>
          <w:noProof/>
          <w14:ligatures w14:val="standardContextual"/>
        </w:rPr>
        <w:drawing>
          <wp:inline distT="0" distB="0" distL="0" distR="0" wp14:anchorId="298DB8B3" wp14:editId="52B7F29F">
            <wp:extent cx="6086475" cy="3543300"/>
            <wp:effectExtent l="0" t="0" r="9525" b="0"/>
            <wp:docPr id="1486216132" name="Bilde 3"/>
            <wp:cNvGraphicFramePr/>
            <a:graphic xmlns:a="http://schemas.openxmlformats.org/drawingml/2006/main">
              <a:graphicData uri="http://schemas.openxmlformats.org/drawingml/2006/picture">
                <pic:pic xmlns:pic="http://schemas.openxmlformats.org/drawingml/2006/picture">
                  <pic:nvPicPr>
                    <pic:cNvPr id="1486216132" name=""/>
                    <pic:cNvPicPr/>
                  </pic:nvPicPr>
                  <pic:blipFill>
                    <a:blip r:embed="rId11"/>
                    <a:stretch>
                      <a:fillRect/>
                    </a:stretch>
                  </pic:blipFill>
                  <pic:spPr>
                    <a:xfrm>
                      <a:off x="0" y="0"/>
                      <a:ext cx="6086475" cy="3543300"/>
                    </a:xfrm>
                    <a:prstGeom prst="rect">
                      <a:avLst/>
                    </a:prstGeom>
                  </pic:spPr>
                </pic:pic>
              </a:graphicData>
            </a:graphic>
          </wp:inline>
        </w:drawing>
      </w:r>
    </w:p>
    <w:p w14:paraId="092BA3B6" w14:textId="5104186E" w:rsidR="0016483D" w:rsidRPr="006D7319" w:rsidRDefault="0016483D" w:rsidP="006D7319">
      <w:pPr>
        <w:pStyle w:val="Kilde"/>
      </w:pPr>
      <w:r w:rsidRPr="006D7319">
        <w:t xml:space="preserve">Spørreundersøkelse til rådgivernæringen fra Menon </w:t>
      </w:r>
      <w:proofErr w:type="spellStart"/>
      <w:r w:rsidRPr="006D7319">
        <w:t>Economics</w:t>
      </w:r>
      <w:proofErr w:type="spellEnd"/>
      <w:r w:rsidRPr="006D7319">
        <w:t xml:space="preserve">. Kategorien </w:t>
      </w:r>
      <w:r w:rsidR="006A50F4">
        <w:t>«</w:t>
      </w:r>
      <w:r w:rsidRPr="006D7319">
        <w:t>én ansatt</w:t>
      </w:r>
      <w:r w:rsidR="006A50F4">
        <w:t>»</w:t>
      </w:r>
      <w:r w:rsidRPr="006D7319">
        <w:t xml:space="preserve"> består av enkeltpersonforetak og foretak som kun er registrert med én ansatt. Merk at enkelte respondenter oppgir å være del av flere bransjer, noe som fører til at summen av respondenter per bransje ikke vil tilsvare 1000.</w:t>
      </w:r>
    </w:p>
    <w:p w14:paraId="6A34231B" w14:textId="67549442" w:rsidR="0016483D" w:rsidRPr="006D7319" w:rsidRDefault="0016483D" w:rsidP="006D7319">
      <w:r w:rsidRPr="006D7319">
        <w:t xml:space="preserve">Figur 3.3 viser andel utleieoppdrag fordelt på </w:t>
      </w:r>
      <w:r w:rsidRPr="006D7319">
        <w:t>bransjer i virksomheter med én ansatt og virksomheter med mer enn én ansatt, av virksomheter som har svart at mer enn halvparten av alle oppdrag betegnes som utleie.</w:t>
      </w:r>
    </w:p>
    <w:p w14:paraId="6D33A02B" w14:textId="7927572B" w:rsidR="0016483D" w:rsidRPr="006D7319" w:rsidRDefault="0016483D" w:rsidP="006D7319">
      <w:r w:rsidRPr="006D7319">
        <w:t>Tabellen viser at andel oppdrag som betegnes som utleie er høyest blant virksomheter med én ansatt i de fleste av bransjene. Dette er imidlertid ikke til</w:t>
      </w:r>
      <w:r w:rsidRPr="006D7319">
        <w:t xml:space="preserve">fellet innen bransjene HR og rekruttering, arkitekt, </w:t>
      </w:r>
      <w:r w:rsidRPr="006D7319">
        <w:t xml:space="preserve">revisjon, regnskap og skatt og advokattjenester. Dette er også de bransjene som har lavest andel utleie. For bransjene IKT-rådgivning og bedriftsrådgivning er det ingen forskjell i andel oppdrag </w:t>
      </w:r>
      <w:r w:rsidRPr="006D7319">
        <w:t>betegnet som utleie for virksomheter med én ansatt og virksomheter med mer enn én ansatt.</w:t>
      </w:r>
    </w:p>
    <w:p w14:paraId="709477E5" w14:textId="77777777" w:rsidR="0016483D" w:rsidRPr="006D7319" w:rsidRDefault="0016483D" w:rsidP="006D7319">
      <w:pPr>
        <w:pStyle w:val="Overskrift2"/>
      </w:pPr>
      <w:r w:rsidRPr="006D7319">
        <w:lastRenderedPageBreak/>
        <w:t>Valg av organisasjonsform for selvstendige næringsdrivende</w:t>
      </w:r>
    </w:p>
    <w:p w14:paraId="0AC88A26" w14:textId="77777777" w:rsidR="0016483D" w:rsidRPr="006D7319" w:rsidRDefault="0016483D" w:rsidP="006D7319">
      <w:r w:rsidRPr="006D7319">
        <w:t>De aller fleste i rådgivernæringen som er selvstendige næringsdrivende foretrekker å drive for seg selv. Hele 90 prosent av de spurte selvstendige næringsdrivende svarer på Menons spørreundersøkelse at de ønsker å fortsette å arbeide i egen virksomhet.</w:t>
      </w:r>
    </w:p>
    <w:p w14:paraId="4A689451" w14:textId="77777777" w:rsidR="0016483D" w:rsidRPr="006D7319" w:rsidRDefault="0016483D" w:rsidP="006D7319">
      <w:r w:rsidRPr="006D7319">
        <w:t>Å være selvstendig næringsdrivende gir mulighet til å ta på seg mer eller mindre arbeid i perioder avhengig av egen livssituasjon og ønsker, og gjør det enklere for enkelte å fortsatt være en del av arbeidsmarkedet. Menon (2023) viser også til at en rekke selvstendig næringsdrivende bruker dette som en midlertidig sideinntekt for å kunne finansiere sin gründersatsning.</w:t>
      </w:r>
    </w:p>
    <w:p w14:paraId="38F908DF" w14:textId="77777777" w:rsidR="006A50F4" w:rsidRDefault="0016483D" w:rsidP="006D7319">
      <w:pPr>
        <w:pStyle w:val="figur-tittel"/>
      </w:pPr>
      <w:r w:rsidRPr="006D7319">
        <w:t>Hvorfor har du valgt å organisere arbeidet på denne måten? Blant selvstendig nærings</w:t>
      </w:r>
      <w:r w:rsidRPr="006D7319">
        <w:t>drivende (aksjeselskap med eier som eneste ansatt eller enkeltpersonforetak) N=501.</w:t>
      </w:r>
    </w:p>
    <w:p w14:paraId="38A5F053" w14:textId="3D8CFB28" w:rsidR="0016483D" w:rsidRPr="0016483D" w:rsidRDefault="0016483D" w:rsidP="0016483D">
      <w:r>
        <w:rPr>
          <w:noProof/>
          <w14:ligatures w14:val="standardContextual"/>
        </w:rPr>
        <w:drawing>
          <wp:inline distT="0" distB="0" distL="0" distR="0" wp14:anchorId="648C09EA" wp14:editId="2A1B3F6D">
            <wp:extent cx="5762625" cy="2876550"/>
            <wp:effectExtent l="0" t="0" r="9525" b="0"/>
            <wp:docPr id="302963448" name="Bilde 4"/>
            <wp:cNvGraphicFramePr/>
            <a:graphic xmlns:a="http://schemas.openxmlformats.org/drawingml/2006/main">
              <a:graphicData uri="http://schemas.openxmlformats.org/drawingml/2006/picture">
                <pic:pic xmlns:pic="http://schemas.openxmlformats.org/drawingml/2006/picture">
                  <pic:nvPicPr>
                    <pic:cNvPr id="302963448" name=""/>
                    <pic:cNvPicPr/>
                  </pic:nvPicPr>
                  <pic:blipFill>
                    <a:blip r:embed="rId12"/>
                    <a:stretch>
                      <a:fillRect/>
                    </a:stretch>
                  </pic:blipFill>
                  <pic:spPr>
                    <a:xfrm>
                      <a:off x="0" y="0"/>
                      <a:ext cx="5762625" cy="2876550"/>
                    </a:xfrm>
                    <a:prstGeom prst="rect">
                      <a:avLst/>
                    </a:prstGeom>
                  </pic:spPr>
                </pic:pic>
              </a:graphicData>
            </a:graphic>
          </wp:inline>
        </w:drawing>
      </w:r>
    </w:p>
    <w:p w14:paraId="121EA34A" w14:textId="15F02646" w:rsidR="0016483D" w:rsidRPr="006D7319" w:rsidRDefault="0016483D" w:rsidP="006D7319">
      <w:pPr>
        <w:pStyle w:val="Kilde"/>
      </w:pPr>
      <w:r w:rsidRPr="006D7319">
        <w:t xml:space="preserve">Spørreundersøkelse til rådgivernæringen fra Menon </w:t>
      </w:r>
      <w:proofErr w:type="spellStart"/>
      <w:r w:rsidRPr="006D7319">
        <w:t>Economics</w:t>
      </w:r>
      <w:proofErr w:type="spellEnd"/>
      <w:r w:rsidRPr="006D7319">
        <w:t>. Annet er en restkategori hvis ingen av svaralternativene passer, og respondentene har ikke hatt mulighet til å utdype sitt svar dersom de har valgt annet.</w:t>
      </w:r>
    </w:p>
    <w:p w14:paraId="3C6B1AAF" w14:textId="5EC6C183" w:rsidR="0016483D" w:rsidRPr="006D7319" w:rsidRDefault="0016483D" w:rsidP="006D7319">
      <w:r w:rsidRPr="006D7319">
        <w:t xml:space="preserve">Figur 3.4 viser en oversikt over årsaker til at selvstendige næringsdrivende (aksjeselskap med eier som eneste ansatt eller enkeltpersonforetak) </w:t>
      </w:r>
      <w:r w:rsidRPr="006D7319">
        <w:t xml:space="preserve">organiserer sitt arbeid på denne måten. Tre prosent av de spurte selvstendige næringsdrivende i Menons </w:t>
      </w:r>
      <w:r w:rsidRPr="006D7319">
        <w:t>undersøkelse svarer at de ønsker, men ikke har fått, ansettelse hos oppdragsgiver. Det er fem prosent som svarer at tidligere arbeidsgiver har bedt dem om å organisere arbeidet gjennom eget selskap, mens tolv prosent svarer at oppdragsgiver har bedt om det samme. Hvorvidt den selvstendige opplever det som problematisk å bli bedt om å organisere seg som eget selskap, fremkommer ikke av rapporten.</w:t>
      </w:r>
    </w:p>
    <w:p w14:paraId="73EB8C61" w14:textId="77777777" w:rsidR="0016483D" w:rsidRPr="006D7319" w:rsidRDefault="0016483D" w:rsidP="006D7319">
      <w:r w:rsidRPr="006D7319">
        <w:t>Intervjuer Menon har gjennomført og høringssvar departementet har mottatt fra bedrifter som representerer selvste</w:t>
      </w:r>
      <w:r w:rsidRPr="006D7319">
        <w:t>ndige næringsdrivende, samsvarer med det figur 3.4 viser. Det er flere årsaker bak valg om å organisere seg på denne måten. Blant de viktigste årsakene trekkes det frem fleksibilitet, mer kontroll og at de kan beholde mer av fortjenesten selv. Det rapporteres også om en dreining over tid i valg av selskapsform, der aksjeselskap foretrekkes fremfor enkeltpersonforetak. Denne dreiningen forklares av en økt bevissthet om risiko.</w:t>
      </w:r>
    </w:p>
    <w:p w14:paraId="2E755927" w14:textId="77777777" w:rsidR="0016483D" w:rsidRPr="006D7319" w:rsidRDefault="0016483D" w:rsidP="006D7319">
      <w:r w:rsidRPr="006D7319">
        <w:t xml:space="preserve">Arbeidsgruppen har også hatt </w:t>
      </w:r>
      <w:proofErr w:type="spellStart"/>
      <w:r w:rsidRPr="006D7319">
        <w:t>innspillsmøte</w:t>
      </w:r>
      <w:proofErr w:type="spellEnd"/>
      <w:r w:rsidRPr="006D7319">
        <w:t xml:space="preserve"> med deltakelse fra eksterne aktører på oppdragsgiver- og oppdragstakersiden i offentlig og privat sektor, samt mottatt skriftlige innspill.</w:t>
      </w:r>
    </w:p>
    <w:p w14:paraId="66EA0701" w14:textId="77777777" w:rsidR="0016483D" w:rsidRPr="006D7319" w:rsidRDefault="0016483D" w:rsidP="006D7319">
      <w:r w:rsidRPr="006D7319">
        <w:t xml:space="preserve">Gjennom innspillene har det kommet frem at det også kan være årsaker på oppdragsgiversiden som medfører at selvstendige konsulenter ikke ansettes direkte hos kunden. Det kan dreie seg om at det er lagt begrensninger på nyansettelser hos oppdragsgiver. Det kan videre være årsaker på oppdragsgivers side som medfører at tilknytningsformen selvstendig oppdrag </w:t>
      </w:r>
      <w:r w:rsidRPr="006D7319">
        <w:t xml:space="preserve">ikke vurderes som passende for det aktuelle oppdraget. Et eksempel er at oppdragsgiver ved IKT-oppdrag kan ha et behov for å kontrollere og lede arbeidet for å sikre at leveransen blir i henhold til oppdragsgivers behov, samt at </w:t>
      </w:r>
      <w:r w:rsidRPr="006D7319">
        <w:lastRenderedPageBreak/>
        <w:t>konsulenten jobber integrert hos oppdragsgiver, noe som kan gjøre selvstendig oppdrag mindre aktuell som tilknytningsform.</w:t>
      </w:r>
    </w:p>
    <w:p w14:paraId="3B1BA966" w14:textId="03FC6426" w:rsidR="0016483D" w:rsidRPr="006D7319" w:rsidRDefault="0016483D" w:rsidP="006D7319">
      <w:r w:rsidRPr="006D7319">
        <w:t xml:space="preserve">Fra oppdragstakersiden har det blitt påpekt at å være ansatt arbeidstaker hos en virksomhet ikke passer for alle, og det kan være ulike individuelle </w:t>
      </w:r>
      <w:r w:rsidRPr="006D7319">
        <w:t>årsaker til valget om å organisere seg som selvstendig konsulent. Videre har arbeidsgruppen blant annet fått innspill om at det kan være utfordrende særlig for ferske selvstendige konsulenter å organisere en kontrakt som et selvstendig oppdrag med resultat</w:t>
      </w:r>
      <w:r w:rsidRPr="006D7319">
        <w:t>ansvar, da det ligger en risiko i dette som det ikke er ønskelig eller mulig å påta seg. Å påta seg resultat</w:t>
      </w:r>
      <w:r w:rsidRPr="006D7319">
        <w:t xml:space="preserve">ansvar kan for noen oppfattes som lettere dersom man har mer erfaring og har arbeidet flere år i </w:t>
      </w:r>
      <w:r w:rsidRPr="006D7319">
        <w:t>bransjen. Videre har arbeidsgruppen fått innspill om at flere rådgivere og konsulenter ønsker og trives med å være selvstendig med den friheten det gir og at de ikke opplever seg utnyttet.</w:t>
      </w:r>
    </w:p>
    <w:p w14:paraId="2F3E8772" w14:textId="77777777" w:rsidR="0016483D" w:rsidRPr="006D7319" w:rsidRDefault="0016483D" w:rsidP="006D7319">
      <w:pPr>
        <w:pStyle w:val="Overskrift2"/>
      </w:pPr>
      <w:r w:rsidRPr="006D7319">
        <w:t>Effekter av endringer i innleieregelverket</w:t>
      </w:r>
    </w:p>
    <w:p w14:paraId="0CDEEEA5" w14:textId="37432D40" w:rsidR="0016483D" w:rsidRPr="006D7319" w:rsidRDefault="0016483D" w:rsidP="006D7319">
      <w:r w:rsidRPr="006D7319">
        <w:t>Menon (2025) har kartlagt hvorvidt aktører i rådgiver</w:t>
      </w:r>
      <w:r w:rsidRPr="006D7319">
        <w:t>næringen har opplevd endringene i innleieregel</w:t>
      </w:r>
      <w:r w:rsidRPr="006D7319">
        <w:t xml:space="preserve">verket. For den store majoriteten blir det ikke </w:t>
      </w:r>
      <w:r w:rsidRPr="006D7319">
        <w:t>rapportert om en vesentlig endring i antall kunde</w:t>
      </w:r>
      <w:r w:rsidRPr="006D7319">
        <w:t>oppdrag som følge av endringene i innleieregel</w:t>
      </w:r>
      <w:r w:rsidRPr="006D7319">
        <w:t xml:space="preserve">verket. Menon (2025) viser at det er 16 prosent av virksomhetene med én ansatt og 17 prosent av virksomhetene med mer enn én ansatt som rapporterer om at de har opplevd en reduksjon. Forskjellen mellom selvstendige rådgivere og næringen </w:t>
      </w:r>
      <w:proofErr w:type="gramStart"/>
      <w:r w:rsidRPr="006D7319">
        <w:t>for øvrig</w:t>
      </w:r>
      <w:proofErr w:type="gramEnd"/>
      <w:r w:rsidRPr="006D7319">
        <w:t xml:space="preserve"> er dermed minimal.</w:t>
      </w:r>
    </w:p>
    <w:p w14:paraId="5F75D554" w14:textId="77777777" w:rsidR="0016483D" w:rsidRPr="006D7319" w:rsidRDefault="0016483D" w:rsidP="006D7319">
      <w:r w:rsidRPr="006D7319">
        <w:t>Den største reduksjonen i antall kundeoppdrag som følge av endringene i innleieregelverket blir rapportert fra rådgivere innen IKT, og da særlig for de selvstendige IKT-rådgiverne. Her svarer 36 prosent at de har opplevd en reduksjon i antall kun</w:t>
      </w:r>
      <w:r w:rsidRPr="006D7319">
        <w:t>deoppdrag. Det er også en reduksjon for virksomheter med mer enn én ansatt innenfor IKT, der 28 prosent svarer at de har opplevd en nedgang. Dette viser at IKT-bransjen, og særlig selvstendige IKT-rådgivere, har opplevd en større reduksjon i kundeoppdrag som følge av endringene sammenliknet med rådgivernæringen sett under ett.</w:t>
      </w:r>
    </w:p>
    <w:p w14:paraId="4685E9DB" w14:textId="272BC825" w:rsidR="0016483D" w:rsidRPr="006D7319" w:rsidRDefault="0016483D" w:rsidP="006D7319">
      <w:r w:rsidRPr="006D7319">
        <w:t xml:space="preserve">Menon (2025) spesifiserer ikke hvor stor </w:t>
      </w:r>
      <w:r w:rsidRPr="006D7319">
        <w:t>reduksjonen er, verken i antall oppdrag eller i tapt omsetning. Man kan dermed ikke angi hvor store konsekvenser den rapporterte reduksjonen av konsulentoppdrag har hatt for den enkelte virksomhet.</w:t>
      </w:r>
    </w:p>
    <w:p w14:paraId="1A695772" w14:textId="55A9E964" w:rsidR="0016483D" w:rsidRPr="006D7319" w:rsidRDefault="0016483D" w:rsidP="006D7319">
      <w:r w:rsidRPr="006D7319">
        <w:t xml:space="preserve">I arbeidsgruppens </w:t>
      </w:r>
      <w:proofErr w:type="spellStart"/>
      <w:r w:rsidRPr="006D7319">
        <w:t>innspillsmøte</w:t>
      </w:r>
      <w:proofErr w:type="spellEnd"/>
      <w:r w:rsidRPr="006D7319">
        <w:t xml:space="preserve"> ble det blant annet påpekt at manglende godkjenning som bemannings</w:t>
      </w:r>
      <w:r w:rsidRPr="006D7319">
        <w:t>foretak har forhindret flere fra å kunne tilby sine tjenester, i motsetning til tidligere, da enkelte var registrert i Arbeidstilsynets registreringsordning.</w:t>
      </w:r>
    </w:p>
    <w:p w14:paraId="564C5E92" w14:textId="77777777" w:rsidR="0016483D" w:rsidRPr="006D7319" w:rsidRDefault="0016483D" w:rsidP="006D7319">
      <w:r w:rsidRPr="006D7319">
        <w:t>Intervjuene foretatt av Menon (2025) viser at enkelte selvstendige næringsdrivende har tilpasset seg til godkjenningsordningen. Noen har ansatt en eller flere i egen virksomhet for å kunne registrere seg som et bemanningsforetak, mens andre har gått til større konsulentselskap eller blitt ansatt av kunden. Det finnes ingen kvantitative data som gir gru</w:t>
      </w:r>
      <w:r w:rsidRPr="006D7319">
        <w:t>nnlag for å si noe om omfanget av slike tilpasninger.</w:t>
      </w:r>
    </w:p>
    <w:p w14:paraId="4AD4DCAF" w14:textId="036DAD09" w:rsidR="0016483D" w:rsidRPr="006D7319" w:rsidRDefault="0016483D" w:rsidP="006D7319">
      <w:r w:rsidRPr="006D7319">
        <w:t xml:space="preserve">I tillegg svarer flere av informantene i Menons </w:t>
      </w:r>
      <w:r w:rsidRPr="006D7319">
        <w:t>rapport (2025) at regelverksendringene har ført til usikkerhet for både oppdragstakere og oppdrags</w:t>
      </w:r>
      <w:r w:rsidRPr="006D7319">
        <w:t>givere. Ettersom store virksomheter har flere interne ressurser, kan det argumenteres for at de har et konkurransefortrinn i tolkningen og implementer</w:t>
      </w:r>
      <w:r w:rsidRPr="006D7319">
        <w:t>ingen av nytt regelverk.</w:t>
      </w:r>
    </w:p>
    <w:p w14:paraId="6322F0A7" w14:textId="77777777" w:rsidR="0016483D" w:rsidRPr="006D7319" w:rsidRDefault="0016483D" w:rsidP="006D7319">
      <w:r w:rsidRPr="006D7319">
        <w:t xml:space="preserve">Etter å ha fått innspill både fra oppdragsgivere og oppdragstakere, sitter arbeidsgruppen igjen med et inntrykk av at regelverket på dette området oppleves som komplekst for begge parter, herunder at det kan være utfordrende å trekke grensen mellom </w:t>
      </w:r>
      <w:proofErr w:type="gramStart"/>
      <w:r w:rsidRPr="006D7319">
        <w:t>innleie</w:t>
      </w:r>
      <w:proofErr w:type="gramEnd"/>
      <w:r w:rsidRPr="006D7319">
        <w:t xml:space="preserve"> og entreprise, og mellom arbeidsforhold og selvstendig oppdrag.</w:t>
      </w:r>
    </w:p>
    <w:p w14:paraId="4E7710A8" w14:textId="77777777" w:rsidR="0016483D" w:rsidRPr="006D7319" w:rsidRDefault="0016483D" w:rsidP="006D7319">
      <w:pPr>
        <w:pStyle w:val="Overskrift2"/>
      </w:pPr>
      <w:r w:rsidRPr="006D7319">
        <w:t>Situasjonen i andre land</w:t>
      </w:r>
    </w:p>
    <w:p w14:paraId="48C6DCA4" w14:textId="2193E479" w:rsidR="0016483D" w:rsidRPr="006D7319" w:rsidRDefault="0016483D" w:rsidP="006D7319">
      <w:r w:rsidRPr="006D7319">
        <w:t xml:space="preserve">Arbeidsgruppen har begrenset informasjon om hvordan problemstillingene knyttet til </w:t>
      </w:r>
      <w:proofErr w:type="gramStart"/>
      <w:r w:rsidRPr="006D7319">
        <w:t>innleie</w:t>
      </w:r>
      <w:proofErr w:type="gramEnd"/>
      <w:r w:rsidRPr="006D7319">
        <w:t xml:space="preserve"> og selvstendige utspiller seg i andre land. Menon (2025) har gjort en overordnet kartlegging av praksis i </w:t>
      </w:r>
      <w:r w:rsidRPr="006D7319">
        <w:t>Sverige, Danmark, Finland og Tyskland.</w:t>
      </w:r>
    </w:p>
    <w:p w14:paraId="100B50BB" w14:textId="21E99CE3" w:rsidR="0016483D" w:rsidRPr="006D7319" w:rsidRDefault="0016483D" w:rsidP="006D7319">
      <w:r w:rsidRPr="006D7319">
        <w:t xml:space="preserve">Kartleggingen viser at diskusjonen knyttet til </w:t>
      </w:r>
      <w:proofErr w:type="gramStart"/>
      <w:r w:rsidRPr="006D7319">
        <w:t>innleie</w:t>
      </w:r>
      <w:proofErr w:type="gramEnd"/>
      <w:r w:rsidRPr="006D7319">
        <w:t xml:space="preserve"> av selvstendige konsulenter i liten grad gjør seg gjeld</w:t>
      </w:r>
      <w:r w:rsidRPr="006D7319">
        <w:t xml:space="preserve">ende i de andre nordiske landene. </w:t>
      </w:r>
      <w:r w:rsidRPr="006D7319">
        <w:t xml:space="preserve">Selvstendige næringsdrivende blir heller ikke her klassifisert som bemanningsforetak og kan dermed ikke inngå innleieavtaler etter gjeldende innleieregelverk, slik innleie defineres etter disse landenes lovgivning gjennom et </w:t>
      </w:r>
      <w:proofErr w:type="spellStart"/>
      <w:r w:rsidRPr="006D7319">
        <w:t>trepartsforhold</w:t>
      </w:r>
      <w:proofErr w:type="spellEnd"/>
      <w:r w:rsidRPr="006D7319">
        <w:t xml:space="preserve"> mellom innleier, utleier og arbeidstaker. I de andre nordiske landene kan imidlertid selvstendige næringsdrivende levere oppdrag som har visse likhetstrekk med </w:t>
      </w:r>
      <w:proofErr w:type="gramStart"/>
      <w:r w:rsidRPr="006D7319">
        <w:t>innleie</w:t>
      </w:r>
      <w:proofErr w:type="gramEnd"/>
      <w:r w:rsidRPr="006D7319">
        <w:t>. Dette blir imidlertid ikke omtalt som en egen tilknytningsform. En av grunnene til at det pekes på par</w:t>
      </w:r>
      <w:r w:rsidRPr="006D7319">
        <w:t xml:space="preserve">alleller til </w:t>
      </w:r>
      <w:proofErr w:type="gramStart"/>
      <w:r w:rsidRPr="006D7319">
        <w:t>innleie</w:t>
      </w:r>
      <w:proofErr w:type="gramEnd"/>
      <w:r w:rsidRPr="006D7319">
        <w:t xml:space="preserve"> kan være at personens kompetanse og personlige arbeidskraft er sentral i leveransen. Dersom oppdraget i realiteten er et ansettelsesforhold, risikerer man også i de andre nordiske landene at oppdragsforholdet omklassifiseres.</w:t>
      </w:r>
    </w:p>
    <w:p w14:paraId="1D24BE8C" w14:textId="77777777" w:rsidR="0016483D" w:rsidRPr="006D7319" w:rsidRDefault="0016483D" w:rsidP="006D7319">
      <w:r w:rsidRPr="006D7319">
        <w:t xml:space="preserve">I motsetning til i Norge har man ikke en offentlig godkjenningsordning for bemanningsforetak i de andre nordiske landene. I Tyskland har man hatt en godkjenningsordning for midlertidig arbeidsutleie siden 1972. Også her legges det til grunn at det må være et </w:t>
      </w:r>
      <w:proofErr w:type="spellStart"/>
      <w:r w:rsidRPr="006D7319">
        <w:t>trepartsforhold</w:t>
      </w:r>
      <w:proofErr w:type="spellEnd"/>
      <w:r w:rsidRPr="006D7319">
        <w:t xml:space="preserve"> for at en kan drive lovlig arbeidsutleie. Statusen til IT-konsulenter som selvstendig næringsdrivende versus arbeidstakere har i flere år vært gjenstand for debatt, særlig fordi mange av dem arbeider tett integrert i innleiebedriftens daglige drift.</w:t>
      </w:r>
    </w:p>
    <w:p w14:paraId="25AEC592" w14:textId="77777777" w:rsidR="0016483D" w:rsidRPr="006D7319" w:rsidRDefault="0016483D" w:rsidP="006D7319">
      <w:pPr>
        <w:pStyle w:val="Overskrift1"/>
      </w:pPr>
      <w:r w:rsidRPr="006D7319">
        <w:t>Arbeidsgruppens vurderinger</w:t>
      </w:r>
    </w:p>
    <w:p w14:paraId="3CDE3B2B" w14:textId="77777777" w:rsidR="0016483D" w:rsidRPr="006D7319" w:rsidRDefault="0016483D" w:rsidP="006D7319">
      <w:pPr>
        <w:pStyle w:val="Overskrift2"/>
      </w:pPr>
      <w:r w:rsidRPr="006D7319">
        <w:t>Arbeidsgruppens overordnede betraktninger</w:t>
      </w:r>
    </w:p>
    <w:p w14:paraId="3490C540" w14:textId="3B8F739A" w:rsidR="0016483D" w:rsidRPr="006D7319" w:rsidRDefault="0016483D" w:rsidP="006D7319">
      <w:r w:rsidRPr="006D7319">
        <w:t>Arbeidsgruppen understreker at hovedregelen i norsk arbeidsliv er fast ansettelse. Dette er også den vanligste tilknytningsformen.</w:t>
      </w:r>
      <w:r w:rsidR="006A50F4" w:rsidRPr="006A50F4">
        <w:rPr>
          <w:rStyle w:val="Fotnotereferanse"/>
        </w:rPr>
        <w:footnoteReference w:id="122"/>
      </w:r>
      <w:r w:rsidRPr="006D7319">
        <w:t xml:space="preserve"> I rådgiver</w:t>
      </w:r>
      <w:r w:rsidRPr="006D7319">
        <w:t>næringen er råd</w:t>
      </w:r>
      <w:r w:rsidRPr="006D7319">
        <w:t>giverne og konsulentene, som ikke er selvstendige, normalt fast ansatt i et konsulent- eller råd</w:t>
      </w:r>
      <w:r w:rsidRPr="006D7319">
        <w:t xml:space="preserve">givningsselskap. Når det gjelder forholdet til </w:t>
      </w:r>
      <w:r w:rsidRPr="006D7319">
        <w:t>kunden, fremgår det av Menon (2025) at oppdrags</w:t>
      </w:r>
      <w:r w:rsidRPr="006D7319">
        <w:t xml:space="preserve">givere i stor grad organiserer kundeoppdrag </w:t>
      </w:r>
      <w:r w:rsidRPr="006D7319">
        <w:t xml:space="preserve">gjennom alternative tilknytningsformer, herunder </w:t>
      </w:r>
      <w:r w:rsidRPr="006D7319">
        <w:t>innleie, entreprise og selvstendige oppdrag. Midler</w:t>
      </w:r>
      <w:r w:rsidRPr="006D7319">
        <w:t>tidig ansettelse benyttes i mindre grad. Innleie er utbredt innen teknisk rådgivning og IKT.</w:t>
      </w:r>
    </w:p>
    <w:p w14:paraId="30EBFFEB" w14:textId="70D2122D" w:rsidR="0016483D" w:rsidRPr="006D7319" w:rsidRDefault="0016483D" w:rsidP="006D7319">
      <w:r w:rsidRPr="006D7319">
        <w:t xml:space="preserve">Etter arbeidsgruppens forståelse har det blant annet ved kjøp av IKT- rådgivningstjenester utviklet seg en praksis der man de senere år i større grad </w:t>
      </w:r>
      <w:r w:rsidRPr="006D7319">
        <w:t>benytter innleie framfor entreprise- og oppdrags</w:t>
      </w:r>
      <w:r w:rsidRPr="006D7319">
        <w:t xml:space="preserve">avtaler. Arbeidsgruppen oppfatter at denne </w:t>
      </w:r>
      <w:r w:rsidRPr="006D7319">
        <w:t xml:space="preserve">dreiningen </w:t>
      </w:r>
      <w:r w:rsidRPr="006D7319">
        <w:t xml:space="preserve">skyldes at oppdragsgiver ønsker mer kontroll og ledelse over prosjektet. Det er ofte behov for at konsulenten arbeider integrert som en del av oppdragsgivers IKT-team, og prosjektene er ofte komplekse, noe som kan gjøre det vanskelig å fastsette </w:t>
      </w:r>
      <w:r w:rsidRPr="006D7319">
        <w:t>resultatet på forhånd. For konsulentene og rådgiverne er det som regel heller ikke mulig og/eller ønskelig å påta seg resultatansvar for prosjektet.</w:t>
      </w:r>
    </w:p>
    <w:p w14:paraId="68C5A1C7" w14:textId="77777777" w:rsidR="0016483D" w:rsidRPr="006D7319" w:rsidRDefault="0016483D" w:rsidP="006D7319">
      <w:r w:rsidRPr="006D7319">
        <w:t>Også innen andre bransjer innen rådgivernæringen er det behov for at konsulenten eller rådgiveren jobber integrert hos kunden. Dette kan eksempelvis være tilfellet innen bedriftsrådgivning, HR og rekruttering.</w:t>
      </w:r>
    </w:p>
    <w:p w14:paraId="00DC2D1B" w14:textId="779FB348" w:rsidR="0016483D" w:rsidRPr="006D7319" w:rsidRDefault="0016483D" w:rsidP="006D7319">
      <w:r w:rsidRPr="006D7319">
        <w:t>Flere selvstendige oppdragstakere i rådgiver</w:t>
      </w:r>
      <w:r w:rsidRPr="006D7319">
        <w:t xml:space="preserve">næringen har opplevd å miste oppdrag fordi de ikke kan leies inn etter innleiereglene i </w:t>
      </w:r>
      <w:r w:rsidRPr="006D7319">
        <w:t>arbeidsmiljøloven og ikke blir godkjent som bemanningsforetak i bemanningsforetaksregistret. Dette gjelder særlig selvstendige IKT-konsulenter.</w:t>
      </w:r>
    </w:p>
    <w:p w14:paraId="19BB282C" w14:textId="77777777" w:rsidR="0016483D" w:rsidRPr="006D7319" w:rsidRDefault="0016483D" w:rsidP="006D7319">
      <w:r w:rsidRPr="006D7319">
        <w:t>Arbeidsgruppen er omforent om at det er viktig at konsulenter og rådgivere har mulighet til å tilby arbeid og tjenester gjennom hensiktsmessige tilknytningsformer. Konsulent- og rådgivernæringen utgjør en viktig del av norsk arbeidsliv, og det er avgjørende at denne kompetansen er tilgjengelig for virksomheter som trenger slik bistand. Mange virksomheter besitter ik</w:t>
      </w:r>
      <w:r w:rsidRPr="006D7319">
        <w:t>ke nødvendigvis slik kompetanse internt, og har derfor behov for å kjøpe slike tjenester eksternt.</w:t>
      </w:r>
    </w:p>
    <w:p w14:paraId="3C00DEC7" w14:textId="77777777" w:rsidR="0016483D" w:rsidRPr="006D7319" w:rsidRDefault="0016483D" w:rsidP="006D7319">
      <w:r w:rsidRPr="006D7319">
        <w:t>Arbeidsgruppen er videre enige om at det er uheldig at selvstendige konsulenter og rådgivere har opplevd en nedgang i oppdragsmengden. Menon (2025) viser at om lag 16 prosent av selvstendige konsulenter og rådgivere i bransjen sett under ett har opplevd en nedgang i oppdragsmengden etter endringene i innleiereglene. Innen IKT- bransjen har 36 prosent opplevd en nedgang. Arbeidsgruppen er imidlertid delt i sitt</w:t>
      </w:r>
      <w:r w:rsidRPr="006D7319">
        <w:t xml:space="preserve"> syn på hvor problematisk dette er.</w:t>
      </w:r>
    </w:p>
    <w:p w14:paraId="086F3F84" w14:textId="5B99482E" w:rsidR="0016483D" w:rsidRPr="006D7319" w:rsidRDefault="0016483D" w:rsidP="006D7319">
      <w:r w:rsidRPr="006D7319">
        <w:t xml:space="preserve">Arbeidsgruppen er også delt i sitt syn på om den faktiske og rettslige situasjonen tilsier at det er behov for å foreslå en regelendring som åpner for </w:t>
      </w:r>
      <w:proofErr w:type="gramStart"/>
      <w:r w:rsidRPr="006D7319">
        <w:t>innleie</w:t>
      </w:r>
      <w:proofErr w:type="gramEnd"/>
      <w:r w:rsidRPr="006D7319">
        <w:t xml:space="preserve"> av konsulenter og rådgivere, se punkt 4.3.3 nedenfor. Arbeidsgruppen er likevel omforent om at eier og eneste arbeidende person i enkeltperson</w:t>
      </w:r>
      <w:r w:rsidRPr="006D7319">
        <w:t xml:space="preserve">foretak etter gjeldende rett ikke er en </w:t>
      </w:r>
      <w:r w:rsidR="006A50F4">
        <w:t>«</w:t>
      </w:r>
      <w:r w:rsidRPr="006D7319">
        <w:t>virksomhet som sysselsetter arbeidstaker</w:t>
      </w:r>
      <w:r w:rsidR="006A50F4">
        <w:t>»</w:t>
      </w:r>
      <w:r w:rsidRPr="006D7319">
        <w:t xml:space="preserve">, og at det derfor ikke er mulig å leie inn konsulent- og rådgiverbistand fra slike enpersonsbedrifter, se punkt 2.5 ovenfor. Arbeidsgruppen viser til at hensynet til å unngå uthuling av arbeidstakerbegrepet taler for at det ikke bør åpnes for </w:t>
      </w:r>
      <w:proofErr w:type="gramStart"/>
      <w:r w:rsidRPr="006D7319">
        <w:t>innleie</w:t>
      </w:r>
      <w:proofErr w:type="gramEnd"/>
      <w:r w:rsidRPr="006D7319">
        <w:t xml:space="preserve"> fra slike virksomheter, blant annet fordi det ikke foreligger et juridisk skille mellom eieren og foretaket, at det er nokså enkelt å opprette enkeltpersonforetak og at </w:t>
      </w:r>
      <w:r w:rsidRPr="006D7319">
        <w:t xml:space="preserve">arbeidstakeren sikres dårligere vern enn dersom virksomheten organiseres som et aksjeselskap. På denne bakgrunn vurderer arbeidsgruppen at det ikke er aktuelt å foreslå en regelendring som åpner for </w:t>
      </w:r>
      <w:proofErr w:type="gramStart"/>
      <w:r w:rsidRPr="006D7319">
        <w:t>innleie</w:t>
      </w:r>
      <w:proofErr w:type="gramEnd"/>
      <w:r w:rsidRPr="006D7319">
        <w:t xml:space="preserve"> av selvstendige konsulenter og rådgivere med eget enkeltpersonforetak.</w:t>
      </w:r>
    </w:p>
    <w:p w14:paraId="2EE46433" w14:textId="16242B63" w:rsidR="0016483D" w:rsidRPr="006D7319" w:rsidRDefault="0016483D" w:rsidP="006D7319">
      <w:r w:rsidRPr="006D7319">
        <w:t xml:space="preserve">Arbeidsgruppen er delt i sitt syn på om det er behov for å foreslå en regelendring som åpner for </w:t>
      </w:r>
      <w:proofErr w:type="gramStart"/>
      <w:r w:rsidRPr="006D7319">
        <w:t>innleie</w:t>
      </w:r>
      <w:proofErr w:type="gramEnd"/>
      <w:r w:rsidRPr="006D7319">
        <w:t xml:space="preserve"> av selvstendige rådgivere og konsulenter med eget aksjeselskap. Dersom det blir aktuelt å innføre en slik regelendring, er arbeidsgruppen likevel omforent om at det er viktig at en eventuell regelendring som åpner for </w:t>
      </w:r>
      <w:proofErr w:type="gramStart"/>
      <w:r w:rsidRPr="006D7319">
        <w:t>innleie</w:t>
      </w:r>
      <w:proofErr w:type="gramEnd"/>
      <w:r w:rsidRPr="006D7319">
        <w:t xml:space="preserve"> fra slike virksomheter ikke uthuler arbeidsmiljølovens arbeidstakerbegrep. Det er også viktig at arbeidstakere som allerede har fast ansett</w:t>
      </w:r>
      <w:r w:rsidRPr="006D7319">
        <w:t>else ikke presses til å opprette et aksjeselskap, for deretter å bli leid inn igjen til tidligere arbeidsgiver. På tilsvarende måte bør en eventuell regelendring hindre at arbeidstakere som egentlig skulle hatt fast ansettelse hos oppdragsgiver, presses ut i et innleieforhold.</w:t>
      </w:r>
    </w:p>
    <w:p w14:paraId="0AE4C9AE" w14:textId="3510B641" w:rsidR="0016483D" w:rsidRPr="006D7319" w:rsidRDefault="0016483D" w:rsidP="006D7319">
      <w:r w:rsidRPr="006D7319">
        <w:t xml:space="preserve">En eventuell regelendring som åpner for </w:t>
      </w:r>
      <w:proofErr w:type="gramStart"/>
      <w:r w:rsidRPr="006D7319">
        <w:t>innleie</w:t>
      </w:r>
      <w:proofErr w:type="gramEnd"/>
      <w:r w:rsidRPr="006D7319">
        <w:t xml:space="preserve"> av selvstendige konsulenter og rådgivere må videre utformes på en slik måte at den hindrer overslags</w:t>
      </w:r>
      <w:r w:rsidRPr="006D7319">
        <w:t xml:space="preserve">effekter til andre bransjer, ved at </w:t>
      </w:r>
      <w:r w:rsidRPr="006D7319">
        <w:t xml:space="preserve">grupper uten samme grad av spesialkompetanse, som for </w:t>
      </w:r>
      <w:r w:rsidRPr="006D7319">
        <w:t>eksempel matbud og rengjøringspersonale, blir betegnet som konsulenter og rådgivere for å kunne bli leid inn. Det er derfor viktig at en eventuell regel</w:t>
      </w:r>
      <w:r w:rsidRPr="006D7319">
        <w:t>endring innrammes og avgrenses slik at den blir mest mulig treffsikker.</w:t>
      </w:r>
    </w:p>
    <w:p w14:paraId="0619C0D3" w14:textId="77777777" w:rsidR="0016483D" w:rsidRPr="006D7319" w:rsidRDefault="0016483D" w:rsidP="006D7319">
      <w:pPr>
        <w:pStyle w:val="Overskrift2"/>
      </w:pPr>
      <w:r w:rsidRPr="006D7319">
        <w:t>Adgangen til å inngå selvstendig oppdrag i konsulent- og rådgivernæringen</w:t>
      </w:r>
    </w:p>
    <w:p w14:paraId="2507235D" w14:textId="77777777" w:rsidR="0016483D" w:rsidRPr="006D7319" w:rsidRDefault="0016483D" w:rsidP="006D7319">
      <w:pPr>
        <w:pStyle w:val="Overskrift3"/>
      </w:pPr>
      <w:r w:rsidRPr="006D7319">
        <w:t>Innledning</w:t>
      </w:r>
    </w:p>
    <w:p w14:paraId="1DE46FEB" w14:textId="04ABC395" w:rsidR="0016483D" w:rsidRPr="006D7319" w:rsidRDefault="0016483D" w:rsidP="006D7319">
      <w:r w:rsidRPr="006D7319">
        <w:t>Arbeidsgruppen viser til at endringene i arbeidstaker</w:t>
      </w:r>
      <w:r w:rsidRPr="006D7319">
        <w:t xml:space="preserve">begrepet i arbeidsmiljøloven </w:t>
      </w:r>
      <w:r w:rsidR="006A50F4">
        <w:t>§ </w:t>
      </w:r>
      <w:r w:rsidR="006A50F4" w:rsidRPr="006D7319">
        <w:t>1</w:t>
      </w:r>
      <w:r w:rsidRPr="006D7319">
        <w:t>-8 har tydeliggjort sentrale momenter i vurderingen av hvorvidt det foreligger et arbeidstakerforhold (se punkt 2.2.2). Arbeidstakerbegrepet fungerer som en viktig avgrensning mot selvstendige oppdragstakere, men loven inneholder ikke en nærmere definisjon av hva som positivt kjennetegner et selvstendig oppdrag. Hva som utgjør et selvstendig oppdrag, må derfor motsetningsvis utledes av momentene som taler for et arbeidsforhold.</w:t>
      </w:r>
    </w:p>
    <w:p w14:paraId="5FA648A3" w14:textId="77777777" w:rsidR="0016483D" w:rsidRPr="006D7319" w:rsidRDefault="0016483D" w:rsidP="006D7319">
      <w:r w:rsidRPr="006A50F4">
        <w:rPr>
          <w:rStyle w:val="kursiv"/>
        </w:rPr>
        <w:t xml:space="preserve">Arbeidsgruppen </w:t>
      </w:r>
      <w:r w:rsidRPr="006D7319">
        <w:t xml:space="preserve">mener at det i lys av funnene fra Menon (2025) og eksterne innspill er behov for å se nærmere på hvilken adgang selvstendige konsulenter og rådgivere har til å inngå oppdrag. Som det fremgår av punkt 3.6 om andre land, oppfatter arbeidsgruppen Menon (2025) slik at selvstendige konsulenter og rådgivere i andre nordiske land kan levere oppdrag som har visse likhetstrekk med </w:t>
      </w:r>
      <w:proofErr w:type="gramStart"/>
      <w:r w:rsidRPr="006D7319">
        <w:t>innleie</w:t>
      </w:r>
      <w:proofErr w:type="gramEnd"/>
      <w:r w:rsidRPr="006D7319">
        <w:t>. Uavhengig av arbeidsgruppens vurdering av om eier av eget aksjeselskap kan eller burde kunne leies inn gjennom innleiereglene fo</w:t>
      </w:r>
      <w:r w:rsidRPr="006D7319">
        <w:t>r bemanningsforetak, viser Menon (2025) at mange enpersonsbedrifter benytter seg av oppdragsformen.</w:t>
      </w:r>
    </w:p>
    <w:p w14:paraId="093D6CE2" w14:textId="7CEE4F6F" w:rsidR="0016483D" w:rsidRPr="006D7319" w:rsidRDefault="0016483D" w:rsidP="006D7319">
      <w:r w:rsidRPr="006D7319">
        <w:t xml:space="preserve">Det at grensedragningen mellom arbeidstakerforhold og oppdragsforhold oppleves som vanskelig å trekke, kan etter </w:t>
      </w:r>
      <w:r w:rsidRPr="006A50F4">
        <w:rPr>
          <w:rStyle w:val="kursiv"/>
        </w:rPr>
        <w:t xml:space="preserve">arbeidsgruppens </w:t>
      </w:r>
      <w:r w:rsidRPr="006A50F4">
        <w:rPr>
          <w:rStyle w:val="kursiv"/>
        </w:rPr>
        <w:t>syn</w:t>
      </w:r>
      <w:r w:rsidRPr="006D7319">
        <w:t xml:space="preserve"> medføre at både enpersonsbedrifter og oppdragsgivere unngår å benytte selvstendig oppdrag som kontraktsform, selv om denne kontraktsformen etter gjeldende rett er anvendelig for enpersonsbedrifter.</w:t>
      </w:r>
      <w:r w:rsidR="006A50F4" w:rsidRPr="006A50F4">
        <w:rPr>
          <w:rStyle w:val="Fotnotereferanse"/>
        </w:rPr>
        <w:footnoteReference w:id="123"/>
      </w:r>
      <w:r w:rsidRPr="006D7319">
        <w:t xml:space="preserve"> En effekt av dette er blant annet at mange enpersons</w:t>
      </w:r>
      <w:r w:rsidRPr="006D7319">
        <w:t>bedrifter opplever å bli ekskludert fra å kunne tilby sine tjenester.</w:t>
      </w:r>
    </w:p>
    <w:p w14:paraId="1486E183" w14:textId="248394DD" w:rsidR="0016483D" w:rsidRPr="006D7319" w:rsidRDefault="0016483D" w:rsidP="006D7319">
      <w:r w:rsidRPr="006D7319">
        <w:t>Arbeidsgruppen ser heller ikke bort fra at inn</w:t>
      </w:r>
      <w:r w:rsidRPr="006D7319">
        <w:t xml:space="preserve">føringen av presumsjonsregelen i arbeidsmiljøloven </w:t>
      </w:r>
      <w:r w:rsidR="006A50F4">
        <w:t>§ </w:t>
      </w:r>
      <w:r w:rsidR="006A50F4" w:rsidRPr="006D7319">
        <w:t>1</w:t>
      </w:r>
      <w:r w:rsidRPr="006D7319">
        <w:t>-8 første ledd tredje punktum, som innebærer et forhøyet beviskrav for oppdragsgiver til å bevise oppdragstakerstatus, kan ha medført at oppdragsgivere opplever en økt risiko for eventuell feilklassi</w:t>
      </w:r>
      <w:r w:rsidRPr="006D7319">
        <w:t>fisering dersom oppdragsformen velges.</w:t>
      </w:r>
      <w:r w:rsidR="006A50F4" w:rsidRPr="006A50F4">
        <w:rPr>
          <w:rStyle w:val="Fotnotereferanse"/>
        </w:rPr>
        <w:footnoteReference w:id="124"/>
      </w:r>
      <w:r w:rsidRPr="006D7319">
        <w:t xml:space="preserve"> Dette kan også påvirke motivasjonen til å velge innleie fra bemanningsforetak eller produksjonsbedrifter i stedet for oppdrag fra enpersonsbedrifter, selv i de tilfellene selvstendig oppdrag kunne vært en egnet kontraktsform.</w:t>
      </w:r>
    </w:p>
    <w:p w14:paraId="1586160A" w14:textId="79F2A749" w:rsidR="0016483D" w:rsidRPr="006D7319" w:rsidRDefault="0016483D" w:rsidP="006D7319">
      <w:r w:rsidRPr="006D7319">
        <w:t>På denne bakgrunn mener</w:t>
      </w:r>
      <w:r w:rsidRPr="006A50F4">
        <w:rPr>
          <w:rStyle w:val="kursiv"/>
        </w:rPr>
        <w:t xml:space="preserve"> arbeidsgruppen</w:t>
      </w:r>
      <w:r w:rsidRPr="006D7319">
        <w:t xml:space="preserve"> at det er grunn til å se nærmere på når det etter gjeldende rett er anledning til å inngå selvstendige oppdrag innen konsulent- og rådgivernæringen. Siden grense</w:t>
      </w:r>
      <w:r w:rsidRPr="006D7319">
        <w:t xml:space="preserve">dragningen mellom arbeidstakerforhold og oppdragsforhold beror på en konkret </w:t>
      </w:r>
      <w:r w:rsidRPr="006D7319">
        <w:t xml:space="preserve">skjønnsmessig helhetsvurdering av en rekke momenter som </w:t>
      </w:r>
      <w:proofErr w:type="gramStart"/>
      <w:r w:rsidRPr="006D7319">
        <w:t>fremgår</w:t>
      </w:r>
      <w:proofErr w:type="gramEnd"/>
      <w:r w:rsidRPr="006D7319">
        <w:t xml:space="preserve"> av lov, forarbeider og rettspraksis, mener </w:t>
      </w:r>
      <w:r w:rsidRPr="006A50F4">
        <w:rPr>
          <w:rStyle w:val="kursiv"/>
        </w:rPr>
        <w:t>arbeidsgruppen</w:t>
      </w:r>
      <w:r w:rsidRPr="006D7319">
        <w:t xml:space="preserve"> at det kan være grunn til å </w:t>
      </w:r>
      <w:r w:rsidRPr="006D7319">
        <w:t xml:space="preserve">vurdere nærmere hvordan ulike momenter og hensyn vil gjøre seg gjeldende for tjenesteleveranser i </w:t>
      </w:r>
      <w:r w:rsidRPr="006D7319">
        <w:t xml:space="preserve">konsulent- og rådgivernæringen. Etter </w:t>
      </w:r>
      <w:r w:rsidRPr="006A50F4">
        <w:rPr>
          <w:rStyle w:val="kursiv"/>
        </w:rPr>
        <w:t xml:space="preserve">arbeidsgruppens </w:t>
      </w:r>
      <w:r w:rsidRPr="006A50F4">
        <w:rPr>
          <w:rStyle w:val="kursiv"/>
        </w:rPr>
        <w:t>syn</w:t>
      </w:r>
      <w:r w:rsidRPr="006D7319">
        <w:t xml:space="preserve"> særpreges disse tjenesteleveransene særlig av at oppdrags</w:t>
      </w:r>
      <w:r w:rsidRPr="006D7319">
        <w:t>taker tilbyr en spesialistkompetanse.</w:t>
      </w:r>
    </w:p>
    <w:p w14:paraId="540840FE" w14:textId="350614DA" w:rsidR="0016483D" w:rsidRPr="006D7319" w:rsidRDefault="0016483D" w:rsidP="006D7319">
      <w:r w:rsidRPr="006D7319">
        <w:t xml:space="preserve">Under vil arbeidsgruppen presentere momenter som anses særlig relevante i helhetsvurderingen av om det foreligger et arbeidsforhold eller et selvstendig oppdrag etter arbeidsmiljøloven </w:t>
      </w:r>
      <w:r w:rsidR="006A50F4">
        <w:t>§ </w:t>
      </w:r>
      <w:r w:rsidR="006A50F4" w:rsidRPr="006D7319">
        <w:t>1</w:t>
      </w:r>
      <w:r w:rsidRPr="006D7319">
        <w:t>-8 når den som leverer tjenesten besitter en spesialistkompetanse. Momentene som presenteres er ikke uttømmende.</w:t>
      </w:r>
    </w:p>
    <w:p w14:paraId="5BB2356D" w14:textId="77777777" w:rsidR="0016483D" w:rsidRPr="006D7319" w:rsidRDefault="0016483D" w:rsidP="006D7319">
      <w:pPr>
        <w:pStyle w:val="Overskrift3"/>
      </w:pPr>
      <w:r w:rsidRPr="006D7319">
        <w:t>Sentrale momenter</w:t>
      </w:r>
    </w:p>
    <w:p w14:paraId="5EB878AD" w14:textId="0D7C0AFD" w:rsidR="0016483D" w:rsidRPr="006D7319" w:rsidRDefault="0016483D" w:rsidP="006D7319">
      <w:r w:rsidRPr="006D7319">
        <w:t>I helhetsvurderingen om hvorvidt det foreligger et arbeidstaker- eller oppdragstakerforhold er det flere momenter som er relevante å se hen til. Sentralt er blant annet hvorvidt den arbeidende er underlagt en plikt til å stille sin</w:t>
      </w:r>
      <w:r w:rsidRPr="006A50F4">
        <w:rPr>
          <w:rStyle w:val="kursiv"/>
        </w:rPr>
        <w:t xml:space="preserve"> </w:t>
      </w:r>
      <w:r w:rsidRPr="006D7319">
        <w:t>arbeidskraft løpende til disposisjon, om det foreligger en plikt til å utføre arbeidsoppgavene personlig og om vedkommende er underlagt styring, ledelse og kontroll.</w:t>
      </w:r>
      <w:r w:rsidR="006A50F4" w:rsidRPr="006A50F4">
        <w:rPr>
          <w:rStyle w:val="Fotnotereferanse"/>
        </w:rPr>
        <w:footnoteReference w:id="125"/>
      </w:r>
      <w:r w:rsidRPr="006D7319">
        <w:t xml:space="preserve"> Disse momentene ble inntatt i lovens ordlyd fra 1. januar 2024.</w:t>
      </w:r>
    </w:p>
    <w:p w14:paraId="65FA7C22" w14:textId="05CCAC56" w:rsidR="0016483D" w:rsidRPr="006D7319" w:rsidRDefault="0016483D" w:rsidP="006D7319">
      <w:r w:rsidRPr="006D7319">
        <w:t xml:space="preserve">I forbindelse med presiseringen av ordlyden i </w:t>
      </w:r>
      <w:r w:rsidR="006A50F4">
        <w:t>§ </w:t>
      </w:r>
      <w:r w:rsidR="006A50F4" w:rsidRPr="006D7319">
        <w:t>1</w:t>
      </w:r>
      <w:r w:rsidRPr="006D7319">
        <w:t>-8 første ledd ga flertallet i NOU 2021: 9 en nærmere redegjørelse for innholdet i de ulike momentene.</w:t>
      </w:r>
      <w:r w:rsidR="006A50F4" w:rsidRPr="006A50F4">
        <w:rPr>
          <w:rStyle w:val="Fotnotereferanse"/>
        </w:rPr>
        <w:footnoteReference w:id="126"/>
      </w:r>
      <w:r w:rsidRPr="006D7319">
        <w:t xml:space="preserve"> Når det gjelder momentet om personlig arbeidsplikt fremhevet flertallet at:</w:t>
      </w:r>
    </w:p>
    <w:p w14:paraId="557904C9" w14:textId="17230D22" w:rsidR="0016483D" w:rsidRPr="006A50F4" w:rsidRDefault="0016483D" w:rsidP="006D7319">
      <w:pPr>
        <w:pStyle w:val="blokksit"/>
      </w:pPr>
      <w:r w:rsidRPr="006A50F4">
        <w:t xml:space="preserve">Arbeidsplikten til en arbeidstaker er </w:t>
      </w:r>
      <w:r w:rsidRPr="006A50F4">
        <w:t xml:space="preserve">personlig, og vedkommende kan ikke bruke andre til å utføre arbeidet. En </w:t>
      </w:r>
      <w:r w:rsidRPr="006A50F4">
        <w:t>selvstendig oppdragstaker kan på</w:t>
      </w:r>
      <w:r w:rsidRPr="006A50F4">
        <w:t xml:space="preserve"> sin side som et utgangspunkt fritt benytte andre personer for egen regning i oppdragsleveransen. Det at enkelte selvstendige oppdragstakere, for eksempel en advokat eller snekker, forventes fra kundens side å utføre oppdraget selv, betyr imidlertid ikke at vedkommende er å anse som arbeidstaker av den grunn alene.</w:t>
      </w:r>
      <w:r w:rsidR="006A50F4" w:rsidRPr="006A50F4">
        <w:rPr>
          <w:rStyle w:val="Fotnotereferanse"/>
        </w:rPr>
        <w:footnoteReference w:id="127"/>
      </w:r>
    </w:p>
    <w:p w14:paraId="1EB96418" w14:textId="33D1D75E" w:rsidR="0016483D" w:rsidRPr="006D7319" w:rsidRDefault="0016483D" w:rsidP="006D7319">
      <w:r w:rsidRPr="006D7319">
        <w:t xml:space="preserve">Uttalelsen tilsier at også oppdragstakere kan </w:t>
      </w:r>
      <w:r w:rsidRPr="006D7319">
        <w:t>forventes å utføre arbeidet selv uten at det må bety at vedkommende må regnes som en arbeidstaker.</w:t>
      </w:r>
      <w:r w:rsidR="006A50F4" w:rsidRPr="006A50F4">
        <w:rPr>
          <w:rStyle w:val="Fotnotereferanse"/>
        </w:rPr>
        <w:footnoteReference w:id="128"/>
      </w:r>
      <w:r w:rsidRPr="006D7319">
        <w:t xml:space="preserve"> Dette vil typisk kunne være tilfellet for selvstendige konsulenter og rådgivere som har fått </w:t>
      </w:r>
      <w:r w:rsidRPr="006D7319">
        <w:t xml:space="preserve">oppdraget begrunnet i sin særlige kompetanse innen det aktuelle fagfeltet. At det foreligger en slik </w:t>
      </w:r>
      <w:r w:rsidRPr="006D7319">
        <w:t xml:space="preserve">personlig arbeidsplikt i slike typer oppdrag, er ikke i seg selv til hinder for at tjenesten kan leveres som et </w:t>
      </w:r>
      <w:r w:rsidRPr="006D7319">
        <w:t>selvstendig oppdrag.</w:t>
      </w:r>
      <w:r w:rsidR="006A50F4" w:rsidRPr="006A50F4">
        <w:rPr>
          <w:rStyle w:val="Fotnotereferanse"/>
        </w:rPr>
        <w:footnoteReference w:id="129"/>
      </w:r>
    </w:p>
    <w:p w14:paraId="4941B4B9" w14:textId="75A0F7CA" w:rsidR="0016483D" w:rsidRPr="006D7319" w:rsidRDefault="0016483D" w:rsidP="006D7319">
      <w:r w:rsidRPr="006D7319">
        <w:t>Videre beskriver flertallet i NOU 2021: 9 momentet om å stille sin arbeidskraft til disposisjon i mot</w:t>
      </w:r>
      <w:r w:rsidRPr="006D7319">
        <w:t>setning til å levere en resultatforpliktelse slik:</w:t>
      </w:r>
    </w:p>
    <w:p w14:paraId="78BF0C66" w14:textId="32D7A0DB" w:rsidR="0016483D" w:rsidRPr="006A50F4" w:rsidRDefault="0016483D" w:rsidP="006D7319">
      <w:pPr>
        <w:pStyle w:val="blokksit"/>
      </w:pPr>
      <w:r w:rsidRPr="006A50F4">
        <w:t xml:space="preserve">Arbeidstakeren stiller seg og sin </w:t>
      </w:r>
      <w:r w:rsidRPr="006A50F4">
        <w:t xml:space="preserve">personlige arbeidskraft og kompetanse løpende til disposisjon, og arbeidsgiver står </w:t>
      </w:r>
      <w:r w:rsidRPr="006A50F4">
        <w:t xml:space="preserve">innenfor </w:t>
      </w:r>
      <w:r w:rsidRPr="006A50F4">
        <w:t xml:space="preserve">rammen av lov- og avtaleverk og styringsrett, fritt til å benytte arbeidstakers arbeidskraft. Arbeidsgiveren bærer risikoen for arbeidsresultatet. En selvstendig oppdragstaker stiller på sin side ikke nødvendigvis med sin personlige arbeidskraft, men med en resultatforpliktelse. Tilbyr </w:t>
      </w:r>
      <w:proofErr w:type="spellStart"/>
      <w:r w:rsidRPr="006A50F4">
        <w:t>man</w:t>
      </w:r>
      <w:proofErr w:type="spellEnd"/>
      <w:r w:rsidRPr="006A50F4">
        <w:t xml:space="preserve"> som selvstendig oppdragstaker en spesialkompetanse, velges man også ofte ut fra en forventning om at man stiller sin personlige arbeidskraft/kunnskaper på området til disposisjon. Likevel anses slike tilfeller ikke å fall</w:t>
      </w:r>
      <w:r w:rsidRPr="006A50F4">
        <w:t>e inn under dette momentet fordi det er leveransen av en resultatforpliktelse på grunn av spesialistkompetansen som overordnet etterspørres. Selvstendige oppdragstakere, også de med spesialistkompetanse, vil måtte stå til ansvar og bære risikoen for et kontraktsmessig resultat.</w:t>
      </w:r>
      <w:r w:rsidR="006A50F4" w:rsidRPr="006A50F4">
        <w:rPr>
          <w:rStyle w:val="Fotnotereferanse"/>
        </w:rPr>
        <w:footnoteReference w:id="130"/>
      </w:r>
    </w:p>
    <w:p w14:paraId="544B942C" w14:textId="4DFFC0FD" w:rsidR="0016483D" w:rsidRPr="006D7319" w:rsidRDefault="0016483D" w:rsidP="006D7319">
      <w:r w:rsidRPr="006D7319">
        <w:t>Som det fremgår av det siterte, åpner uttalelsen opp for at en konsulent eller rådgiver med spesialistkompetanse kan stille sin personlige arbeidskraft til disposisjon, uten at det nødvendigvis vil innebære at det foreligger et arbeidsforhold, såfremt leveransen av selve spesialistkompetansen utgjør en resultatforpliktelse i slike tilfeller.</w:t>
      </w:r>
      <w:r w:rsidR="006A50F4" w:rsidRPr="006A50F4">
        <w:rPr>
          <w:rStyle w:val="Fotnotereferanse"/>
        </w:rPr>
        <w:footnoteReference w:id="131"/>
      </w:r>
      <w:r w:rsidRPr="006D7319">
        <w:t xml:space="preserve"> I rettspraksis finnes det eksempler på at fravær av resultatansvar ikke nødvendigvis utelukker status som oppdragstaker.</w:t>
      </w:r>
      <w:r w:rsidR="006A50F4" w:rsidRPr="006A50F4">
        <w:rPr>
          <w:rStyle w:val="Fotnotereferanse"/>
        </w:rPr>
        <w:footnoteReference w:id="132"/>
      </w:r>
      <w:r w:rsidRPr="006D7319">
        <w:t xml:space="preserve"> Dette vil for eksempel ofte være tilfelle for advokater.</w:t>
      </w:r>
    </w:p>
    <w:p w14:paraId="72804435" w14:textId="24BC7F54" w:rsidR="0016483D" w:rsidRPr="006D7319" w:rsidRDefault="0016483D" w:rsidP="006D7319">
      <w:r w:rsidRPr="006D7319">
        <w:t xml:space="preserve">Når det gjelder momentet om at den arbeidende er underordnet styring, ledelse og kontroll, er det i forarbeidene til </w:t>
      </w:r>
      <w:r w:rsidR="006A50F4">
        <w:t>§ </w:t>
      </w:r>
      <w:r w:rsidR="006A50F4" w:rsidRPr="006D7319">
        <w:t>1</w:t>
      </w:r>
      <w:r w:rsidRPr="006D7319">
        <w:t>-8 gitt følgende redegjørelse for grensen mot oppdragsforhold:</w:t>
      </w:r>
    </w:p>
    <w:p w14:paraId="3DC5987E" w14:textId="6B628DCD" w:rsidR="0016483D" w:rsidRPr="006A50F4" w:rsidRDefault="0016483D" w:rsidP="006D7319">
      <w:pPr>
        <w:pStyle w:val="blokksit"/>
      </w:pPr>
      <w:r w:rsidRPr="006A50F4">
        <w:t>Selv om mange arbeidstakere i praksis har stor grad av autonomi i arbeidsutførelsen og fleksible arbeidsordninger, er det til syvende og sist arbeidsgiveren som har myndighet til å bestemme hva som skal gjøres, samt hvordan, hvor og når arbeidet skal foregå. Arbeidsgiveren kan også innenfor styrings</w:t>
      </w:r>
      <w:r w:rsidRPr="006A50F4">
        <w:t xml:space="preserve">rettens rammer bestemme endringer i arbeidsoppgaver, arbeidstider mv. Slik adgang til å drive overordnet styring, ledelse og kontroll av arbeidet vil tale sterkt for at det foreligger et arbeidsforhold. Styring, ledelse og kontroll henviser til ulike sider av arbeidsgivers styringsrett, både overordnet styring og organisering, samt mer konkret ledelse og oppfølging av de enkelte arbeidende. I tillegg omfatter det oppsyn og etterfølgende kontroll. Det er nok at arbeidsgiveren rettslig sett har myndighet til </w:t>
      </w:r>
      <w:r w:rsidRPr="006A50F4">
        <w:t>å drive slik styring, ledelse og kontroll. Det er ikke krav om faktisk utøvelse av styringsretten, jf. HR-2016-1366-A (Avlaster II).</w:t>
      </w:r>
    </w:p>
    <w:p w14:paraId="607801B3" w14:textId="77777777" w:rsidR="0016483D" w:rsidRPr="006A50F4" w:rsidRDefault="0016483D" w:rsidP="004411CF">
      <w:pPr>
        <w:pStyle w:val="blokksit"/>
      </w:pPr>
      <w:r w:rsidRPr="006A50F4">
        <w:t>[…]</w:t>
      </w:r>
    </w:p>
    <w:p w14:paraId="76E60764" w14:textId="1C5FEB8D" w:rsidR="0016483D" w:rsidRPr="006A50F4" w:rsidRDefault="0016483D" w:rsidP="006D7319">
      <w:pPr>
        <w:pStyle w:val="blokksit"/>
      </w:pPr>
      <w:r w:rsidRPr="006A50F4">
        <w:t xml:space="preserve">En oppdragsgiver har ingen tilsvarende </w:t>
      </w:r>
      <w:r w:rsidRPr="006A50F4">
        <w:t xml:space="preserve">styringsrett overfor en oppdragstaker. Oppdragsgiver kan heller ikke uten videre </w:t>
      </w:r>
      <w:r w:rsidRPr="006A50F4">
        <w:t xml:space="preserve">ensidig foreta endringer i avtalen underveis. En selvstendig oppdragstaker står innenfor rammen av avtalen fritt til å utføre </w:t>
      </w:r>
      <w:r w:rsidRPr="006A50F4">
        <w:t>oppdraget uten oppdragsgivers innblanding og føringer, og kan innenfor rammen av avtalen legge opp arbeidstid, arbeidsfri og arbeidsutførelse etter egen vilje. Realiteten i denne selvstendigheten og friheten må likevel vurderes. Det kan ligge mindre reell frihet og selvstendighet i en oppdragsavtale som er inngått i mangel av andre sysselsettings</w:t>
      </w:r>
      <w:r w:rsidRPr="006A50F4">
        <w:t>muligheter for sårbare personer med margi</w:t>
      </w:r>
      <w:r w:rsidRPr="006A50F4">
        <w:t>nal tilknytning til arbeidsmarkedet, enn for etablerte utøvere. I denne sammenheng kan det være relevant å se hen til om vedkommende kan takke nei til oppdrag, og om vedkommende reelt sett har mulighet til å tilby sine tjenester til andre.</w:t>
      </w:r>
      <w:r w:rsidR="006A50F4" w:rsidRPr="006A50F4">
        <w:rPr>
          <w:rStyle w:val="Fotnotereferanse"/>
        </w:rPr>
        <w:footnoteReference w:id="133"/>
      </w:r>
    </w:p>
    <w:p w14:paraId="71B67F96" w14:textId="0E553504" w:rsidR="0016483D" w:rsidRPr="006D7319" w:rsidRDefault="0016483D" w:rsidP="006D7319">
      <w:r w:rsidRPr="006D7319">
        <w:t>Også dette momentet kan tilsi at mer etablerte og erfarne konsulenter og rådgivere som arbeider relativt selvstendig, kan takke nei til oppdrag, og som reelt sett har mulighet til å tilby sine tjenester til andre, i mindre grad vil anses for å være underordnet styring, ledelse og kontroll. Selv om også oppdragstakere må forholde seg til de kontraktsrettslige rammene for oppdraget, og eventuelt kundens retningslinjer og visse instruksjoner, vil ikke dette nødvendigvis innebære at oppdragsgiver utøver styring</w:t>
      </w:r>
      <w:r w:rsidRPr="006D7319">
        <w:t>, ledelse og kontroll på en slik måte at det er tale om et arbeidsforhold.</w:t>
      </w:r>
      <w:r w:rsidR="006A50F4" w:rsidRPr="006A50F4">
        <w:rPr>
          <w:rStyle w:val="Fotnotereferanse"/>
        </w:rPr>
        <w:footnoteReference w:id="134"/>
      </w:r>
      <w:r w:rsidRPr="006D7319">
        <w:t xml:space="preserve"> Spørsmålet om vedkommende er underlagt styring, ledelse og kontroll på en slik måte at det taler for et arbeidsforhold, vil naturligvis måtte vurderes konkret ut fra graden av kontroll som utøves.</w:t>
      </w:r>
    </w:p>
    <w:p w14:paraId="01498BDE" w14:textId="77777777" w:rsidR="0016483D" w:rsidRPr="006D7319" w:rsidRDefault="0016483D" w:rsidP="006D7319">
      <w:pPr>
        <w:pStyle w:val="Overskrift3"/>
      </w:pPr>
      <w:r w:rsidRPr="006D7319">
        <w:t>Øvrige momenter</w:t>
      </w:r>
    </w:p>
    <w:p w14:paraId="7D876630" w14:textId="77777777" w:rsidR="0016483D" w:rsidRPr="006D7319" w:rsidRDefault="0016483D" w:rsidP="006D7319">
      <w:r w:rsidRPr="006D7319">
        <w:t>I NOU 2021: 9 har flertallet også fremhevet andre momenter som er egnet til å skille arbeidstakere fra selvstendige oppdragstakere. Et slikt moment er om tilknytningsforholdet er stabilt, og/eller hvorvidt det arbeides hovedsakelig for én arbeidsgiver. Om dette skriver flertallet:</w:t>
      </w:r>
    </w:p>
    <w:p w14:paraId="4E683586" w14:textId="5028477E" w:rsidR="0016483D" w:rsidRPr="006A50F4" w:rsidRDefault="0016483D" w:rsidP="006D7319">
      <w:pPr>
        <w:pStyle w:val="blokksit"/>
      </w:pPr>
      <w:r w:rsidRPr="006A50F4">
        <w:t>Det å utføre arbeid for i hovedsak én oppdragsgiver, særlig hvis arbeidet er stabilt og noenlunde fast over tid, på fulltid, uten mulighet til å ta annet arbeid, kan tilsi øk</w:t>
      </w:r>
      <w:r w:rsidRPr="006A50F4">
        <w:t>onomisk avhengighet. Slike oppdragsforhold kan indikere en skjevhet i avtaleforholdet, og det bør vurderes om det foreligger en avhengighet som tilsier arbeidstakerstatus. En selvstendig oppdragstaker inngår på den annen side gjerne mer sporadiske, tilfeldige og/eller kortvarige oppdragsforhold, selv om det også er oppdragstakere som har få oppdragsgivere for eksempel fordi kundekretsen er liten ut fra spesialistkompetanse man besitter. En oppdragstaker kan imidler</w:t>
      </w:r>
      <w:r w:rsidRPr="006A50F4">
        <w:t xml:space="preserve">tid normalt bygge egne kundeporteføljer og påta seg de oppdrag vedkommende selv vil, for eksempel innenfor profesjonsbaserte etiske regler. Samtidig kan også oppdragsforhold ha en lengre og mer fast </w:t>
      </w:r>
      <w:r w:rsidRPr="006A50F4">
        <w:t>karakter, for eksempel ved at et spesifikt arbeid skal sluttføres, slik at dette ikke utelukker oppdragsforhold.</w:t>
      </w:r>
      <w:r w:rsidR="006A50F4" w:rsidRPr="006A50F4">
        <w:rPr>
          <w:rStyle w:val="Fotnotereferanse"/>
        </w:rPr>
        <w:footnoteReference w:id="135"/>
      </w:r>
    </w:p>
    <w:p w14:paraId="0EDA4540" w14:textId="77777777" w:rsidR="0016483D" w:rsidRPr="006D7319" w:rsidRDefault="0016483D" w:rsidP="006D7319">
      <w:r w:rsidRPr="006D7319">
        <w:t>I uttalelsen pekes det på at det forhold at en oppdragstaker har en relativt stabil tilknytning til en liten kundekrets eller at oppdragene varer lengre og er av en mer fast karakter, ikke nødvendigvis utelukker at det kan være tale om et selvstendig oppdragsforhold.</w:t>
      </w:r>
    </w:p>
    <w:p w14:paraId="669F6D7B" w14:textId="3A9FFBE8" w:rsidR="0016483D" w:rsidRPr="006D7319" w:rsidRDefault="0016483D" w:rsidP="006D7319">
      <w:r w:rsidRPr="006D7319">
        <w:t>I lys av samfunnsutviklingen tilførte flertallet i NOU 2021: 9 to ytterligere momenter som kan være relevante i vurderingen – om vedkommende har mulighet til å forhandle om egne vilkår og arbeidets art.</w:t>
      </w:r>
      <w:r w:rsidR="006A50F4" w:rsidRPr="006A50F4">
        <w:rPr>
          <w:rStyle w:val="Fotnotereferanse"/>
        </w:rPr>
        <w:footnoteReference w:id="136"/>
      </w:r>
      <w:r w:rsidRPr="006D7319">
        <w:t xml:space="preserve"> Arbeidsgruppen viser til flertallets begrunnelse for å fremheve forhandlingsposisjon som et eget moment:</w:t>
      </w:r>
    </w:p>
    <w:p w14:paraId="0D380198" w14:textId="3E786FCE" w:rsidR="0016483D" w:rsidRPr="006A50F4" w:rsidRDefault="0016483D" w:rsidP="006D7319">
      <w:pPr>
        <w:pStyle w:val="blokksit"/>
      </w:pPr>
      <w:r w:rsidRPr="006A50F4">
        <w:t>Forhandlingsmakten mellom partene kan si noe om styrkeforholdene og vernebehovet, og kan ha betydning for om det er tale om et arbeidsforhold. Det er flere forhold som avgjør om, og i hvilken grad, den som utfører arbeidet kan forhandle prisen på sitt arbeid eller andre vilkår, eksempelvis markeds</w:t>
      </w:r>
      <w:r w:rsidRPr="006A50F4">
        <w:t>situasjonen, om vedkommende har etterspurt kompetanse mv. Momentet innebærer ikke at den som utfører arbeid som kan forhandle på pris, automatisk må betraktes som selvstendig oppdragstaker. Også arbeidstakere kan i mange tilfeller ha reelle forhandlinger om lønn og inntekt. Og motsatt kan det være etablerte selvstendige oppdragstakere som må akseptere markedsprisen uten at det skjer reelle forhandlinger. Oppdragsforhold hvor oppdragstaker ikke har mulighet til å forhandle egne vilkår, men hvor disse er ensi</w:t>
      </w:r>
      <w:r w:rsidRPr="006A50F4">
        <w:t>dig fastsatt av den konkrete oppdragsgiver, kan imidlertid tilsi et økonomisk avhengighetsforhold. Eksempelvis vil plattformarbeidere uten mulighet til å fastsette egne priser ut mot kunder, eller egne vilkår vis-à-vis plattformen, kunne tenkes å ha et vernebehov i denne sammenheng.</w:t>
      </w:r>
      <w:r w:rsidR="006A50F4" w:rsidRPr="006A50F4">
        <w:rPr>
          <w:rStyle w:val="Fotnotereferanse"/>
        </w:rPr>
        <w:footnoteReference w:id="137"/>
      </w:r>
    </w:p>
    <w:p w14:paraId="38A1EC00" w14:textId="59F6E59A" w:rsidR="0016483D" w:rsidRPr="006D7319" w:rsidRDefault="0016483D" w:rsidP="006D7319">
      <w:r w:rsidRPr="006A50F4">
        <w:rPr>
          <w:rStyle w:val="kursiv"/>
        </w:rPr>
        <w:t>Arbeidsgruppen</w:t>
      </w:r>
      <w:r w:rsidRPr="006D7319">
        <w:t xml:space="preserve"> mener at momentet kan være relevant særlig for selvstendige konsulenter og råd</w:t>
      </w:r>
      <w:r w:rsidRPr="006D7319">
        <w:t>givere som har en god forhandlingsposisjon, blant annet på grunn av sin etterspurte kompetanse på markedet. Slike konsulenter og rådgivere vil ofte kunne forhandle frem gode vilkår for oppdraget, og vil slik sett ikke ha det samme behovet for vern som oppdragsforhold preget av et skjevt styrkeforhold mellom kontraktspartene.</w:t>
      </w:r>
      <w:r w:rsidR="006A50F4" w:rsidRPr="006A50F4">
        <w:rPr>
          <w:rStyle w:val="Fotnotereferanse"/>
        </w:rPr>
        <w:footnoteReference w:id="138"/>
      </w:r>
    </w:p>
    <w:p w14:paraId="36E7964A" w14:textId="37D441AF" w:rsidR="0016483D" w:rsidRPr="006D7319" w:rsidRDefault="0016483D" w:rsidP="006D7319">
      <w:r w:rsidRPr="006D7319">
        <w:t>Videre viser arbeidsgruppen til flertallets rede</w:t>
      </w:r>
      <w:r w:rsidRPr="006D7319">
        <w:t>gjørelse for betydningen av arbeidets art i tvils- og gråsonetilfeller:</w:t>
      </w:r>
    </w:p>
    <w:p w14:paraId="6D7D6A00" w14:textId="1D5756F0" w:rsidR="0016483D" w:rsidRPr="006A50F4" w:rsidRDefault="0016483D" w:rsidP="006D7319">
      <w:pPr>
        <w:pStyle w:val="blokksit"/>
      </w:pPr>
      <w:r w:rsidRPr="006A50F4">
        <w:t xml:space="preserve">I tvils- og gråsonetilfeller vil det være relevant å se hen til om arbeidet som utføres er innenfor virksomhetens </w:t>
      </w:r>
      <w:r w:rsidRPr="006A50F4">
        <w:t xml:space="preserve">kjernevirksomhet og dermed gjelder virksomhetens </w:t>
      </w:r>
      <w:r w:rsidRPr="006A50F4">
        <w:t xml:space="preserve">permanente og ordinære </w:t>
      </w:r>
      <w:r w:rsidRPr="006A50F4">
        <w:t>arbeidskraftsbehov, herunder om tilsvarende arbeid utføres, eller burde utføres, av andre arbeidstakere i virksom</w:t>
      </w:r>
      <w:r w:rsidRPr="006A50F4">
        <w:t>heten. Dette momentet kan etter omstendig</w:t>
      </w:r>
      <w:r w:rsidRPr="006A50F4">
        <w:t>hetene tale for at det foreligger et arbeidsforhold. Dersom arbeids</w:t>
      </w:r>
      <w:r w:rsidRPr="006A50F4">
        <w:t xml:space="preserve">personen utfører arbeid som skiller seg fra det som hører under virksomhetens permanente og ordinære </w:t>
      </w:r>
      <w:r w:rsidRPr="006A50F4">
        <w:t xml:space="preserve">arbeidskraftsbehov, kan det tale for at vedkommende er selvstendig </w:t>
      </w:r>
      <w:r w:rsidRPr="006A50F4">
        <w:t>oppdragstaker. Det vil variere ut fra de konkrete saksforhold om momentet er relevant og hvor stor vekt dette momentet skal ha.</w:t>
      </w:r>
      <w:r w:rsidR="006A50F4" w:rsidRPr="006A50F4">
        <w:rPr>
          <w:rStyle w:val="Fotnotereferanse"/>
        </w:rPr>
        <w:footnoteReference w:id="139"/>
      </w:r>
    </w:p>
    <w:p w14:paraId="7F586906" w14:textId="105D1328" w:rsidR="0016483D" w:rsidRPr="006D7319" w:rsidRDefault="0016483D" w:rsidP="006D7319">
      <w:r w:rsidRPr="006A50F4">
        <w:rPr>
          <w:rStyle w:val="kursiv"/>
        </w:rPr>
        <w:t>Arbeidsgruppen</w:t>
      </w:r>
      <w:r w:rsidRPr="006D7319">
        <w:t xml:space="preserve"> mener at dette momentet vil kunne ha betydning i tilfeller hvor konsulenten eller råd</w:t>
      </w:r>
      <w:r w:rsidRPr="006D7319">
        <w:t xml:space="preserve">giveren besitter en spesialistkompetanse som </w:t>
      </w:r>
      <w:r w:rsidRPr="006D7319">
        <w:t xml:space="preserve">skiller seg fra den kompetansen det er løpende behov for i virksomheten. Dette kan være begrunnet i at </w:t>
      </w:r>
      <w:r w:rsidRPr="006D7319">
        <w:t>behovet for ekspertisen er avgrenset til ett prosjekt eller et begrenset tidsrom, og at konsulenten eller rådgiveren derfor bidrar med noe mer eller annet, på grunn av sin ekspertise, erfaring mv., enn hva oppdragsgivers egne ansatte normalt utfører.</w:t>
      </w:r>
    </w:p>
    <w:p w14:paraId="7DC20216" w14:textId="77777777" w:rsidR="0016483D" w:rsidRPr="006D7319" w:rsidRDefault="0016483D" w:rsidP="006D7319">
      <w:pPr>
        <w:pStyle w:val="Overskrift3"/>
      </w:pPr>
      <w:r w:rsidRPr="006D7319">
        <w:t>Helhetsvurderingen</w:t>
      </w:r>
    </w:p>
    <w:p w14:paraId="16D71063" w14:textId="743560E3" w:rsidR="0016483D" w:rsidRPr="006D7319" w:rsidRDefault="0016483D" w:rsidP="006D7319">
      <w:r w:rsidRPr="006D7319">
        <w:t>Vurderingen av om det foreligger et arbeidstakerforhold eller et selvstendig oppdragsforhold, beror på en formålsorientert helhetsvurdering av blant annet ovennevnte momenter og hvor graden av behov for vern står sentralt.</w:t>
      </w:r>
      <w:r w:rsidR="006A50F4" w:rsidRPr="006A50F4">
        <w:rPr>
          <w:rStyle w:val="Fotnotereferanse"/>
        </w:rPr>
        <w:footnoteReference w:id="140"/>
      </w:r>
      <w:r w:rsidRPr="006D7319">
        <w:t xml:space="preserve"> Et sær</w:t>
      </w:r>
      <w:r w:rsidRPr="006D7319">
        <w:t>trekk ved arbeidsavtalen er arbeidstakerens avhengige stilling overfor arbeidsgiveren. Arbeidstakeren er normalt økonomisk avhengig som lønnsmottaker og står i et organisatorisk avhengighetsforhold som innebærer underordning i forhold til arbeidsgiver.</w:t>
      </w:r>
      <w:r w:rsidR="006A50F4" w:rsidRPr="006A50F4">
        <w:rPr>
          <w:rStyle w:val="Fotnotereferanse"/>
        </w:rPr>
        <w:footnoteReference w:id="141"/>
      </w:r>
      <w:r w:rsidRPr="006D7319">
        <w:t xml:space="preserve"> Vurder</w:t>
      </w:r>
      <w:r w:rsidRPr="006D7319">
        <w:t xml:space="preserve">ingen må derfor gjøres basert på om relasjonen </w:t>
      </w:r>
      <w:r w:rsidRPr="006D7319">
        <w:t>mellom partene samlet sett bærer preg av avhengighet, underordning og skjevhet i styrkeforholdet på den ene siden, eller uavhengighet og selvstendighet på den andre siden.</w:t>
      </w:r>
      <w:r w:rsidR="006A50F4" w:rsidRPr="006A50F4">
        <w:rPr>
          <w:rStyle w:val="Fotnotereferanse"/>
        </w:rPr>
        <w:footnoteReference w:id="142"/>
      </w:r>
    </w:p>
    <w:p w14:paraId="539C6C52" w14:textId="25C9B901" w:rsidR="0016483D" w:rsidRPr="006D7319" w:rsidRDefault="0016483D" w:rsidP="006D7319">
      <w:r w:rsidRPr="006D7319">
        <w:t>Videre skal det reelle vernebehovet fastlegges ut fra objektive kjennetegn ved arbeidsrelasjonen, for eksempel ut fra de oppgavene som skal utføres og hvordan arbeidet er organisert, og ikke ut fra om subjektive kjennetegn ved personen på et individuelt plan tilsier et vernebehov.</w:t>
      </w:r>
      <w:r w:rsidR="006A50F4" w:rsidRPr="006A50F4">
        <w:rPr>
          <w:rStyle w:val="Fotnotereferanse"/>
        </w:rPr>
        <w:footnoteReference w:id="143"/>
      </w:r>
      <w:r w:rsidRPr="006D7319">
        <w:t xml:space="preserve"> Dersom subjektive forhold hos den enkelte tjenesteyter skulle fått betydning for vurderingen, ville det åp</w:t>
      </w:r>
      <w:r w:rsidRPr="006D7319">
        <w:t>net for at samme type arbeid i samme virksomhet bedømmes ulikt.</w:t>
      </w:r>
      <w:r w:rsidR="006A50F4" w:rsidRPr="006A50F4">
        <w:rPr>
          <w:rStyle w:val="Fotnotereferanse"/>
        </w:rPr>
        <w:footnoteReference w:id="144"/>
      </w:r>
    </w:p>
    <w:p w14:paraId="32F47522" w14:textId="77777777" w:rsidR="0016483D" w:rsidRPr="006D7319" w:rsidRDefault="0016483D" w:rsidP="006D7319">
      <w:r w:rsidRPr="006D7319">
        <w:t xml:space="preserve">Selv om vurderingen av om det foreligger et arbeidsforhold eller et oppdragsforhold vil bero på en konkret helhetsvurdering i det enkelte tilfellet, mener </w:t>
      </w:r>
      <w:r w:rsidRPr="006A50F4">
        <w:rPr>
          <w:rStyle w:val="kursiv"/>
        </w:rPr>
        <w:t>arbeidsgruppen</w:t>
      </w:r>
      <w:r w:rsidRPr="006D7319">
        <w:t xml:space="preserve"> at det kan være enkelte kjennetegn ved selvstendige konsulenter og rådgivere med spesialistkompetanse innen ulike fagfelt som kan tilsi at behovet for vern ikke gjør seg gjeldende på samme måte som for andre arbeidende personer. Dette vil først og fremst kunne få betydning dersom vurderingen ut fra de sentrale momentene byr på tvil.</w:t>
      </w:r>
    </w:p>
    <w:p w14:paraId="673E700B" w14:textId="2F540C35" w:rsidR="0016483D" w:rsidRPr="006D7319" w:rsidRDefault="0016483D" w:rsidP="006D7319">
      <w:r w:rsidRPr="006D7319">
        <w:t>I denne forbindelse vil arbeidsgruppen for det første peke på at konsulenter og rådgivere med spesialkompetanse som har en sterk forhandlingsposisjon i kraft av sin ettertrakte</w:t>
      </w:r>
      <w:r w:rsidRPr="006D7319">
        <w:t>de kompetanse, i mindre grad vil kunne oppleve den tradisjonelle ubalansen som kjennetegner et arbeidsforhold, i motsetning til andre arbeidende grupper slik som noen typer plattformarbeidere.</w:t>
      </w:r>
      <w:r w:rsidR="006A50F4" w:rsidRPr="006A50F4">
        <w:rPr>
          <w:rStyle w:val="Fotnotereferanse"/>
        </w:rPr>
        <w:footnoteReference w:id="145"/>
      </w:r>
      <w:r w:rsidRPr="006D7319">
        <w:t xml:space="preserve"> Forhandlingsposisjonen kan innebære at konsulentene og rådgiverne får fremforhandlet gode rammevilkår for oppdraget, som blant annet gir fleksibilitet og bedre inntjening enn tilsvarende faste eller midlertidige stillinger hos oppdragsgiver. Som det </w:t>
      </w:r>
      <w:proofErr w:type="gramStart"/>
      <w:r w:rsidRPr="006D7319">
        <w:t>fremgår</w:t>
      </w:r>
      <w:proofErr w:type="gramEnd"/>
      <w:r w:rsidRPr="006D7319">
        <w:t xml:space="preserve"> av Menon (2025), er fleksibilitet og bedre inntjening trukket frem som en av årsakene til at flere rådgivere og konsulenter ønsker å organisere seg som selvstendig nærings</w:t>
      </w:r>
      <w:r w:rsidRPr="006D7319">
        <w:t>drivende i eget selskap og ikke ønsker ansettelse hos oppdragsgiver.</w:t>
      </w:r>
    </w:p>
    <w:p w14:paraId="615D35E7" w14:textId="4666C087" w:rsidR="0016483D" w:rsidRPr="006D7319" w:rsidRDefault="0016483D" w:rsidP="006D7319">
      <w:r w:rsidRPr="006D7319">
        <w:t>For det andre vil arbeidsgruppen peke på at konsulenter og rådgivere som selv kan velge om de vil påta seg et oppdrag og arbeider for flere ulike oppdragsgivere, ofte kjennetegnes av en selvstendighet og uavhengighet som tilsier mindre behov for vern.</w:t>
      </w:r>
      <w:r w:rsidR="006A50F4" w:rsidRPr="006A50F4">
        <w:rPr>
          <w:rStyle w:val="Fotnotereferanse"/>
        </w:rPr>
        <w:footnoteReference w:id="146"/>
      </w:r>
      <w:r w:rsidRPr="006D7319">
        <w:t xml:space="preserve"> Erfarne og etablerte rådgivere og konsulenter vil antagelig oftere kunne kjennetegnes av ovennevnte trekk, enn nyutdannede eller uerfarne. Samtidig ser ikke arbeidsgruppen bort fra at nyutdannede konsulenter eller rådgivere kan besitte en etterspurt kompetanse, som setter dem i tilsvarende posisjoner som mer erfarne og etablerte tjenesteytere.</w:t>
      </w:r>
    </w:p>
    <w:p w14:paraId="4FE9CBF0" w14:textId="77777777" w:rsidR="0016483D" w:rsidRPr="006D7319" w:rsidRDefault="0016483D" w:rsidP="006D7319">
      <w:r w:rsidRPr="006D7319">
        <w:t>Arbeidsgruppen vil også peke på at dersom konsulenter og rådgivere har organisert virksomheten sin i eget aksjeselskap, vil organisasjonsformen kunne bidra til å sik</w:t>
      </w:r>
      <w:r w:rsidRPr="006D7319">
        <w:t>re at visse faktiske vernebehov sikres, jf. punkt 2.3.2.</w:t>
      </w:r>
    </w:p>
    <w:p w14:paraId="57419B0A" w14:textId="77777777" w:rsidR="0016483D" w:rsidRPr="006D7319" w:rsidRDefault="0016483D" w:rsidP="006D7319">
      <w:r w:rsidRPr="006D7319">
        <w:t xml:space="preserve">Etter </w:t>
      </w:r>
      <w:r w:rsidRPr="006A50F4">
        <w:rPr>
          <w:rStyle w:val="kursiv"/>
        </w:rPr>
        <w:t xml:space="preserve">arbeidsgruppens </w:t>
      </w:r>
      <w:r w:rsidRPr="006A50F4">
        <w:rPr>
          <w:rStyle w:val="kursiv"/>
        </w:rPr>
        <w:t>oppfatning</w:t>
      </w:r>
      <w:r w:rsidRPr="006D7319">
        <w:t xml:space="preserve"> vil konsulenter og rådgivere med ovennevnte kjennetegn kunne ha mindre behov for arbeidsrettslig vern i relasjonen til kunden enn andre arbeidende grupper. I de tilfellene der vurderingen av flere sentrale momenter byr på tvil, vil et mindre fremtredende vernebehov etter </w:t>
      </w:r>
      <w:r w:rsidRPr="006D7319">
        <w:t>arbeidsgruppens</w:t>
      </w:r>
      <w:r w:rsidRPr="006D7319">
        <w:t xml:space="preserve"> syn kunne tale for et større handlingsrom til å inngå avtaler om selvstendig oppdrag enn det som virker å være oppfatningen blant aktørene i markedet.</w:t>
      </w:r>
    </w:p>
    <w:p w14:paraId="0AE5BB35" w14:textId="77777777" w:rsidR="0016483D" w:rsidRPr="006D7319" w:rsidRDefault="0016483D" w:rsidP="006D7319">
      <w:pPr>
        <w:pStyle w:val="Overskrift2"/>
      </w:pPr>
      <w:r w:rsidRPr="006D7319">
        <w:t>Arbeidsgruppens vurdering av tiltak</w:t>
      </w:r>
    </w:p>
    <w:p w14:paraId="2A4B9B4D" w14:textId="77777777" w:rsidR="0016483D" w:rsidRPr="006D7319" w:rsidRDefault="0016483D" w:rsidP="006D7319">
      <w:pPr>
        <w:pStyle w:val="Overskrift3"/>
      </w:pPr>
      <w:r w:rsidRPr="006D7319">
        <w:t>Innledning</w:t>
      </w:r>
    </w:p>
    <w:p w14:paraId="3191918B" w14:textId="67C0DA20" w:rsidR="0016483D" w:rsidRPr="006D7319" w:rsidRDefault="0016483D" w:rsidP="006D7319">
      <w:r w:rsidRPr="006D7319">
        <w:t xml:space="preserve">Arbeidsgruppen viser til at det </w:t>
      </w:r>
      <w:proofErr w:type="gramStart"/>
      <w:r w:rsidRPr="006D7319">
        <w:t>fremgår</w:t>
      </w:r>
      <w:proofErr w:type="gramEnd"/>
      <w:r w:rsidRPr="006D7319">
        <w:t xml:space="preserve"> av mandatet at arbeidsgruppen på bakgrunn av gjeldende rett og kunnskapsgrunnlaget skal </w:t>
      </w:r>
      <w:r w:rsidR="006A50F4">
        <w:t>«</w:t>
      </w:r>
      <w:r w:rsidRPr="006D7319">
        <w:t>identifisere utfordringer og foreslå mulige tiltak slik at selvstendige konsulenter og rådgivere skal kunne levere tjenester, og oppdragsgivere skal kunne motta disse, på en hensiktsmessig måte. Tiltakene kan omfatte forslag til endringer i regelverk</w:t>
      </w:r>
      <w:r w:rsidR="006A50F4">
        <w:t>»</w:t>
      </w:r>
      <w:r w:rsidRPr="006D7319">
        <w:t xml:space="preserve">. Arbeidsgruppen viser videre til anmodningsvedtak nr. 842, der regjeringen har blitt bedt om å </w:t>
      </w:r>
      <w:r w:rsidR="006A50F4">
        <w:t>«</w:t>
      </w:r>
      <w:r w:rsidRPr="006D7319">
        <w:t>vurdere et avgrenset unntak fra arbeidsmiljøloven slik at selvstendige IKT-rådgivere og konsulenter med spesialkompetanse fortsatt skal kunne levere arbeid og oppdrag</w:t>
      </w:r>
      <w:r w:rsidR="006A50F4">
        <w:t>»</w:t>
      </w:r>
      <w:r w:rsidRPr="006D7319">
        <w:t xml:space="preserve">, jf. </w:t>
      </w:r>
      <w:proofErr w:type="spellStart"/>
      <w:r w:rsidR="006A50F4">
        <w:t>Innst</w:t>
      </w:r>
      <w:proofErr w:type="spellEnd"/>
      <w:r w:rsidR="006A50F4">
        <w:t xml:space="preserve">. </w:t>
      </w:r>
      <w:r w:rsidR="006A50F4" w:rsidRPr="006D7319">
        <w:t>449</w:t>
      </w:r>
      <w:r w:rsidR="006A50F4">
        <w:t xml:space="preserve"> </w:t>
      </w:r>
      <w:r w:rsidR="006A50F4" w:rsidRPr="006D7319">
        <w:t>S (2023</w:t>
      </w:r>
      <w:r w:rsidR="006A50F4">
        <w:t>–</w:t>
      </w:r>
      <w:r w:rsidR="006A50F4" w:rsidRPr="006D7319">
        <w:t>2024)</w:t>
      </w:r>
      <w:r w:rsidRPr="006D7319">
        <w:t>.</w:t>
      </w:r>
    </w:p>
    <w:p w14:paraId="388960A8" w14:textId="0553B8D8" w:rsidR="0016483D" w:rsidRPr="006D7319" w:rsidRDefault="0016483D" w:rsidP="006D7319">
      <w:r w:rsidRPr="006D7319">
        <w:t xml:space="preserve">Arbeidsgruppen har diskutert og vurdert ulike </w:t>
      </w:r>
      <w:r w:rsidRPr="006D7319">
        <w:t xml:space="preserve">tiltak, herunder hvilke konsekvenser, fordeler og </w:t>
      </w:r>
      <w:r w:rsidRPr="006D7319">
        <w:t xml:space="preserve">ulemper de ulike tiltakene vil kunne ha. Arbeidsgruppen har for det første vurdert tiltak og grep for å </w:t>
      </w:r>
      <w:r w:rsidRPr="006D7319">
        <w:t>tydelig</w:t>
      </w:r>
      <w:r w:rsidRPr="006D7319">
        <w:t>gjøre de tilknytningsformene som er aktuelle for enpersons</w:t>
      </w:r>
      <w:r w:rsidRPr="006D7319">
        <w:t>bedrifter innenfor gjeldende rett i dag. Arbeidsgruppen har blant annet vurdert om det kan være aktuelt med en veileder som tydeliggjør handlingsrommet for å inngå oppdragsavtaler for selvstendige konsulenter og rådgivere, jf. punkt 4.3.2 nedenfor.</w:t>
      </w:r>
    </w:p>
    <w:p w14:paraId="094DDABC" w14:textId="77777777" w:rsidR="0016483D" w:rsidRPr="006D7319" w:rsidRDefault="0016483D" w:rsidP="006D7319">
      <w:r w:rsidRPr="006D7319">
        <w:t xml:space="preserve">Arbeidsgruppen har for det andre vurdert ulike regelverksendringer, herunder endringer i reglene om midlertidig ansettelse, presiseringer i arbeidstakerbegrepet, samt en regel som åpner for </w:t>
      </w:r>
      <w:proofErr w:type="gramStart"/>
      <w:r w:rsidRPr="006D7319">
        <w:t>innleie</w:t>
      </w:r>
      <w:proofErr w:type="gramEnd"/>
      <w:r w:rsidRPr="006D7319">
        <w:t xml:space="preserve"> av selvstendige konsulenter og rådgivere med eget aksjeselskap.</w:t>
      </w:r>
    </w:p>
    <w:p w14:paraId="0ACD1FA3" w14:textId="77777777" w:rsidR="0016483D" w:rsidRPr="006D7319" w:rsidRDefault="0016483D" w:rsidP="006D7319">
      <w:r w:rsidRPr="006D7319">
        <w:t xml:space="preserve">Et av tiltakene arbeidsgruppen har vurdert, er om det kan være hensiktsmessig å innføre en ny hjemmel for midlertidig ansettelse av konsulenter og rådgivere med spesialkompetanse. En slik bestemmelse vil kunne gi en klarere og mer forutsigbar hjemmel for midlertidig ansettelse av denne gruppen. På bakgrunn av funnene i Menon (2025) og innspill arbeidsgruppen har mottatt, mener </w:t>
      </w:r>
      <w:r w:rsidRPr="006A50F4">
        <w:rPr>
          <w:rStyle w:val="kursiv"/>
        </w:rPr>
        <w:t xml:space="preserve">arbeidsgruppen </w:t>
      </w:r>
      <w:r w:rsidRPr="006D7319">
        <w:t>at en slik hjemmel trolig ikke vil være egnet til å løse situasjonen, se punkt 3.4.</w:t>
      </w:r>
    </w:p>
    <w:p w14:paraId="7A4372AC" w14:textId="3380FF7A" w:rsidR="0016483D" w:rsidRPr="006D7319" w:rsidRDefault="0016483D" w:rsidP="006D7319">
      <w:r w:rsidRPr="006D7319">
        <w:t>Arbeidsgruppen har videre vurdert om det kan være aktuelt å innføre et unntak fra presumpsjons</w:t>
      </w:r>
      <w:r w:rsidRPr="006D7319">
        <w:t xml:space="preserve">regelen i arbeidsmiljøloven </w:t>
      </w:r>
      <w:r w:rsidR="006A50F4">
        <w:t>§ </w:t>
      </w:r>
      <w:r w:rsidR="006A50F4" w:rsidRPr="006D7319">
        <w:t>1</w:t>
      </w:r>
      <w:r w:rsidRPr="006D7319">
        <w:t xml:space="preserve">-8. </w:t>
      </w:r>
      <w:r w:rsidRPr="006D7319">
        <w:t>Arbeidsgruppen viser til at presumpsjonsregelen kan medføre at oppdrags</w:t>
      </w:r>
      <w:r w:rsidRPr="006D7319">
        <w:t xml:space="preserve">givere blir mer tilbakeholdne med å benytte oppdragsavtaler. Et unntak vil for </w:t>
      </w:r>
      <w:r w:rsidRPr="006D7319">
        <w:t xml:space="preserve">eksempel kunne innebære at presumpsjonsregelen ikke </w:t>
      </w:r>
      <w:r w:rsidRPr="006D7319">
        <w:t>gjelder for selvstendige som selger tjenester innen rådgivernæringen.</w:t>
      </w:r>
    </w:p>
    <w:p w14:paraId="0893351C" w14:textId="5DFC3C3A" w:rsidR="0016483D" w:rsidRPr="006D7319" w:rsidRDefault="0016483D" w:rsidP="006D7319">
      <w:r w:rsidRPr="006A50F4">
        <w:rPr>
          <w:rStyle w:val="kursiv"/>
        </w:rPr>
        <w:t>Enkelte medlemmer i arbeidsgruppen</w:t>
      </w:r>
      <w:r w:rsidRPr="006D7319">
        <w:t xml:space="preserve"> mener at det vil kunne være uheldig å lage slike unntak for enkeltgrupper, og viser til mandatet hvor det </w:t>
      </w:r>
      <w:proofErr w:type="gramStart"/>
      <w:r w:rsidRPr="006D7319">
        <w:t>fremgår</w:t>
      </w:r>
      <w:proofErr w:type="gramEnd"/>
      <w:r w:rsidRPr="006D7319">
        <w:t xml:space="preserve"> at arbeidsgruppen skal </w:t>
      </w:r>
      <w:r w:rsidR="006A50F4">
        <w:t>«</w:t>
      </w:r>
      <w:r w:rsidRPr="006D7319">
        <w:t>foreslå mekanismer som hindrer at tiltakene undergraver presiseringene og endringene i arbeidsmiljølovens arbeidstakerbegrep</w:t>
      </w:r>
      <w:r w:rsidR="006A50F4">
        <w:t>»</w:t>
      </w:r>
      <w:r w:rsidRPr="006D7319">
        <w:t xml:space="preserve">. Et slikt unntak vil etter enkelte medlemmers syn trolig være i strid med mandatet. </w:t>
      </w:r>
      <w:r w:rsidRPr="006A50F4">
        <w:rPr>
          <w:rStyle w:val="kursiv"/>
        </w:rPr>
        <w:t>Andre medlemmer</w:t>
      </w:r>
      <w:r w:rsidRPr="006D7319">
        <w:t xml:space="preserve"> deler ikke disse bekymringene, men mener generelt at et slik unntak ikke vil løse situasjonen for selvstendige rådgivere og konsulenter. Arbeids</w:t>
      </w:r>
      <w:r w:rsidRPr="006D7319">
        <w:t>gruppen går derfor ikke videre med et slikt forslag.</w:t>
      </w:r>
    </w:p>
    <w:p w14:paraId="12693A22" w14:textId="55300A37" w:rsidR="0016483D" w:rsidRPr="006D7319" w:rsidRDefault="0016483D" w:rsidP="006D7319">
      <w:r w:rsidRPr="006D7319">
        <w:t>Arbeidsgruppen har også vurdert om det kan være hensiktsmessig å foreslå en lavterskel tvisteløsnings</w:t>
      </w:r>
      <w:r w:rsidRPr="006D7319">
        <w:t>mekanisme for avgjørelse av arbeidstakerstatus. En slik tvisteløsningsmekanisme vil kunne bidra til å avklare at oppdragstakerstatus er legitimt. Arbeidsgruppen viser til at dette ble vurdert av Fougnerutvalget.</w:t>
      </w:r>
      <w:r w:rsidR="006A50F4" w:rsidRPr="006A50F4">
        <w:rPr>
          <w:rStyle w:val="Fotnotereferanse"/>
        </w:rPr>
        <w:footnoteReference w:id="147"/>
      </w:r>
      <w:r w:rsidRPr="006D7319">
        <w:t xml:space="preserve"> Utvalget vurderte om slik kompetanse burde legges til Tvisteløsningsnemnda, og viste til at terskelen for å få prøvd saken der er lavere, at det vil koste mindre, herunder at det ikke er krav om advokatbistand. Utvalget konkluderte likevel med at arbeidstakerbegrepet burde avgjøres i domstolene, og viste til at vurdering av arbeidstakerbegrepet vil innebære betydelig bevisføring og at det kan være kompliserte rettslige vurderinger med behov for advokatbistand. Det ble også pekt på at få saker fra Tvisteløs</w:t>
      </w:r>
      <w:r w:rsidRPr="006D7319">
        <w:t xml:space="preserve">ningsnemnda bringes videre til domstolsbehandling, og at det kan være betenkelig at slike grunnleggende arbeidsrettslige spørsmål får sin endelige avgjørelse i en nemnd. På bakgrunn av disse motforestillingene har arbeidsgruppen </w:t>
      </w:r>
      <w:r w:rsidRPr="006D7319">
        <w:t xml:space="preserve">heller </w:t>
      </w:r>
      <w:proofErr w:type="gramStart"/>
      <w:r w:rsidRPr="006D7319">
        <w:t>fokusert</w:t>
      </w:r>
      <w:proofErr w:type="gramEnd"/>
      <w:r w:rsidRPr="006D7319">
        <w:t xml:space="preserve"> på behovet for en veileder og går ikke videre med dette forslaget.</w:t>
      </w:r>
    </w:p>
    <w:p w14:paraId="69E7DE59" w14:textId="72951460" w:rsidR="0016483D" w:rsidRPr="006D7319" w:rsidRDefault="0016483D" w:rsidP="006D7319">
      <w:r w:rsidRPr="006D7319">
        <w:t xml:space="preserve">Arbeidsgruppen har videre vurdert om det er behov for en regel som åpner for </w:t>
      </w:r>
      <w:proofErr w:type="gramStart"/>
      <w:r w:rsidRPr="006D7319">
        <w:t>innleie</w:t>
      </w:r>
      <w:proofErr w:type="gramEnd"/>
      <w:r w:rsidRPr="006D7319">
        <w:t xml:space="preserve"> av selvstendige konsulenter og rådgivere, herunder ulike innret</w:t>
      </w:r>
      <w:r w:rsidRPr="006D7319">
        <w:t>ninger på en slik regel, samt om det bør gjøres tilpasninger til regelverket om godkjenning av bemann</w:t>
      </w:r>
      <w:r w:rsidRPr="006D7319">
        <w:t>ingsforetak, se punkt 4.3.3 og 4.3.4 nedenfor.</w:t>
      </w:r>
    </w:p>
    <w:p w14:paraId="7F49FEC7" w14:textId="77777777" w:rsidR="0016483D" w:rsidRPr="006D7319" w:rsidRDefault="0016483D" w:rsidP="006D7319">
      <w:pPr>
        <w:pStyle w:val="Overskrift3"/>
      </w:pPr>
      <w:r w:rsidRPr="006D7319">
        <w:t>Veileder om selvstendig oppdrag for konsulent- og rådgivernæringen</w:t>
      </w:r>
    </w:p>
    <w:p w14:paraId="54C02190" w14:textId="5C3B8DD3" w:rsidR="0016483D" w:rsidRPr="006D7319" w:rsidRDefault="0016483D" w:rsidP="006D7319">
      <w:r w:rsidRPr="006D7319">
        <w:t>En</w:t>
      </w:r>
      <w:r w:rsidRPr="006A50F4">
        <w:rPr>
          <w:rStyle w:val="kursiv"/>
        </w:rPr>
        <w:t xml:space="preserve"> samlet arbeidsgruppe </w:t>
      </w:r>
      <w:r w:rsidRPr="006D7319">
        <w:t>er enige om at det i lys av mandatet og Menon (2025) er behov for mer veiledning og informasjon om når det foreligger et selvstendig oppdrag. Gjennom endringene i arbeidstaker</w:t>
      </w:r>
      <w:r w:rsidRPr="006D7319">
        <w:t>begrepet er sentrale momenter som taler for at det foreligger et arbeidsforhold tydeliggjort i lovens ordlyd (se punkt 2.2.2), men arbeidsgruppen mener fortsatt at Menon (2025) og innspill viser at grensedragningen oppleves vanskelig å trekke og er uklar.</w:t>
      </w:r>
    </w:p>
    <w:p w14:paraId="69D46228" w14:textId="68725E96" w:rsidR="0016483D" w:rsidRPr="006D7319" w:rsidRDefault="0016483D" w:rsidP="006D7319">
      <w:r w:rsidRPr="006D7319">
        <w:t xml:space="preserve">Som det </w:t>
      </w:r>
      <w:proofErr w:type="gramStart"/>
      <w:r w:rsidRPr="006D7319">
        <w:t>fremgår</w:t>
      </w:r>
      <w:proofErr w:type="gramEnd"/>
      <w:r w:rsidRPr="006D7319">
        <w:t xml:space="preserve"> av punkt 4.2 mener </w:t>
      </w:r>
      <w:r w:rsidRPr="006A50F4">
        <w:rPr>
          <w:rStyle w:val="kursiv"/>
        </w:rPr>
        <w:t>arbeidsgruppen</w:t>
      </w:r>
      <w:r w:rsidRPr="006D7319">
        <w:t xml:space="preserve"> at det er behov for å klargjøre hvilket handlingsrom som foreligger etter gjeldende rett til å inngå selvstendig oppdrag for selvstendige rådgivere og konsu</w:t>
      </w:r>
      <w:r w:rsidRPr="006D7319">
        <w:t xml:space="preserve">lenter med spesialkompetanse. </w:t>
      </w:r>
      <w:r w:rsidRPr="006A50F4">
        <w:rPr>
          <w:rStyle w:val="kursiv"/>
        </w:rPr>
        <w:t xml:space="preserve">Arbeidsgruppen </w:t>
      </w:r>
      <w:r w:rsidRPr="006D7319">
        <w:t>anbefaler derfor at det utarbeides en veileder, som nærmere angir når det kan være grunnlag for å inngå selvstendig oppdrag i konsulent- og rådgivernæringen, se punkt 4.2.</w:t>
      </w:r>
    </w:p>
    <w:p w14:paraId="13C6985D" w14:textId="77777777" w:rsidR="0016483D" w:rsidRPr="006D7319" w:rsidRDefault="0016483D" w:rsidP="006D7319">
      <w:pPr>
        <w:pStyle w:val="Overskrift3"/>
      </w:pPr>
      <w:r w:rsidRPr="006D7319">
        <w:t xml:space="preserve">Arbeidsgruppens syn på behovet for en særregel om </w:t>
      </w:r>
      <w:proofErr w:type="gramStart"/>
      <w:r w:rsidRPr="006D7319">
        <w:t>innleie</w:t>
      </w:r>
      <w:proofErr w:type="gramEnd"/>
      <w:r w:rsidRPr="006D7319">
        <w:t xml:space="preserve"> av selvstendige konsulenter og rådgivere</w:t>
      </w:r>
    </w:p>
    <w:p w14:paraId="44CFD69E" w14:textId="06A39ED3" w:rsidR="0016483D" w:rsidRPr="006D7319" w:rsidRDefault="0016483D" w:rsidP="006D7319">
      <w:r w:rsidRPr="006D7319">
        <w:t xml:space="preserve">Arbeidsgruppen viser til det som </w:t>
      </w:r>
      <w:proofErr w:type="gramStart"/>
      <w:r w:rsidRPr="006D7319">
        <w:t>fremgår</w:t>
      </w:r>
      <w:proofErr w:type="gramEnd"/>
      <w:r w:rsidRPr="006D7319">
        <w:t xml:space="preserve"> ovenfor i punkt 4.2 om adgangen for selvstendige konsu</w:t>
      </w:r>
      <w:r w:rsidRPr="006D7319">
        <w:t>lenter og rådgivere til å inngå oppdragsavtaler. Som gjennomgangen viser, kan handlingsrommet etter gjeldende rett for selvstendige konsulenter og rådgivere til å inngå oppdragskontrakter for å levere sin spesialistkompetanse, være noe videre enn hva bransjen synes å anta.</w:t>
      </w:r>
    </w:p>
    <w:p w14:paraId="74693307" w14:textId="77777777" w:rsidR="0016483D" w:rsidRPr="006D7319" w:rsidRDefault="0016483D" w:rsidP="006D7319">
      <w:r w:rsidRPr="006D7319">
        <w:t xml:space="preserve">Arbeidsgruppen er delt i sitt syn på om det, i lys av handlingsrommet selvstendige konsulenter og rådgivere har til å inngå oppdragsavtaler, også er behov for en regelendring som åpner for </w:t>
      </w:r>
      <w:proofErr w:type="gramStart"/>
      <w:r w:rsidRPr="006D7319">
        <w:t>innleie</w:t>
      </w:r>
      <w:proofErr w:type="gramEnd"/>
      <w:r w:rsidRPr="006D7319">
        <w:t>.</w:t>
      </w:r>
    </w:p>
    <w:p w14:paraId="02D78643" w14:textId="6A82DD9D" w:rsidR="0016483D" w:rsidRPr="006D7319" w:rsidRDefault="0016483D" w:rsidP="006D7319">
      <w:r w:rsidRPr="006D7319">
        <w:t>En del konsulenter og rådgivere som driver enpersons</w:t>
      </w:r>
      <w:r w:rsidRPr="006D7319">
        <w:t>bedrifter har ønsket en regelverks</w:t>
      </w:r>
      <w:r w:rsidRPr="006D7319">
        <w:t xml:space="preserve">endring som gjør at de kan leie seg ut til oppdragsgivere slik man kan fra bemanningsforetak. </w:t>
      </w:r>
      <w:r w:rsidRPr="006A50F4">
        <w:rPr>
          <w:rStyle w:val="kursiv"/>
        </w:rPr>
        <w:t xml:space="preserve">Medlemmene </w:t>
      </w:r>
      <w:r w:rsidRPr="006A50F4">
        <w:rPr>
          <w:rStyle w:val="kursiv"/>
        </w:rPr>
        <w:t xml:space="preserve">Hotvedt, Fjeldstad, Dahle, Kastet, Nordbø og Arthur </w:t>
      </w:r>
      <w:r w:rsidRPr="006D7319">
        <w:t>har imidlertid kommet til at dette må frarådes. For</w:t>
      </w:r>
      <w:r w:rsidRPr="006D7319">
        <w:t xml:space="preserve">delene med en regelverksendring som </w:t>
      </w:r>
      <w:r w:rsidRPr="006D7319">
        <w:t xml:space="preserve">imøtekommer et slikt ønske står ikke i forhold til ulempene dette ville medført. </w:t>
      </w:r>
      <w:r w:rsidRPr="006A50F4">
        <w:rPr>
          <w:rStyle w:val="kursiv"/>
        </w:rPr>
        <w:t>Disse medlemmene</w:t>
      </w:r>
      <w:r w:rsidRPr="006D7319">
        <w:t xml:space="preserve"> har i den forbindelse lagt vekt på at 1) det er ikke underbygget at det er tilstrekkelig behov for en slik regulering, 2) reguleringen vil i for stor grad utfordre arbeidsmiljølovens arbeidstakerbegrep, stillings</w:t>
      </w:r>
      <w:r w:rsidRPr="006D7319">
        <w:t>vernet og arbeidsmiljø</w:t>
      </w:r>
      <w:r w:rsidRPr="006D7319">
        <w:t xml:space="preserve">lovens system </w:t>
      </w:r>
      <w:proofErr w:type="gramStart"/>
      <w:r w:rsidRPr="006D7319">
        <w:t>for øvrig</w:t>
      </w:r>
      <w:proofErr w:type="gramEnd"/>
      <w:r w:rsidRPr="006D7319">
        <w:t>, 3) faren for omgåelser vil være betydelig og 4) regule</w:t>
      </w:r>
      <w:r w:rsidRPr="006D7319">
        <w:t>ringen kan være utfordrende med tanke på Norges EØS-rettslige forplikt</w:t>
      </w:r>
      <w:r w:rsidRPr="006D7319">
        <w:t>elser. Disse momentene vil bli nærmere utdypet i det følgende.</w:t>
      </w:r>
    </w:p>
    <w:p w14:paraId="21466F6A" w14:textId="77777777" w:rsidR="0016483D" w:rsidRPr="006D7319" w:rsidRDefault="0016483D" w:rsidP="006D7319">
      <w:r w:rsidRPr="006A50F4">
        <w:rPr>
          <w:rStyle w:val="kursiv"/>
        </w:rPr>
        <w:t>Medlemmene Hotvedt, Fjeldstad, Dahle, Kastet, Nordbø og Arthur</w:t>
      </w:r>
      <w:r w:rsidRPr="006D7319">
        <w:t xml:space="preserve"> mener at det ikke foreligger tilstrekkelig behov for en regelendring, og viser til at selvstendige konsulenter og rådgivere har en relativt vid adgang til å selge sine tjenester som oppdrag. Adgangen til å inngå oppdragsavtaler innen denne næringen vil i tillegg bli tydeligere dersom det fastsettes en egen veileder. Dette vil kunne trygge oppdragsgiverne i muligheten til å organisere arbeidet som et oppdrag.</w:t>
      </w:r>
    </w:p>
    <w:p w14:paraId="262CFC65" w14:textId="77777777" w:rsidR="0016483D" w:rsidRPr="006D7319" w:rsidRDefault="0016483D" w:rsidP="006D7319">
      <w:r w:rsidRPr="006A50F4">
        <w:rPr>
          <w:rStyle w:val="kursiv"/>
        </w:rPr>
        <w:t>Disse medlemmene</w:t>
      </w:r>
      <w:r w:rsidRPr="006D7319">
        <w:t xml:space="preserve"> viser også til at den faktiske situasjonen tilsier at det ikke er behov for en regelendring som åpner for </w:t>
      </w:r>
      <w:proofErr w:type="gramStart"/>
      <w:r w:rsidRPr="006D7319">
        <w:t>innleie</w:t>
      </w:r>
      <w:proofErr w:type="gramEnd"/>
      <w:r w:rsidRPr="006D7319">
        <w:t>, ettersom kun en liten andel av selvstendige konsulenter og rådgivere har opplevd nedgang i oppdragsmengden, se Menon (2025). Maksimalt 0,8 prosent av de sysselsatte i Norge er berørt av problemstillingen, og maksimalt 0,3 prosent vil falle inn under den foreslåtte særregelen. Konsulentene og rådgiverne vil i mange tilfeller også ha mulighet til å få direkte ansettelse hos oppdragsgiver. For ek</w:t>
      </w:r>
      <w:r w:rsidRPr="006D7319">
        <w:t>sempel har arbeidsgiver på visse vilkår mulighet til å ansette midlertidig ved et tidsbegrenset behov for spesialkompetanse. I tillegg kan det være mulighet for fast ansettelse i større konsulentvirksomheter.</w:t>
      </w:r>
    </w:p>
    <w:p w14:paraId="26DB72BA" w14:textId="77777777" w:rsidR="0016483D" w:rsidRPr="006D7319" w:rsidRDefault="0016483D" w:rsidP="006D7319">
      <w:r w:rsidRPr="006D7319">
        <w:t xml:space="preserve">Ved regelverksendringer vil det ofte ta noe tid før berørte aktører har innrettet seg. Tolkningsproblemer kan oppstå, og disse vil finne sin avklaring på ulike måter, blant annet ved rettslig prøving. Når det gjelder endringene som ble gjort i innleieregelverket og innføringen av godkjenningsordningen </w:t>
      </w:r>
      <w:r w:rsidRPr="006D7319">
        <w:t xml:space="preserve">for bemanningsforetak er det ikke disse endringene i seg selv som har skapt utfordringer. Det ble imidlertid synliggjort en praksis før disse endringene, der enpersonsbedrifter fungerte som bemanningsforetak, i strid med </w:t>
      </w:r>
      <w:r w:rsidRPr="006A50F4">
        <w:rPr>
          <w:rStyle w:val="kursiv"/>
        </w:rPr>
        <w:t>disse medlemmenes</w:t>
      </w:r>
      <w:r w:rsidRPr="006D7319">
        <w:t xml:space="preserve"> forståelse av gjeldende regelverk. Denne praksisen hadde ikke blitt utfordret før bemanningsforetakene trengte en godkjenning fra Arbeidstilsynet. </w:t>
      </w:r>
      <w:r w:rsidRPr="006A50F4">
        <w:rPr>
          <w:rStyle w:val="kursiv"/>
        </w:rPr>
        <w:t>Disse medlemmene</w:t>
      </w:r>
      <w:r w:rsidRPr="006D7319">
        <w:t xml:space="preserve"> mener at en veileder vil bidra til å oppklare feiloppfatninger som har fått feste seg, og mener at å gjøre regelverksendringer for å legitimere en feil praksis ikke er veien å gå.</w:t>
      </w:r>
    </w:p>
    <w:p w14:paraId="4BCD20B6" w14:textId="1DDDF0CC" w:rsidR="0016483D" w:rsidRPr="006D7319" w:rsidRDefault="0016483D" w:rsidP="006D7319">
      <w:r w:rsidRPr="006A50F4">
        <w:rPr>
          <w:rStyle w:val="kursiv"/>
        </w:rPr>
        <w:t>Medlemmene Hotvedt, Fjeldstad, Dahle, Kastet, Nordbø og Arthur</w:t>
      </w:r>
      <w:r w:rsidRPr="006D7319">
        <w:t xml:space="preserve"> viser særlig til de prinsipielle sidene ved å gi en regel som åpner for </w:t>
      </w:r>
      <w:proofErr w:type="gramStart"/>
      <w:r w:rsidRPr="006D7319">
        <w:t>innleie</w:t>
      </w:r>
      <w:proofErr w:type="gramEnd"/>
      <w:r w:rsidRPr="006D7319">
        <w:t xml:space="preserve"> av selvstendige konsulenter og rådgivere med eget aksjeselskap. En slik regel vil kunne innebære en utvidelse av arbeidstakerbegrepet i relasjonen mellom konsulenten eller rådgiveren og egen virksomhet, ved at man i relasjon til arbeidsmiljølovens regler om </w:t>
      </w:r>
      <w:proofErr w:type="gramStart"/>
      <w:r w:rsidRPr="006D7319">
        <w:t>innleie</w:t>
      </w:r>
      <w:proofErr w:type="gramEnd"/>
      <w:r w:rsidRPr="006D7319">
        <w:t xml:space="preserve"> fra bemanningsforetak anerkjenner at vedkommende kan være arbeidstaker i eget aksjeselskap. Dette vil imidlertid ikke gjelde i relasjon til arbeidsmiljølovens øvrige</w:t>
      </w:r>
      <w:r w:rsidRPr="006D7319">
        <w:t xml:space="preserve"> bestemmelser. Virkningen av en slik regel vil utfordre arbeidsmiljølovens innretning og system, ved at det innføres en ny kategori som verken er helt arbeidstaker eller helt selvstendig oppdrags</w:t>
      </w:r>
      <w:r w:rsidRPr="006D7319">
        <w:t xml:space="preserve">taker som en følge av </w:t>
      </w:r>
      <w:proofErr w:type="gramStart"/>
      <w:r w:rsidRPr="006D7319">
        <w:t>innleie</w:t>
      </w:r>
      <w:proofErr w:type="gramEnd"/>
      <w:r w:rsidRPr="006D7319">
        <w:t>. Dette vil svekke lovens bruker</w:t>
      </w:r>
      <w:r w:rsidRPr="006D7319">
        <w:t>vennlighet og gjøre det vanskeligere å orien</w:t>
      </w:r>
      <w:r w:rsidRPr="006D7319">
        <w:t xml:space="preserve">tere seg. </w:t>
      </w:r>
      <w:r w:rsidRPr="006A50F4">
        <w:rPr>
          <w:rStyle w:val="kursiv"/>
        </w:rPr>
        <w:t>Disse medlemmene</w:t>
      </w:r>
      <w:r w:rsidRPr="006D7319">
        <w:t xml:space="preserve"> mener at man må være tilbakeholden med regelverksendringer når det oppstår tolkningsutfordringer. Hver gang det </w:t>
      </w:r>
      <w:r w:rsidRPr="006D7319">
        <w:t>gjøres unntak fra arbeidsmiljølovens system blir det et argument for at det kan gjøres nye unntak ved neste tolkningsutfordring. Dermed er faren stor for å ende opp med et regelverk som er fragmentert og uoversiktlig.</w:t>
      </w:r>
    </w:p>
    <w:p w14:paraId="176CC97A" w14:textId="77777777" w:rsidR="0016483D" w:rsidRPr="006D7319" w:rsidRDefault="0016483D" w:rsidP="006D7319">
      <w:r w:rsidRPr="006D7319">
        <w:t>I relasjonen mellom konsulenten eller rådgiveren og oppdragsgiveren/kunden, vil effekten av en særregel om innleieadgang bli at konsulenten eller rådgiveren fratas arbeidstakervern og muligheten til å kreve fast ansettelse. Dette vil i realiteten innebære et unntak fra arbeidstakerbegrepet. Be</w:t>
      </w:r>
      <w:r w:rsidRPr="006D7319">
        <w:t xml:space="preserve">hovet for arbeidstakervern vil prinsipielt sett være til stede fordi vedkommende jobber under oppdragsgivers ledelse og kontroll på tilsvarende måte som andre arbeidstakere i oppdragsgivers virksomhet. Likevel vil man ikke ha fullt arbeidstakervern, blant annet ikke kunne kreve fast ansettelse, med mindre </w:t>
      </w:r>
      <w:proofErr w:type="spellStart"/>
      <w:r w:rsidRPr="006D7319">
        <w:t>innleien</w:t>
      </w:r>
      <w:proofErr w:type="spellEnd"/>
      <w:r w:rsidRPr="006D7319">
        <w:t xml:space="preserve"> er i strid med den foreslåtte regelen eller ved sammenhengende innleie i mer enn tre år. Etter </w:t>
      </w:r>
      <w:r w:rsidRPr="006A50F4">
        <w:rPr>
          <w:rStyle w:val="kursiv"/>
        </w:rPr>
        <w:t>disse medlemmenes</w:t>
      </w:r>
      <w:r w:rsidRPr="006D7319">
        <w:t xml:space="preserve"> syn vil det kunne uthule arbeidstakerbegrepet og de presiseringene som nylig har blitt innført. Mandatet understreker nettopp behovet for å unngå dette. At konsulenten eller rådgiveren selv ikke ønsker arbeidstakervern, er prinsipielt sett uten betydning, ettersom loven er preseptorisk.</w:t>
      </w:r>
    </w:p>
    <w:p w14:paraId="4379FB40" w14:textId="4411E716" w:rsidR="0016483D" w:rsidRPr="006D7319" w:rsidRDefault="0016483D" w:rsidP="006D7319">
      <w:r w:rsidRPr="006D7319">
        <w:t xml:space="preserve">En bestemmelse som åpner for innleieadgang for denne gruppen, vil innebære en betydelig risiko for uthuling av innleieregelverket og svekkelse av stillingsvernet. En slik adgang vil skape et uklart og vanskelig håndhevbart </w:t>
      </w:r>
      <w:r w:rsidRPr="006D7319">
        <w:t>skille mellom innleid arbeidstaker og reelt oppdragsforhold, noe som igjen kan åpne for omgåelse av arbeidsmiljølovens verne</w:t>
      </w:r>
      <w:r w:rsidRPr="006D7319">
        <w:t>regler gjennom formelle konstruksjoner. Videre kan en regel som åpner for innleieadgang for denne gruppen føre til at konsulenten eller rådgiveren presses til å fraskrive seg stillingsvernet. Dette er særlig problematisk fordi arbeidsmiljølovens regler som nevnt er preseptoriske. Loven bygger på et grunnlegg</w:t>
      </w:r>
      <w:r w:rsidRPr="006D7319">
        <w:t>ende arbeidstakervern, og hovedregelen er at det ikke kan avtales avvik til ugunst for arbeidstakeren med mindre det er særskilt lovhjemmel for det. En adgang til å avtale innleie i slike tilfeller vil utgjøre et avvik fra arbeidsmiljølovens grunnleggende rettslige prinsipp.</w:t>
      </w:r>
    </w:p>
    <w:p w14:paraId="39A8AD5A" w14:textId="57C8710F" w:rsidR="0016483D" w:rsidRPr="006D7319" w:rsidRDefault="0016483D" w:rsidP="006D7319">
      <w:r w:rsidRPr="006A50F4">
        <w:rPr>
          <w:rStyle w:val="kursiv"/>
        </w:rPr>
        <w:t>Disse medlemmene</w:t>
      </w:r>
      <w:r w:rsidRPr="006D7319">
        <w:t xml:space="preserve"> vil videre vise til de EU/EØS-</w:t>
      </w:r>
      <w:r w:rsidRPr="006D7319">
        <w:t xml:space="preserve">rettslige utfordringene som oppstår dersom man åpner for en innleieadgang for denne gruppen, se nærmere i kapittel 5. Det er en risiko for at konsulenten eller rådgiveren etter EU/EØS-retten </w:t>
      </w:r>
      <w:r w:rsidRPr="006D7319">
        <w:t xml:space="preserve">betraktes som arbeidstaker hos oppdragsgiveren/kunden, og har krav på rettigheter etter arbeidsrettslige minimumsdirektiver i denne relasjonen. Som gjennomgangen i kapittel 5 viser, er det noe uklart om dette er ivaretatt i norsk rett, og det fremstår komplisert å sikre dette gjennom utformingen av regelen. Etter </w:t>
      </w:r>
      <w:r w:rsidRPr="006A50F4">
        <w:rPr>
          <w:rStyle w:val="kursiv"/>
        </w:rPr>
        <w:t xml:space="preserve">disse medlemmenes </w:t>
      </w:r>
      <w:r w:rsidRPr="006D7319">
        <w:t>syn er dette et ytterligere argument mot en særskilt innleieadgang.</w:t>
      </w:r>
    </w:p>
    <w:p w14:paraId="170F2D24" w14:textId="2619B6CA" w:rsidR="0016483D" w:rsidRPr="006D7319" w:rsidRDefault="0016483D" w:rsidP="006D7319">
      <w:r w:rsidRPr="006D7319">
        <w:t xml:space="preserve">Etter </w:t>
      </w:r>
      <w:r w:rsidRPr="006A50F4">
        <w:rPr>
          <w:rStyle w:val="kursiv"/>
        </w:rPr>
        <w:t xml:space="preserve">disse medlemmenes </w:t>
      </w:r>
      <w:r w:rsidRPr="006D7319">
        <w:t xml:space="preserve">syn vil det også være vanskelig å ramme inn en eventuell regel slik at den blir treffsikker og ikke gir rom for omgåelse. Viktigheten av å unngå omgåelser er fremhevet i arbeidsgruppens mandat. Det er ikke klart hva som ligger i begrepene </w:t>
      </w:r>
      <w:r w:rsidR="006A50F4">
        <w:t>«</w:t>
      </w:r>
      <w:r w:rsidRPr="006D7319">
        <w:t>konsulent</w:t>
      </w:r>
      <w:r w:rsidR="006A50F4">
        <w:t>»</w:t>
      </w:r>
      <w:r w:rsidRPr="006D7319">
        <w:t xml:space="preserve"> og </w:t>
      </w:r>
      <w:r w:rsidR="006A50F4">
        <w:t>«</w:t>
      </w:r>
      <w:r w:rsidRPr="006D7319">
        <w:t>rådgiver</w:t>
      </w:r>
      <w:r w:rsidR="006A50F4">
        <w:t>»</w:t>
      </w:r>
      <w:r w:rsidRPr="006D7319">
        <w:t>, og det finnes eksempler fra rettspraksis der omsorgsarbeidere har blitt omtalt som konsulenter, se LB-2019-184977 (</w:t>
      </w:r>
      <w:proofErr w:type="spellStart"/>
      <w:r w:rsidRPr="006D7319">
        <w:t>Stendi</w:t>
      </w:r>
      <w:proofErr w:type="spellEnd"/>
      <w:r w:rsidRPr="006D7319">
        <w:t>/</w:t>
      </w:r>
      <w:proofErr w:type="spellStart"/>
      <w:r w:rsidRPr="006D7319">
        <w:t>Aleris</w:t>
      </w:r>
      <w:proofErr w:type="spellEnd"/>
      <w:r w:rsidRPr="006D7319">
        <w:t xml:space="preserve">). En eventuell avgrensning i tråd med spesialistunntaket i forskrift 11. januar 2013 nr. 33 om innleie fra bemanningsforetak </w:t>
      </w:r>
      <w:r w:rsidR="006A50F4">
        <w:t>§ </w:t>
      </w:r>
      <w:r w:rsidR="006A50F4" w:rsidRPr="006D7319">
        <w:t>3</w:t>
      </w:r>
      <w:r w:rsidRPr="006D7319">
        <w:t xml:space="preserve"> første ledd bokstav b, slik det er foreslått av </w:t>
      </w:r>
      <w:r w:rsidRPr="006A50F4">
        <w:rPr>
          <w:rStyle w:val="kursiv"/>
        </w:rPr>
        <w:t>medlemmene</w:t>
      </w:r>
      <w:r w:rsidRPr="006D7319">
        <w:t xml:space="preserve"> </w:t>
      </w:r>
      <w:r w:rsidRPr="006A50F4">
        <w:rPr>
          <w:rStyle w:val="kursiv"/>
        </w:rPr>
        <w:t xml:space="preserve">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Svele og Solberg</w:t>
      </w:r>
      <w:r w:rsidRPr="006D7319">
        <w:t xml:space="preserve">, jf. punkt 4.3.4.2 nedenfor, er etter </w:t>
      </w:r>
      <w:r w:rsidRPr="006A50F4">
        <w:rPr>
          <w:rStyle w:val="kursiv"/>
        </w:rPr>
        <w:t xml:space="preserve">disse medlemmenes </w:t>
      </w:r>
      <w:r w:rsidRPr="006D7319">
        <w:t xml:space="preserve">syn for vid. Bestemmelsen åpner for et forholdsvis stort rom for skjønn med hensyn til hva som menes med </w:t>
      </w:r>
      <w:r w:rsidR="006A50F4">
        <w:t>«</w:t>
      </w:r>
      <w:r w:rsidRPr="006D7319">
        <w:t>spesialkompetanse</w:t>
      </w:r>
      <w:r w:rsidR="006A50F4">
        <w:t>»</w:t>
      </w:r>
      <w:r w:rsidRPr="006D7319">
        <w:t xml:space="preserve"> og </w:t>
      </w:r>
      <w:r w:rsidR="006A50F4">
        <w:t>«</w:t>
      </w:r>
      <w:r w:rsidRPr="006D7319">
        <w:t>rådgivnings- og konsulenttjeneste</w:t>
      </w:r>
      <w:r w:rsidR="006A50F4">
        <w:t>»</w:t>
      </w:r>
      <w:r w:rsidRPr="006D7319">
        <w:t>.</w:t>
      </w:r>
    </w:p>
    <w:p w14:paraId="3C437095" w14:textId="77777777" w:rsidR="0016483D" w:rsidRPr="006D7319" w:rsidRDefault="0016483D" w:rsidP="006D7319">
      <w:r w:rsidRPr="006D7319">
        <w:t xml:space="preserve">Usikre og uforutsigbare arbeidsforhold, kombinert med løsere tilknytning til arbeidsplassen, legger til rette for et arbeidsliv preget av mindre seriøsitet og svekket sosial trygghet. </w:t>
      </w:r>
      <w:r w:rsidRPr="006A50F4">
        <w:rPr>
          <w:rStyle w:val="kursiv"/>
        </w:rPr>
        <w:t>Medlemmene</w:t>
      </w:r>
      <w:r w:rsidRPr="006D7319">
        <w:t xml:space="preserve"> </w:t>
      </w:r>
      <w:r w:rsidRPr="006A50F4">
        <w:rPr>
          <w:rStyle w:val="kursiv"/>
        </w:rPr>
        <w:t>Hotvedt, Fjeldstad, Dahle, Kastet, Nordbø og Arthur</w:t>
      </w:r>
      <w:r w:rsidRPr="006D7319">
        <w:t xml:space="preserve"> mener at arbeidsgivere ikke bør kunne fraskrive seg forpliktelser ved bruk av </w:t>
      </w:r>
      <w:proofErr w:type="gramStart"/>
      <w:r w:rsidRPr="006D7319">
        <w:t>innleie</w:t>
      </w:r>
      <w:proofErr w:type="gramEnd"/>
      <w:r w:rsidRPr="006D7319">
        <w:t xml:space="preserve"> som tilknytningsform for selvstendige konsulenter og rådgivere. Dette er en praksis som kan undergrave arbeidstakeres rettigheter, skape økt usikkerhet og kan bidra til å forsterke forskjellene mellom ulike grupper i arbeidslivet.</w:t>
      </w:r>
    </w:p>
    <w:p w14:paraId="0242C7F1" w14:textId="3FA63294" w:rsidR="0016483D" w:rsidRPr="006D7319" w:rsidRDefault="0016483D" w:rsidP="006D7319">
      <w:r w:rsidRPr="006A50F4">
        <w:rPr>
          <w:rStyle w:val="kursiv"/>
        </w:rPr>
        <w:t>Medlemmene</w:t>
      </w:r>
      <w:r w:rsidRPr="006D7319">
        <w:t xml:space="preserve"> </w:t>
      </w:r>
      <w:r w:rsidRPr="006A50F4">
        <w:rPr>
          <w:rStyle w:val="kursiv"/>
        </w:rPr>
        <w:t xml:space="preserve">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xml:space="preserve">, Svele og Solberg </w:t>
      </w:r>
      <w:r w:rsidRPr="006D7319">
        <w:t>mener at det er behov for en regelendring</w:t>
      </w:r>
      <w:r w:rsidRPr="006A50F4">
        <w:rPr>
          <w:rStyle w:val="kursiv"/>
        </w:rPr>
        <w:t xml:space="preserve">. Disse medlemmene </w:t>
      </w:r>
      <w:r w:rsidRPr="006D7319">
        <w:t xml:space="preserve">vil innledningsvis vise til Stortingets anmodningsvedtak nr. 842, samt statsrådens uttalelser i Dokument nr. 15:2725 (2024–2025) om at det ikke har vært regjeringens intensjon å begrense muligheten for selvstendige til å tilby sine tjenester, jf. punkt 1.1 og punkt 4.3.1 ovenfor. Det følger av arbeidsgruppens mandat å foreslå mulige </w:t>
      </w:r>
      <w:r w:rsidRPr="006D7319">
        <w:t>løsninger og at disse kan omfatte forslag til endringer i regelverket.</w:t>
      </w:r>
    </w:p>
    <w:p w14:paraId="56FD2AC9" w14:textId="7EE736F6" w:rsidR="0016483D" w:rsidRPr="006D7319" w:rsidRDefault="0016483D" w:rsidP="006D7319">
      <w:r w:rsidRPr="006D7319">
        <w:t xml:space="preserve">Etter </w:t>
      </w:r>
      <w:r w:rsidRPr="006A50F4">
        <w:rPr>
          <w:rStyle w:val="kursiv"/>
        </w:rPr>
        <w:t xml:space="preserve">disse medlemmenes </w:t>
      </w:r>
      <w:r w:rsidRPr="006D7319">
        <w:t xml:space="preserve">syn viser gjennomgangen av gjeldende rett ikke bare at regelverket er svært komplekst og vanskelig tilgjengelig, men også at det er usikkerhet knyttet til hvordan det skal forstås. Det må blant annet ses i sammenheng med at det verken finnes rettspraksis fra EU-domstolen eller norsk rettspraksis som gjelder spørsmålet om </w:t>
      </w:r>
      <w:proofErr w:type="gramStart"/>
      <w:r w:rsidRPr="006D7319">
        <w:t>innleie</w:t>
      </w:r>
      <w:proofErr w:type="gramEnd"/>
      <w:r w:rsidRPr="006D7319">
        <w:t xml:space="preserve"> av selvstendige rådgivere og konsulenter som eneste ansatt i eget aksjeselskap. Usikkerheten om hvordan gjeldende rett skal forstås, understøttes av at norske myndigheter gir motstr</w:t>
      </w:r>
      <w:r w:rsidRPr="006D7319">
        <w:t xml:space="preserve">idende veiledning, som departementets veileder om </w:t>
      </w:r>
      <w:proofErr w:type="gramStart"/>
      <w:r w:rsidRPr="006D7319">
        <w:t>innleie</w:t>
      </w:r>
      <w:proofErr w:type="gramEnd"/>
      <w:r w:rsidR="006A50F4" w:rsidRPr="006A50F4">
        <w:rPr>
          <w:rStyle w:val="Fotnotereferanse"/>
        </w:rPr>
        <w:footnoteReference w:id="148"/>
      </w:r>
      <w:r w:rsidRPr="006D7319">
        <w:t xml:space="preserve"> og </w:t>
      </w:r>
      <w:proofErr w:type="spellStart"/>
      <w:r w:rsidRPr="006D7319">
        <w:t>Altinns</w:t>
      </w:r>
      <w:proofErr w:type="spellEnd"/>
      <w:r w:rsidRPr="006D7319">
        <w:t xml:space="preserve"> hjemmesider,</w:t>
      </w:r>
      <w:r w:rsidR="006A50F4" w:rsidRPr="006A50F4">
        <w:rPr>
          <w:rStyle w:val="Fotnotereferanse"/>
        </w:rPr>
        <w:footnoteReference w:id="149"/>
      </w:r>
      <w:r w:rsidRPr="006D7319">
        <w:t xml:space="preserve"> om hvordan ansatte i eget aksjeselskap kan forholde seg til arbeidsmiljølovens regler. I tillegg har forvaltningspraksis fra Arbeidstilsynet endret seg når det gjelder tidligere aksept av slike selskaper som bemanningsforetak.</w:t>
      </w:r>
    </w:p>
    <w:p w14:paraId="495F50BD" w14:textId="77777777" w:rsidR="0016483D" w:rsidRPr="006D7319" w:rsidRDefault="0016483D" w:rsidP="006D7319">
      <w:r w:rsidRPr="006A50F4">
        <w:rPr>
          <w:rStyle w:val="kursiv"/>
        </w:rPr>
        <w:t>Disse medlemmene</w:t>
      </w:r>
      <w:r w:rsidRPr="006D7319">
        <w:t xml:space="preserve"> mener dagens rettsuklarhet er svært uheldig og vil hindre rådgiver- og konsulentnæringen i å tilby sine tjenester direkte til oppdragsgiver der oppdragsgiver selv ønsker å ha styring, ledelse og kontroll over leveransen.</w:t>
      </w:r>
    </w:p>
    <w:p w14:paraId="68A94CD5" w14:textId="06EDD7B2" w:rsidR="0016483D" w:rsidRPr="006D7319" w:rsidRDefault="0016483D" w:rsidP="006D7319">
      <w:r w:rsidRPr="006A50F4">
        <w:rPr>
          <w:rStyle w:val="kursiv"/>
        </w:rPr>
        <w:t>Disse medlemmene</w:t>
      </w:r>
      <w:r w:rsidRPr="006D7319">
        <w:t xml:space="preserve"> er enige i at en veileder som presiserer hvilket handlingsrom det er for rådgivere og konsulenter til å inngå oppdragsavtaler vil kunne være nyttig, ettersom regelverket for mange oppleves som uklart. En slik veileder vil imidlertid ikke løse de tilfellene der oppdraget kun kan løses ved innleie. En veileder vil heller ikke løse de tilfellene der oppdragsgiver ønsker å organisere oppdraget som innleie, for eksempel for å være på </w:t>
      </w:r>
      <w:r w:rsidR="006A50F4">
        <w:t>«</w:t>
      </w:r>
      <w:r w:rsidRPr="006D7319">
        <w:t>den trygge siden</w:t>
      </w:r>
      <w:r w:rsidR="006A50F4">
        <w:t>»</w:t>
      </w:r>
      <w:r w:rsidRPr="006D7319">
        <w:t xml:space="preserve"> av innleieregelverket, selv om arbeidsoppgavene strengt tatt kunne vært gjennomført som tjenestekjøp.</w:t>
      </w:r>
    </w:p>
    <w:p w14:paraId="41F56FFB" w14:textId="06372C4E" w:rsidR="0016483D" w:rsidRPr="006D7319" w:rsidRDefault="0016483D" w:rsidP="006D7319">
      <w:r w:rsidRPr="006D7319">
        <w:t xml:space="preserve">Selvstendige rådgivere og konsulenter bidrar gjennom sin kompetanse til høy verdiskaping i samfunnet, og er representert over hele landet og i en rekke bransjer hvorav de tre største er IKT-rådgivere, teknologisk rådgivere og bedriftsrådgivere (Menon 2025). </w:t>
      </w:r>
      <w:r w:rsidRPr="006A50F4">
        <w:rPr>
          <w:rStyle w:val="kursiv"/>
        </w:rPr>
        <w:t>Disse medlemmene</w:t>
      </w:r>
      <w:r w:rsidRPr="006D7319">
        <w:t xml:space="preserve"> vil trekke frem at </w:t>
      </w:r>
      <w:r w:rsidRPr="006D7319">
        <w:t>rådgivere og konsulenter med spesialkunnskap innenfor sine områder innehar ressurser det er knapphet på, og tilbyr etterspurte tjenester. Dette er kunnskapsmedarbeidere som bidrar til å utvikle Norge ved å ta med seg verdifull kompetanse fra ulike bransjer og oppdragsgivere til nye bransjer og oppdrags</w:t>
      </w:r>
      <w:r w:rsidRPr="006D7319">
        <w:t xml:space="preserve">givere. Slike kunnskapsarbeidere bidrar blant annet til innovasjon, omstilling og samfunnsutvikling gjennom etablering av gründervirksomhet, hvorav en del har dette som biarbeid ved siden av faste </w:t>
      </w:r>
      <w:r w:rsidRPr="006D7319">
        <w:t>heltids- eller deltidsstillinger.</w:t>
      </w:r>
    </w:p>
    <w:p w14:paraId="7FD5B989" w14:textId="0634CAB4" w:rsidR="0016483D" w:rsidRPr="006D7319" w:rsidRDefault="0016483D" w:rsidP="006D7319">
      <w:r w:rsidRPr="006D7319">
        <w:t xml:space="preserve">De større konsulentselskapene har med dagens innleieregler et konkurransefortrinn </w:t>
      </w:r>
      <w:r w:rsidRPr="006D7319">
        <w:t xml:space="preserve">sammenlignet med de mindre (Menon 2025). Etter </w:t>
      </w:r>
      <w:r w:rsidRPr="006A50F4">
        <w:rPr>
          <w:rStyle w:val="kursiv"/>
        </w:rPr>
        <w:t xml:space="preserve">disse </w:t>
      </w:r>
      <w:r w:rsidRPr="006A50F4">
        <w:rPr>
          <w:rStyle w:val="kursiv"/>
        </w:rPr>
        <w:t xml:space="preserve">medlemmenes </w:t>
      </w:r>
      <w:r w:rsidRPr="006D7319">
        <w:t xml:space="preserve">syn bør selvstendige rådgivere og </w:t>
      </w:r>
      <w:r w:rsidRPr="006D7319">
        <w:t xml:space="preserve">konsulenter ha samme muligheter til å leie seg ut som større konsulentvirksomheter som tilbyr tilsvarende </w:t>
      </w:r>
      <w:r w:rsidRPr="006D7319">
        <w:t>tjenester. Dagens situasjon kan innebære en konkur</w:t>
      </w:r>
      <w:r w:rsidRPr="006D7319">
        <w:t>ranse</w:t>
      </w:r>
      <w:r w:rsidRPr="006D7319">
        <w:t>vridning som svekker små aktørers markedsadgang, i strid med generelle nærings</w:t>
      </w:r>
      <w:r w:rsidRPr="006D7319">
        <w:t>politiske mål om like konkurransevilkår.</w:t>
      </w:r>
    </w:p>
    <w:p w14:paraId="453BB64E" w14:textId="3250FF6F" w:rsidR="0016483D" w:rsidRPr="006D7319" w:rsidRDefault="0016483D" w:rsidP="006D7319">
      <w:r w:rsidRPr="006D7319">
        <w:t>Det er også nødvendig å trekke frem at mange oppdragsgivere etter innleieinnstrammingene, herunder i anbudsprosesser, velger å stille kvalifika</w:t>
      </w:r>
      <w:r w:rsidRPr="006D7319">
        <w:t>sjonskrav om at leverandøren må være et godkjent bemanningsforetak. Selvstendige rådgivere og konsulenter vil ut fra departementets veileder utelukkes fra disse anbudsprosessene. I innspillene som arbeidsgruppen har mottatt, fremkommer det at slike kvalifikasjonskrav gjør mange anskaffelser dyrere og mindre fleksible i formen.</w:t>
      </w:r>
    </w:p>
    <w:p w14:paraId="1ECD99CB" w14:textId="26F16C2B" w:rsidR="0016483D" w:rsidRPr="006D7319" w:rsidRDefault="0016483D" w:rsidP="006D7319">
      <w:r w:rsidRPr="006A50F4">
        <w:rPr>
          <w:rStyle w:val="kursiv"/>
        </w:rPr>
        <w:t>Disse medlemmene</w:t>
      </w:r>
      <w:r w:rsidRPr="006D7319">
        <w:t xml:space="preserve"> vil også trekke frem at hovedgrunnene til at de selvstendige konsulentene og rådgiverne har valgt å være selvstendige er at de ønsker en mer fleksibel arbeidshverdag, det er økonomisk gunstig for dem å ha et eget selskap og de ønsker ikke å være ansatt hos oppdragsgiveren/</w:t>
      </w:r>
      <w:r w:rsidRPr="006D7319">
        <w:t xml:space="preserve">kunden (Menon 2025). Innspill til arbeidsgruppen under arbeidet med rapporten, understøtter disse </w:t>
      </w:r>
      <w:r w:rsidRPr="006D7319">
        <w:t>funnene. Det skal herunder trekkes frem at det å være selvstendig gir denne viktige arbeidskraft</w:t>
      </w:r>
      <w:r w:rsidRPr="006D7319">
        <w:t>ressursen mulighet til å stå lengre i arbeidslivet enn det som følger av dagens aldersgrenser. For noen er det å være selvstendig også en forutsetning for i det hele tatt å kunne være en del av arbeidslivet.</w:t>
      </w:r>
    </w:p>
    <w:p w14:paraId="5091B0D9" w14:textId="77777777" w:rsidR="0016483D" w:rsidRPr="006D7319" w:rsidRDefault="0016483D" w:rsidP="006D7319">
      <w:r w:rsidRPr="006D7319">
        <w:t xml:space="preserve">Etter en helhetlig vurdering av ovennevnte forhold foreslår </w:t>
      </w:r>
      <w:r w:rsidRPr="006A50F4">
        <w:rPr>
          <w:rStyle w:val="kursiv"/>
        </w:rPr>
        <w:t xml:space="preserve">medlemmene 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Svele og Solberg</w:t>
      </w:r>
      <w:r w:rsidRPr="006D7319">
        <w:t xml:space="preserve"> en snever regel som klargjør at også rådgivere og konsulenter som er eneste ansatt i eget aksjeselskap kan leies inn. En slik regelendring er ikke ment å begrense dagens handlingsrom etter gjeldende rett, jf. punkt 4.2.4 ovenfor.</w:t>
      </w:r>
    </w:p>
    <w:p w14:paraId="003A6634" w14:textId="08753C1C" w:rsidR="0016483D" w:rsidRPr="006D7319" w:rsidRDefault="0016483D" w:rsidP="006D7319">
      <w:r w:rsidRPr="006A50F4">
        <w:rPr>
          <w:rStyle w:val="kursiv"/>
        </w:rPr>
        <w:t>Disse medlemmene</w:t>
      </w:r>
      <w:r w:rsidRPr="006D7319">
        <w:t xml:space="preserve"> deler ikke synet om at forslaget vil kunne uthule arbeidstakerbegrepet eller utfordre arbeidsmiljølovens innretning og system. Det presiseres at forslaget kun er ment å omfatte rådgivere og konsulenter som er eneste ansatt i eget aksjeselskap. Totalt dreier det seg om ca. 9100 personer (Menon 2025). Dette er en marginal andel, ca. 0,28 prosent, av arbeidsstokken i Norge. Disse </w:t>
      </w:r>
      <w:r w:rsidRPr="006D7319">
        <w:t xml:space="preserve">rådgiverne og konsulentene kjennetegnes ved å være i en bedre forhandlingsposisjon enn andre </w:t>
      </w:r>
      <w:r w:rsidRPr="006D7319">
        <w:t>arbeidstakere fordi de innehar etterspurt spesialkompetanse på sine områder. Som ansatt i eget aksjeselskap har de blant annet rett til feriepenger, sykepenger, yrkesskadedekning og tjenestepensjon, slik også andre arbeidstakere har. De skal også etter arbeidsmiljølovens regler likebehandles med ansatte i de virksomhetene de leies inn til. De har også rett til fast ansettelse ved ulovlig innleie eller ved sammenhengende innleie i mer enn tre år. Aksjeselskapet de er ansatt i er tilsvarende bundet av de samm</w:t>
      </w:r>
      <w:r w:rsidRPr="006D7319">
        <w:t>e plikter som øvrige arbeidsgivere med blant annet rapporteringer og innbetalinger til offentlige trygde- og velferdsordninger mv. Det skal også påpekes at den nevnte tidligere forvaltningspraksisen fra Arbeidstil</w:t>
      </w:r>
      <w:r w:rsidRPr="006D7319">
        <w:t>synet før departementet kom med sin veileder, ikke kan anses å ha uthult arbeidstakerbegrepet.</w:t>
      </w:r>
    </w:p>
    <w:p w14:paraId="5B6F858C" w14:textId="531AF7AE" w:rsidR="0016483D" w:rsidRPr="006D7319" w:rsidRDefault="0016483D" w:rsidP="006D7319">
      <w:r w:rsidRPr="006D7319">
        <w:t>I tillegg til at forslaget omfatter en marginal gruppe, foreslås det at regelen avgrenses i tråd med spesia</w:t>
      </w:r>
      <w:r w:rsidRPr="006D7319">
        <w:t xml:space="preserve">listunntaket i forskrift om </w:t>
      </w:r>
      <w:proofErr w:type="gramStart"/>
      <w:r w:rsidRPr="006D7319">
        <w:t>innleie</w:t>
      </w:r>
      <w:proofErr w:type="gramEnd"/>
      <w:r w:rsidRPr="006D7319">
        <w:t xml:space="preserve"> fra bemanningsforetak </w:t>
      </w:r>
      <w:r w:rsidR="006A50F4">
        <w:t>§ </w:t>
      </w:r>
      <w:r w:rsidR="006A50F4" w:rsidRPr="006D7319">
        <w:t>3</w:t>
      </w:r>
      <w:r w:rsidRPr="006D7319">
        <w:t xml:space="preserve"> første ledd bokstav b. Det vil si at det kun skal være adgang til </w:t>
      </w:r>
      <w:proofErr w:type="gramStart"/>
      <w:r w:rsidRPr="006D7319">
        <w:t>innleie</w:t>
      </w:r>
      <w:proofErr w:type="gramEnd"/>
      <w:r w:rsidRPr="006D7319">
        <w:t xml:space="preserve"> til klart avgrensede prosjekter. En slik avgrensning vil bidra til å sikre at unntaket ikke benyttes til å dekke permanente bemanningsbehov.</w:t>
      </w:r>
    </w:p>
    <w:p w14:paraId="60632F97" w14:textId="6796A460" w:rsidR="0016483D" w:rsidRPr="006D7319" w:rsidRDefault="0016483D" w:rsidP="006D7319">
      <w:r w:rsidRPr="006A50F4">
        <w:rPr>
          <w:rStyle w:val="kursiv"/>
        </w:rPr>
        <w:t>Disse medlemmene</w:t>
      </w:r>
      <w:r w:rsidRPr="006D7319">
        <w:t xml:space="preserve"> vil også fremheve at en regel ikke må kunne føre til at rådgivere og </w:t>
      </w:r>
      <w:r w:rsidRPr="006D7319">
        <w:t xml:space="preserve">konsulenter som allerede er fast ansatt hos oppdragsgiver presses ut i innleieforhold, for så å leies inn igjen av tidligere arbeidsgiver. Disse medlemmene viser i den forbindelse derfor til arbeidsmiljøloven </w:t>
      </w:r>
      <w:r w:rsidR="006A50F4">
        <w:t>§ </w:t>
      </w:r>
      <w:r w:rsidR="006A50F4" w:rsidRPr="006D7319">
        <w:t>1</w:t>
      </w:r>
      <w:r w:rsidRPr="006D7319">
        <w:t xml:space="preserve">5-7 fjerde ledd som skal hindre nettopp slike </w:t>
      </w:r>
      <w:r w:rsidRPr="006D7319">
        <w:t xml:space="preserve">situasjoner og som det bør henvises til. </w:t>
      </w:r>
      <w:r w:rsidRPr="006A50F4">
        <w:rPr>
          <w:rStyle w:val="kursiv"/>
        </w:rPr>
        <w:t>Disse medlemmene</w:t>
      </w:r>
      <w:r w:rsidRPr="006D7319">
        <w:t xml:space="preserve"> foreslår også at slike aksjeselskap må følge samme godkjenningskrav som virksomheter som følger de nye reglene for godkjenning av bemanningsforetak.</w:t>
      </w:r>
    </w:p>
    <w:p w14:paraId="58259303" w14:textId="20B53AC5" w:rsidR="0016483D" w:rsidRPr="006D7319" w:rsidRDefault="0016483D" w:rsidP="006D7319">
      <w:r w:rsidRPr="006A50F4">
        <w:rPr>
          <w:rStyle w:val="kursiv"/>
        </w:rPr>
        <w:t>Medlemmene</w:t>
      </w:r>
      <w:r w:rsidRPr="006D7319">
        <w:t xml:space="preserve"> </w:t>
      </w:r>
      <w:r w:rsidRPr="006A50F4">
        <w:rPr>
          <w:rStyle w:val="kursiv"/>
        </w:rPr>
        <w:t xml:space="preserve">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xml:space="preserve"> og </w:t>
      </w:r>
      <w:r w:rsidRPr="006A50F4">
        <w:rPr>
          <w:rStyle w:val="kursiv"/>
        </w:rPr>
        <w:t>Solberg</w:t>
      </w:r>
      <w:r w:rsidRPr="006D7319">
        <w:t xml:space="preserve"> viser </w:t>
      </w:r>
      <w:proofErr w:type="gramStart"/>
      <w:r w:rsidRPr="006D7319">
        <w:t>for øv</w:t>
      </w:r>
      <w:r w:rsidRPr="006D7319">
        <w:t>rig</w:t>
      </w:r>
      <w:proofErr w:type="gramEnd"/>
      <w:r w:rsidRPr="006D7319">
        <w:t xml:space="preserve"> til at konsulentbransjens utfordringer med innleieregelverket også </w:t>
      </w:r>
      <w:r w:rsidRPr="006D7319">
        <w:t xml:space="preserve">gjelder for flere virksomheter enn de som omfattes </w:t>
      </w:r>
      <w:r w:rsidRPr="006D7319">
        <w:t>eksplisitt av arbeidsgruppens mandat og beskrivelsen over. Tilbake</w:t>
      </w:r>
      <w:r w:rsidRPr="006D7319">
        <w:t xml:space="preserve">meldinger og erfaringer fra bransjen viser at det er ulik forståelse og praksis mellom </w:t>
      </w:r>
      <w:r w:rsidRPr="006D7319">
        <w:t xml:space="preserve">statlige </w:t>
      </w:r>
      <w:r w:rsidRPr="006D7319">
        <w:t xml:space="preserve">bestillere knyttet til </w:t>
      </w:r>
      <w:r w:rsidRPr="006D7319">
        <w:t xml:space="preserve">innleieregelverket, noe som </w:t>
      </w:r>
      <w:r w:rsidRPr="006D7319">
        <w:t>skaper usikker</w:t>
      </w:r>
      <w:r w:rsidRPr="006D7319">
        <w:t xml:space="preserve">het og ulike vilkår for </w:t>
      </w:r>
      <w:r w:rsidRPr="006D7319">
        <w:t xml:space="preserve">bransjen som helhet. Blant annet har det skjedd en </w:t>
      </w:r>
      <w:r w:rsidRPr="006D7319">
        <w:t>innstramming ved at det ikke lenger aksepteres at godkjente bemann</w:t>
      </w:r>
      <w:r w:rsidRPr="006D7319">
        <w:t>ingsforetak kan levere konsulenter fra underleverandører. Dette selv om også underleveran</w:t>
      </w:r>
      <w:r w:rsidRPr="006D7319">
        <w:t xml:space="preserve">døren er godkjent som bemanningsforetak, og selv om konkurransegrunnlaget eksplisitt åpner for bruk av underleverandører. Den nye tolkningen rammer små- og mellomstore konsulentselskaper spesielt hardt. Slike selskaper samarbeider ofte om rammeavtaler der ett selskap opptrer som </w:t>
      </w:r>
      <w:r w:rsidRPr="006D7319">
        <w:t>hovedleverandør, mens øvrige selskap leverer konsulenter som underleverandører. Når denne modellen ikke lenger aksepteres får selskaper som har bidratt til å vinne rammeavtalen, ikke lenger delta i mini-konkurranser.</w:t>
      </w:r>
    </w:p>
    <w:p w14:paraId="3485CE28" w14:textId="77777777" w:rsidR="0016483D" w:rsidRPr="006D7319" w:rsidRDefault="0016483D" w:rsidP="006D7319">
      <w:r w:rsidRPr="006D7319">
        <w:t>Dette medfører ulemper for små og mellomstore bedrifter som neppe var tilsiktet. Flere av disse uheldige konsekvensene kan imidlertid fjernes gjennom tydeligere veiledning og ny praksis uten at det på dette punktet kreves regelendringer. Det vises i den anledning til at Arbeids- og inkluderings</w:t>
      </w:r>
      <w:r w:rsidRPr="006D7319">
        <w:t>departementet i brev av 21. november 2025 til Virke skriver:</w:t>
      </w:r>
    </w:p>
    <w:p w14:paraId="0C4295DF" w14:textId="77777777" w:rsidR="0016483D" w:rsidRPr="006A50F4" w:rsidRDefault="0016483D" w:rsidP="006D7319">
      <w:pPr>
        <w:pStyle w:val="blokksit"/>
      </w:pPr>
      <w:r w:rsidRPr="006A50F4">
        <w:t>Som departementet signaliserte i møtet, kan det være aktuelt å gjøre presiseringer i veilederen om innleiereglene for å bidra til å gjøre reglene enklere å praktisere.</w:t>
      </w:r>
    </w:p>
    <w:p w14:paraId="717C4E78" w14:textId="77777777" w:rsidR="0016483D" w:rsidRPr="006A50F4" w:rsidRDefault="0016483D" w:rsidP="006D7319">
      <w:pPr>
        <w:pStyle w:val="blokksit"/>
      </w:pPr>
      <w:r w:rsidRPr="006A50F4">
        <w:t>Det pågår ulike arbeider i departementet knyttet til innleiereglene, hvor endringer i veilederen kan være et aktuelt tiltak. Blant annet er det etablert en arbeidsgruppe som ser på problemstillinger i forbindelse med selvstendige konsulenter, og som skal levere en rapport til departementet innen 1. april 2026.</w:t>
      </w:r>
    </w:p>
    <w:p w14:paraId="48DB5637" w14:textId="77777777" w:rsidR="0016483D" w:rsidRPr="006A50F4" w:rsidRDefault="0016483D" w:rsidP="006D7319">
      <w:pPr>
        <w:pStyle w:val="blokksit"/>
      </w:pPr>
      <w:r w:rsidRPr="006A50F4">
        <w:t>Departementet ønsker å se de ulike problemstillingene i sammenheng når det skal vurderes å gjøre endringer i veilederen.</w:t>
      </w:r>
    </w:p>
    <w:p w14:paraId="2187694E" w14:textId="7FEBA6A7" w:rsidR="0016483D" w:rsidRPr="006D7319" w:rsidRDefault="0016483D" w:rsidP="006D7319">
      <w:r w:rsidRPr="006A50F4">
        <w:rPr>
          <w:rStyle w:val="kursiv"/>
        </w:rPr>
        <w:t>Disse medlemmene</w:t>
      </w:r>
      <w:r w:rsidRPr="006D7319">
        <w:t xml:space="preserve"> er enig i at dette er arbeid som bør ses i sammenheng, og at det i tillegg til behovet for regelendringer som omtalt over knyttet til råd</w:t>
      </w:r>
      <w:r w:rsidRPr="006D7319">
        <w:t>givere og konsulenter ansatt i eget aksjeselskap, også er behov for å tilpasse veiledningen slik at den er bedre tilpasset konsulent- og rådgivningsbransjens utford</w:t>
      </w:r>
      <w:r w:rsidRPr="006D7319">
        <w:t>ringer og særegenheter.</w:t>
      </w:r>
    </w:p>
    <w:p w14:paraId="62DF8956" w14:textId="0E6563C9" w:rsidR="0016483D" w:rsidRPr="006D7319" w:rsidRDefault="0016483D" w:rsidP="006D7319">
      <w:r w:rsidRPr="006D7319">
        <w:t xml:space="preserve">Arbeidsgruppen har på denne bakgrunn delt seg når det gjelder spørsmålet om det er behov for å foreslå en regel som åpner for </w:t>
      </w:r>
      <w:proofErr w:type="gramStart"/>
      <w:r w:rsidRPr="006D7319">
        <w:t>innleie</w:t>
      </w:r>
      <w:proofErr w:type="gramEnd"/>
      <w:r w:rsidRPr="006D7319">
        <w:t xml:space="preserve"> av selvstendige konsulenter og rådgivere med eget aksjeselskap. </w:t>
      </w:r>
      <w:r w:rsidRPr="006A50F4">
        <w:rPr>
          <w:rStyle w:val="kursiv"/>
        </w:rPr>
        <w:t>Medlemmene</w:t>
      </w:r>
      <w:r w:rsidRPr="006D7319">
        <w:t xml:space="preserve"> </w:t>
      </w:r>
      <w:r w:rsidRPr="006A50F4">
        <w:rPr>
          <w:rStyle w:val="kursiv"/>
        </w:rPr>
        <w:t>Hotvedt, Fjeldstad, Dahle, Kastet, Nordbø og Arthur</w:t>
      </w:r>
      <w:r w:rsidRPr="006D7319">
        <w:t xml:space="preserve"> ønsker ikke å foreslå en regelendring. </w:t>
      </w:r>
      <w:r w:rsidRPr="006A50F4">
        <w:rPr>
          <w:rStyle w:val="kursiv"/>
        </w:rPr>
        <w:t>Medlemmene</w:t>
      </w:r>
      <w:r w:rsidRPr="006D7319">
        <w:t xml:space="preserve"> </w:t>
      </w:r>
      <w:r w:rsidRPr="006A50F4">
        <w:rPr>
          <w:rStyle w:val="kursiv"/>
        </w:rPr>
        <w:t xml:space="preserve">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xml:space="preserve">, Svele og </w:t>
      </w:r>
      <w:r w:rsidRPr="006A50F4">
        <w:rPr>
          <w:rStyle w:val="kursiv"/>
        </w:rPr>
        <w:t xml:space="preserve">Solberg </w:t>
      </w:r>
      <w:r w:rsidRPr="006D7319">
        <w:t>foreslår en regelendring i punkt 4.3.4 nedenfor.</w:t>
      </w:r>
    </w:p>
    <w:p w14:paraId="34A48454" w14:textId="77777777" w:rsidR="0016483D" w:rsidRPr="006A50F4" w:rsidRDefault="0016483D" w:rsidP="006D7319">
      <w:pPr>
        <w:rPr>
          <w:rStyle w:val="halvfet"/>
        </w:rPr>
      </w:pPr>
      <w:r w:rsidRPr="006A50F4">
        <w:rPr>
          <w:rStyle w:val="halvfet"/>
        </w:rPr>
        <w:t>4.3.4 Forslag til regelverksendringer fremsatt av deler av arbeidsgruppen</w:t>
      </w:r>
    </w:p>
    <w:p w14:paraId="26756D6C" w14:textId="77777777" w:rsidR="0016483D" w:rsidRPr="006A50F4" w:rsidRDefault="0016483D" w:rsidP="006D7319">
      <w:pPr>
        <w:rPr>
          <w:rStyle w:val="kursiv"/>
        </w:rPr>
      </w:pPr>
      <w:r w:rsidRPr="006A50F4">
        <w:rPr>
          <w:rStyle w:val="kursiv"/>
        </w:rPr>
        <w:t>4.3.4.1 Nærmere om forslaget</w:t>
      </w:r>
    </w:p>
    <w:p w14:paraId="01F39916" w14:textId="39942939" w:rsidR="0016483D" w:rsidRPr="006D7319" w:rsidRDefault="0016483D" w:rsidP="006D7319">
      <w:r w:rsidRPr="006D7319">
        <w:t xml:space="preserve">Som det fremgår i punkt 4.3.3 foreslår </w:t>
      </w:r>
      <w:r w:rsidRPr="006A50F4">
        <w:rPr>
          <w:rStyle w:val="kursiv"/>
        </w:rPr>
        <w:t>medlemmene</w:t>
      </w:r>
      <w:r w:rsidRPr="006D7319">
        <w:t xml:space="preserve"> </w:t>
      </w:r>
      <w:r w:rsidRPr="006A50F4">
        <w:rPr>
          <w:rStyle w:val="kursiv"/>
        </w:rPr>
        <w:t xml:space="preserve">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Svele og Solberg</w:t>
      </w:r>
      <w:r w:rsidRPr="006D7319">
        <w:t xml:space="preserve"> en snever særregel som rydder unna usikkerhet og tydeliggjør at det er adgang til </w:t>
      </w:r>
      <w:proofErr w:type="gramStart"/>
      <w:r w:rsidRPr="006D7319">
        <w:t>innleie</w:t>
      </w:r>
      <w:proofErr w:type="gramEnd"/>
      <w:r w:rsidRPr="006D7319">
        <w:t xml:space="preserve"> av selvstendige konsulenter og rådgivere ansatt i eget aksjeselskap. Forslaget til særregel avgrenses i tråd med spesialistunntaket i forskrift om </w:t>
      </w:r>
      <w:proofErr w:type="gramStart"/>
      <w:r w:rsidRPr="006D7319">
        <w:t>innleie</w:t>
      </w:r>
      <w:proofErr w:type="gramEnd"/>
      <w:r w:rsidRPr="006D7319">
        <w:t xml:space="preserve"> fra bemanningsforetak </w:t>
      </w:r>
      <w:r w:rsidR="006A50F4">
        <w:t>§ </w:t>
      </w:r>
      <w:r w:rsidR="006A50F4" w:rsidRPr="006D7319">
        <w:t>3</w:t>
      </w:r>
      <w:r w:rsidRPr="006D7319">
        <w:t xml:space="preserve"> første ledd bokstav b.</w:t>
      </w:r>
    </w:p>
    <w:p w14:paraId="79449417" w14:textId="77777777" w:rsidR="0016483D" w:rsidRPr="006D7319" w:rsidRDefault="0016483D" w:rsidP="006D7319">
      <w:r w:rsidRPr="006A50F4">
        <w:rPr>
          <w:rStyle w:val="kursiv"/>
        </w:rPr>
        <w:t>Disse medlemmene</w:t>
      </w:r>
      <w:r w:rsidRPr="006D7319">
        <w:t xml:space="preserve"> har vurdert hvordan en regel som åpner for </w:t>
      </w:r>
      <w:proofErr w:type="gramStart"/>
      <w:r w:rsidRPr="006D7319">
        <w:t>innleie</w:t>
      </w:r>
      <w:proofErr w:type="gramEnd"/>
      <w:r w:rsidRPr="006D7319">
        <w:t xml:space="preserve"> av slike selvstendige konsulenter og rådgivere bør innrettes og avgrenses. Etter </w:t>
      </w:r>
      <w:r w:rsidRPr="006A50F4">
        <w:rPr>
          <w:rStyle w:val="kursiv"/>
        </w:rPr>
        <w:t>medlemmenes syn</w:t>
      </w:r>
      <w:r w:rsidRPr="006D7319">
        <w:t xml:space="preserve"> er det viktig at regelen avgrenses på en slik måte at den blir treffsikker.</w:t>
      </w:r>
    </w:p>
    <w:p w14:paraId="56F231EA" w14:textId="1D224817" w:rsidR="0016483D" w:rsidRPr="006D7319" w:rsidRDefault="0016483D" w:rsidP="006D7319">
      <w:r w:rsidRPr="006A50F4">
        <w:rPr>
          <w:rStyle w:val="kursiv"/>
        </w:rPr>
        <w:t>Disse medlemmene</w:t>
      </w:r>
      <w:r w:rsidRPr="006D7319">
        <w:t xml:space="preserve"> mener at en regel som gir adgang til å leie inn selvstendige rådgivere og konsulenter bør begrenses til virksomheter som er organisert som et aksjeselskap med én ansatt. </w:t>
      </w:r>
      <w:r w:rsidRPr="006D7319">
        <w:t>Disse</w:t>
      </w:r>
      <w:r w:rsidRPr="006D7319">
        <w:t xml:space="preserve"> </w:t>
      </w:r>
      <w:r w:rsidRPr="006A50F4">
        <w:rPr>
          <w:rStyle w:val="kursiv"/>
        </w:rPr>
        <w:t xml:space="preserve">medlemmene </w:t>
      </w:r>
      <w:r w:rsidRPr="006D7319">
        <w:t xml:space="preserve">ser det slik at ved å organisere virksomheten som et aksjeselskap, vil den ansatte konsulenten eller rådgiveren ha et sterkere vern enn ved å være organisert som et enkeltpersonforetak. </w:t>
      </w:r>
      <w:r w:rsidRPr="006D7319">
        <w:t>Disse</w:t>
      </w:r>
      <w:r w:rsidRPr="006D7319">
        <w:t xml:space="preserve"> </w:t>
      </w:r>
      <w:r w:rsidRPr="006A50F4">
        <w:rPr>
          <w:rStyle w:val="kursiv"/>
        </w:rPr>
        <w:t xml:space="preserve">medlemmene </w:t>
      </w:r>
      <w:r w:rsidRPr="006D7319">
        <w:t xml:space="preserve">viser til at organisasjonsformen aksjeselskap innebærer en mindre risiko for eier, ved at eiers ansvar er </w:t>
      </w:r>
      <w:r w:rsidRPr="006D7319">
        <w:t xml:space="preserve">begrenset til aksjekapitalen, og at selskapets økonomi er mer adskilt fra den personlige sammenliknet med enkeltpersonforetak, jf. punkt 2.3.2 ovenfor. Videre gir aksjeselskap på nærmere vilkår mulighet for arbeidstakeren til å motta visse trygdeytelser, som sykepenger og dagpenger, samt tjenestepensjon. Som ansatt er man også omfattet av </w:t>
      </w:r>
      <w:r w:rsidRPr="006D7319">
        <w:t xml:space="preserve">virksomhetens forsikringsordninger for ansatte. Det kreves også noe mer for å opprette et aksjeselskap enn et enkeltpersonforetak, gjennom kravet til aksjekapital, jf. punkt 2.3.2 ovenfor. Dette taler etter </w:t>
      </w:r>
      <w:r w:rsidRPr="006A50F4">
        <w:rPr>
          <w:rStyle w:val="kursiv"/>
        </w:rPr>
        <w:t>disse medlemmenes</w:t>
      </w:r>
      <w:r w:rsidRPr="006D7319">
        <w:t xml:space="preserve"> syn for at en regelverksendring bør </w:t>
      </w:r>
      <w:r w:rsidRPr="006D7319">
        <w:t>begrenses til aksjeselskaper med én arbeidstaker.</w:t>
      </w:r>
    </w:p>
    <w:p w14:paraId="2471BCA5" w14:textId="72766692" w:rsidR="0016483D" w:rsidRPr="006D7319" w:rsidRDefault="0016483D" w:rsidP="006D7319">
      <w:r w:rsidRPr="006D7319">
        <w:t xml:space="preserve">Når det gjelder den nærmere avgrensningen av selve innleieadgangen, har </w:t>
      </w:r>
      <w:r w:rsidRPr="006D7319">
        <w:t>disse</w:t>
      </w:r>
      <w:r w:rsidRPr="006D7319">
        <w:t xml:space="preserve"> </w:t>
      </w:r>
      <w:r w:rsidRPr="006A50F4">
        <w:rPr>
          <w:rStyle w:val="kursiv"/>
        </w:rPr>
        <w:t xml:space="preserve">medlemmene </w:t>
      </w:r>
      <w:r w:rsidRPr="006D7319">
        <w:t xml:space="preserve">vurdert om regelen bør avgrenses bransjemessig, eller om den bør gjelde for alle bransjer innen konsulent- og rådgivernæringen. En bransjemessig avgrensning vil kunne gjøre regelen mer treffsikker. Det er for eksempel større behov for å leie inn selvstendige IKT- konsulenter, enn det er for å leie inn </w:t>
      </w:r>
      <w:r w:rsidRPr="006D7319">
        <w:t>advokater. En avgrensning basert på bransjer eller fag vil imidler</w:t>
      </w:r>
      <w:r w:rsidRPr="006D7319">
        <w:t>tid kunne være vanskelig å trekke. Det vil for eksempel kunne være vanskelig å definere hva som menes med IKT- rådgivning og teknisk rådgivning. En bransjemessig avgrensning vil også kunne gjøre regelen mer komplisert.</w:t>
      </w:r>
    </w:p>
    <w:p w14:paraId="3A5EC93A" w14:textId="0E5E1BC1" w:rsidR="0016483D" w:rsidRPr="006D7319" w:rsidRDefault="0016483D" w:rsidP="006D7319">
      <w:r w:rsidRPr="006A50F4">
        <w:rPr>
          <w:rStyle w:val="kursiv"/>
        </w:rPr>
        <w:t xml:space="preserve">Disse medlemmene </w:t>
      </w:r>
      <w:r w:rsidRPr="006D7319">
        <w:t>mener derfor at det vil være hensikts</w:t>
      </w:r>
      <w:r w:rsidRPr="006D7319">
        <w:t xml:space="preserve">messig å benytte tilsvarende avgrensning som </w:t>
      </w:r>
      <w:r w:rsidRPr="006D7319">
        <w:t xml:space="preserve">følger av spesialistunntaket i forskrift 11. januar 2013 nr. 33 om innleie fra bemanningsforetak </w:t>
      </w:r>
      <w:r w:rsidR="006A50F4">
        <w:t>§ </w:t>
      </w:r>
      <w:r w:rsidR="006A50F4" w:rsidRPr="006D7319">
        <w:t>3</w:t>
      </w:r>
      <w:r w:rsidRPr="006D7319">
        <w:t xml:space="preserve"> første ledd bokstav b. Bestemmelsen gir adgang til </w:t>
      </w:r>
      <w:r w:rsidR="006A50F4">
        <w:t>«</w:t>
      </w:r>
      <w:r w:rsidRPr="006D7319">
        <w:t>innleie av arbeidstakere med spesialkompetanse som skal utføre rådgivnings- og konsulenttjeneste i klart avgrenset prosjekt</w:t>
      </w:r>
      <w:r w:rsidR="006A50F4">
        <w:t>»</w:t>
      </w:r>
      <w:r w:rsidRPr="006D7319">
        <w:t xml:space="preserve">. Hva som menes med rådgivnings- og konsulenttjeneste </w:t>
      </w:r>
      <w:proofErr w:type="gramStart"/>
      <w:r w:rsidRPr="006D7319">
        <w:t>fremgår</w:t>
      </w:r>
      <w:proofErr w:type="gramEnd"/>
      <w:r w:rsidRPr="006D7319">
        <w:t xml:space="preserve"> av bestemmelsens andre ledd:</w:t>
      </w:r>
    </w:p>
    <w:p w14:paraId="615A9441" w14:textId="77777777" w:rsidR="0016483D" w:rsidRPr="006A50F4" w:rsidRDefault="0016483D" w:rsidP="006D7319">
      <w:pPr>
        <w:pStyle w:val="blokksit"/>
      </w:pPr>
      <w:r w:rsidRPr="006A50F4">
        <w:t>Med rådgivnings- og konsulenttjeneste menes levering av spesialisert kunnskap og rådgivning innenfor et bestemt fagområde.</w:t>
      </w:r>
    </w:p>
    <w:p w14:paraId="6AF667D0" w14:textId="77777777" w:rsidR="0016483D" w:rsidRPr="006D7319" w:rsidRDefault="0016483D" w:rsidP="006D7319">
      <w:r w:rsidRPr="006D7319">
        <w:t xml:space="preserve">Av departementets veileder om </w:t>
      </w:r>
      <w:proofErr w:type="gramStart"/>
      <w:r w:rsidRPr="006D7319">
        <w:t>innleie</w:t>
      </w:r>
      <w:proofErr w:type="gramEnd"/>
      <w:r w:rsidRPr="006D7319">
        <w:t xml:space="preserve"> av arbeidskraft fremgår det at det må vurderes konkret om tjenesten er en rådgivnings- og konsulenttjeneste. Departementet viser i veilederen til at </w:t>
      </w:r>
      <w:proofErr w:type="spellStart"/>
      <w:r w:rsidRPr="006D7319">
        <w:t>Difis</w:t>
      </w:r>
      <w:proofErr w:type="spellEnd"/>
      <w:r w:rsidRPr="006D7319">
        <w:t xml:space="preserve"> veileder for kjøp av konsulenttjenester kan være veiledende:</w:t>
      </w:r>
    </w:p>
    <w:p w14:paraId="09F98D7A" w14:textId="77777777" w:rsidR="0016483D" w:rsidRPr="006A50F4" w:rsidRDefault="0016483D" w:rsidP="006D7319">
      <w:pPr>
        <w:pStyle w:val="blokksit"/>
      </w:pPr>
      <w:r w:rsidRPr="006A50F4">
        <w:t>Typiske kjennetegn for en konsulenttjeneste er at:</w:t>
      </w:r>
    </w:p>
    <w:p w14:paraId="45B53EFC" w14:textId="646ACBA2" w:rsidR="0016483D" w:rsidRPr="006A50F4" w:rsidRDefault="0016483D" w:rsidP="006D7319">
      <w:pPr>
        <w:pStyle w:val="blokksit"/>
      </w:pPr>
      <w:r w:rsidRPr="006A50F4">
        <w:t xml:space="preserve">tjenesten i stor grad handler om personbaserte ytelser og avhenger av personers kunnskaper, </w:t>
      </w:r>
      <w:r w:rsidRPr="006A50F4">
        <w:t>erfaring og ferdigheter</w:t>
      </w:r>
    </w:p>
    <w:p w14:paraId="553E3631" w14:textId="77777777" w:rsidR="0016483D" w:rsidRPr="006A50F4" w:rsidRDefault="0016483D" w:rsidP="006D7319">
      <w:pPr>
        <w:pStyle w:val="blokksit"/>
      </w:pPr>
      <w:r w:rsidRPr="006A50F4">
        <w:t>kvaliteten på tjenesten avhenger både av enkeltpersoners kunnskap og kompetanse, men også av konsulentselskapets faglige metodikk og kvalitetssikringsrutiner</w:t>
      </w:r>
    </w:p>
    <w:p w14:paraId="4EB1DE2D" w14:textId="77777777" w:rsidR="0016483D" w:rsidRPr="006A50F4" w:rsidRDefault="0016483D" w:rsidP="006D7319">
      <w:pPr>
        <w:pStyle w:val="blokksit"/>
      </w:pPr>
      <w:r w:rsidRPr="006A50F4">
        <w:t>leveransen ofte forutsetter en viss grad av samhandling mellom leverandør og oppdragsgiver.</w:t>
      </w:r>
    </w:p>
    <w:p w14:paraId="18A53F2A" w14:textId="77777777" w:rsidR="0016483D" w:rsidRPr="006A50F4" w:rsidRDefault="0016483D" w:rsidP="006D7319">
      <w:pPr>
        <w:pStyle w:val="blokksit"/>
      </w:pPr>
      <w:r w:rsidRPr="006A50F4">
        <w:t>(…)</w:t>
      </w:r>
    </w:p>
    <w:p w14:paraId="1674E76E" w14:textId="64195688" w:rsidR="0016483D" w:rsidRPr="006A50F4" w:rsidRDefault="0016483D" w:rsidP="006D7319">
      <w:pPr>
        <w:pStyle w:val="blokksit"/>
      </w:pPr>
      <w:r w:rsidRPr="006A50F4">
        <w:t>Eksempler på fagområder/yrker hvor det ytes råd</w:t>
      </w:r>
      <w:r w:rsidRPr="006A50F4">
        <w:t xml:space="preserve">givning- og konsulenttjenester er </w:t>
      </w:r>
      <w:r w:rsidRPr="006A50F4">
        <w:t xml:space="preserve">IKT, </w:t>
      </w:r>
      <w:r w:rsidRPr="006A50F4">
        <w:t xml:space="preserve">teknologi, </w:t>
      </w:r>
      <w:r w:rsidRPr="006A50F4">
        <w:t xml:space="preserve">ingeniører, </w:t>
      </w:r>
      <w:r w:rsidRPr="006A50F4">
        <w:t>bedriftsrådgivning/organisa</w:t>
      </w:r>
      <w:r w:rsidRPr="006A50F4">
        <w:t xml:space="preserve">sjonsutvikling, </w:t>
      </w:r>
      <w:r w:rsidRPr="006A50F4">
        <w:t>advokatvirksomhet, revisjon og skatt, arkitekter, reklame og medieformidling, HR og rekruttering, markeds</w:t>
      </w:r>
      <w:r w:rsidRPr="006A50F4">
        <w:t>analyser og meningsmålinger, design og kommunikasjon.</w:t>
      </w:r>
      <w:r w:rsidRPr="006A50F4">
        <w:t xml:space="preserve"> Dette er ikke en uttømmende oversikt, slik at det også kan være andre fagområder som ytes som </w:t>
      </w:r>
      <w:r w:rsidRPr="006A50F4">
        <w:t>rådgivnings- og konsulenttjeneste.</w:t>
      </w:r>
      <w:r w:rsidR="006A50F4" w:rsidRPr="006A50F4">
        <w:rPr>
          <w:rStyle w:val="Fotnotereferanse"/>
        </w:rPr>
        <w:footnoteReference w:id="150"/>
      </w:r>
    </w:p>
    <w:p w14:paraId="1DDF3124" w14:textId="612E5D1C" w:rsidR="0016483D" w:rsidRPr="006D7319" w:rsidRDefault="0016483D" w:rsidP="006D7319">
      <w:r w:rsidRPr="006D7319">
        <w:t xml:space="preserve">Når det gjelder hva som menes med </w:t>
      </w:r>
      <w:r w:rsidR="006A50F4">
        <w:t>«</w:t>
      </w:r>
      <w:r w:rsidRPr="006D7319">
        <w:t>spesialkompe</w:t>
      </w:r>
      <w:r w:rsidRPr="006D7319">
        <w:t>tanse</w:t>
      </w:r>
      <w:r w:rsidR="006A50F4">
        <w:t>»</w:t>
      </w:r>
      <w:r w:rsidRPr="006D7319">
        <w:t xml:space="preserve"> fremgår følgende av departementets veileder:</w:t>
      </w:r>
    </w:p>
    <w:p w14:paraId="166D052D" w14:textId="41191FAD" w:rsidR="0016483D" w:rsidRPr="006A50F4" w:rsidRDefault="0016483D" w:rsidP="006D7319">
      <w:pPr>
        <w:pStyle w:val="blokksit"/>
      </w:pPr>
      <w:r w:rsidRPr="006A50F4">
        <w:t>Ofte vil nok en arbeidstaker med spesialkompetanse ha en utdannelse innenfor det spesialiserte fagområdet som vedkommende jobber innenfor. Det stilles imidlertid ikke krav om såkalt formal</w:t>
      </w:r>
      <w:r w:rsidRPr="006A50F4">
        <w:t>kompetanse. Det betyr at spesialkompetanse også kan være tilegnet gjennom erfaring.</w:t>
      </w:r>
    </w:p>
    <w:p w14:paraId="6F6C53AE" w14:textId="01C89E21" w:rsidR="0016483D" w:rsidRPr="006A50F4" w:rsidRDefault="0016483D" w:rsidP="006D7319">
      <w:pPr>
        <w:pStyle w:val="blokksit"/>
      </w:pPr>
      <w:r w:rsidRPr="006A50F4">
        <w:t>Om arbeidstaker har spesialkompetanse må ses i sammenheng med de to øvrige vilkårene. Kompetansen den innleide arbeidstakeren innehar, må være noe innleievirksomheten har behov for i en tidsbegrenset periode, som det ikke kan forventes at innleievirksomheten selv besitter, og som det ikke er behov for i den løpende driften av virksomheten. Etter departementets vurdering ligger det i dette at den innleide arbeidstakeren bidra</w:t>
      </w:r>
      <w:r w:rsidRPr="006A50F4">
        <w:t>r med noe mer eller annet, på grunn av sin ekspertise, erfaring mv., enn hva innleievirksomhetens egne ansatte normalt utfører. Det er gjerne kompleksiteten i oppdragets karakter, og det at arbeidet skiller seg fra ordinær drift, som begrunner behovet for innhenting av spesialkompetansen.</w:t>
      </w:r>
      <w:r w:rsidR="006A50F4" w:rsidRPr="006A50F4">
        <w:rPr>
          <w:rStyle w:val="Fotnotereferanse"/>
        </w:rPr>
        <w:footnoteReference w:id="151"/>
      </w:r>
    </w:p>
    <w:p w14:paraId="29D32D3A" w14:textId="3EF5AA19" w:rsidR="0016483D" w:rsidRPr="006D7319" w:rsidRDefault="0016483D" w:rsidP="006D7319">
      <w:r w:rsidRPr="006D7319">
        <w:t xml:space="preserve">Hva som ligger i vilkåret om at det må være et </w:t>
      </w:r>
      <w:r w:rsidR="006A50F4">
        <w:t>«</w:t>
      </w:r>
      <w:r w:rsidRPr="006D7319">
        <w:t>klart avgrenset prosjekt</w:t>
      </w:r>
      <w:r w:rsidR="006A50F4">
        <w:t>»</w:t>
      </w:r>
      <w:r w:rsidRPr="006D7319">
        <w:t xml:space="preserve"> er også omtalt i departementets veileder:</w:t>
      </w:r>
    </w:p>
    <w:p w14:paraId="257ADD05" w14:textId="77777777" w:rsidR="0016483D" w:rsidRPr="006A50F4" w:rsidRDefault="0016483D" w:rsidP="006D7319">
      <w:pPr>
        <w:pStyle w:val="blokksit"/>
      </w:pPr>
      <w:r w:rsidRPr="006A50F4">
        <w:t>Arbeidet som utføres av den innleide må</w:t>
      </w:r>
      <w:r w:rsidRPr="006A50F4">
        <w:t xml:space="preserve"> dermed i art skille seg noe fra virksomhetens ordinære drift og/eller løpende oppgaver, og det må være en tidsbegrenset arbeidsoppgave (naturlig avslutning).</w:t>
      </w:r>
    </w:p>
    <w:p w14:paraId="757DBF36" w14:textId="3E0B4F4C" w:rsidR="0016483D" w:rsidRPr="006A50F4" w:rsidRDefault="0016483D" w:rsidP="006D7319">
      <w:pPr>
        <w:pStyle w:val="blokksit"/>
      </w:pPr>
      <w:r w:rsidRPr="006A50F4">
        <w:t>Det kan noen ganger være vanskelig å avgjøre om et arbeid ligger innenfor virksom</w:t>
      </w:r>
      <w:r w:rsidRPr="006A50F4">
        <w:t xml:space="preserve">hetens ordinære oppgaver eller ikke. At arbeidet må skille seg fra ordinær drift bør heller ikke fortolkes altfor strengt. Arbeidsoppgaver som jevnlig utføres av </w:t>
      </w:r>
      <w:proofErr w:type="spellStart"/>
      <w:r w:rsidRPr="006A50F4">
        <w:t>innleiers</w:t>
      </w:r>
      <w:proofErr w:type="spellEnd"/>
      <w:r w:rsidRPr="006A50F4">
        <w:t xml:space="preserve"> egne ansatte vil typisk ligge </w:t>
      </w:r>
      <w:r w:rsidRPr="006A50F4">
        <w:t xml:space="preserve">innenfor </w:t>
      </w:r>
      <w:r w:rsidRPr="006A50F4">
        <w:t xml:space="preserve">ordinær drift, og det kan ikke benyttes innleid arbeidstaker etter denne bestemmelsen for å utføre slikt arbeid. En arbeidstopp innenfor ordinær drift vil derfor heller ikke være å anse som et </w:t>
      </w:r>
      <w:r w:rsidR="006A50F4">
        <w:t>«</w:t>
      </w:r>
      <w:r w:rsidRPr="006A50F4">
        <w:t>klart avgrenset prosjekt</w:t>
      </w:r>
      <w:r w:rsidR="006A50F4">
        <w:t>»</w:t>
      </w:r>
      <w:r w:rsidRPr="006A50F4">
        <w:t>.</w:t>
      </w:r>
    </w:p>
    <w:p w14:paraId="741D75DF" w14:textId="77777777" w:rsidR="0016483D" w:rsidRPr="006A50F4" w:rsidRDefault="0016483D" w:rsidP="006D7319">
      <w:pPr>
        <w:pStyle w:val="blokksit"/>
      </w:pPr>
      <w:r w:rsidRPr="006A50F4">
        <w:t>Det er likevel ikke et vilkår at innleier ikke kan ha egne ansatte med samme fagbakgrunn som den som leies inn. For eksempel kan en virksomhet ha IKT- ansatte til å drifte virksomhetens ordinære IKT-systemer, og fortsatt leie inn en IKT-spesialist til å bistå i et digitaliseringsprosjekt. En virksomhet kan også ha HR-ansatte, men likevel leie inn arbeidstakere med spesialkompetanse innen HR/organisasjonsutvikling for eksempel i forbindelse med en omorganiseringsprosess eller lignende. En virksomhet kan ha</w:t>
      </w:r>
      <w:r w:rsidRPr="006A50F4">
        <w:t xml:space="preserve"> ansatte ingeniører, men likevel leie inn ingeniører med særskilt spisskompetanse for å bistå i et konkret, eller deler av et konkret, prosjekt (for eksempel innenfor bygg, anlegg, petroleumsindustrien etc.).</w:t>
      </w:r>
    </w:p>
    <w:p w14:paraId="293FE493" w14:textId="26391F69" w:rsidR="0016483D" w:rsidRPr="006A50F4" w:rsidRDefault="0016483D" w:rsidP="006D7319">
      <w:pPr>
        <w:pStyle w:val="blokksit"/>
      </w:pPr>
      <w:r w:rsidRPr="006A50F4">
        <w:t>Når det gjelder begrensning i tid, oppstiller ikke forskriften en konkret tidsbegrensning på prosjektet. Et prosjekt kan vare i alt fra en dag til flere år. Det sentrale vil være om arbeidet har en naturlig avslutning, for eksempel (men ikke nødvendigvis) i form av et resultat (en rapport, en omorganis</w:t>
      </w:r>
      <w:r w:rsidRPr="006A50F4">
        <w:t>ering, innfasing av et nytt digitalt verktøy osv.).</w:t>
      </w:r>
      <w:r w:rsidR="006A50F4" w:rsidRPr="006A50F4">
        <w:rPr>
          <w:rStyle w:val="Fotnotereferanse"/>
        </w:rPr>
        <w:footnoteReference w:id="152"/>
      </w:r>
    </w:p>
    <w:p w14:paraId="133098EC" w14:textId="090696C8" w:rsidR="0016483D" w:rsidRPr="006D7319" w:rsidRDefault="0016483D" w:rsidP="006D7319">
      <w:r w:rsidRPr="006A50F4">
        <w:rPr>
          <w:rStyle w:val="kursiv"/>
        </w:rPr>
        <w:t>Disse medlemmene</w:t>
      </w:r>
      <w:r w:rsidRPr="006D7319">
        <w:t xml:space="preserve"> mener at dette vil være en hensikts</w:t>
      </w:r>
      <w:r w:rsidRPr="006D7319">
        <w:t xml:space="preserve">messig avgrensning av en regel som åpner for </w:t>
      </w:r>
      <w:proofErr w:type="gramStart"/>
      <w:r w:rsidRPr="006D7319">
        <w:t>innleie</w:t>
      </w:r>
      <w:proofErr w:type="gramEnd"/>
      <w:r w:rsidRPr="006D7319">
        <w:t xml:space="preserve"> av selvstendige konsulenter og </w:t>
      </w:r>
      <w:r w:rsidRPr="006D7319">
        <w:t>rådgivere ansatt i eget aksjeselskap. Forslaget innebærer at slike selvstendige konsulenter og rådgivere gis mulighet til å leie seg ut på tilsvarende måte som ansatte i råd</w:t>
      </w:r>
      <w:r w:rsidRPr="006D7319">
        <w:t>giver- eller konsulentselskaper med flere ansatte, dersom vedkommende har spesialkompetanse og skal utføre rådgivnings- og konsulent</w:t>
      </w:r>
      <w:r w:rsidRPr="006D7319">
        <w:t>tjeneste i et klart avgrenset prosjekt.</w:t>
      </w:r>
    </w:p>
    <w:p w14:paraId="4A674E15" w14:textId="55781BC1" w:rsidR="0016483D" w:rsidRPr="006D7319" w:rsidRDefault="0016483D" w:rsidP="006D7319">
      <w:r w:rsidRPr="006D7319">
        <w:t>Ved innleie av selvstendige konsulenter og rådgivere ansatt i eget aksjeselskap gis disse samme vern som andre innleide arbeidstakere.</w:t>
      </w:r>
      <w:r w:rsidRPr="006D7319">
        <w:t xml:space="preserve"> Disse medlemmene </w:t>
      </w:r>
      <w:r w:rsidRPr="006D7319">
        <w:t>foreslår blant annet at reglene i arbeidsmiljøloven om likebehandling, opplysningsplikt og solidaransvar, rett til fast ansett</w:t>
      </w:r>
      <w:r w:rsidRPr="006D7319">
        <w:t xml:space="preserve">else etter tre år og rett til fast ansettelse ved ulovlig innleie skal gjelde ved innleie etter den foreslåtte regelen, jf. arbeidsmiljøloven </w:t>
      </w:r>
      <w:r w:rsidR="006A50F4">
        <w:t>§ </w:t>
      </w:r>
      <w:r w:rsidR="006A50F4" w:rsidRPr="006D7319">
        <w:t>1</w:t>
      </w:r>
      <w:r w:rsidRPr="006D7319">
        <w:t xml:space="preserve">4-12 tredje ledd, </w:t>
      </w:r>
      <w:r w:rsidR="006A50F4">
        <w:t>§ </w:t>
      </w:r>
      <w:r w:rsidR="006A50F4" w:rsidRPr="006D7319">
        <w:t>1</w:t>
      </w:r>
      <w:r w:rsidRPr="006D7319">
        <w:t xml:space="preserve">4-12 a, 14-12 b, 14-12 c og </w:t>
      </w:r>
      <w:r w:rsidR="006A50F4">
        <w:t>§ </w:t>
      </w:r>
      <w:r w:rsidR="006A50F4" w:rsidRPr="006D7319">
        <w:t>1</w:t>
      </w:r>
      <w:r w:rsidRPr="006D7319">
        <w:t>4-14. Arbeidstilsynet bør også kunne føre tilsyn med den foreslåtte bestemmelsen.</w:t>
      </w:r>
    </w:p>
    <w:p w14:paraId="782B45E1" w14:textId="443291A0" w:rsidR="0016483D" w:rsidRPr="006D7319" w:rsidRDefault="0016483D" w:rsidP="006D7319">
      <w:r w:rsidRPr="006D7319">
        <w:t>Etter</w:t>
      </w:r>
      <w:r w:rsidR="006D7319" w:rsidRPr="006D7319">
        <w:t xml:space="preserve"> </w:t>
      </w:r>
      <w:r w:rsidRPr="006D7319">
        <w:t>disse</w:t>
      </w:r>
      <w:r w:rsidRPr="006D7319">
        <w:t xml:space="preserve"> </w:t>
      </w:r>
      <w:r w:rsidRPr="006A50F4">
        <w:rPr>
          <w:rStyle w:val="kursiv"/>
        </w:rPr>
        <w:t xml:space="preserve">medlemmenes </w:t>
      </w:r>
      <w:r w:rsidRPr="006D7319">
        <w:t>syn er det viktig at regelen ikke åpner for omgåelse, for eksempel ved at konsu</w:t>
      </w:r>
      <w:r w:rsidRPr="006D7319">
        <w:t>lenter og rådgivere som allerede er ansatt hos oppdrags</w:t>
      </w:r>
      <w:r w:rsidRPr="006D7319">
        <w:t xml:space="preserve">giver, presses ut i et innleieforhold. </w:t>
      </w:r>
      <w:r w:rsidRPr="006D7319">
        <w:t>Disse medlemmene</w:t>
      </w:r>
      <w:r w:rsidRPr="006D7319">
        <w:t xml:space="preserve"> har derfor vurdert om arbeidsmiljøloven </w:t>
      </w:r>
      <w:r w:rsidR="006A50F4">
        <w:t>§ </w:t>
      </w:r>
      <w:r w:rsidR="006A50F4" w:rsidRPr="006D7319">
        <w:t>1</w:t>
      </w:r>
      <w:r w:rsidRPr="006D7319">
        <w:t xml:space="preserve">5-7 fjerde ledd gir tilstrekkelig vern mot slike tilfeller. Bestemmelsen regulerer såkalt </w:t>
      </w:r>
      <w:r w:rsidR="006A50F4">
        <w:t>«</w:t>
      </w:r>
      <w:proofErr w:type="spellStart"/>
      <w:r w:rsidRPr="006D7319">
        <w:t>outsourcing</w:t>
      </w:r>
      <w:proofErr w:type="spellEnd"/>
      <w:r w:rsidR="006A50F4">
        <w:t>»</w:t>
      </w:r>
      <w:r w:rsidRPr="006D7319">
        <w:t xml:space="preserve"> og har følgende ordlyd:</w:t>
      </w:r>
    </w:p>
    <w:p w14:paraId="2F24C92B" w14:textId="77777777" w:rsidR="0016483D" w:rsidRPr="006A50F4" w:rsidRDefault="0016483D" w:rsidP="006D7319">
      <w:pPr>
        <w:pStyle w:val="blokksit"/>
      </w:pPr>
      <w:r w:rsidRPr="006A50F4">
        <w:t>En oppsigelse som skyldes at arbeidsgiver setter ut eller tar sikte på å sette ut virksomhetens drift på oppdrag ved bruk av selvstendige oppdragstakere, er ikke saklig med mindre det er nødvendig av hensyn til virksomhetens fortsatte drift.</w:t>
      </w:r>
    </w:p>
    <w:p w14:paraId="314636FC" w14:textId="77777777" w:rsidR="0016483D" w:rsidRPr="006D7319" w:rsidRDefault="0016483D" w:rsidP="006D7319">
      <w:r w:rsidRPr="006D7319">
        <w:t>Av forarbeidene til bestemmelsen fremgår det at:</w:t>
      </w:r>
    </w:p>
    <w:p w14:paraId="6DB83C82" w14:textId="1FABAC14" w:rsidR="0016483D" w:rsidRPr="006A50F4" w:rsidRDefault="0016483D" w:rsidP="006D7319">
      <w:pPr>
        <w:pStyle w:val="blokksit"/>
      </w:pPr>
      <w:r w:rsidRPr="006A50F4">
        <w:t xml:space="preserve">Begrepet </w:t>
      </w:r>
      <w:r w:rsidR="006A50F4">
        <w:t>«</w:t>
      </w:r>
      <w:r w:rsidRPr="006A50F4">
        <w:t>selvstendige oppdragstakere</w:t>
      </w:r>
      <w:r w:rsidR="006A50F4">
        <w:t>»</w:t>
      </w:r>
      <w:r w:rsidRPr="006A50F4">
        <w:t xml:space="preserve"> retter seg mot personer som er selvstendige næringsdrivende (uten egne ansatte) eller andre selvstendige oppdragstakere. Regelen får ikke </w:t>
      </w:r>
      <w:proofErr w:type="gramStart"/>
      <w:r w:rsidRPr="006A50F4">
        <w:t>anvendelse</w:t>
      </w:r>
      <w:proofErr w:type="gramEnd"/>
      <w:r w:rsidRPr="006A50F4">
        <w:t xml:space="preserve"> der en virksomhet skiller ut en del av driften og kjøper inn igjen samme type tjeneste fra andre virksomheter med egne ansatte eller leier inn arbeidskraft fra vikarbyrå. Hvorvidt en oppsigelse vil være rettslig holdbar i en slik situasjon, beror på en saklighetsvurdering etter </w:t>
      </w:r>
      <w:r w:rsidR="006A50F4">
        <w:t>§ </w:t>
      </w:r>
      <w:r w:rsidR="006A50F4" w:rsidRPr="006A50F4">
        <w:t>1</w:t>
      </w:r>
      <w:r w:rsidRPr="006A50F4">
        <w:t>5-7 første og andre ledd.</w:t>
      </w:r>
      <w:r w:rsidR="006A50F4" w:rsidRPr="006A50F4">
        <w:rPr>
          <w:rStyle w:val="Fotnotereferanse"/>
        </w:rPr>
        <w:footnoteReference w:id="153"/>
      </w:r>
    </w:p>
    <w:p w14:paraId="4FF634B2" w14:textId="0F99615A" w:rsidR="0016483D" w:rsidRPr="006D7319" w:rsidRDefault="0016483D" w:rsidP="006D7319">
      <w:r w:rsidRPr="006A50F4">
        <w:rPr>
          <w:rStyle w:val="kursiv"/>
        </w:rPr>
        <w:t>Disse medlemmene</w:t>
      </w:r>
      <w:r w:rsidRPr="006D7319">
        <w:t xml:space="preserve"> mener denne bestemmelsen gir et tilsvarende vern for konsulenter og rådgivere som er ansatt hos oppdragsgiver mot oppsigelse som </w:t>
      </w:r>
      <w:r w:rsidRPr="006D7319">
        <w:t xml:space="preserve">skyldes at oppdragsgiver ønsker å benytte innleie etter den skisserte regelen. </w:t>
      </w:r>
      <w:r w:rsidRPr="006D7319">
        <w:t>Disse</w:t>
      </w:r>
      <w:r w:rsidRPr="006D7319">
        <w:t xml:space="preserve"> </w:t>
      </w:r>
      <w:r w:rsidRPr="006A50F4">
        <w:rPr>
          <w:rStyle w:val="kursiv"/>
        </w:rPr>
        <w:t>medlemmene</w:t>
      </w:r>
      <w:r w:rsidRPr="006D7319">
        <w:t xml:space="preserve"> mener uansett at det bør vises til </w:t>
      </w:r>
      <w:r w:rsidR="006A50F4">
        <w:t>§ </w:t>
      </w:r>
      <w:r w:rsidR="006A50F4" w:rsidRPr="006D7319">
        <w:t>1</w:t>
      </w:r>
      <w:r w:rsidRPr="006D7319">
        <w:t>5-7 fjerde ledd i særregelen som foreslås innført.</w:t>
      </w:r>
    </w:p>
    <w:p w14:paraId="3350790A" w14:textId="77777777" w:rsidR="0016483D" w:rsidRPr="006A50F4" w:rsidRDefault="0016483D" w:rsidP="006D7319">
      <w:pPr>
        <w:rPr>
          <w:rStyle w:val="kursiv"/>
        </w:rPr>
      </w:pPr>
      <w:r w:rsidRPr="006A50F4">
        <w:rPr>
          <w:rStyle w:val="kursiv"/>
        </w:rPr>
        <w:t>4.3.4.2 Hjemmelsgrunnlag for en særregel</w:t>
      </w:r>
    </w:p>
    <w:p w14:paraId="31404F72" w14:textId="3408E041" w:rsidR="0016483D" w:rsidRPr="006D7319" w:rsidRDefault="0016483D" w:rsidP="006D7319">
      <w:r w:rsidRPr="006A50F4">
        <w:rPr>
          <w:rStyle w:val="kursiv"/>
        </w:rPr>
        <w:t>Medlemmene</w:t>
      </w:r>
      <w:r w:rsidRPr="006D7319">
        <w:t xml:space="preserve"> </w:t>
      </w:r>
      <w:r w:rsidRPr="006A50F4">
        <w:rPr>
          <w:rStyle w:val="kursiv"/>
        </w:rPr>
        <w:t xml:space="preserve">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xml:space="preserve">, Svele og Solberg </w:t>
      </w:r>
      <w:r w:rsidRPr="006D7319">
        <w:t xml:space="preserve">har vurdert hvor det er mest hensiktsmessig å hjemle en regel som åpner for </w:t>
      </w:r>
      <w:proofErr w:type="gramStart"/>
      <w:r w:rsidRPr="006D7319">
        <w:t>innleie</w:t>
      </w:r>
      <w:proofErr w:type="gramEnd"/>
      <w:r w:rsidRPr="006D7319">
        <w:t xml:space="preserve"> av selvstendige konsulenter og rådgivere ansatt i eget aksjeselskap. </w:t>
      </w:r>
      <w:r w:rsidRPr="006D7319">
        <w:t>Disse medlemmene</w:t>
      </w:r>
      <w:r w:rsidRPr="006D7319">
        <w:t xml:space="preserve"> har blant annet vurdert om det kan være aktuelt å hjemle regelen i arbeids</w:t>
      </w:r>
      <w:r w:rsidRPr="006D7319">
        <w:t xml:space="preserve">markedsloven. Loven inneholder en definisjon av utleie i </w:t>
      </w:r>
      <w:r w:rsidR="006A50F4">
        <w:t>§ </w:t>
      </w:r>
      <w:r w:rsidR="006A50F4" w:rsidRPr="006D7319">
        <w:t>2</w:t>
      </w:r>
      <w:r w:rsidRPr="006D7319">
        <w:t xml:space="preserve">5 andre ledd, og oppstiller visse krav til utleier i </w:t>
      </w:r>
      <w:r w:rsidR="006A50F4">
        <w:t>§ </w:t>
      </w:r>
      <w:r w:rsidR="006A50F4" w:rsidRPr="006D7319">
        <w:t>2</w:t>
      </w:r>
      <w:r w:rsidRPr="006D7319">
        <w:t>7. Vilkårene for å kunne foreta innleie av arbeidstaker følger imidlertid av arbeidsmiljøloven §</w:t>
      </w:r>
      <w:r w:rsidR="006A50F4">
        <w:t>§ </w:t>
      </w:r>
      <w:r w:rsidR="006A50F4" w:rsidRPr="006D7319">
        <w:t>1</w:t>
      </w:r>
      <w:r w:rsidRPr="006D7319">
        <w:t xml:space="preserve">4-12 og 14-13. Ettersom den skisserte regelen regulerer vilkårene for å kunne leie inn selvstendige rådgivere og konsulenter ansatt i eget aksjeselskap, mener </w:t>
      </w:r>
      <w:r w:rsidRPr="006D7319">
        <w:t>disse medlemmene</w:t>
      </w:r>
      <w:r w:rsidRPr="006D7319">
        <w:t xml:space="preserve"> at det er mest hensiktsmessig at regelen hjemles i arbeidsmiljøloven. Dette harmonerer best med systematikken i begge lovene.</w:t>
      </w:r>
    </w:p>
    <w:p w14:paraId="0B34A7F4" w14:textId="71927946" w:rsidR="0016483D" w:rsidRPr="006D7319" w:rsidRDefault="0016483D" w:rsidP="006D7319">
      <w:r w:rsidRPr="006D7319">
        <w:t xml:space="preserve">Et alternativ kunne vært å gi en ny bestemmelse i arbeidsmiljøloven </w:t>
      </w:r>
      <w:r w:rsidR="006A50F4">
        <w:t>§ </w:t>
      </w:r>
      <w:r w:rsidR="006A50F4" w:rsidRPr="006D7319">
        <w:t>1</w:t>
      </w:r>
      <w:r w:rsidRPr="006D7319">
        <w:t xml:space="preserve">4-12, som regulerer innleie fra bemanningsforetak. Da det er noe usikkerhet om selvstendige konsulenter og rådgivere er å anse som arbeidstaker etter arbeidsmiljøloven </w:t>
      </w:r>
      <w:r w:rsidR="006A50F4">
        <w:t>§ </w:t>
      </w:r>
      <w:r w:rsidR="006A50F4" w:rsidRPr="006D7319">
        <w:t>1</w:t>
      </w:r>
      <w:r w:rsidRPr="006D7319">
        <w:t xml:space="preserve">-8, mener medlemmene at det vil være mer hensiktsmessig og klargjørende med en særregel inntatt i form av enten en lov- eller forskriftsbestemmelse hjemlet i arbeidsmiljøloven, herunder for eksempel ved å endre virkeområdet til nåværende forskriftshjemmel i </w:t>
      </w:r>
      <w:r w:rsidR="006A50F4">
        <w:t>§ </w:t>
      </w:r>
      <w:r w:rsidR="006A50F4" w:rsidRPr="006D7319">
        <w:t>1</w:t>
      </w:r>
      <w:r w:rsidRPr="006D7319">
        <w:t xml:space="preserve">-4 til å omfatte også ansatte i eget aksjeselskap som tilbyr spesialkompetanse. Medlemmene tar høyde for at det kan være nødvendig med en ny særskilt hjemmel i </w:t>
      </w:r>
      <w:r w:rsidR="006A50F4">
        <w:t>§ </w:t>
      </w:r>
      <w:r w:rsidR="006A50F4" w:rsidRPr="006D7319">
        <w:t>1</w:t>
      </w:r>
      <w:r w:rsidRPr="006D7319">
        <w:t>-4 for å unngå eventuell tvil om at den foreslåtte regelen vil kunne innebære fraskriv</w:t>
      </w:r>
      <w:r w:rsidRPr="006D7319">
        <w:t xml:space="preserve">else av stillingsvern, jf. arbeidsmiljøloven </w:t>
      </w:r>
      <w:r w:rsidR="006A50F4">
        <w:t>§ </w:t>
      </w:r>
      <w:r w:rsidR="006A50F4" w:rsidRPr="006D7319">
        <w:t>1</w:t>
      </w:r>
      <w:r w:rsidRPr="006D7319">
        <w:t>-9.</w:t>
      </w:r>
    </w:p>
    <w:p w14:paraId="7E1BDF74" w14:textId="280698F7" w:rsidR="0016483D" w:rsidRPr="006D7319" w:rsidRDefault="0016483D" w:rsidP="006D7319">
      <w:r w:rsidRPr="006D7319">
        <w:t xml:space="preserve">Arbeidsmiljøloven </w:t>
      </w:r>
      <w:r w:rsidR="006A50F4">
        <w:t>§ </w:t>
      </w:r>
      <w:r w:rsidR="006A50F4" w:rsidRPr="006D7319">
        <w:t>1</w:t>
      </w:r>
      <w:r w:rsidRPr="006D7319">
        <w:t xml:space="preserve">-4 har blant annet blitt benyttet til å gjøre enkelte av reglene om </w:t>
      </w:r>
      <w:proofErr w:type="gramStart"/>
      <w:r w:rsidRPr="006D7319">
        <w:t>innleie</w:t>
      </w:r>
      <w:proofErr w:type="gramEnd"/>
      <w:r w:rsidRPr="006D7319">
        <w:t xml:space="preserve"> fra bemann</w:t>
      </w:r>
      <w:r w:rsidRPr="006D7319">
        <w:t xml:space="preserve">ingsforetak gjeldende ved innleie </w:t>
      </w:r>
      <w:r w:rsidRPr="006A50F4">
        <w:rPr>
          <w:rStyle w:val="kursiv"/>
        </w:rPr>
        <w:t xml:space="preserve">til </w:t>
      </w:r>
      <w:r w:rsidRPr="006D7319">
        <w:t xml:space="preserve">virksomhet som ikke sysselsetter arbeidstaker, jf. forskrift om innleie fra bemanningsforetak </w:t>
      </w:r>
      <w:r w:rsidR="006A50F4">
        <w:t>§ </w:t>
      </w:r>
      <w:r w:rsidR="006A50F4" w:rsidRPr="006D7319">
        <w:t>1</w:t>
      </w:r>
      <w:r w:rsidRPr="006D7319">
        <w:t xml:space="preserve">. Av bestemmelsen fremgår det blant annet at vilkårene for </w:t>
      </w:r>
      <w:proofErr w:type="gramStart"/>
      <w:r w:rsidRPr="006D7319">
        <w:t>innleie</w:t>
      </w:r>
      <w:proofErr w:type="gramEnd"/>
      <w:r w:rsidRPr="006D7319">
        <w:t xml:space="preserve"> fra bemanningsforetak i arbeidsmiljøloven </w:t>
      </w:r>
      <w:r w:rsidR="006A50F4">
        <w:t>§ </w:t>
      </w:r>
      <w:r w:rsidR="006A50F4" w:rsidRPr="006D7319">
        <w:t>1</w:t>
      </w:r>
      <w:r w:rsidRPr="006D7319">
        <w:t xml:space="preserve">4-12 første og tredje ledd, samt særreglene om innleie av helsepersonell og konsulenter og rådgivere med spesialkompetanse, gjelder ved innleie til virksomhet som ikke sysselsetter arbeidstaker. Også reglene om likebehandling i </w:t>
      </w:r>
      <w:r w:rsidR="006A50F4">
        <w:t>§ </w:t>
      </w:r>
      <w:r w:rsidR="006A50F4" w:rsidRPr="006D7319">
        <w:t>1</w:t>
      </w:r>
      <w:r w:rsidRPr="006D7319">
        <w:t xml:space="preserve">4-12a første ledd og reglene om virkningen av ulovlig innleie, jf. </w:t>
      </w:r>
      <w:r w:rsidR="006A50F4">
        <w:t>§ </w:t>
      </w:r>
      <w:r w:rsidR="006A50F4" w:rsidRPr="006D7319">
        <w:t>1</w:t>
      </w:r>
      <w:r w:rsidRPr="006D7319">
        <w:t>4-14, er gjort gjeldende.</w:t>
      </w:r>
    </w:p>
    <w:p w14:paraId="0E585E9A" w14:textId="77777777" w:rsidR="0016483D" w:rsidRPr="006D7319" w:rsidRDefault="0016483D" w:rsidP="006D7319">
      <w:r w:rsidRPr="006D7319">
        <w:t xml:space="preserve">Etter </w:t>
      </w:r>
      <w:r w:rsidRPr="006D7319">
        <w:t>disse</w:t>
      </w:r>
      <w:r w:rsidRPr="006D7319">
        <w:t xml:space="preserve"> </w:t>
      </w:r>
      <w:r w:rsidRPr="006A50F4">
        <w:rPr>
          <w:rStyle w:val="kursiv"/>
        </w:rPr>
        <w:t>medlemmenes syn</w:t>
      </w:r>
      <w:r w:rsidRPr="006D7319">
        <w:t xml:space="preserve"> kan det derfor være naturlig at en regel som gir adgang til </w:t>
      </w:r>
      <w:proofErr w:type="gramStart"/>
      <w:r w:rsidRPr="006D7319">
        <w:t>innleie</w:t>
      </w:r>
      <w:proofErr w:type="gramEnd"/>
      <w:r w:rsidRPr="006D7319">
        <w:t xml:space="preserve"> </w:t>
      </w:r>
      <w:r w:rsidRPr="006A50F4">
        <w:rPr>
          <w:rStyle w:val="kursiv"/>
        </w:rPr>
        <w:t xml:space="preserve">fra </w:t>
      </w:r>
      <w:r w:rsidRPr="006D7319">
        <w:t>aksjeselskap som består av kun én arbeidstaker reguleres i samme forskrift.</w:t>
      </w:r>
    </w:p>
    <w:p w14:paraId="6F31FE5A" w14:textId="74357543" w:rsidR="0016483D" w:rsidRPr="006D7319" w:rsidRDefault="0016483D" w:rsidP="006D7319">
      <w:r w:rsidRPr="006D7319">
        <w:t xml:space="preserve">Når det gjelder selve utformingen av regelen, har ikke </w:t>
      </w:r>
      <w:r w:rsidRPr="006D7319">
        <w:t>disse medlemmene</w:t>
      </w:r>
      <w:r w:rsidRPr="006D7319">
        <w:t xml:space="preserve"> kommet med forslag til en </w:t>
      </w:r>
      <w:r w:rsidRPr="006D7319">
        <w:t xml:space="preserve">konkret ordlyd. </w:t>
      </w:r>
      <w:r w:rsidRPr="006D7319">
        <w:t>Disse medlemmene</w:t>
      </w:r>
      <w:r w:rsidRPr="006D7319">
        <w:t xml:space="preserve"> overlater til departe</w:t>
      </w:r>
      <w:r w:rsidRPr="006D7319">
        <w:t>mentet å vurdere hvordan regelen bør utformes, særlig med hensyn til å ivareta aktuelle EU/EØS-rettslige forpliktelser. Se punkt 5 nedenfor.</w:t>
      </w:r>
    </w:p>
    <w:p w14:paraId="6BF7BCAD" w14:textId="77777777" w:rsidR="0016483D" w:rsidRPr="006A50F4" w:rsidRDefault="0016483D" w:rsidP="006D7319">
      <w:pPr>
        <w:rPr>
          <w:rStyle w:val="kursiv"/>
        </w:rPr>
      </w:pPr>
      <w:r w:rsidRPr="006A50F4">
        <w:rPr>
          <w:rStyle w:val="kursiv"/>
        </w:rPr>
        <w:t>4.3.4.3 Endring i reglene om godkjenningsordning for bemanningsforetak</w:t>
      </w:r>
    </w:p>
    <w:p w14:paraId="1A0E2DF7" w14:textId="5914029E" w:rsidR="0016483D" w:rsidRPr="006D7319" w:rsidRDefault="0016483D" w:rsidP="006D7319">
      <w:r w:rsidRPr="006D7319">
        <w:t xml:space="preserve">Som det </w:t>
      </w:r>
      <w:proofErr w:type="gramStart"/>
      <w:r w:rsidRPr="006D7319">
        <w:t>fremgår</w:t>
      </w:r>
      <w:proofErr w:type="gramEnd"/>
      <w:r w:rsidRPr="006D7319">
        <w:t xml:space="preserve"> av punkt 2.4.3.3, ble det fra 1. januar 2024 innført en godkjenningsordning for alle bemanningsforetak som driver utleie av arbeidskraft i Norge, jf. forskrift 4. juni 2008 nr. 541 om offentlig godkjenning av bemanningsforetak </w:t>
      </w:r>
      <w:r w:rsidR="006A50F4">
        <w:t>§ </w:t>
      </w:r>
      <w:r w:rsidR="006A50F4" w:rsidRPr="006D7319">
        <w:t>2</w:t>
      </w:r>
      <w:r w:rsidRPr="006D7319">
        <w:t xml:space="preserve">. Videre ble det ulovlig å leie inn arbeidstakere fra bemanningsforetak uten en slik godkjenning, jf. </w:t>
      </w:r>
      <w:r w:rsidR="006A50F4">
        <w:t>§ </w:t>
      </w:r>
      <w:r w:rsidR="006A50F4" w:rsidRPr="006D7319">
        <w:t>1</w:t>
      </w:r>
      <w:r w:rsidRPr="006D7319">
        <w:t>1.</w:t>
      </w:r>
    </w:p>
    <w:p w14:paraId="2D060C9C" w14:textId="41E08AB8" w:rsidR="0016483D" w:rsidRPr="006D7319" w:rsidRDefault="0016483D" w:rsidP="006D7319">
      <w:r w:rsidRPr="006A50F4">
        <w:rPr>
          <w:rStyle w:val="kursiv"/>
        </w:rPr>
        <w:t>Medlemmene</w:t>
      </w:r>
      <w:r w:rsidRPr="006D7319">
        <w:t xml:space="preserve"> </w:t>
      </w:r>
      <w:r w:rsidRPr="006A50F4">
        <w:rPr>
          <w:rStyle w:val="kursiv"/>
        </w:rPr>
        <w:t xml:space="preserve">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Svele og Solberg</w:t>
      </w:r>
      <w:r w:rsidRPr="006D7319">
        <w:t xml:space="preserve"> har vurdert om selvstendige konsulenter og rådgivere ansatt i eget aksjeselskap, når tjenesten gjennomføres som utleie etter den skisserte </w:t>
      </w:r>
      <w:r w:rsidRPr="006D7319">
        <w:t>regelen, bør følge reglene i godkjenningsordningen, eller om det skal være mulig å leie inn fra slike virksomheter uten at de er godkjent.</w:t>
      </w:r>
    </w:p>
    <w:p w14:paraId="5C1E9922" w14:textId="6CD62F36" w:rsidR="0016483D" w:rsidRPr="006D7319" w:rsidRDefault="0016483D" w:rsidP="006D7319">
      <w:r w:rsidRPr="006A50F4">
        <w:rPr>
          <w:rStyle w:val="kursiv"/>
        </w:rPr>
        <w:t>Disse medlemmene</w:t>
      </w:r>
      <w:r w:rsidRPr="006D7319">
        <w:t xml:space="preserve"> viser til at et av hensynene bak godkjenningsordningen er at det skal være lettere for innleier å identifisere seriøse aktører i </w:t>
      </w:r>
      <w:r w:rsidRPr="006D7319">
        <w:t>markedet. For innleier vil det være lettere å forholde seg til at alle virksomheter som skal drive utleie må være godkjent, og at det ikke foreligger unntak for enkelte virksomheter. Å innlemme virksomheter som skal foreta utleie etter den skisserte regelen i godkjennings</w:t>
      </w:r>
      <w:r w:rsidRPr="006D7319">
        <w:t>ordningen vil derfor kunne skape mer klarhet og forutsigbarhet for innleier.</w:t>
      </w:r>
    </w:p>
    <w:p w14:paraId="1CE58CBD" w14:textId="198DD4B3" w:rsidR="0016483D" w:rsidRPr="006D7319" w:rsidRDefault="0016483D" w:rsidP="006D7319">
      <w:r w:rsidRPr="006D7319">
        <w:t xml:space="preserve">For slike aksjeselskap vil et krav om godkjenning </w:t>
      </w:r>
      <w:r w:rsidRPr="006D7319">
        <w:t xml:space="preserve">derimot innebære flere administrative byrder. Det kan også reises spørsmål ved om enkelte av kravene for å bli godkjent er treffende når virksomheten kun har én ansatt, for eksempel krav om at vedkommende må ha verneombud, jf. </w:t>
      </w:r>
      <w:r w:rsidR="006A50F4">
        <w:t>§ </w:t>
      </w:r>
      <w:r w:rsidR="006A50F4" w:rsidRPr="006D7319">
        <w:t>4</w:t>
      </w:r>
      <w:r w:rsidRPr="006D7319">
        <w:t xml:space="preserve"> i forskriften. Godkjenningsordningen kan imidlertid bidra til bevisstgjøring om at reglene om likebehandling av lønns- og arbeidsvilkår skal gjelde, ettersom et av kravene for å bli godkjent er at virksomheten har rutiner som skal sikre at disse reglene oppfylles. Dette kan gjøre konsulenten eller rådgiveren oppmerksom på at vedkommende minst skal tilbys et vederlag/lønn tilsvarende det vedkommende ville fått som direkte ansatt i virksomheten, og kan bidra til å styrke forhandlingsposisjonen overfor innlei</w:t>
      </w:r>
      <w:r w:rsidRPr="006D7319">
        <w:t>er.</w:t>
      </w:r>
    </w:p>
    <w:p w14:paraId="2D54EAE7" w14:textId="47CF38AA" w:rsidR="0016483D" w:rsidRPr="006D7319" w:rsidRDefault="0016483D" w:rsidP="006D7319">
      <w:r w:rsidRPr="006A50F4">
        <w:rPr>
          <w:rStyle w:val="kursiv"/>
        </w:rPr>
        <w:t xml:space="preserve">Disse medlemmene </w:t>
      </w:r>
      <w:r w:rsidRPr="006D7319">
        <w:t>mener på denne bakgrunn at virksom</w:t>
      </w:r>
      <w:r w:rsidRPr="006D7319">
        <w:t>heter som skal foreta utleie etter den skisserte særregelen bør følge reglene for godkjennings</w:t>
      </w:r>
      <w:r w:rsidRPr="006D7319">
        <w:t>ordningen for bemanningsforetak. For at virksomheter som består av kun én arbeidstaker skal kunne godkjennes, kan det være behov for å gjøre enkelte tilpasninger i forskrift om offentlig godkjenning av bemanningsforetak. Medlemmene overlater til departementet å vurdere hvilke tilpasninger som eventuelt bør gjøres.</w:t>
      </w:r>
    </w:p>
    <w:p w14:paraId="2DC47B42" w14:textId="77777777" w:rsidR="0016483D" w:rsidRPr="006A50F4" w:rsidRDefault="0016483D" w:rsidP="006D7319">
      <w:pPr>
        <w:rPr>
          <w:rStyle w:val="kursiv"/>
        </w:rPr>
      </w:pPr>
      <w:r w:rsidRPr="006A50F4">
        <w:rPr>
          <w:rStyle w:val="kursiv"/>
        </w:rPr>
        <w:t xml:space="preserve">4.3.4.4 Regelendring hjemlet i </w:t>
      </w:r>
      <w:proofErr w:type="spellStart"/>
      <w:r w:rsidRPr="006A50F4">
        <w:rPr>
          <w:rStyle w:val="kursiv"/>
        </w:rPr>
        <w:t>statsansatteloven</w:t>
      </w:r>
      <w:proofErr w:type="spellEnd"/>
    </w:p>
    <w:p w14:paraId="65B9568F" w14:textId="73BDA0E1" w:rsidR="0016483D" w:rsidRPr="006A50F4" w:rsidRDefault="0016483D" w:rsidP="006D7319">
      <w:pPr>
        <w:rPr>
          <w:rStyle w:val="halvfet"/>
        </w:rPr>
      </w:pPr>
      <w:r w:rsidRPr="006D7319">
        <w:t xml:space="preserve">Ettersom Menon (2025) viser at både offentlige og private oppdragsgivere knytter til seg konsulenter og rådgivere ved innleie, mener </w:t>
      </w:r>
      <w:r w:rsidRPr="006D7319">
        <w:t>disse medlemmene</w:t>
      </w:r>
      <w:r w:rsidRPr="006D7319">
        <w:t xml:space="preserve"> at det er behov for en tilsvarende regel om </w:t>
      </w:r>
      <w:proofErr w:type="gramStart"/>
      <w:r w:rsidRPr="006D7319">
        <w:t>innleie</w:t>
      </w:r>
      <w:proofErr w:type="gramEnd"/>
      <w:r w:rsidRPr="006D7319">
        <w:t xml:space="preserve"> som skissert ovenfor hjemlet i </w:t>
      </w:r>
      <w:proofErr w:type="spellStart"/>
      <w:r w:rsidRPr="006D7319">
        <w:t>statsansatteloven</w:t>
      </w:r>
      <w:proofErr w:type="spellEnd"/>
      <w:r w:rsidRPr="006D7319">
        <w:t xml:space="preserve">. </w:t>
      </w:r>
      <w:r w:rsidRPr="006D7319">
        <w:t>Disse medlemmene</w:t>
      </w:r>
      <w:r w:rsidRPr="006D7319">
        <w:t xml:space="preserve"> overlater til departementet å </w:t>
      </w:r>
      <w:r w:rsidRPr="006D7319">
        <w:t>vurdere hvordan en slik regelendring lovteknisk bør gjennomføres.</w:t>
      </w:r>
    </w:p>
    <w:p w14:paraId="123AA603" w14:textId="77777777" w:rsidR="0016483D" w:rsidRPr="006D7319" w:rsidRDefault="0016483D" w:rsidP="006D7319">
      <w:pPr>
        <w:pStyle w:val="Overskrift1"/>
      </w:pPr>
      <w:r w:rsidRPr="006D7319">
        <w:t>Forholdet til EU/EØS-retten</w:t>
      </w:r>
    </w:p>
    <w:p w14:paraId="6EFF7071" w14:textId="77777777" w:rsidR="0016483D" w:rsidRPr="006D7319" w:rsidRDefault="0016483D" w:rsidP="006D7319">
      <w:pPr>
        <w:pStyle w:val="Overskrift2"/>
      </w:pPr>
      <w:r w:rsidRPr="006D7319">
        <w:t>Innledning</w:t>
      </w:r>
    </w:p>
    <w:p w14:paraId="58899776" w14:textId="0248AF19" w:rsidR="0016483D" w:rsidRPr="006D7319" w:rsidRDefault="0016483D" w:rsidP="006D7319">
      <w:r w:rsidRPr="006D7319">
        <w:t xml:space="preserve">Som det </w:t>
      </w:r>
      <w:proofErr w:type="gramStart"/>
      <w:r w:rsidRPr="006D7319">
        <w:t>fremgår</w:t>
      </w:r>
      <w:proofErr w:type="gramEnd"/>
      <w:r w:rsidRPr="006D7319">
        <w:t xml:space="preserve"> av arbeidsgruppens mandat, skal arbeidsgruppen </w:t>
      </w:r>
      <w:r w:rsidR="006A50F4">
        <w:t>«</w:t>
      </w:r>
      <w:r w:rsidRPr="006D7319">
        <w:t>[v]</w:t>
      </w:r>
      <w:proofErr w:type="spellStart"/>
      <w:r w:rsidRPr="006D7319">
        <w:t>urdere</w:t>
      </w:r>
      <w:proofErr w:type="spellEnd"/>
      <w:r w:rsidRPr="006D7319">
        <w:t xml:space="preserve"> hvorvidt foreslåtte tiltak er i tråd med EØS-rettslige forpliktelser, eventuelt om og hvordan de kan innrettes for å være i tråd med forpliktelsene</w:t>
      </w:r>
      <w:r w:rsidR="006A50F4">
        <w:t>»</w:t>
      </w:r>
      <w:r w:rsidRPr="006D7319">
        <w:t>.</w:t>
      </w:r>
    </w:p>
    <w:p w14:paraId="31845FD0" w14:textId="284216B7" w:rsidR="0016483D" w:rsidRPr="006D7319" w:rsidRDefault="0016483D" w:rsidP="006D7319">
      <w:r w:rsidRPr="006D7319">
        <w:t xml:space="preserve">Arbeidsgruppen har vurdert om en regel som </w:t>
      </w:r>
      <w:r w:rsidRPr="006D7319">
        <w:t>skissert ovenfor vil være i tråd med EØS-rettslige forpliktelser, se punkt 5.2, 5.3 og 5.4 nedenfor. Dette reiser flere spørsmål. For det første hvorvidt eier og eneste ansatte i et aksjeselskap kan anses som et bemanningsforetak etter vikarbyrådirektivet, se punkt 2.4.3.2 om vikarbyrådirektivets anvendelsesområde. For det andre om det etter EU/EØS-retten anerkjennes at eier og eneste ansatte i aksjesel</w:t>
      </w:r>
      <w:r w:rsidRPr="006D7319">
        <w:t>skapet kan anses som både arbeidstaker og arbeidsgiver i egen virksomhet, med den følge at den selvstendige selv kan oppfylle de forpliktelsene som følger av de ulike direktivene, se punkt 5.2.3 under. Gjennomgangen av tilgjengelige rettskilder viser at svaret på disse spørsmålene ikke er avklart.</w:t>
      </w:r>
    </w:p>
    <w:p w14:paraId="3E5C6F27" w14:textId="404611BC" w:rsidR="0016483D" w:rsidRPr="006D7319" w:rsidRDefault="0016483D" w:rsidP="006D7319">
      <w:r w:rsidRPr="006D7319">
        <w:t>Arbeidsgruppen har derfor vurdert hvorvidt eier og eneste ansatte i eget aksjeselskap etter EU/EØS-</w:t>
      </w:r>
      <w:r w:rsidRPr="006D7319">
        <w:t xml:space="preserve">retten vil kunne anses som en arbeidstaker i </w:t>
      </w:r>
      <w:r w:rsidRPr="006D7319">
        <w:t>relasjon til oppdragsgiveren/kunden, og derfor har krav på rettigheter som de ulike arbeidsrettslige direktivene gir.</w:t>
      </w:r>
    </w:p>
    <w:p w14:paraId="7B20F4AB" w14:textId="5B231E3B" w:rsidR="0016483D" w:rsidRPr="006D7319" w:rsidRDefault="0016483D" w:rsidP="006D7319">
      <w:r w:rsidRPr="006D7319">
        <w:t xml:space="preserve">Det har i arbeidsgruppen også blitt reist spørsmål om det er i tråd med EØS-avtalens bestemmelser om etableringsfrihet og tjenestefrihet at </w:t>
      </w:r>
      <w:r w:rsidRPr="006D7319">
        <w:t xml:space="preserve">selvstendige konsulenter og rådgivere med eget selskap ikke kan leies inn etter reglene om </w:t>
      </w:r>
      <w:proofErr w:type="gramStart"/>
      <w:r w:rsidRPr="006D7319">
        <w:t>innleie</w:t>
      </w:r>
      <w:proofErr w:type="gramEnd"/>
      <w:r w:rsidRPr="006D7319">
        <w:t xml:space="preserve"> fra bemanningsforetak. Arbeidsgruppen har imidlertid prioritert å utrede EU/EØS-rettslige spørsmål knyttet til den foreslåtte regelen.</w:t>
      </w:r>
    </w:p>
    <w:p w14:paraId="3A574B98" w14:textId="6D4B9B77" w:rsidR="0016483D" w:rsidRPr="006D7319" w:rsidRDefault="0016483D" w:rsidP="006D7319">
      <w:r w:rsidRPr="006A50F4">
        <w:rPr>
          <w:rStyle w:val="kursiv"/>
        </w:rPr>
        <w:t>Arbeidsgruppen</w:t>
      </w:r>
      <w:r w:rsidRPr="006A50F4">
        <w:rPr>
          <w:rStyle w:val="kursiv"/>
        </w:rPr>
        <w:t xml:space="preserve"> </w:t>
      </w:r>
      <w:r w:rsidRPr="006D7319">
        <w:t xml:space="preserve">er delt i sitt syn på om den foreslåtte særregelen vil være EU/EØS- rettslig problematisk, se punkt 5.4. Uenigheten berører også premissene for den videre gjennomgangen, herunder </w:t>
      </w:r>
      <w:r w:rsidRPr="006D7319">
        <w:t>spørsmålet om man kan være arbeidstaker i eget aksjeselskap med de konsekvenser det har for arbeidstakerrettigheter som innleid.</w:t>
      </w:r>
    </w:p>
    <w:p w14:paraId="41FBC948" w14:textId="77777777" w:rsidR="0016483D" w:rsidRPr="006D7319" w:rsidRDefault="0016483D" w:rsidP="006D7319">
      <w:pPr>
        <w:pStyle w:val="Overskrift2"/>
      </w:pPr>
      <w:r w:rsidRPr="006D7319">
        <w:t>EU/EØS-rettslige spørsmål knyttet til den foreslåtte særregelen</w:t>
      </w:r>
    </w:p>
    <w:p w14:paraId="7365986F" w14:textId="77777777" w:rsidR="0016483D" w:rsidRPr="006D7319" w:rsidRDefault="0016483D" w:rsidP="006D7319">
      <w:pPr>
        <w:pStyle w:val="Overskrift3"/>
      </w:pPr>
      <w:r w:rsidRPr="006D7319">
        <w:t>Nærmere om problemstillingen</w:t>
      </w:r>
    </w:p>
    <w:p w14:paraId="1B95CCE4" w14:textId="362213CB" w:rsidR="0016483D" w:rsidRPr="006D7319" w:rsidRDefault="0016483D" w:rsidP="006D7319">
      <w:r w:rsidRPr="006D7319">
        <w:t xml:space="preserve">Den foreslåtte særregelen om </w:t>
      </w:r>
      <w:proofErr w:type="gramStart"/>
      <w:r w:rsidRPr="006D7319">
        <w:t>innleie</w:t>
      </w:r>
      <w:proofErr w:type="gramEnd"/>
      <w:r w:rsidRPr="006D7319">
        <w:t xml:space="preserve"> av selvstendige konsulenter og rådgivere vil som nevnt i punkt 4.3.3 kunne innebære et </w:t>
      </w:r>
      <w:r w:rsidR="006A50F4">
        <w:t>«</w:t>
      </w:r>
      <w:r w:rsidRPr="006D7319">
        <w:t>unntak</w:t>
      </w:r>
      <w:r w:rsidR="006A50F4">
        <w:t>»</w:t>
      </w:r>
      <w:r w:rsidRPr="006D7319">
        <w:t xml:space="preserve"> fra arbeidstaker</w:t>
      </w:r>
      <w:r w:rsidRPr="006D7319">
        <w:t>begrepet. Selv om konsulenten eller rådgiveren i realiteten jobber under oppdragsgivers ledelse og kontroll på tilsvarende måte som andre arbeids</w:t>
      </w:r>
      <w:r w:rsidRPr="006D7319">
        <w:t xml:space="preserve">takere i oppdragsgivers virksomhet, vil vedkommende på grunn av særregelen miste muligheten til å kreve fast ansettelse med tilhørende rettigheter i de tilfellene vedkommende ellers ville kunne krevd arbeidstakervern hos oppdragsgiver. Dette vil være tilfellet med mindre selve </w:t>
      </w:r>
      <w:proofErr w:type="spellStart"/>
      <w:r w:rsidRPr="006D7319">
        <w:t>innleien</w:t>
      </w:r>
      <w:proofErr w:type="spellEnd"/>
      <w:r w:rsidRPr="006D7319">
        <w:t xml:space="preserve"> er i strid med den foreslåtte særregelen, eller ved sammenhengende innleie i mer enn tre år, jf. arbeidsmiljøloven §</w:t>
      </w:r>
      <w:r w:rsidR="006A50F4">
        <w:t>§ </w:t>
      </w:r>
      <w:r w:rsidR="006A50F4" w:rsidRPr="006D7319">
        <w:t>1</w:t>
      </w:r>
      <w:r w:rsidRPr="006D7319">
        <w:t xml:space="preserve">4-12 tredje ledd, jf. </w:t>
      </w:r>
      <w:r w:rsidR="006A50F4">
        <w:t>§ </w:t>
      </w:r>
      <w:r w:rsidR="006A50F4" w:rsidRPr="006D7319">
        <w:t>1</w:t>
      </w:r>
      <w:r w:rsidRPr="006D7319">
        <w:t>4-14.</w:t>
      </w:r>
    </w:p>
    <w:p w14:paraId="5CE21653" w14:textId="77777777" w:rsidR="0016483D" w:rsidRPr="006D7319" w:rsidRDefault="0016483D" w:rsidP="006D7319">
      <w:r w:rsidRPr="006D7319">
        <w:t>Spørsmålet er om en slik regel som gir adgang til å arbeide som en arbeidstaker, uten tilsvarende arbeidstakerrettigheter og vern hos oppdragsgiver, er i tråd med de EU/EØS-rettslige direktivene som gir arbeidstakere visse rettigheter.</w:t>
      </w:r>
    </w:p>
    <w:p w14:paraId="687F63A3" w14:textId="4656BD58" w:rsidR="0016483D" w:rsidRPr="006D7319" w:rsidRDefault="0016483D" w:rsidP="006D7319">
      <w:r w:rsidRPr="006D7319">
        <w:t>Som beskrevet i punkt 2.2.2 er arbeidstakerbegrepet i utgangspunktet nasjonalrettslig. En rekke regler i arbeidsmiljøloven er imidlertid resultat av Norges forpliktelser etter EØS-avtalen til å gjennomføre EU/EØS-rettslige regler. Selv om arbeidstakerbegrepet i arbeidsrettslige verneregler i utgangspunktet er nasjonalrettslig, er det flere av reglene i arbeids</w:t>
      </w:r>
      <w:r w:rsidRPr="006D7319">
        <w:t>miljøloven som gjennomfører EU/EØS-rettslige regler som i varierende grad bygger på et EU-rettslig arbeidstakerbegrep.</w:t>
      </w:r>
      <w:r w:rsidR="006A50F4" w:rsidRPr="006A50F4">
        <w:rPr>
          <w:rStyle w:val="Fotnotereferanse"/>
        </w:rPr>
        <w:footnoteReference w:id="154"/>
      </w:r>
      <w:r w:rsidRPr="006D7319">
        <w:t xml:space="preserve"> EU/EØS-retten stiller altså visse krav til hvem som skal være omfattet av arbeidsrettslige verneregler som gjennomfører direktivrettighetene.</w:t>
      </w:r>
    </w:p>
    <w:p w14:paraId="7A1E5D39" w14:textId="03F9ABFB" w:rsidR="0016483D" w:rsidRPr="006D7319" w:rsidRDefault="0016483D" w:rsidP="006D7319">
      <w:r w:rsidRPr="006D7319">
        <w:t xml:space="preserve">Dette innebærer at selv om den foreslåtte </w:t>
      </w:r>
      <w:r w:rsidRPr="006D7319">
        <w:t xml:space="preserve">særregelen gir adgang til </w:t>
      </w:r>
      <w:proofErr w:type="gramStart"/>
      <w:r w:rsidRPr="006D7319">
        <w:t>innleie</w:t>
      </w:r>
      <w:proofErr w:type="gramEnd"/>
      <w:r w:rsidRPr="006D7319">
        <w:t xml:space="preserve"> av selvstendige konsulenter og rådgivere som er ansatt i eget aksjeselskap, kan de likevel være omfattet av direktivrettigheter hos oppdragsgiver som ellers er gjennomført for arbeids</w:t>
      </w:r>
      <w:r w:rsidRPr="006D7319">
        <w:t>takere etter norsk rett. Dette vil bero på en konkret vurdering av det personelle virkeområdet i hvert enkelt direktiv, herunder om direktivet åpner for å gjøre unntak for enkelte grupper.</w:t>
      </w:r>
    </w:p>
    <w:p w14:paraId="79EB3AF4" w14:textId="6468A1BF" w:rsidR="0016483D" w:rsidRPr="006D7319" w:rsidRDefault="0016483D" w:rsidP="006D7319">
      <w:r w:rsidRPr="006D7319">
        <w:t>En nylig avsagt avgjørelse fra Høyesterett i sak HR-2025-2516-A (Beredskapshjem II) illustrerer at slike EU/EØS-rettslige problemstillinger kan komme på spissen. Saken gjaldt 31 fosterforeldre i beredskapshjem som hadde inngått avtaler med Oslo kommune som selvstendige oppdragstakere. Foster</w:t>
      </w:r>
      <w:r w:rsidRPr="006D7319">
        <w:t xml:space="preserve">foreldrene gjorde imidlertid gjeldende at de i realiteten var å anse som arbeidstakere i henhold til arbeidsmiljøloven </w:t>
      </w:r>
      <w:r w:rsidR="006A50F4">
        <w:t>§ </w:t>
      </w:r>
      <w:r w:rsidR="006A50F4" w:rsidRPr="006D7319">
        <w:t>1</w:t>
      </w:r>
      <w:r w:rsidRPr="006D7319">
        <w:t xml:space="preserve">-8 første ledd, og derfor hadde krav på fast ansettelse, oppreisning og </w:t>
      </w:r>
      <w:proofErr w:type="spellStart"/>
      <w:r w:rsidRPr="006D7319">
        <w:t>etterinnmelding</w:t>
      </w:r>
      <w:proofErr w:type="spellEnd"/>
      <w:r w:rsidRPr="006D7319">
        <w:t xml:space="preserve"> i kommunens tjenestepensjonsordning. Spørsmålet for Høyesterett var om fosterforeldrene skulle anses som selvstendige oppdragstakere eller arbeidstakere i Oslo kommune etter arbeidsmiljø</w:t>
      </w:r>
      <w:r w:rsidRPr="006D7319">
        <w:t xml:space="preserve">loven </w:t>
      </w:r>
      <w:r w:rsidR="006A50F4">
        <w:t>§ </w:t>
      </w:r>
      <w:r w:rsidR="006A50F4" w:rsidRPr="006D7319">
        <w:t>1</w:t>
      </w:r>
      <w:r w:rsidRPr="006D7319">
        <w:t>-8.</w:t>
      </w:r>
    </w:p>
    <w:p w14:paraId="5041AE88" w14:textId="45ED041B" w:rsidR="0016483D" w:rsidRPr="006D7319" w:rsidRDefault="0016483D" w:rsidP="006D7319">
      <w:r w:rsidRPr="006D7319">
        <w:t xml:space="preserve">Etter en vurdering av internrettslige kilder, kom Høyesterett til at fosterforeldrene i </w:t>
      </w:r>
      <w:r w:rsidRPr="006D7319">
        <w:t xml:space="preserve">utgangspunktet var rettmessig klassifisert som </w:t>
      </w:r>
      <w:r w:rsidRPr="006D7319">
        <w:t xml:space="preserve">oppdragstakere etter arbeidsmiljøloven </w:t>
      </w:r>
      <w:r w:rsidR="006A50F4">
        <w:t>§ </w:t>
      </w:r>
      <w:r w:rsidR="006A50F4" w:rsidRPr="006D7319">
        <w:t>1</w:t>
      </w:r>
      <w:r w:rsidRPr="006D7319">
        <w:t>-8. I saken hadde foster</w:t>
      </w:r>
      <w:r w:rsidRPr="006D7319">
        <w:t xml:space="preserve">foreldrene imidlertid også anført at de måtte </w:t>
      </w:r>
      <w:r w:rsidRPr="006D7319">
        <w:t>klassifiseres som arbeidstakere som følge av Norges EØS-</w:t>
      </w:r>
      <w:r w:rsidRPr="006D7319">
        <w:t>rettslige forpliktelser.</w:t>
      </w:r>
    </w:p>
    <w:p w14:paraId="02D1760B" w14:textId="0A7F33DD" w:rsidR="0016483D" w:rsidRPr="006D7319" w:rsidRDefault="0016483D" w:rsidP="006D7319">
      <w:r w:rsidRPr="006D7319">
        <w:t>Konkret gjorde fosterforeldrene gjeldende at de var omfattet av det personelle virkeområdet til tre EU-direktiver: rådsdirektiv 2003/88/EF (arbeidstids</w:t>
      </w:r>
      <w:r w:rsidRPr="006D7319">
        <w:t xml:space="preserve">direktivet), rådsdirektiv 92/85/EØF (svangerskapsdirektivet) og rådsdirektiv 89/391/EØF (rammedirektivet), og at arbeidsmiljøloven </w:t>
      </w:r>
      <w:r w:rsidR="006A50F4">
        <w:t>§ </w:t>
      </w:r>
      <w:r w:rsidR="006A50F4" w:rsidRPr="006D7319">
        <w:t>1</w:t>
      </w:r>
      <w:r w:rsidRPr="006D7319">
        <w:t xml:space="preserve">-8 første ledd måtte tolkes i samsvar med direktivenes felles arbeidstakerbegrep, jf. </w:t>
      </w:r>
      <w:r w:rsidRPr="006D7319">
        <w:t xml:space="preserve">presumsjonsprinsippet i EØS-retten. Fosterforeldrene mente derfor at en tolkning av arbeidsmiljøloven </w:t>
      </w:r>
      <w:r w:rsidR="006A50F4">
        <w:t>§ </w:t>
      </w:r>
      <w:r w:rsidR="006A50F4" w:rsidRPr="006D7319">
        <w:t>1</w:t>
      </w:r>
      <w:r w:rsidRPr="006D7319">
        <w:t>-8 første ledd som ekskluderte dem fra lovens arbeidstakervern, innebar et brudd på Norges EØS-rettslige forpliktelser etter disse direktivene.</w:t>
      </w:r>
    </w:p>
    <w:p w14:paraId="38AA4748" w14:textId="77777777" w:rsidR="0016483D" w:rsidRPr="006D7319" w:rsidRDefault="0016483D" w:rsidP="006D7319">
      <w:r w:rsidRPr="006D7319">
        <w:t>Høyesterett tok utgangspunkt i at direktivene ikke pålegger en plikt for medlemsstatene til å innføre et EU-rettslig arbeidstakerbegrep generelt i nasjonal lovgivning. Samtidig viste Høyesterett til at Norge gjennom EØS-avtalen er forpliktet til å sikre rettighetene etter det enkelte direktiv for personer som omfattes av direktivets anvendelsesområde. Presumsjonspri</w:t>
      </w:r>
      <w:r w:rsidRPr="006D7319">
        <w:t xml:space="preserve">nsippet tilsier derfor at internrettslige regler gis </w:t>
      </w:r>
      <w:proofErr w:type="gramStart"/>
      <w:r w:rsidRPr="006D7319">
        <w:t>anvendelse</w:t>
      </w:r>
      <w:proofErr w:type="gramEnd"/>
      <w:r w:rsidRPr="006D7319">
        <w:t xml:space="preserve"> på personer som omfattes av direktivenes virkeområde.</w:t>
      </w:r>
    </w:p>
    <w:p w14:paraId="777D7357" w14:textId="4DAECC17" w:rsidR="0016483D" w:rsidRPr="006D7319" w:rsidRDefault="0016483D" w:rsidP="006D7319">
      <w:r w:rsidRPr="006D7319">
        <w:t>I den konkrete vurderingen tok Høyesterett imidler</w:t>
      </w:r>
      <w:r w:rsidRPr="006D7319">
        <w:t xml:space="preserve">tid ikke stilling til hvorvidt fosterforeldrene var å anse som arbeidstakere etter de påberopte direktivene. Bakgrunnen for dette var at </w:t>
      </w:r>
      <w:r w:rsidRPr="006D7319">
        <w:t>verken arbeidstids</w:t>
      </w:r>
      <w:r w:rsidRPr="006D7319">
        <w:t>direktivet, rammedirektivet eller svanger</w:t>
      </w:r>
      <w:r w:rsidRPr="006D7319">
        <w:t>skaps</w:t>
      </w:r>
      <w:r w:rsidRPr="006D7319">
        <w:t xml:space="preserve">direktivet pålegger medlemsstatene å gi </w:t>
      </w:r>
      <w:r w:rsidRPr="006D7319">
        <w:t>arbeidstakere de rettighetene det var nedlagt påstand om, knyttet til fast ansettelse, oppreisning og pensjon. På denne bakgrunn viste Høyesterett til at fosterforeldrene, under henvisning til direktivene, ikke hadde rettslig grunnlag for de kravene søks</w:t>
      </w:r>
      <w:r w:rsidRPr="006D7319">
        <w:t>målet gjaldt.</w:t>
      </w:r>
    </w:p>
    <w:p w14:paraId="22BECDD0" w14:textId="564CCA2F" w:rsidR="0016483D" w:rsidRPr="006D7319" w:rsidRDefault="0016483D" w:rsidP="006D7319">
      <w:r w:rsidRPr="006D7319">
        <w:t xml:space="preserve">Høyesterett pekte også på at det ikke er </w:t>
      </w:r>
      <w:r w:rsidRPr="006D7319">
        <w:t xml:space="preserve">holdepunkter for at lovgiver har ment at legaldefinisjonen i arbeidsmiljøloven </w:t>
      </w:r>
      <w:r w:rsidR="006A50F4">
        <w:t>§ </w:t>
      </w:r>
      <w:r w:rsidR="006A50F4" w:rsidRPr="006D7319">
        <w:t>1</w:t>
      </w:r>
      <w:r w:rsidRPr="006D7319">
        <w:t xml:space="preserve">-8 </w:t>
      </w:r>
      <w:r w:rsidRPr="006A50F4">
        <w:rPr>
          <w:rStyle w:val="kursiv"/>
        </w:rPr>
        <w:t>som sådan</w:t>
      </w:r>
      <w:r w:rsidRPr="006D7319">
        <w:t xml:space="preserve"> skal forstås i tråd med et EU/EØS-rettslig arbeidstakerbegrep. Med andre ord mente Høyesterett at selv om det skulle legges til grunn at fosterforeldre var omfattet av det personelle virkeområdet til ett eller flere av direktivene, ga ikke det grunnlag for å etablere rettigheter som ikke fulgte av direktivene.</w:t>
      </w:r>
    </w:p>
    <w:p w14:paraId="0CEA6C1F" w14:textId="77777777" w:rsidR="0016483D" w:rsidRPr="006D7319" w:rsidRDefault="0016483D" w:rsidP="006D7319">
      <w:r w:rsidRPr="006D7319">
        <w:t>Dommen viser at personer som i EU-rettslig forstand er arbeidstakere, kan ha krav på direktivrettigheter uavhengig av om de etter nasjonal rett er klassifisert som arbeidstaker i den aktuelle relasjo</w:t>
      </w:r>
      <w:r w:rsidRPr="006D7319">
        <w:t>nen.</w:t>
      </w:r>
    </w:p>
    <w:p w14:paraId="1842A6A6" w14:textId="77777777" w:rsidR="0016483D" w:rsidRPr="006D7319" w:rsidRDefault="0016483D" w:rsidP="006D7319">
      <w:r w:rsidRPr="006D7319">
        <w:t>I vår sammenheng er det spørsmål om selvstendige konsulenter og rådgivere som er innleid i henhold til den foreslåtte særregelen, er omfattet av det personelle virkeområdet til ulike direktiver og derfor vil kunne kreve rettigheter etter direktivet overfor innleier.</w:t>
      </w:r>
    </w:p>
    <w:p w14:paraId="4FFFE96C" w14:textId="77777777" w:rsidR="0016483D" w:rsidRPr="006D7319" w:rsidRDefault="0016483D" w:rsidP="006D7319">
      <w:pPr>
        <w:pStyle w:val="Overskrift3"/>
      </w:pPr>
      <w:r w:rsidRPr="006D7319">
        <w:t>Vil selvstendige konsulenter og rådgivere kunne anses som arbeidstakere hos innleier når de er innleid?</w:t>
      </w:r>
    </w:p>
    <w:p w14:paraId="27AABA23" w14:textId="77777777" w:rsidR="0016483D" w:rsidRPr="006D7319" w:rsidRDefault="0016483D" w:rsidP="006D7319">
      <w:r w:rsidRPr="006D7319">
        <w:t>Hvorvidt selvstendige konsulenter og rådgivere vil bli ansett som arbeidstakere hos innleier når de er innleid etter den foreslåtte særregelen, vil bero på en fortolkning av arbeidstakerbegrepet i hvert enkelt direktiv.</w:t>
      </w:r>
    </w:p>
    <w:p w14:paraId="4B904172" w14:textId="77777777" w:rsidR="006A50F4" w:rsidRDefault="0016483D" w:rsidP="006D7319">
      <w:r w:rsidRPr="006D7319">
        <w:t>Basert på</w:t>
      </w:r>
      <w:r w:rsidRPr="006D7319">
        <w:t xml:space="preserve"> ordlyden i de ulike direktivene synes det å gå et skille mellom direktiver som definerer arbeidstakerbegrepet, direktiver uten en alminnelig definisjon og direktiver som definerer begrepet med uttrykkelig henvisning til nasjonal rett.</w:t>
      </w:r>
      <w:r w:rsidR="006A50F4" w:rsidRPr="006A50F4">
        <w:rPr>
          <w:rStyle w:val="Fotnotereferanse"/>
        </w:rPr>
        <w:footnoteReference w:id="155"/>
      </w:r>
    </w:p>
    <w:p w14:paraId="16D0D931" w14:textId="3DE31458" w:rsidR="0016483D" w:rsidRPr="006D7319" w:rsidRDefault="0016483D" w:rsidP="006D7319">
      <w:r w:rsidRPr="006D7319">
        <w:t xml:space="preserve">I direktivene som har definert begrepet, har </w:t>
      </w:r>
      <w:r w:rsidRPr="006D7319">
        <w:t>begrepet et EU-rettslig innhold.</w:t>
      </w:r>
      <w:r w:rsidR="006A50F4" w:rsidRPr="006A50F4">
        <w:rPr>
          <w:rStyle w:val="Fotnotereferanse"/>
        </w:rPr>
        <w:footnoteReference w:id="156"/>
      </w:r>
      <w:r w:rsidRPr="006D7319">
        <w:t xml:space="preserve"> Videre synes rettsutviklingen å gå i retning av at arbeidstaker</w:t>
      </w:r>
      <w:r w:rsidRPr="006D7319">
        <w:t xml:space="preserve">begrepet anses EU/EØS-rettslig der direktivene ikke definerer begrepet, jf. blant annet sak C-229/14 </w:t>
      </w:r>
      <w:r w:rsidRPr="006D7319">
        <w:t>(</w:t>
      </w:r>
      <w:proofErr w:type="spellStart"/>
      <w:r w:rsidRPr="006D7319">
        <w:t>Balkaya</w:t>
      </w:r>
      <w:proofErr w:type="spellEnd"/>
      <w:r w:rsidRPr="006D7319">
        <w:t>).</w:t>
      </w:r>
      <w:r w:rsidR="006A50F4" w:rsidRPr="006A50F4">
        <w:rPr>
          <w:rStyle w:val="Fotnotereferanse"/>
        </w:rPr>
        <w:footnoteReference w:id="157"/>
      </w:r>
      <w:r w:rsidRPr="006D7319">
        <w:t xml:space="preserve"> Hva gjelder direktiver som definerer begrepet med uttrykkelig henvisning til nasjonal rett, har EU-</w:t>
      </w:r>
      <w:r w:rsidRPr="006D7319">
        <w:t>domstolen i sak C-216/15 (</w:t>
      </w:r>
      <w:proofErr w:type="spellStart"/>
      <w:r w:rsidRPr="006D7319">
        <w:t>Ruhrlandklinik</w:t>
      </w:r>
      <w:proofErr w:type="spellEnd"/>
      <w:r w:rsidRPr="006D7319">
        <w:t>) lagt til grunn at en henvisning til nasjonal rett hva gjelder arbeidstakerbegrepets innhold ikke kunne tolkes:</w:t>
      </w:r>
    </w:p>
    <w:p w14:paraId="6528EA9D" w14:textId="02D21B7B" w:rsidR="0016483D" w:rsidRPr="006A50F4" w:rsidRDefault="0016483D" w:rsidP="006D7319">
      <w:pPr>
        <w:pStyle w:val="blokksit"/>
      </w:pPr>
      <w:r w:rsidRPr="006A50F4">
        <w:t xml:space="preserve">som en </w:t>
      </w:r>
      <w:proofErr w:type="spellStart"/>
      <w:r w:rsidRPr="006A50F4">
        <w:t>afståelse</w:t>
      </w:r>
      <w:proofErr w:type="spellEnd"/>
      <w:r w:rsidRPr="006A50F4">
        <w:t xml:space="preserve"> fra EU-lovgivers side fra selv at </w:t>
      </w:r>
      <w:proofErr w:type="spellStart"/>
      <w:r w:rsidRPr="006A50F4">
        <w:t>fastlægge</w:t>
      </w:r>
      <w:proofErr w:type="spellEnd"/>
      <w:r w:rsidRPr="006A50F4">
        <w:t xml:space="preserve"> </w:t>
      </w:r>
      <w:proofErr w:type="spellStart"/>
      <w:r w:rsidRPr="006A50F4">
        <w:t>rækkevidden</w:t>
      </w:r>
      <w:proofErr w:type="spellEnd"/>
      <w:r w:rsidRPr="006A50F4">
        <w:t xml:space="preserve"> </w:t>
      </w:r>
      <w:proofErr w:type="spellStart"/>
      <w:r w:rsidRPr="006A50F4">
        <w:t>af</w:t>
      </w:r>
      <w:proofErr w:type="spellEnd"/>
      <w:r w:rsidRPr="006A50F4">
        <w:t xml:space="preserve"> dette </w:t>
      </w:r>
      <w:proofErr w:type="spellStart"/>
      <w:r w:rsidRPr="006A50F4">
        <w:t>begreb</w:t>
      </w:r>
      <w:proofErr w:type="spellEnd"/>
      <w:r w:rsidRPr="006A50F4">
        <w:t xml:space="preserve"> som omhandlet i </w:t>
      </w:r>
      <w:r w:rsidRPr="006A50F4">
        <w:t xml:space="preserve">[vikarbyrådirektivet] og </w:t>
      </w:r>
      <w:proofErr w:type="gramStart"/>
      <w:r w:rsidRPr="006A50F4">
        <w:t>således</w:t>
      </w:r>
      <w:proofErr w:type="gramEnd"/>
      <w:r w:rsidRPr="006A50F4">
        <w:t xml:space="preserve"> direktivets personelle anvendelsesområde. (…) EU-lovgiver [har] nemlig ikke </w:t>
      </w:r>
      <w:proofErr w:type="spellStart"/>
      <w:r w:rsidRPr="006A50F4">
        <w:t>overladt</w:t>
      </w:r>
      <w:proofErr w:type="spellEnd"/>
      <w:r w:rsidRPr="006A50F4">
        <w:t xml:space="preserve"> det til </w:t>
      </w:r>
      <w:proofErr w:type="spellStart"/>
      <w:r w:rsidRPr="006A50F4">
        <w:t>medlemsstaterne</w:t>
      </w:r>
      <w:proofErr w:type="spellEnd"/>
      <w:r w:rsidRPr="006A50F4">
        <w:t xml:space="preserve"> </w:t>
      </w:r>
      <w:proofErr w:type="spellStart"/>
      <w:r w:rsidRPr="006A50F4">
        <w:t>ensidigt</w:t>
      </w:r>
      <w:proofErr w:type="spellEnd"/>
      <w:r w:rsidRPr="006A50F4">
        <w:t xml:space="preserve"> at definere det </w:t>
      </w:r>
      <w:proofErr w:type="spellStart"/>
      <w:r w:rsidRPr="006A50F4">
        <w:t>nævnte</w:t>
      </w:r>
      <w:proofErr w:type="spellEnd"/>
      <w:r w:rsidRPr="006A50F4">
        <w:t xml:space="preserve"> </w:t>
      </w:r>
      <w:proofErr w:type="spellStart"/>
      <w:r w:rsidRPr="006A50F4">
        <w:t>begreb</w:t>
      </w:r>
      <w:proofErr w:type="spellEnd"/>
      <w:r w:rsidRPr="006A50F4">
        <w:t xml:space="preserve">, men har selv </w:t>
      </w:r>
      <w:proofErr w:type="spellStart"/>
      <w:r w:rsidRPr="006A50F4">
        <w:t>præciseret</w:t>
      </w:r>
      <w:proofErr w:type="spellEnd"/>
      <w:r w:rsidRPr="006A50F4">
        <w:t xml:space="preserve"> </w:t>
      </w:r>
      <w:proofErr w:type="spellStart"/>
      <w:r w:rsidRPr="006A50F4">
        <w:t>rammerne</w:t>
      </w:r>
      <w:proofErr w:type="spellEnd"/>
      <w:r w:rsidRPr="006A50F4">
        <w:t xml:space="preserve"> </w:t>
      </w:r>
      <w:proofErr w:type="spellStart"/>
      <w:r w:rsidRPr="006A50F4">
        <w:t>herfor</w:t>
      </w:r>
      <w:proofErr w:type="spellEnd"/>
      <w:r w:rsidRPr="006A50F4">
        <w:t xml:space="preserve"> i direktivets </w:t>
      </w:r>
      <w:proofErr w:type="spellStart"/>
      <w:r w:rsidRPr="006A50F4">
        <w:t>artikel</w:t>
      </w:r>
      <w:proofErr w:type="spellEnd"/>
      <w:r w:rsidRPr="006A50F4">
        <w:t xml:space="preserve"> 3, stk. 1, litra a).</w:t>
      </w:r>
      <w:r w:rsidR="006A50F4" w:rsidRPr="006A50F4">
        <w:rPr>
          <w:rStyle w:val="Fotnotereferanse"/>
        </w:rPr>
        <w:footnoteReference w:id="158"/>
      </w:r>
    </w:p>
    <w:p w14:paraId="6DBD839E" w14:textId="77777777" w:rsidR="0016483D" w:rsidRPr="006A50F4" w:rsidRDefault="0016483D" w:rsidP="006D7319">
      <w:pPr>
        <w:pStyle w:val="blokksit"/>
      </w:pPr>
      <w:r w:rsidRPr="006A50F4">
        <w:t>EU-domstolen poengterer videre:</w:t>
      </w:r>
    </w:p>
    <w:p w14:paraId="1A6F2489" w14:textId="5A86D941" w:rsidR="0016483D" w:rsidRPr="006A50F4" w:rsidRDefault="0016483D" w:rsidP="006D7319">
      <w:pPr>
        <w:pStyle w:val="blokksit"/>
      </w:pPr>
      <w:r w:rsidRPr="006A50F4">
        <w:t xml:space="preserve">En </w:t>
      </w:r>
      <w:proofErr w:type="spellStart"/>
      <w:r w:rsidRPr="006A50F4">
        <w:t>begrænsning</w:t>
      </w:r>
      <w:proofErr w:type="spellEnd"/>
      <w:r w:rsidRPr="006A50F4">
        <w:t xml:space="preserve"> </w:t>
      </w:r>
      <w:proofErr w:type="spellStart"/>
      <w:r w:rsidRPr="006A50F4">
        <w:t>af</w:t>
      </w:r>
      <w:proofErr w:type="spellEnd"/>
      <w:r w:rsidRPr="006A50F4">
        <w:t xml:space="preserve"> </w:t>
      </w:r>
      <w:proofErr w:type="spellStart"/>
      <w:r w:rsidRPr="006A50F4">
        <w:t>begrebet</w:t>
      </w:r>
      <w:proofErr w:type="spellEnd"/>
      <w:r w:rsidRPr="006A50F4">
        <w:t xml:space="preserve"> </w:t>
      </w:r>
      <w:r w:rsidR="006A50F4">
        <w:t>«</w:t>
      </w:r>
      <w:proofErr w:type="spellStart"/>
      <w:r w:rsidRPr="006A50F4">
        <w:t>arbejdstager</w:t>
      </w:r>
      <w:proofErr w:type="spellEnd"/>
      <w:r w:rsidR="006A50F4">
        <w:t>»</w:t>
      </w:r>
      <w:r w:rsidRPr="006A50F4">
        <w:t xml:space="preserve"> som omhandlet i direktiv </w:t>
      </w:r>
      <w:hyperlink r:id="rId13" w:history="1">
        <w:r w:rsidRPr="006A50F4">
          <w:rPr>
            <w:rStyle w:val="Hyperkobling"/>
          </w:rPr>
          <w:t>2008/104</w:t>
        </w:r>
      </w:hyperlink>
      <w:r w:rsidRPr="006A50F4">
        <w:t xml:space="preserve"> til </w:t>
      </w:r>
      <w:r w:rsidRPr="006A50F4">
        <w:t xml:space="preserve">personer, der falder </w:t>
      </w:r>
      <w:proofErr w:type="spellStart"/>
      <w:r w:rsidRPr="006A50F4">
        <w:t>ind</w:t>
      </w:r>
      <w:proofErr w:type="spellEnd"/>
      <w:r w:rsidRPr="006A50F4">
        <w:t xml:space="preserve"> under dette </w:t>
      </w:r>
      <w:proofErr w:type="spellStart"/>
      <w:r w:rsidRPr="006A50F4">
        <w:t>begreb</w:t>
      </w:r>
      <w:proofErr w:type="spellEnd"/>
      <w:r w:rsidRPr="006A50F4">
        <w:t xml:space="preserve"> i henhold til </w:t>
      </w:r>
      <w:proofErr w:type="spellStart"/>
      <w:r w:rsidRPr="006A50F4">
        <w:t>national</w:t>
      </w:r>
      <w:proofErr w:type="spellEnd"/>
      <w:r w:rsidRPr="006A50F4">
        <w:t xml:space="preserve"> </w:t>
      </w:r>
      <w:proofErr w:type="spellStart"/>
      <w:r w:rsidRPr="006A50F4">
        <w:t>ret</w:t>
      </w:r>
      <w:proofErr w:type="spellEnd"/>
      <w:r w:rsidRPr="006A50F4">
        <w:t xml:space="preserve">, </w:t>
      </w:r>
      <w:proofErr w:type="spellStart"/>
      <w:r w:rsidRPr="006A50F4">
        <w:t>særligt</w:t>
      </w:r>
      <w:proofErr w:type="spellEnd"/>
      <w:r w:rsidRPr="006A50F4">
        <w:t xml:space="preserve"> til dem, der via en </w:t>
      </w:r>
      <w:proofErr w:type="spellStart"/>
      <w:r w:rsidRPr="006A50F4">
        <w:t>arbejdsaftale</w:t>
      </w:r>
      <w:proofErr w:type="spellEnd"/>
      <w:r w:rsidRPr="006A50F4">
        <w:t xml:space="preserve"> er forbundet med et </w:t>
      </w:r>
      <w:proofErr w:type="spellStart"/>
      <w:r w:rsidRPr="006A50F4">
        <w:t>vikarbureau</w:t>
      </w:r>
      <w:proofErr w:type="spellEnd"/>
      <w:r w:rsidRPr="006A50F4">
        <w:t xml:space="preserve">, ville imidlertid kunne bringe </w:t>
      </w:r>
      <w:proofErr w:type="spellStart"/>
      <w:r w:rsidRPr="006A50F4">
        <w:t>virkeliggørelsen</w:t>
      </w:r>
      <w:proofErr w:type="spellEnd"/>
      <w:r w:rsidRPr="006A50F4">
        <w:t xml:space="preserve"> </w:t>
      </w:r>
      <w:proofErr w:type="spellStart"/>
      <w:r w:rsidRPr="006A50F4">
        <w:t>af</w:t>
      </w:r>
      <w:proofErr w:type="spellEnd"/>
      <w:r w:rsidRPr="006A50F4">
        <w:t xml:space="preserve"> disse mål i fare og følgelig bringe direktivets effektive virkning i fare ved på en urimelig og </w:t>
      </w:r>
      <w:proofErr w:type="spellStart"/>
      <w:r w:rsidRPr="006A50F4">
        <w:t>ubegrundet</w:t>
      </w:r>
      <w:proofErr w:type="spellEnd"/>
      <w:r w:rsidRPr="006A50F4">
        <w:t xml:space="preserve"> </w:t>
      </w:r>
      <w:proofErr w:type="spellStart"/>
      <w:r w:rsidRPr="006A50F4">
        <w:t>måde</w:t>
      </w:r>
      <w:proofErr w:type="spellEnd"/>
      <w:r w:rsidRPr="006A50F4">
        <w:t xml:space="preserve"> at </w:t>
      </w:r>
      <w:proofErr w:type="spellStart"/>
      <w:r w:rsidRPr="006A50F4">
        <w:t>indskrænke</w:t>
      </w:r>
      <w:proofErr w:type="spellEnd"/>
      <w:r w:rsidRPr="006A50F4">
        <w:t xml:space="preserve"> dettes anvendelsesområde.</w:t>
      </w:r>
      <w:r w:rsidR="006A50F4" w:rsidRPr="006A50F4">
        <w:rPr>
          <w:rStyle w:val="Fotnotereferanse"/>
        </w:rPr>
        <w:footnoteReference w:id="159"/>
      </w:r>
    </w:p>
    <w:p w14:paraId="34D9510B" w14:textId="40BFAB9E" w:rsidR="0016483D" w:rsidRPr="006D7319" w:rsidRDefault="0016483D" w:rsidP="006D7319">
      <w:r w:rsidRPr="006D7319">
        <w:t xml:space="preserve">Noen av de nyere arbeidsrettslige direktivene fra EU, herunder direktiv (EU) 2019/1152 om tydelige og forutsigbare arbeidsvilkår (arbeidsvilkårsdirektivet) og direktiv (EU) 2019/1158 om et balansert arbeids- og familieliv, angir at direktivet får anvendelse for alle arbeidstakere i EU med en arbeidskontrakt eller et ansettelsesforhold slik dette er definert i gjeldende rett, kollektive avtaler eller i praksis som gjelder i de enkelte medlemsstatene </w:t>
      </w:r>
      <w:r w:rsidR="006A50F4">
        <w:t>«</w:t>
      </w:r>
      <w:r w:rsidRPr="006D7319">
        <w:t>under hensyntagen</w:t>
      </w:r>
      <w:r w:rsidR="006A50F4">
        <w:t>»</w:t>
      </w:r>
      <w:r w:rsidRPr="006D7319">
        <w:t xml:space="preserve"> til EU-domstolens praksis.</w:t>
      </w:r>
      <w:r w:rsidR="006A50F4" w:rsidRPr="006A50F4">
        <w:rPr>
          <w:rStyle w:val="Fotnotereferanse"/>
        </w:rPr>
        <w:footnoteReference w:id="160"/>
      </w:r>
      <w:r w:rsidRPr="006D7319">
        <w:t xml:space="preserve"> Direktivets </w:t>
      </w:r>
      <w:r w:rsidRPr="006D7319">
        <w:t>henvisning til EU-domstolens praksis er ny sammenlignet med beskrivelsen av arbeidstakerbegrepet i andre arbeidsrettslige direktiver.</w:t>
      </w:r>
      <w:r w:rsidR="006A50F4" w:rsidRPr="006A50F4">
        <w:rPr>
          <w:rStyle w:val="Fotnotereferanse"/>
        </w:rPr>
        <w:footnoteReference w:id="161"/>
      </w:r>
    </w:p>
    <w:p w14:paraId="1006F275" w14:textId="0F21CE48" w:rsidR="0016483D" w:rsidRPr="006D7319" w:rsidRDefault="0016483D" w:rsidP="006D7319">
      <w:r w:rsidRPr="006D7319">
        <w:t>Hvilken konkret betydning det vil få for arbeidstaker</w:t>
      </w:r>
      <w:r w:rsidRPr="006D7319">
        <w:t>begrepets innhold at det henvises både til det nasjonale arbeidstakerbegrepet og EU-domstolens praksis i de nevnte direktivene, er ikke klart.</w:t>
      </w:r>
      <w:r w:rsidR="006A50F4" w:rsidRPr="006A50F4">
        <w:rPr>
          <w:rStyle w:val="Fotnotereferanse"/>
        </w:rPr>
        <w:footnoteReference w:id="162"/>
      </w:r>
      <w:r w:rsidRPr="006D7319">
        <w:t xml:space="preserve"> Henvisningen til at EU-domstolens praksis må hensyntas, signaliserer likevel visse EU/EØS-rettslige krav til anvendelsesområdet i lys av blant annet avgjør</w:t>
      </w:r>
      <w:r w:rsidRPr="006D7319">
        <w:t xml:space="preserve">elsen i </w:t>
      </w:r>
      <w:proofErr w:type="spellStart"/>
      <w:r w:rsidRPr="006D7319">
        <w:t>Ruhrlandklinik</w:t>
      </w:r>
      <w:proofErr w:type="spellEnd"/>
      <w:r w:rsidRPr="006D7319">
        <w:t>.</w:t>
      </w:r>
      <w:r w:rsidR="006A50F4" w:rsidRPr="006A50F4">
        <w:rPr>
          <w:rStyle w:val="Fotnotereferanse"/>
        </w:rPr>
        <w:footnoteReference w:id="163"/>
      </w:r>
      <w:r w:rsidRPr="006D7319">
        <w:t xml:space="preserve"> Kravene som her ble stilt til anvendelsesområdet innebærer imidlertid ikke at arbeidstakerbegrepet er EU/EØS-rettslig. Den nærmere rekkevidden og betydningen av EU-domstolens avgjørelse i </w:t>
      </w:r>
      <w:proofErr w:type="spellStart"/>
      <w:r w:rsidRPr="006D7319">
        <w:t>Ruhrlandklinik</w:t>
      </w:r>
      <w:proofErr w:type="spellEnd"/>
      <w:r w:rsidRPr="006D7319">
        <w:t xml:space="preserve"> er diskutert i teorien.</w:t>
      </w:r>
      <w:r w:rsidR="006A50F4" w:rsidRPr="006A50F4">
        <w:rPr>
          <w:rStyle w:val="Fotnotereferanse"/>
        </w:rPr>
        <w:footnoteReference w:id="164"/>
      </w:r>
      <w:r w:rsidRPr="006D7319">
        <w:t xml:space="preserve"> For de direktivene som bygger på et EU-rettslig arbeidstakerbegrep, må medlemsstatene sørge for at personene som omfattes av dette begrepet sikres minimumsrettigheter etter direktivet, uavhengig av det nasjonalrettslige arbeidstakerbegrepet.</w:t>
      </w:r>
      <w:r w:rsidR="006A50F4" w:rsidRPr="006A50F4">
        <w:rPr>
          <w:rStyle w:val="Fotnotereferanse"/>
        </w:rPr>
        <w:footnoteReference w:id="165"/>
      </w:r>
    </w:p>
    <w:p w14:paraId="759035B6" w14:textId="706B6DD7" w:rsidR="0016483D" w:rsidRPr="006D7319" w:rsidRDefault="0016483D" w:rsidP="006D7319">
      <w:r w:rsidRPr="006D7319">
        <w:t>Det EU/EØ</w:t>
      </w:r>
      <w:r w:rsidRPr="006D7319">
        <w:t>S-rettslige arbeidstakerbegrepet beror på EU/EØS-rettslige kilder. Dette innholdet er ikke nødvendigvis fullt ut i samsvar med arbeidstakerbegrepet slik det er forstått i norsk rett.</w:t>
      </w:r>
      <w:r w:rsidR="006A50F4" w:rsidRPr="006A50F4">
        <w:rPr>
          <w:rStyle w:val="Fotnotereferanse"/>
        </w:rPr>
        <w:footnoteReference w:id="166"/>
      </w:r>
      <w:r w:rsidRPr="006D7319">
        <w:t xml:space="preserve"> Innholdet og kriteriene som ligger til grunn for det EU-rettslige arbeidstakerbegrepet har utspring i rettspraksis fra reglene om fri bevegelighet, jf. Traktaten om Den europeiske unions virkemåte artikkel 45. Den nærmere avgrensningen av begrepet kan likevel variere etter ulike EU/EØS-rettslige regler.</w:t>
      </w:r>
    </w:p>
    <w:p w14:paraId="386984B3" w14:textId="77777777" w:rsidR="0016483D" w:rsidRPr="006D7319" w:rsidRDefault="0016483D" w:rsidP="006D7319">
      <w:r w:rsidRPr="006D7319">
        <w:t>Det ble første gang formulert av EU-domstolen i sak C-66/85 (</w:t>
      </w:r>
      <w:proofErr w:type="spellStart"/>
      <w:r w:rsidRPr="006D7319">
        <w:t>Lawrie-Blum</w:t>
      </w:r>
      <w:proofErr w:type="spellEnd"/>
      <w:r w:rsidRPr="006D7319">
        <w:t>), og har senere blitt gjentatt en rekke ganger i EU-domstolens praksis om arbeidstakerbegrepet i ulike direktiver, og er blant annet stadfestet i EU-domstolens sak C-216/15 (</w:t>
      </w:r>
      <w:proofErr w:type="spellStart"/>
      <w:r w:rsidRPr="006D7319">
        <w:t>Ruhrlandklinik</w:t>
      </w:r>
      <w:proofErr w:type="spellEnd"/>
      <w:r w:rsidRPr="006D7319">
        <w:t>), som gjaldt vikarbyrådirektivet. I denne saken ble begrepet formulert slik:</w:t>
      </w:r>
    </w:p>
    <w:p w14:paraId="43148AFD" w14:textId="61A882FA" w:rsidR="0016483D" w:rsidRPr="006A50F4" w:rsidRDefault="0016483D" w:rsidP="006D7319">
      <w:pPr>
        <w:pStyle w:val="blokksit"/>
      </w:pPr>
      <w:r w:rsidRPr="006A50F4">
        <w:t xml:space="preserve">Det følger imidlertid </w:t>
      </w:r>
      <w:proofErr w:type="spellStart"/>
      <w:r w:rsidRPr="006A50F4">
        <w:t>af</w:t>
      </w:r>
      <w:proofErr w:type="spellEnd"/>
      <w:r w:rsidRPr="006A50F4">
        <w:t xml:space="preserve"> Domstolens faste praksis, at det </w:t>
      </w:r>
      <w:proofErr w:type="spellStart"/>
      <w:r w:rsidRPr="006A50F4">
        <w:t>væsentligste</w:t>
      </w:r>
      <w:proofErr w:type="spellEnd"/>
      <w:r w:rsidRPr="006A50F4">
        <w:t xml:space="preserve"> </w:t>
      </w:r>
      <w:proofErr w:type="spellStart"/>
      <w:r w:rsidRPr="006A50F4">
        <w:t>kendetegn</w:t>
      </w:r>
      <w:proofErr w:type="spellEnd"/>
      <w:r w:rsidRPr="006A50F4">
        <w:t xml:space="preserve"> ved et </w:t>
      </w:r>
      <w:proofErr w:type="spellStart"/>
      <w:r w:rsidRPr="006A50F4">
        <w:t>arbejdsforhold</w:t>
      </w:r>
      <w:proofErr w:type="spellEnd"/>
      <w:r w:rsidRPr="006A50F4">
        <w:t xml:space="preserve"> er, at en person i en vis </w:t>
      </w:r>
      <w:r w:rsidRPr="006A50F4">
        <w:t xml:space="preserve">periode </w:t>
      </w:r>
      <w:proofErr w:type="spellStart"/>
      <w:r w:rsidRPr="006A50F4">
        <w:t>præsterer</w:t>
      </w:r>
      <w:proofErr w:type="spellEnd"/>
      <w:r w:rsidRPr="006A50F4">
        <w:t xml:space="preserve"> </w:t>
      </w:r>
      <w:proofErr w:type="spellStart"/>
      <w:r w:rsidRPr="006A50F4">
        <w:t>ydelser</w:t>
      </w:r>
      <w:proofErr w:type="spellEnd"/>
      <w:r w:rsidRPr="006A50F4">
        <w:t xml:space="preserve"> mod vederlag for </w:t>
      </w:r>
      <w:proofErr w:type="gramStart"/>
      <w:r w:rsidRPr="006A50F4">
        <w:t>en anden</w:t>
      </w:r>
      <w:proofErr w:type="gramEnd"/>
      <w:r w:rsidRPr="006A50F4">
        <w:t xml:space="preserve"> og efter dennes anvisninger, idet den juridiske betegnelse </w:t>
      </w:r>
      <w:proofErr w:type="spellStart"/>
      <w:r w:rsidRPr="006A50F4">
        <w:t>af</w:t>
      </w:r>
      <w:proofErr w:type="spellEnd"/>
      <w:r w:rsidRPr="006A50F4">
        <w:t xml:space="preserve"> dette </w:t>
      </w:r>
      <w:proofErr w:type="spellStart"/>
      <w:r w:rsidRPr="006A50F4">
        <w:t>arbejdsforhold</w:t>
      </w:r>
      <w:proofErr w:type="spellEnd"/>
      <w:r w:rsidRPr="006A50F4">
        <w:t xml:space="preserve"> i </w:t>
      </w:r>
      <w:proofErr w:type="spellStart"/>
      <w:r w:rsidRPr="006A50F4">
        <w:t>national</w:t>
      </w:r>
      <w:proofErr w:type="spellEnd"/>
      <w:r w:rsidRPr="006A50F4">
        <w:t xml:space="preserve"> </w:t>
      </w:r>
      <w:proofErr w:type="spellStart"/>
      <w:r w:rsidRPr="006A50F4">
        <w:t>ret</w:t>
      </w:r>
      <w:proofErr w:type="spellEnd"/>
      <w:r w:rsidRPr="006A50F4">
        <w:t xml:space="preserve"> og dettes form samt karakteren </w:t>
      </w:r>
      <w:proofErr w:type="spellStart"/>
      <w:r w:rsidRPr="006A50F4">
        <w:t>af</w:t>
      </w:r>
      <w:proofErr w:type="spellEnd"/>
      <w:r w:rsidRPr="006A50F4">
        <w:t xml:space="preserve"> </w:t>
      </w:r>
      <w:proofErr w:type="spellStart"/>
      <w:r w:rsidRPr="006A50F4">
        <w:t>retsforholdet</w:t>
      </w:r>
      <w:proofErr w:type="spellEnd"/>
      <w:r w:rsidRPr="006A50F4">
        <w:t xml:space="preserve"> </w:t>
      </w:r>
      <w:proofErr w:type="spellStart"/>
      <w:r w:rsidRPr="006A50F4">
        <w:t>mellem</w:t>
      </w:r>
      <w:proofErr w:type="spellEnd"/>
      <w:r w:rsidRPr="006A50F4">
        <w:t xml:space="preserve"> de to </w:t>
      </w:r>
      <w:proofErr w:type="spellStart"/>
      <w:r w:rsidRPr="006A50F4">
        <w:t>personer</w:t>
      </w:r>
      <w:proofErr w:type="spellEnd"/>
      <w:r w:rsidRPr="006A50F4">
        <w:t xml:space="preserve"> ikke er </w:t>
      </w:r>
      <w:proofErr w:type="spellStart"/>
      <w:r w:rsidRPr="006A50F4">
        <w:t>afgørende</w:t>
      </w:r>
      <w:proofErr w:type="spellEnd"/>
      <w:r w:rsidRPr="006A50F4">
        <w:t xml:space="preserve"> i denne henseende.</w:t>
      </w:r>
      <w:r w:rsidR="006A50F4" w:rsidRPr="006A50F4">
        <w:rPr>
          <w:rStyle w:val="Fotnotereferanse"/>
        </w:rPr>
        <w:footnoteReference w:id="167"/>
      </w:r>
    </w:p>
    <w:p w14:paraId="0624DC16" w14:textId="7D8EF220" w:rsidR="0016483D" w:rsidRPr="006D7319" w:rsidRDefault="0016483D" w:rsidP="006D7319">
      <w:r w:rsidRPr="006D7319">
        <w:t xml:space="preserve">I uttalelsen vises det til flere av de samme elementene som i det norske arbeidstakerbegrepet. Det mest vesentlige er at arbeidskraften stilles til rådighet i et underordningsforhold, jf. særlig </w:t>
      </w:r>
      <w:r w:rsidR="006A50F4">
        <w:t>«</w:t>
      </w:r>
      <w:r w:rsidRPr="006D7319">
        <w:t xml:space="preserve">for </w:t>
      </w:r>
      <w:proofErr w:type="gramStart"/>
      <w:r w:rsidRPr="006D7319">
        <w:t>en anden</w:t>
      </w:r>
      <w:proofErr w:type="gramEnd"/>
      <w:r w:rsidRPr="006D7319">
        <w:t xml:space="preserve"> og efter dennes anvisninger</w:t>
      </w:r>
      <w:r w:rsidR="006A50F4">
        <w:t>»</w:t>
      </w:r>
      <w:r w:rsidRPr="006D7319">
        <w:t>.</w:t>
      </w:r>
      <w:r w:rsidR="006A50F4" w:rsidRPr="006A50F4">
        <w:rPr>
          <w:rStyle w:val="Fotnotereferanse"/>
        </w:rPr>
        <w:footnoteReference w:id="168"/>
      </w:r>
      <w:r w:rsidRPr="006D7319">
        <w:t xml:space="preserve"> I lys av rettspraksis fra EU-domstolen, gir formuleringen anvisning på særlig tre kriterier som er sentrale i det EU/EØS-rettslige arbeidstakerbegrepet: 1) underordning, 2) type arbeid og 3) vederlag.</w:t>
      </w:r>
      <w:r w:rsidR="006A50F4" w:rsidRPr="006A50F4">
        <w:rPr>
          <w:rStyle w:val="Fotnotereferanse"/>
        </w:rPr>
        <w:footnoteReference w:id="169"/>
      </w:r>
    </w:p>
    <w:p w14:paraId="4F1BF91B" w14:textId="3094CFA1" w:rsidR="0016483D" w:rsidRPr="006D7319" w:rsidRDefault="0016483D" w:rsidP="006D7319">
      <w:r w:rsidRPr="006D7319">
        <w:t xml:space="preserve">I EU-domstolens sak C-413/13 (FNV Kunsten </w:t>
      </w:r>
      <w:proofErr w:type="spellStart"/>
      <w:r w:rsidRPr="006D7319">
        <w:t>Informatie</w:t>
      </w:r>
      <w:proofErr w:type="spellEnd"/>
      <w:r w:rsidRPr="006D7319">
        <w:t xml:space="preserve"> en Media)</w:t>
      </w:r>
      <w:r w:rsidRPr="006A50F4">
        <w:rPr>
          <w:rStyle w:val="kursiv"/>
        </w:rPr>
        <w:t xml:space="preserve"> </w:t>
      </w:r>
      <w:r w:rsidRPr="006D7319">
        <w:t xml:space="preserve">har domstolen, basert på det EU/EØS-rettslige arbeidstakerbegrepet, gitt </w:t>
      </w:r>
      <w:r w:rsidRPr="006D7319">
        <w:t xml:space="preserve">eksempler på elementer som tilsier underordning. Saken </w:t>
      </w:r>
      <w:r w:rsidRPr="006D7319">
        <w:t xml:space="preserve">reiste spørsmål om </w:t>
      </w:r>
      <w:r w:rsidR="006A50F4">
        <w:t>«</w:t>
      </w:r>
      <w:r w:rsidRPr="006D7319">
        <w:t>tariffunntaket</w:t>
      </w:r>
      <w:r w:rsidR="006A50F4">
        <w:t>»</w:t>
      </w:r>
      <w:r w:rsidRPr="006D7319">
        <w:t xml:space="preserve"> fra EU/EØS-</w:t>
      </w:r>
      <w:r w:rsidRPr="006D7319">
        <w:t>rettens forbud mot konkurransebegrensende avtaler, omfattet en avtale mellom arbeidstakerorganisa</w:t>
      </w:r>
      <w:r w:rsidRPr="006D7319">
        <w:t>sjoner for musikere og en arbeidsgiverforening med minimumshonorarer for vikarer for orkester</w:t>
      </w:r>
      <w:r w:rsidRPr="006D7319">
        <w:t>musikere, som både var ansatte vikarer og vikarer på oppdragskontrakt.</w:t>
      </w:r>
    </w:p>
    <w:p w14:paraId="7F3054BA" w14:textId="3FACDDA4" w:rsidR="0016483D" w:rsidRPr="006D7319" w:rsidRDefault="0016483D" w:rsidP="006D7319">
      <w:r w:rsidRPr="006D7319">
        <w:t xml:space="preserve">EU-domstolen la til grunn at selv om en fagforening, når den forhandler på vegne av medlemmer som er selvstendige tjenesteytere, ikke opptrer som en arbeidstakerorganisasjon, kunne avtalen likevel anses som et resultat av dialog mellom arbeidsmarkedspartene dersom oppdragstakerne i realiteten var </w:t>
      </w:r>
      <w:r w:rsidR="006A50F4">
        <w:t>«</w:t>
      </w:r>
      <w:proofErr w:type="spellStart"/>
      <w:r w:rsidRPr="006D7319">
        <w:t>tjenesteydere</w:t>
      </w:r>
      <w:proofErr w:type="spellEnd"/>
      <w:r w:rsidRPr="006D7319">
        <w:t xml:space="preserve">, der </w:t>
      </w:r>
      <w:proofErr w:type="spellStart"/>
      <w:r w:rsidRPr="006D7319">
        <w:t>befinder</w:t>
      </w:r>
      <w:proofErr w:type="spellEnd"/>
      <w:r w:rsidRPr="006D7319">
        <w:t xml:space="preserve"> sig i en med </w:t>
      </w:r>
      <w:proofErr w:type="spellStart"/>
      <w:r w:rsidRPr="006D7319">
        <w:t>arbejdstagerne</w:t>
      </w:r>
      <w:proofErr w:type="spellEnd"/>
      <w:r w:rsidRPr="006D7319">
        <w:t xml:space="preserve"> </w:t>
      </w:r>
      <w:proofErr w:type="spellStart"/>
      <w:r w:rsidRPr="006D7319">
        <w:t>sammenlignelig</w:t>
      </w:r>
      <w:proofErr w:type="spellEnd"/>
      <w:r w:rsidRPr="006D7319">
        <w:t xml:space="preserve"> </w:t>
      </w:r>
      <w:proofErr w:type="spellStart"/>
      <w:r w:rsidRPr="006D7319">
        <w:t>situation</w:t>
      </w:r>
      <w:proofErr w:type="spellEnd"/>
      <w:r w:rsidR="006A50F4">
        <w:t>»</w:t>
      </w:r>
      <w:r w:rsidRPr="006D7319">
        <w:t xml:space="preserve">, såkalte </w:t>
      </w:r>
      <w:r w:rsidR="006A50F4">
        <w:t>«</w:t>
      </w:r>
      <w:r w:rsidRPr="006D7319">
        <w:t>falske selvstendige</w:t>
      </w:r>
      <w:r w:rsidR="006A50F4">
        <w:t>»</w:t>
      </w:r>
      <w:r w:rsidRPr="006D7319">
        <w:t>.</w:t>
      </w:r>
      <w:r w:rsidR="006A50F4" w:rsidRPr="006A50F4">
        <w:rPr>
          <w:rStyle w:val="Fotnotereferanse"/>
        </w:rPr>
        <w:footnoteReference w:id="170"/>
      </w:r>
      <w:r w:rsidRPr="006D7319">
        <w:t xml:space="preserve"> Om arbeidstakerbegrepet og prinsippet om at det er realitetene som er avgjør</w:t>
      </w:r>
      <w:r w:rsidRPr="006D7319">
        <w:t>ende, uttalte EU-domstolen følgende i avsnitt 36:</w:t>
      </w:r>
    </w:p>
    <w:p w14:paraId="7C2F4E31" w14:textId="40A3C1FB" w:rsidR="0016483D" w:rsidRPr="006A50F4" w:rsidRDefault="0016483D" w:rsidP="006D7319">
      <w:pPr>
        <w:pStyle w:val="blokksit"/>
      </w:pPr>
      <w:r w:rsidRPr="006A50F4">
        <w:t xml:space="preserve">Det følger </w:t>
      </w:r>
      <w:proofErr w:type="spellStart"/>
      <w:r w:rsidRPr="006A50F4">
        <w:t>heraf</w:t>
      </w:r>
      <w:proofErr w:type="spellEnd"/>
      <w:r w:rsidRPr="006A50F4">
        <w:t xml:space="preserve">, at status som </w:t>
      </w:r>
      <w:r w:rsidR="006A50F4">
        <w:t>‘</w:t>
      </w:r>
      <w:proofErr w:type="spellStart"/>
      <w:r w:rsidRPr="006A50F4">
        <w:t>arbejdstager</w:t>
      </w:r>
      <w:proofErr w:type="spellEnd"/>
      <w:r w:rsidR="006A50F4">
        <w:t>’</w:t>
      </w:r>
      <w:r w:rsidRPr="006A50F4">
        <w:t xml:space="preserve"> i EU-</w:t>
      </w:r>
      <w:proofErr w:type="spellStart"/>
      <w:r w:rsidRPr="006A50F4">
        <w:t>retlig</w:t>
      </w:r>
      <w:proofErr w:type="spellEnd"/>
      <w:r w:rsidRPr="006A50F4">
        <w:t xml:space="preserve"> forstand ikke kan påvirkes </w:t>
      </w:r>
      <w:proofErr w:type="spellStart"/>
      <w:r w:rsidRPr="006A50F4">
        <w:t>af</w:t>
      </w:r>
      <w:proofErr w:type="spellEnd"/>
      <w:r w:rsidRPr="006A50F4">
        <w:t xml:space="preserve"> det forhold, at en person, der </w:t>
      </w:r>
      <w:proofErr w:type="spellStart"/>
      <w:r w:rsidRPr="006A50F4">
        <w:t>af</w:t>
      </w:r>
      <w:proofErr w:type="spellEnd"/>
      <w:r w:rsidRPr="006A50F4">
        <w:t xml:space="preserve"> økonomiske, administrative eller </w:t>
      </w:r>
      <w:proofErr w:type="spellStart"/>
      <w:r w:rsidRPr="006A50F4">
        <w:t>bureaukratiske</w:t>
      </w:r>
      <w:proofErr w:type="spellEnd"/>
      <w:r w:rsidRPr="006A50F4">
        <w:t xml:space="preserve"> grunde er </w:t>
      </w:r>
      <w:proofErr w:type="spellStart"/>
      <w:r w:rsidRPr="006A50F4">
        <w:t>ansat</w:t>
      </w:r>
      <w:proofErr w:type="spellEnd"/>
      <w:r w:rsidRPr="006A50F4">
        <w:t xml:space="preserve"> som </w:t>
      </w:r>
      <w:proofErr w:type="spellStart"/>
      <w:r w:rsidRPr="006A50F4">
        <w:t>selvstændig</w:t>
      </w:r>
      <w:proofErr w:type="spellEnd"/>
      <w:r w:rsidRPr="006A50F4">
        <w:t xml:space="preserve"> </w:t>
      </w:r>
      <w:proofErr w:type="spellStart"/>
      <w:r w:rsidRPr="006A50F4">
        <w:t>tjenesteyder</w:t>
      </w:r>
      <w:proofErr w:type="spellEnd"/>
      <w:r w:rsidRPr="006A50F4">
        <w:t xml:space="preserve"> i henhold til </w:t>
      </w:r>
      <w:proofErr w:type="spellStart"/>
      <w:r w:rsidRPr="006A50F4">
        <w:t>national</w:t>
      </w:r>
      <w:proofErr w:type="spellEnd"/>
      <w:r w:rsidRPr="006A50F4">
        <w:t xml:space="preserve"> </w:t>
      </w:r>
      <w:proofErr w:type="spellStart"/>
      <w:r w:rsidRPr="006A50F4">
        <w:t>ret</w:t>
      </w:r>
      <w:proofErr w:type="spellEnd"/>
      <w:r w:rsidRPr="006A50F4">
        <w:t xml:space="preserve">, for så vidt som denne person handler efter </w:t>
      </w:r>
      <w:proofErr w:type="spellStart"/>
      <w:r w:rsidRPr="006A50F4">
        <w:t>arbejdsgiverens</w:t>
      </w:r>
      <w:proofErr w:type="spellEnd"/>
      <w:r w:rsidRPr="006A50F4">
        <w:t xml:space="preserve"> anvisninger, bl.a. </w:t>
      </w:r>
      <w:proofErr w:type="spellStart"/>
      <w:r w:rsidRPr="006A50F4">
        <w:t>hvad</w:t>
      </w:r>
      <w:proofErr w:type="spellEnd"/>
      <w:r w:rsidRPr="006A50F4">
        <w:t xml:space="preserve"> angår personens </w:t>
      </w:r>
      <w:proofErr w:type="spellStart"/>
      <w:r w:rsidRPr="006A50F4">
        <w:t>frihed</w:t>
      </w:r>
      <w:proofErr w:type="spellEnd"/>
      <w:r w:rsidRPr="006A50F4">
        <w:t xml:space="preserve"> til at </w:t>
      </w:r>
      <w:proofErr w:type="spellStart"/>
      <w:r w:rsidRPr="006A50F4">
        <w:t>vælge</w:t>
      </w:r>
      <w:proofErr w:type="spellEnd"/>
      <w:r w:rsidRPr="006A50F4">
        <w:t xml:space="preserve"> </w:t>
      </w:r>
      <w:proofErr w:type="spellStart"/>
      <w:r w:rsidRPr="006A50F4">
        <w:t>arbejdstid</w:t>
      </w:r>
      <w:proofErr w:type="spellEnd"/>
      <w:r w:rsidRPr="006A50F4">
        <w:t>, -sted og -</w:t>
      </w:r>
      <w:proofErr w:type="spellStart"/>
      <w:r w:rsidRPr="006A50F4">
        <w:t>indhold</w:t>
      </w:r>
      <w:proofErr w:type="spellEnd"/>
      <w:r w:rsidRPr="006A50F4">
        <w:t xml:space="preserve"> (…), ikke bærer den </w:t>
      </w:r>
      <w:proofErr w:type="spellStart"/>
      <w:r w:rsidRPr="006A50F4">
        <w:t>kommercielle</w:t>
      </w:r>
      <w:proofErr w:type="spellEnd"/>
      <w:r w:rsidRPr="006A50F4">
        <w:t xml:space="preserve"> risiko for denne </w:t>
      </w:r>
      <w:proofErr w:type="spellStart"/>
      <w:r w:rsidRPr="006A50F4">
        <w:t>arbejdsgiver</w:t>
      </w:r>
      <w:proofErr w:type="spellEnd"/>
      <w:r w:rsidRPr="006A50F4">
        <w:t xml:space="preserve"> (…) og er en integrerende del </w:t>
      </w:r>
      <w:proofErr w:type="spellStart"/>
      <w:r w:rsidRPr="006A50F4">
        <w:t>af</w:t>
      </w:r>
      <w:proofErr w:type="spellEnd"/>
      <w:r w:rsidRPr="006A50F4">
        <w:t xml:space="preserve"> den </w:t>
      </w:r>
      <w:proofErr w:type="spellStart"/>
      <w:r w:rsidRPr="006A50F4">
        <w:t>nævnte</w:t>
      </w:r>
      <w:proofErr w:type="spellEnd"/>
      <w:r w:rsidRPr="006A50F4">
        <w:t xml:space="preserve"> </w:t>
      </w:r>
      <w:proofErr w:type="spellStart"/>
      <w:r w:rsidRPr="006A50F4">
        <w:t>arbejdsgivers</w:t>
      </w:r>
      <w:proofErr w:type="spellEnd"/>
      <w:r w:rsidRPr="006A50F4">
        <w:t xml:space="preserve"> </w:t>
      </w:r>
      <w:proofErr w:type="spellStart"/>
      <w:r w:rsidRPr="006A50F4">
        <w:t>virksomhed</w:t>
      </w:r>
      <w:proofErr w:type="spellEnd"/>
      <w:r w:rsidRPr="006A50F4">
        <w:t xml:space="preserve">, så </w:t>
      </w:r>
      <w:proofErr w:type="spellStart"/>
      <w:r w:rsidRPr="006A50F4">
        <w:t>længe</w:t>
      </w:r>
      <w:proofErr w:type="spellEnd"/>
      <w:r w:rsidRPr="006A50F4">
        <w:t xml:space="preserve"> </w:t>
      </w:r>
      <w:proofErr w:type="spellStart"/>
      <w:r w:rsidRPr="006A50F4">
        <w:t>ansættelsesforholdet</w:t>
      </w:r>
      <w:proofErr w:type="spellEnd"/>
      <w:r w:rsidRPr="006A50F4">
        <w:t xml:space="preserve"> va</w:t>
      </w:r>
      <w:r w:rsidRPr="006A50F4">
        <w:t xml:space="preserve">rer, ved, at der dannes en økonomisk </w:t>
      </w:r>
      <w:proofErr w:type="spellStart"/>
      <w:r w:rsidRPr="006A50F4">
        <w:t>enhed</w:t>
      </w:r>
      <w:proofErr w:type="spellEnd"/>
      <w:r w:rsidRPr="006A50F4">
        <w:t>.</w:t>
      </w:r>
    </w:p>
    <w:p w14:paraId="3DD799EC" w14:textId="5F68A997" w:rsidR="0016483D" w:rsidRPr="006D7319" w:rsidRDefault="0016483D" w:rsidP="006D7319">
      <w:r w:rsidRPr="006D7319">
        <w:t xml:space="preserve">Ved en særregel som åpner for at selvstendige konsulenter eller rådgivere kan arbeide som innleide, kan relasjonen </w:t>
      </w:r>
      <w:proofErr w:type="gramStart"/>
      <w:r w:rsidRPr="006D7319">
        <w:t>potensielt</w:t>
      </w:r>
      <w:proofErr w:type="gramEnd"/>
      <w:r w:rsidRPr="006D7319">
        <w:t xml:space="preserve"> bli vurdert slik at vedkommende er arbeidstaker hos innleier etter det EU/EØS-rettslige arbeidstakerbegrepet. Dette vil </w:t>
      </w:r>
      <w:r w:rsidRPr="006D7319">
        <w:t>naturlig nok bero på en konkret vurdering av hvordan det aktuelle innleieforholdet er innrettet og praktiseres, samt direktivets personelle virkeområde. At vedkommende etter nasjonal rett betegnes som selvstendig og ikke er arbeidstaker etter arbeidsmiljøloven, er ifølge EU-domstolens rettspraksis uten betydning.</w:t>
      </w:r>
      <w:r w:rsidR="006A50F4" w:rsidRPr="006A50F4">
        <w:rPr>
          <w:rStyle w:val="Fotnotereferanse"/>
        </w:rPr>
        <w:footnoteReference w:id="171"/>
      </w:r>
      <w:r w:rsidRPr="006D7319">
        <w:t xml:space="preserve"> Dersom konsulenten eller rådgiveren skulle bli å anse som arbeidstaker hos innleier i EU/EØS-rettslig forstand, innebærer det i utgangspunktet en risiko for at innleier blir forpliktet til å oppfylle eventuelle rettigheter som følger av direktivene overfor konsulenten eller rådgiveren, med mindre direktivet åpner for at den selvstendige konsulenten eller rådgiveren kan oppfylle forpliktelsene i eget foretak, eller den selvstendige konsulenten eller rådgiveren kan unntas fra direktivets personelle anvendels</w:t>
      </w:r>
      <w:r w:rsidRPr="006D7319">
        <w:t>esområde.</w:t>
      </w:r>
    </w:p>
    <w:p w14:paraId="1338D0C6" w14:textId="77777777" w:rsidR="0016483D" w:rsidRPr="006D7319" w:rsidRDefault="0016483D" w:rsidP="006D7319">
      <w:pPr>
        <w:pStyle w:val="Overskrift3"/>
      </w:pPr>
      <w:r w:rsidRPr="006D7319">
        <w:t>Kan den selvstendige selv oppfylle de forpliktelsene og rettighetene som følger av direktivene?</w:t>
      </w:r>
    </w:p>
    <w:p w14:paraId="05ADEDD6" w14:textId="77777777" w:rsidR="0016483D" w:rsidRPr="006D7319" w:rsidRDefault="0016483D" w:rsidP="006D7319">
      <w:r w:rsidRPr="006D7319">
        <w:t xml:space="preserve">Et spørsmål i denne sammenheng, er om direktivforpliktelsene kan tenkes ivaretatt gjennom at eier av eget foretak </w:t>
      </w:r>
      <w:r w:rsidRPr="006A50F4">
        <w:rPr>
          <w:rStyle w:val="kursiv"/>
        </w:rPr>
        <w:t>selv</w:t>
      </w:r>
      <w:r w:rsidRPr="006D7319">
        <w:t xml:space="preserve"> kan oppfylle forpliktelsene som følger av de ulike arbeidsrettslige direktivene. Problemstillingen beror på om det etter EU/EØS-retten anerkjennes at eier og eneste arbeidende person i virksomheten kan anses som både arbeidstaker og arbeidsgiver i egen virksomhet, herunder om direktivene forutsetter at det foreligger et reelt topartsforhold. Det vises til det som </w:t>
      </w:r>
      <w:proofErr w:type="gramStart"/>
      <w:r w:rsidRPr="006D7319">
        <w:t>fremgår</w:t>
      </w:r>
      <w:proofErr w:type="gramEnd"/>
      <w:r w:rsidRPr="006D7319">
        <w:t xml:space="preserve"> av punkt 2.5 ovenfor om tilsvarende problemstilling i norsk rett, med henvisning til rettspraksis fra EU-domstolen.</w:t>
      </w:r>
    </w:p>
    <w:p w14:paraId="7C89DD2A" w14:textId="2700BCBA" w:rsidR="0016483D" w:rsidRPr="006D7319" w:rsidRDefault="0016483D" w:rsidP="006D7319">
      <w:r w:rsidRPr="006D7319">
        <w:t>Enkelte avgjørelser fra EU-domstolen kan trekke i retning av at dominerende eierinteresser i selskapet utelukker at det foreligger et reelt underordningsforhold og dermed arbeidstakerstatus.</w:t>
      </w:r>
      <w:r w:rsidR="006A50F4" w:rsidRPr="006A50F4">
        <w:rPr>
          <w:rStyle w:val="Fotnotereferanse"/>
        </w:rPr>
        <w:footnoteReference w:id="172"/>
      </w:r>
      <w:r w:rsidRPr="006D7319">
        <w:t xml:space="preserve"> </w:t>
      </w:r>
      <w:r w:rsidRPr="006D7319">
        <w:t>Spørsmålet om eneeier selv kan sikre direktivforpliktelsene overfor seg selv i eget selskap har imidlertid, etter det arbeidsgruppen kan se, ikke vært oppe for EU-domstolen. Det kan derfor ikke utelukkes at domstolen ville løst spørsmålet på en annen måte. Ettersom en eventuell særregel ikke går inn på om konsulenten eller rådgiveren skal anses som arbeidstaker fullt ut i egen virksomhet etter arbeidsmiljøloven, vil en slik tilnærming ikke avhjelpe all EØS-rettslig risiko ved en slik regelendring.</w:t>
      </w:r>
    </w:p>
    <w:p w14:paraId="4FF69DD3" w14:textId="77777777" w:rsidR="0016483D" w:rsidRPr="006D7319" w:rsidRDefault="0016483D" w:rsidP="006D7319">
      <w:pPr>
        <w:pStyle w:val="Overskrift2"/>
      </w:pPr>
      <w:r w:rsidRPr="006D7319">
        <w:t>Nærmere om rettigheter og plikter i utvalgte direktiver</w:t>
      </w:r>
    </w:p>
    <w:p w14:paraId="43119460" w14:textId="77777777" w:rsidR="0016483D" w:rsidRPr="006D7319" w:rsidRDefault="0016483D" w:rsidP="006D7319">
      <w:r w:rsidRPr="006D7319">
        <w:t xml:space="preserve">Risikoen for at de selvstendige konsulentene og rådgiverne vil kunne bli ansett som arbeidstakere hos innleier etter EU/EØS-retten vil kunne ha betydning for utformingen av en særregel om </w:t>
      </w:r>
      <w:proofErr w:type="gramStart"/>
      <w:r w:rsidRPr="006D7319">
        <w:t>innleie</w:t>
      </w:r>
      <w:proofErr w:type="gramEnd"/>
      <w:r w:rsidRPr="006D7319">
        <w:t>. Arbeidsgruppen har foretatt en overordnet kartlegging av noen utvalgte direktiver. Hensikten er å undersøke hvilke rettigheter og plikter som følger av direktivene som kan være aktuelle i en innleiesituasjon, og som eventuelt må hensyntas ved utformingen av den foreslåtte særregelen.</w:t>
      </w:r>
    </w:p>
    <w:p w14:paraId="1475EFDC" w14:textId="12F48701" w:rsidR="0016483D" w:rsidRPr="006D7319" w:rsidRDefault="0016483D" w:rsidP="006D7319">
      <w:r w:rsidRPr="006D7319">
        <w:t xml:space="preserve">Etter intern norsk rett påligger det dessuten allerede innleier å ivareta visse plikter overfor innleide, for eksempel knyttet til HMS og arbeidstid etter arbeidsmiljøloven </w:t>
      </w:r>
      <w:r w:rsidR="006A50F4">
        <w:t>§ </w:t>
      </w:r>
      <w:r w:rsidR="006A50F4" w:rsidRPr="006D7319">
        <w:t>2</w:t>
      </w:r>
      <w:r w:rsidRPr="006D7319">
        <w:t>-2. Det må undersøkes om slike regler eventuelt ivaretar noen av direktivrettighetene. Dette beror på en vurdering av de konkrete reglene, jf. nærmere om dette under.</w:t>
      </w:r>
    </w:p>
    <w:p w14:paraId="0B7F7B41" w14:textId="6520B654" w:rsidR="0016483D" w:rsidRPr="006D7319" w:rsidRDefault="0016483D" w:rsidP="006D7319">
      <w:r w:rsidRPr="006D7319">
        <w:t>Statene står i u</w:t>
      </w:r>
      <w:r w:rsidRPr="006D7319">
        <w:t>tgangspunktet fritt i valg av gjennomføringsform ved direktiver, men den rettslige situasjonen må være tilstrekkelig presis, se blant annet EFTA-domstolens sak 22. juli 2013 E-15/12 Wahl mot Island avsnitt 49 og 52. Dette innebærer at selv om det skulle legges til grunn at forpliktelsene etter direktivene allerede ligger på innleier etter norsk intern rett, kan det reises spørsmål ved om det er en tilstrekkelig presis gjennomføring av arbeidstaker</w:t>
      </w:r>
      <w:r w:rsidRPr="006D7319">
        <w:t>rettigheter etter direktivene, som forutsetter at disse rettighetene skal sikres av arbeidsgiver. Dette vil kunne ha betydning for utformingen av en eventuell særregel.</w:t>
      </w:r>
    </w:p>
    <w:p w14:paraId="34A82629" w14:textId="03B9CE3A" w:rsidR="0016483D" w:rsidRPr="006D7319" w:rsidRDefault="0016483D" w:rsidP="006D7319">
      <w:r w:rsidRPr="006D7319">
        <w:t xml:space="preserve">Arbeidsgruppen viser til at det foreligger en rekke EU-direktiver på arbeidsrettsfeltet, som for </w:t>
      </w:r>
      <w:r w:rsidRPr="006D7319">
        <w:t xml:space="preserve">eksempel Rådsdirektiv 97/81/EF </w:t>
      </w:r>
      <w:r w:rsidRPr="006D7319">
        <w:t xml:space="preserve">(deltidsdirektivet), Rådsdirektiv 98/59/EF </w:t>
      </w:r>
      <w:r w:rsidRPr="006D7319">
        <w:t>(masseoppsigelsesdirektivet), Rådsdirektiv 1999/70/EF (rammeavtale om midler</w:t>
      </w:r>
      <w:r w:rsidRPr="006D7319">
        <w:t>tidig ansettelse), Rådsdirektiv 2000/78/EF (ikke-</w:t>
      </w:r>
      <w:r w:rsidRPr="006D7319">
        <w:t>diskrimineringsdirektivet)</w:t>
      </w:r>
      <w:r w:rsidR="006A50F4" w:rsidRPr="006A50F4">
        <w:rPr>
          <w:rStyle w:val="Fotnotereferanse"/>
        </w:rPr>
        <w:footnoteReference w:id="173"/>
      </w:r>
      <w:r w:rsidRPr="006D7319">
        <w:t>, Rådsdirektiv 2001/23/EF (virksomhetsoverdragelsesdirektivet), Europa</w:t>
      </w:r>
      <w:r w:rsidRPr="006D7319">
        <w:t>parlaments- og rådsdirektiv (EU) 2019/1152 (arbeidsvilkårsdirektivet), Europaparlaments- og rådsdirektiv 2003/88/EF (arbeidstidsdirektivet), samt en rekke direktiver om helse-, miljø- og sikkerhet, slik som Rådsdirektiv 89/391/EØF (rammedirektivet/arbeidsmiljødirektivet) og Rådsdirektiv 92/85/EØF (svangerskapsdirektivet).</w:t>
      </w:r>
      <w:r w:rsidR="006A50F4" w:rsidRPr="006A50F4">
        <w:rPr>
          <w:rStyle w:val="Fotnotereferanse"/>
        </w:rPr>
        <w:footnoteReference w:id="174"/>
      </w:r>
      <w:r w:rsidRPr="006D7319">
        <w:t xml:space="preserve"> Arbeidsgruppen har av kapasitetshensyn ikke foretatt en vurdering av alle direktiver.</w:t>
      </w:r>
    </w:p>
    <w:p w14:paraId="31CCB98E" w14:textId="77777777" w:rsidR="0016483D" w:rsidRPr="006D7319" w:rsidRDefault="0016483D" w:rsidP="006D7319">
      <w:r w:rsidRPr="006D7319">
        <w:t>Arbeidsgruppen antar at rettigheter knyttet til arbeidstid og overtidsbetaling, rett til betalt ferie, rett til å ikke bli diskriminert, rett til skriftlig informasjon om arbeidsvilkårene, rettigheter i forbindelse med virksomhetsoverdragelse og andre HMS-rettigheter vil kunne være særlig aktuelle i en innleiesituasjon.</w:t>
      </w:r>
    </w:p>
    <w:p w14:paraId="15F73B14" w14:textId="00AFEE86" w:rsidR="0016483D" w:rsidRPr="006D7319" w:rsidRDefault="0016483D" w:rsidP="006D7319">
      <w:r w:rsidRPr="006D7319">
        <w:t xml:space="preserve">Arbeidstidsdirektivet (2003/88/EF) inneholder bestemmelser som blant annet setter grenser for ukentlig arbeidstid, gir rett til pauser og ukentlig og daglig hviletid, samt rett til årlig betalt ferie på minst fire uker. Direktivet er </w:t>
      </w:r>
      <w:proofErr w:type="gramStart"/>
      <w:r w:rsidRPr="006D7319">
        <w:t>implementert</w:t>
      </w:r>
      <w:proofErr w:type="gramEnd"/>
      <w:r w:rsidRPr="006D7319">
        <w:t xml:space="preserve"> i norsk rett gjennom arbeidsmiljøloven kapittel 10 og ferie</w:t>
      </w:r>
      <w:r w:rsidRPr="006D7319">
        <w:t xml:space="preserve">loven. Direktivet inneholder ingen definisjon av arbeidstakerbegrepet. EU-domstolen har </w:t>
      </w:r>
      <w:r w:rsidRPr="006D7319">
        <w:t>imidlertid blant annet i sak C-316/13 (</w:t>
      </w:r>
      <w:proofErr w:type="spellStart"/>
      <w:r w:rsidRPr="006D7319">
        <w:t>Fenoll</w:t>
      </w:r>
      <w:proofErr w:type="spellEnd"/>
      <w:r w:rsidRPr="006D7319">
        <w:t>) lagt til grunn at arbeidstakerbegrepet etter direktivet er EU/EØS-rettslig. Det er derfor en risiko for at direktivet vil komme til anvendelse når konsulenten eller rådgiveren er innleid hos oppdragsgiver. Det vises til det som er skrevet om det EU/EØS-rettslige arbeidstaker</w:t>
      </w:r>
      <w:r w:rsidRPr="006D7319">
        <w:t>begrepet i punkt 5.2.2. Dersom direktivet kommer til anvendelse, vil den innleide konsulenten eller råd</w:t>
      </w:r>
      <w:r w:rsidRPr="006D7319">
        <w:t>giveren kunne kreve at innleier oppfyller rettighetene knyttet til arbeidstid og ferie som følger av direktivet.</w:t>
      </w:r>
    </w:p>
    <w:p w14:paraId="48A23479" w14:textId="795A1523" w:rsidR="0016483D" w:rsidRPr="006D7319" w:rsidRDefault="0016483D" w:rsidP="006D7319">
      <w:r w:rsidRPr="006D7319">
        <w:t xml:space="preserve">Hvorvidt den foreslåtte særregelen om </w:t>
      </w:r>
      <w:proofErr w:type="gramStart"/>
      <w:r w:rsidRPr="006D7319">
        <w:t>innleie</w:t>
      </w:r>
      <w:proofErr w:type="gramEnd"/>
      <w:r w:rsidRPr="006D7319">
        <w:t xml:space="preserve"> bør hensynta rettighetene som følger av arbeidstids</w:t>
      </w:r>
      <w:r w:rsidRPr="006D7319">
        <w:t xml:space="preserve">direktivet, beror som nevnt blant annet på om plikten til å ivareta disse rettighetene allerede er lagt på innleier etter norsk intern rett. Arbeidsmiljøloven </w:t>
      </w:r>
      <w:r w:rsidR="006A50F4">
        <w:t>§ </w:t>
      </w:r>
      <w:r w:rsidR="006A50F4" w:rsidRPr="006D7319">
        <w:t>2</w:t>
      </w:r>
      <w:r w:rsidRPr="006D7319">
        <w:t>-2 angir arbeidsgivers HMS-ansvar overfor andre enn egne arbeidstakere. Av bestemmelsens første ledd bokstav c følger det at arbeidsgiver skal sørge for at innleid arbeidstakers arbeidstid er i samsvar med bestemmelsene i kapittel 10. Arbeidsgruppen antar at dette vil være tilstrekkelig til å sikre direktiv</w:t>
      </w:r>
      <w:r w:rsidRPr="006D7319">
        <w:t>rettighetene knyttet til arbeidstid som følger av arbeidstidsdirektivet.</w:t>
      </w:r>
    </w:p>
    <w:p w14:paraId="11C3E75E" w14:textId="1602FE80" w:rsidR="0016483D" w:rsidRPr="006D7319" w:rsidRDefault="0016483D" w:rsidP="006D7319">
      <w:r w:rsidRPr="006D7319">
        <w:t xml:space="preserve">Plikten til å sikre årlig betalt ferie er imidlertid ikke lagt på innleier på tilsvarende måte. I </w:t>
      </w:r>
      <w:r w:rsidR="006A50F4">
        <w:t>«</w:t>
      </w:r>
      <w:r w:rsidRPr="006D7319">
        <w:t>vanlige</w:t>
      </w:r>
      <w:r w:rsidR="006A50F4">
        <w:t>»</w:t>
      </w:r>
      <w:r w:rsidRPr="006D7319">
        <w:t xml:space="preserve"> innleieforhold ligger denne plikten på arbeidsgiver, altså bemanningsforetaket, hvor det også skal sikres likebehandling av feriefritid, feriepenger, fridager og godtgjøring på slike dager, jf. arbeidsmiljøloven </w:t>
      </w:r>
      <w:r w:rsidR="006A50F4">
        <w:t>§ </w:t>
      </w:r>
      <w:r w:rsidR="006A50F4" w:rsidRPr="006D7319">
        <w:t>1</w:t>
      </w:r>
      <w:r w:rsidRPr="006D7319">
        <w:t>4-12 a første ledd bokstav e.</w:t>
      </w:r>
    </w:p>
    <w:p w14:paraId="238FB9B9" w14:textId="529B7BC9" w:rsidR="0016483D" w:rsidRPr="006D7319" w:rsidRDefault="0016483D" w:rsidP="006D7319">
      <w:r w:rsidRPr="006D7319">
        <w:t xml:space="preserve">For selvstendige konsulenter og rådgivere vil likebehandlingen i så fall måtte sikres av konsulenten eller rådgiveren selv, da vedkommende ikke er ansatt i et bemanningsforetak med en reell arbeidsgiver som kan holdes ansvarlig dersom pliktene ikke </w:t>
      </w:r>
      <w:r w:rsidRPr="006D7319">
        <w:t>overholdes. Årlig betalt ferie vil derfor kunne være en rettighet som må vurderes nærmere ved utformingen av en eventuell særregel.</w:t>
      </w:r>
    </w:p>
    <w:p w14:paraId="5BD4A700" w14:textId="31B98152" w:rsidR="0016483D" w:rsidRPr="006D7319" w:rsidRDefault="0016483D" w:rsidP="006D7319">
      <w:r w:rsidRPr="006D7319">
        <w:t xml:space="preserve">I denne forbindelse vises det likevel til at innleier </w:t>
      </w:r>
      <w:r w:rsidR="006A50F4">
        <w:t>«</w:t>
      </w:r>
      <w:r w:rsidRPr="006D7319">
        <w:t xml:space="preserve">hefter på samme måte som en selvskyldnerkausjonist for utbetaling av lønn, feriepenger og eventuell annen godtgjøring etter kravet om likebehandling i </w:t>
      </w:r>
      <w:r w:rsidR="006A50F4">
        <w:t>§ </w:t>
      </w:r>
      <w:r w:rsidR="006A50F4" w:rsidRPr="006D7319">
        <w:t>1</w:t>
      </w:r>
      <w:r w:rsidRPr="006D7319">
        <w:t>4-12 a</w:t>
      </w:r>
      <w:r w:rsidR="006A50F4">
        <w:t>»</w:t>
      </w:r>
      <w:r w:rsidRPr="006D7319">
        <w:t xml:space="preserve"> og at ved </w:t>
      </w:r>
      <w:r w:rsidR="006A50F4">
        <w:t>«</w:t>
      </w:r>
      <w:r w:rsidRPr="006D7319">
        <w:t xml:space="preserve">solidaransvar (…) hefter </w:t>
      </w:r>
      <w:proofErr w:type="spellStart"/>
      <w:r w:rsidRPr="006D7319">
        <w:t>solidar</w:t>
      </w:r>
      <w:r w:rsidRPr="006D7319">
        <w:t>ansvarlig</w:t>
      </w:r>
      <w:proofErr w:type="spellEnd"/>
      <w:r w:rsidRPr="006D7319">
        <w:t xml:space="preserve"> også for feriepenger opptjent i tilknytning til kravet</w:t>
      </w:r>
      <w:r w:rsidR="006A50F4">
        <w:t>»</w:t>
      </w:r>
      <w:r w:rsidRPr="006D7319">
        <w:t xml:space="preserve">, jf. arbeidsmiljøloven </w:t>
      </w:r>
      <w:r w:rsidR="006A50F4">
        <w:t>§ </w:t>
      </w:r>
      <w:r w:rsidR="006A50F4" w:rsidRPr="006D7319">
        <w:t>1</w:t>
      </w:r>
      <w:r w:rsidRPr="006D7319">
        <w:t>4-12 c første ledd. Solidaransvarsregelen inneholder imidlertid prosessuelle og materielle begrensninger i bestemmelsens andre og tredje ledd som bør vurderes nærmere ved utformingen av særregelen.</w:t>
      </w:r>
    </w:p>
    <w:p w14:paraId="08179F11" w14:textId="7A8B00B5" w:rsidR="0016483D" w:rsidRPr="006D7319" w:rsidRDefault="0016483D" w:rsidP="006D7319">
      <w:r w:rsidRPr="006D7319">
        <w:t xml:space="preserve">Videre finnes det en rekke EU-direktiver som er </w:t>
      </w:r>
      <w:r w:rsidRPr="006D7319">
        <w:t>bindende for Norge på området for helse-, miljø- og sikkerhet. To aktuelle direktiver er blant annet rådsdirektiv 89/391/EØF (rammedirektivet om arbeids</w:t>
      </w:r>
      <w:r w:rsidRPr="006D7319">
        <w:t>miljø) og rådsdirektiv 92/85/EØF (svangerskaps</w:t>
      </w:r>
      <w:r w:rsidRPr="006D7319">
        <w:t>direktivet). Begge direktivene bygger på et EU/EØS-</w:t>
      </w:r>
      <w:r w:rsidRPr="006D7319">
        <w:t>rettslig arbeidstakerbegrep.</w:t>
      </w:r>
      <w:r w:rsidR="006A50F4" w:rsidRPr="006A50F4">
        <w:rPr>
          <w:rStyle w:val="Fotnotereferanse"/>
        </w:rPr>
        <w:footnoteReference w:id="175"/>
      </w:r>
      <w:r w:rsidRPr="006D7319">
        <w:t xml:space="preserve"> Det innebærer en risiko for at direktivene vil kunne komme til anvendelse når konsulenten eller rådgiveren er innleid hos oppdragsgiver, jf. punkt 5.2.2.</w:t>
      </w:r>
    </w:p>
    <w:p w14:paraId="0D3E1084" w14:textId="5EE84B79" w:rsidR="0016483D" w:rsidRPr="006D7319" w:rsidRDefault="0016483D" w:rsidP="006D7319">
      <w:r w:rsidRPr="006D7319">
        <w:t xml:space="preserve">Hvorvidt den foreslåtte særregelen bør hensynta rettighetene som følger av disse to direktivene og andre direktiver om helse-, miljø- og sikkerhet, beror som nevnt over på om HMS-ansvaret som påligger innleier etter arbeidsmiljøloven </w:t>
      </w:r>
      <w:r w:rsidR="006A50F4">
        <w:t>§ </w:t>
      </w:r>
      <w:r w:rsidR="006A50F4" w:rsidRPr="006D7319">
        <w:t>2</w:t>
      </w:r>
      <w:r w:rsidRPr="006D7319">
        <w:t xml:space="preserve">-2 første ledd bokstav a og b rekker like langt som for arbeidsgivere før øvrig. Dette vil kreve en grundigere gjennomgang av aktuelle direktiver på HMS-området, sett opp mot arbeidsmiljøloven </w:t>
      </w:r>
      <w:r w:rsidR="006A50F4">
        <w:t>§ </w:t>
      </w:r>
      <w:r w:rsidR="006A50F4" w:rsidRPr="006D7319">
        <w:t>2</w:t>
      </w:r>
      <w:r w:rsidRPr="006D7319">
        <w:t>-2 første ledd bokstav a og b, i forbindelse med utforming av særregelen.</w:t>
      </w:r>
    </w:p>
    <w:p w14:paraId="210C5A6B" w14:textId="2CA5F30F" w:rsidR="0016483D" w:rsidRPr="006D7319" w:rsidRDefault="0016483D" w:rsidP="006D7319">
      <w:r w:rsidRPr="006D7319">
        <w:t>Når det gjelder ikke-diskriminering følger det blant annet av Rådsdirektiv 2000/78/EF om gjennom</w:t>
      </w:r>
      <w:r w:rsidRPr="006D7319">
        <w:t xml:space="preserve">føring av prinsippet om likebehandling i arbeidslivet at statene må etablere vern mot diskriminering på arbeidslivets område på en rekke grunnlag. Rådsdirektivet er ikke innlemmet i EØS-avtalen, men Norge har likevel valgt å lovfeste kravene i direktivet i arbeidsmiljøloven kapittel 13, som også skal gjelde tilsvarende for arbeidsgivers </w:t>
      </w:r>
      <w:r w:rsidR="006A50F4">
        <w:t>«</w:t>
      </w:r>
      <w:r w:rsidRPr="006D7319">
        <w:t>valg og behandling av selvstendige oppdragstakere og innleide arbeids</w:t>
      </w:r>
      <w:r w:rsidRPr="006D7319">
        <w:t>takere</w:t>
      </w:r>
      <w:r w:rsidR="006A50F4">
        <w:t>»</w:t>
      </w:r>
      <w:r w:rsidRPr="006D7319">
        <w:t xml:space="preserve">, jf. arbeidsmiljøloven </w:t>
      </w:r>
      <w:r w:rsidR="006A50F4">
        <w:t>§ </w:t>
      </w:r>
      <w:r w:rsidR="006A50F4" w:rsidRPr="006D7319">
        <w:t>1</w:t>
      </w:r>
      <w:r w:rsidRPr="006D7319">
        <w:t xml:space="preserve">3-2. </w:t>
      </w:r>
      <w:r w:rsidRPr="006D7319">
        <w:t>Arbeidsgruppen antar derfor at sentrale rettigheter også overfor innleide konsulenter og rådgivere er ivaretatt.</w:t>
      </w:r>
    </w:p>
    <w:p w14:paraId="71F572C4" w14:textId="5C58ADBF" w:rsidR="0016483D" w:rsidRPr="006D7319" w:rsidRDefault="0016483D" w:rsidP="006D7319">
      <w:r w:rsidRPr="006D7319">
        <w:t>Rådsdirektiv 2001/23/EF (virksomhetsoverdragelses</w:t>
      </w:r>
      <w:r w:rsidRPr="006D7319">
        <w:t>direktivet) inneholder bestemmelser om arbeids</w:t>
      </w:r>
      <w:r w:rsidRPr="006D7319">
        <w:t xml:space="preserve">givers plikter og arbeidstakers rettigheter ved overdragelse av virksomhet. Direktivets personelle virkeområde </w:t>
      </w:r>
      <w:proofErr w:type="gramStart"/>
      <w:r w:rsidRPr="006D7319">
        <w:t>fremgår</w:t>
      </w:r>
      <w:proofErr w:type="gramEnd"/>
      <w:r w:rsidRPr="006D7319">
        <w:t xml:space="preserve"> av artikkel 2, der begrepet </w:t>
      </w:r>
      <w:r w:rsidR="006A50F4">
        <w:t>«</w:t>
      </w:r>
      <w:r w:rsidRPr="006D7319">
        <w:t>arbeidstaker</w:t>
      </w:r>
      <w:r w:rsidR="006A50F4">
        <w:t>»</w:t>
      </w:r>
      <w:r w:rsidRPr="006D7319">
        <w:t xml:space="preserve"> er definert i bokstav d som </w:t>
      </w:r>
      <w:r w:rsidR="006A50F4">
        <w:t>«</w:t>
      </w:r>
      <w:r w:rsidRPr="006D7319">
        <w:t>enhver person som i den berørte medlemsstat er beskyttet som arbeidstaker i henhold til nasjonal arbeidsrett</w:t>
      </w:r>
      <w:r w:rsidR="006A50F4">
        <w:t>»</w:t>
      </w:r>
      <w:r w:rsidRPr="006D7319">
        <w:t>. Direktivets henvisning til et nasjonalt arbeidstaker</w:t>
      </w:r>
      <w:r w:rsidRPr="006D7319">
        <w:t>begrep må likevel ses i lys av EU-domstolens uttalelser i sak C-206/15 (</w:t>
      </w:r>
      <w:proofErr w:type="spellStart"/>
      <w:r w:rsidRPr="006D7319">
        <w:t>Ruhrlandklinik</w:t>
      </w:r>
      <w:proofErr w:type="spellEnd"/>
      <w:r w:rsidRPr="006D7319">
        <w:t xml:space="preserve">). Ved en særregel om </w:t>
      </w:r>
      <w:proofErr w:type="gramStart"/>
      <w:r w:rsidRPr="006D7319">
        <w:t>innleie</w:t>
      </w:r>
      <w:proofErr w:type="gramEnd"/>
      <w:r w:rsidRPr="006D7319">
        <w:t>, kan det oppstå spørsmål om konsulenten eller rådgiveren etter direktivet vil være omfattet av en eventuell virksomhetsoverdragelse dersom innleier overdrar sin virksomhet i innleieperioden.</w:t>
      </w:r>
    </w:p>
    <w:p w14:paraId="7040B65F" w14:textId="77777777" w:rsidR="0016483D" w:rsidRPr="006D7319" w:rsidRDefault="0016483D" w:rsidP="006D7319">
      <w:r w:rsidRPr="006D7319">
        <w:t>I sak C-242/09 (Heineken/</w:t>
      </w:r>
      <w:proofErr w:type="spellStart"/>
      <w:r w:rsidRPr="006D7319">
        <w:t>Albron</w:t>
      </w:r>
      <w:proofErr w:type="spellEnd"/>
      <w:r w:rsidRPr="006D7319">
        <w:t>) tok EU-domstolen stilling til hvorvidt det er et krav for at direktivet skal komme til anvendelse at overdragelsen skjer fra den formelle arbeidsgiveren. Øl-produsenten Heineken hadde organisert driften ved at alle arbeidstakerne formelt var ansatt i ett selskap i konsernet, som deretter på permanent basis utstasjonerte arbeidstakerne til andre selskaper innad i konsernet. Et av selskapene overdro så driften til et annet selskap utenfor konsernet, og spørsmålet for domstolen var om direktivet om vir</w:t>
      </w:r>
      <w:r w:rsidRPr="006D7319">
        <w:t>ksomhetsoverdragelse kom til anvendelse, selv om overdragelsen ikke skjedde fra den formelle arbeidsgiveren.</w:t>
      </w:r>
    </w:p>
    <w:p w14:paraId="7DA14D60" w14:textId="7A3A73C3" w:rsidR="0016483D" w:rsidRPr="006D7319" w:rsidRDefault="0016483D" w:rsidP="006D7319">
      <w:r w:rsidRPr="006D7319">
        <w:t xml:space="preserve">Domstolen viste blant annet til artikkel 3 i </w:t>
      </w:r>
      <w:r w:rsidRPr="006D7319">
        <w:t xml:space="preserve">direktivet, der det </w:t>
      </w:r>
      <w:proofErr w:type="gramStart"/>
      <w:r w:rsidRPr="006D7319">
        <w:t>fremgår</w:t>
      </w:r>
      <w:proofErr w:type="gramEnd"/>
      <w:r w:rsidRPr="006D7319">
        <w:t xml:space="preserve"> at overdragerens rettigheter og plikter i henhold til </w:t>
      </w:r>
      <w:r w:rsidR="006A50F4">
        <w:t>«</w:t>
      </w:r>
      <w:r w:rsidRPr="006D7319">
        <w:t>arbeidsavtale eller arbeidsforhold</w:t>
      </w:r>
      <w:r w:rsidR="006A50F4">
        <w:t>»</w:t>
      </w:r>
      <w:r w:rsidRPr="006D7319">
        <w:t xml:space="preserve"> overføres til erververen. Domstolen la til grunn at direktivet i seg selv ikke utelukker at også andre enn den </w:t>
      </w:r>
      <w:proofErr w:type="spellStart"/>
      <w:r w:rsidRPr="006D7319">
        <w:t>kontraktuelle</w:t>
      </w:r>
      <w:proofErr w:type="spellEnd"/>
      <w:r w:rsidRPr="006D7319">
        <w:t xml:space="preserve"> arbeidsgiveren kan være overdrager etter direktivet. Domstolen konkluderte med at arbeidstakerne var omfattet av virksomhetsoverdragelsen.</w:t>
      </w:r>
    </w:p>
    <w:p w14:paraId="30224740" w14:textId="13EB2405" w:rsidR="0016483D" w:rsidRPr="006D7319" w:rsidRDefault="0016483D" w:rsidP="006D7319">
      <w:r w:rsidRPr="006D7319">
        <w:t>Høyesterett kom til tilsvarende resultat i HR-2012-1280-A (Stena-</w:t>
      </w:r>
      <w:proofErr w:type="spellStart"/>
      <w:r w:rsidRPr="006D7319">
        <w:t>Songa</w:t>
      </w:r>
      <w:proofErr w:type="spellEnd"/>
      <w:r w:rsidRPr="006D7319">
        <w:t xml:space="preserve">). Saken gjaldt virksomhetsoverdragelse av en borerigg, herunder spørsmål om arbeidstakere som var utstasjonert på boreriggen via </w:t>
      </w:r>
      <w:r w:rsidR="006A50F4">
        <w:t>«</w:t>
      </w:r>
      <w:r w:rsidRPr="006D7319">
        <w:t>secondmentavtaler</w:t>
      </w:r>
      <w:r w:rsidR="006A50F4">
        <w:t>»</w:t>
      </w:r>
      <w:r w:rsidRPr="006D7319">
        <w:t xml:space="preserve"> fra et annet selskap, var omfattet av virksomhetsoverdragelsen, selv om de ikke formelt var ansatt hos overdrageren. Høyesterett kom til at arbeidstakerne var omfattet av overdragelsen og viste til Heineken/</w:t>
      </w:r>
      <w:proofErr w:type="spellStart"/>
      <w:r w:rsidRPr="006D7319">
        <w:t>Albron</w:t>
      </w:r>
      <w:proofErr w:type="spellEnd"/>
      <w:r w:rsidRPr="006D7319">
        <w:t>- saken:</w:t>
      </w:r>
    </w:p>
    <w:p w14:paraId="2E1420F7" w14:textId="0AC2C731" w:rsidR="0016483D" w:rsidRPr="006A50F4" w:rsidRDefault="0016483D" w:rsidP="006D7319">
      <w:pPr>
        <w:pStyle w:val="blokksit"/>
      </w:pPr>
      <w:r w:rsidRPr="006A50F4">
        <w:t xml:space="preserve">I </w:t>
      </w:r>
      <w:proofErr w:type="spellStart"/>
      <w:r w:rsidRPr="006A50F4">
        <w:t>Albron</w:t>
      </w:r>
      <w:proofErr w:type="spellEnd"/>
      <w:r w:rsidRPr="006A50F4">
        <w:t>-saken var arbeideren utstasjonert til cateringselskapet på permanent basis. Dommen kan imidlertid ikke forstås slik at ikke forholdene også i andre tilfelle kan ligge slik an at et ikke-</w:t>
      </w:r>
      <w:proofErr w:type="spellStart"/>
      <w:r w:rsidRPr="006A50F4">
        <w:t>kontraktuelt</w:t>
      </w:r>
      <w:proofErr w:type="spellEnd"/>
      <w:r w:rsidRPr="006A50F4">
        <w:t xml:space="preserve"> arbeidsforhold kan gi grunnlag for ansettelse hos erververen ved virksomhetsoverdragelse.</w:t>
      </w:r>
      <w:r w:rsidR="006A50F4" w:rsidRPr="006A50F4">
        <w:rPr>
          <w:rStyle w:val="Fotnotereferanse"/>
        </w:rPr>
        <w:footnoteReference w:id="176"/>
      </w:r>
    </w:p>
    <w:p w14:paraId="55417ED8" w14:textId="77777777" w:rsidR="0016483D" w:rsidRPr="006D7319" w:rsidRDefault="0016483D" w:rsidP="006D7319">
      <w:r w:rsidRPr="006D7319">
        <w:t>Avgjørelsene kan tas til inntekt for at den virksomheten en innleid utfører arbeid hos, etter en konkret vurdering vil kunne regnes som overdrager etter direktivet, slik at den innleide vil være omfattet av en eventuell virksomhetsoverdragelse.</w:t>
      </w:r>
    </w:p>
    <w:p w14:paraId="4CABF983" w14:textId="77777777" w:rsidR="0016483D" w:rsidRPr="006D7319" w:rsidRDefault="0016483D" w:rsidP="006D7319">
      <w:r w:rsidRPr="006D7319">
        <w:t>Europaparlaments- og rådsdirektiv (EU) 2019/1152 (arbeidsvilkårsdirektivet) inneholder rettigheter som er ment å forbedre arbeidstakernes arbeidsvilkår ved å fremme mer forutsigbare arbeidsforhold.</w:t>
      </w:r>
    </w:p>
    <w:p w14:paraId="7C8FF6A5" w14:textId="087D12AF" w:rsidR="0016483D" w:rsidRPr="006D7319" w:rsidRDefault="0016483D" w:rsidP="006D7319">
      <w:r w:rsidRPr="006D7319">
        <w:t xml:space="preserve">Artikkel 1 nr. 2 angir at direktivet får </w:t>
      </w:r>
      <w:proofErr w:type="gramStart"/>
      <w:r w:rsidRPr="006D7319">
        <w:t>anvendelse</w:t>
      </w:r>
      <w:proofErr w:type="gramEnd"/>
      <w:r w:rsidRPr="006D7319">
        <w:t xml:space="preserve"> for alle arbeidstakere i EU med en arbeidsavtale eller et ansettelsesforhold som definert i gjeldende lovgivning, tariffavtaler eller praksis i den enkelte medlemsstaten, under hensyntagen til EU-domstolens praksis.</w:t>
      </w:r>
      <w:r w:rsidR="006A50F4" w:rsidRPr="006A50F4">
        <w:rPr>
          <w:rStyle w:val="Fotnotereferanse"/>
        </w:rPr>
        <w:footnoteReference w:id="177"/>
      </w:r>
      <w:r w:rsidRPr="006D7319">
        <w:t xml:space="preserve"> Som nevnt i punkt 5.2.2 gir direktivets henvisning til EU-domstolens praksis et signal om visse EU/EØS-rettslige krav til </w:t>
      </w:r>
      <w:r w:rsidRPr="006D7319">
        <w:t>anvendelsesområdet, selv om den nærmere betydningen av dette er uavklart.</w:t>
      </w:r>
    </w:p>
    <w:p w14:paraId="39F612E6" w14:textId="77777777" w:rsidR="0016483D" w:rsidRPr="006D7319" w:rsidRDefault="0016483D" w:rsidP="006D7319">
      <w:r w:rsidRPr="006D7319">
        <w:t xml:space="preserve">Ved en særregel om </w:t>
      </w:r>
      <w:proofErr w:type="gramStart"/>
      <w:r w:rsidRPr="006D7319">
        <w:t>innleie</w:t>
      </w:r>
      <w:proofErr w:type="gramEnd"/>
      <w:r w:rsidRPr="006D7319">
        <w:t xml:space="preserve"> av selvstendige konsulenter og rådgivere, kan det for eksempel oppstå spørsmål om konsulenten eller råd</w:t>
      </w:r>
      <w:r w:rsidRPr="006D7319">
        <w:t>giveren etter direktivets artikkel 4 vil ha rett til tydelig skriftlig informasjon om arbeidsvilkårene mens vedkommende er innleid, og om dette kan kreves overfor innleier.</w:t>
      </w:r>
    </w:p>
    <w:p w14:paraId="303FDE3E" w14:textId="3E235AA0" w:rsidR="0016483D" w:rsidRPr="006D7319" w:rsidRDefault="0016483D" w:rsidP="006D7319">
      <w:r w:rsidRPr="006D7319">
        <w:t xml:space="preserve">Artikkel 1 nr. 5 åpner for at statene kan bestemme hvem som har ansvaret for å oppfylle arbeidsgivers forpliktelser etter direktivet. I forbindelse med gjennomføringen av direktivet i norsk rett ble det vurdert at det ikke var behov for å gjøre endringer i dagens regler om hvem som har ansvar for å oppfylle forpliktelsene på de områdene </w:t>
      </w:r>
      <w:r w:rsidRPr="006D7319">
        <w:t>direktivet gjelder.</w:t>
      </w:r>
      <w:r w:rsidR="006A50F4" w:rsidRPr="006A50F4">
        <w:rPr>
          <w:rStyle w:val="Fotnotereferanse"/>
        </w:rPr>
        <w:footnoteReference w:id="178"/>
      </w:r>
      <w:r w:rsidRPr="006D7319">
        <w:t xml:space="preserve"> Det bør derfor vurderes nærmere om og eventuelt hvem som vil være ansvarlig for å overholde direktivets forpliktelser ved utformingen av en særregel om </w:t>
      </w:r>
      <w:proofErr w:type="gramStart"/>
      <w:r w:rsidRPr="006D7319">
        <w:t>innleie</w:t>
      </w:r>
      <w:proofErr w:type="gramEnd"/>
      <w:r w:rsidRPr="006D7319">
        <w:t>.</w:t>
      </w:r>
    </w:p>
    <w:p w14:paraId="1D3DBE74" w14:textId="7420E29D" w:rsidR="0016483D" w:rsidRPr="006D7319" w:rsidRDefault="0016483D" w:rsidP="006D7319">
      <w:r w:rsidRPr="006D7319">
        <w:t>Videre kan det oppstå spørsmål knyttet til hvorvidt den innleide konsulenten eller rådgiveren skal telle med ved beregningen av antall ansatte og inkluderes i en prosess med hensyn til informasjon ved masse</w:t>
      </w:r>
      <w:r w:rsidRPr="006D7319">
        <w:t>oppsigelse hos innleier etter rådsdirektiv 98/59/EF (masseoppsigelsesdirektivet). EU-domstolen har lagt til grunn at direktivet bygger på et EU/EØS-</w:t>
      </w:r>
      <w:r w:rsidRPr="006D7319">
        <w:t>rettslig arbeidstakerbegrep, og det vil derfor kunne være en relevant problemstilling i de tilfellene oppdragsgiver skal foreta større nedbemanninger imens innleieforholdet løper.</w:t>
      </w:r>
      <w:r w:rsidR="006A50F4" w:rsidRPr="006A50F4">
        <w:rPr>
          <w:rStyle w:val="Fotnotereferanse"/>
        </w:rPr>
        <w:footnoteReference w:id="179"/>
      </w:r>
    </w:p>
    <w:p w14:paraId="64C01805" w14:textId="77777777" w:rsidR="0016483D" w:rsidRPr="006D7319" w:rsidRDefault="0016483D" w:rsidP="006D7319">
      <w:r w:rsidRPr="006D7319">
        <w:t>Arbeidsgruppen har kun foretatt en overordnet kartlegging av utvalgte direktiver. En nærmere utredning av direktivforpliktelsene kan være nødvendig for å kunne ta stilling til hvordan regelen kan utformes på en måte som sikrer EØS-rettslige krav.</w:t>
      </w:r>
    </w:p>
    <w:p w14:paraId="38665447" w14:textId="77777777" w:rsidR="0016483D" w:rsidRPr="006D7319" w:rsidRDefault="0016483D" w:rsidP="006D7319">
      <w:pPr>
        <w:pStyle w:val="Overskrift2"/>
      </w:pPr>
      <w:r w:rsidRPr="006D7319">
        <w:t>Oppsummering av arbeidsgruppens vurderinger av EØS-rettslige spørsmål</w:t>
      </w:r>
    </w:p>
    <w:p w14:paraId="48BC072D" w14:textId="70FF359C" w:rsidR="0016483D" w:rsidRPr="006D7319" w:rsidRDefault="0016483D" w:rsidP="006D7319">
      <w:r w:rsidRPr="006A50F4">
        <w:rPr>
          <w:rStyle w:val="kursiv"/>
        </w:rPr>
        <w:t xml:space="preserve">Medlemmene Hotvedt, Fjeldstad, Dahle, Kastet, Nordbø og Arthur </w:t>
      </w:r>
      <w:r w:rsidRPr="006D7319">
        <w:t>mener at gjennomgangen ovenfor har avdekket en risiko for at enkelte direktivrettigheter ikke blir tilstrekkelig ivaretatt ved innleie basert på den foreslåtte særregelen. Ut fra gjennomgangen av vikarbyrådirektivet i punkt 2.4.3.2 fremstår det tvilsomt at aksjeselskap der eier er eneste ansatte er et bemanningsbyrå i direktivets forstand, og dermed at innleie etter særregelen er dekket av direktivet. Menons rapport tyder på at slike tilfeller heller ikke klassifiseres som bemanningsforetak og omfattes av r</w:t>
      </w:r>
      <w:r w:rsidRPr="006D7319">
        <w:t>egler som gjennomfører vikarbyrå</w:t>
      </w:r>
      <w:r w:rsidRPr="006D7319">
        <w:t>direktivet i Sverige, Danmark, Finland eller Tyskland.</w:t>
      </w:r>
      <w:r w:rsidR="006A50F4" w:rsidRPr="006A50F4">
        <w:rPr>
          <w:rStyle w:val="Fotnotereferanse"/>
        </w:rPr>
        <w:footnoteReference w:id="180"/>
      </w:r>
      <w:r w:rsidRPr="006D7319">
        <w:t xml:space="preserve"> Videre fremhever </w:t>
      </w:r>
      <w:r w:rsidRPr="006D7319">
        <w:t>disse</w:t>
      </w:r>
      <w:r w:rsidRPr="006D7319">
        <w:t xml:space="preserve"> </w:t>
      </w:r>
      <w:r w:rsidRPr="006A50F4">
        <w:rPr>
          <w:rStyle w:val="kursiv"/>
        </w:rPr>
        <w:t>medlemmene</w:t>
      </w:r>
      <w:r w:rsidRPr="006D7319">
        <w:t xml:space="preserve"> at den foreslåtte særregelen om </w:t>
      </w:r>
      <w:proofErr w:type="gramStart"/>
      <w:r w:rsidRPr="006D7319">
        <w:t>innleie</w:t>
      </w:r>
      <w:proofErr w:type="gramEnd"/>
      <w:r w:rsidRPr="006D7319">
        <w:t xml:space="preserve"> kan sees som et unntak fra arbeidstakerbegrepet, fordi den åpner for at konsulenten eller rådgiverens arbeid under kundens styring og ledelse bedømmes som innleie fremfor å bli vurdert som et ordinært arbeidstakerforhold. </w:t>
      </w:r>
      <w:r w:rsidRPr="006A50F4">
        <w:rPr>
          <w:rStyle w:val="kursiv"/>
        </w:rPr>
        <w:t>Disse medlemmene</w:t>
      </w:r>
      <w:r w:rsidRPr="006D7319">
        <w:t xml:space="preserve"> vil poengtere at flere arbeidsrettslige direktiver bygger på et EU/EØS-rettslig arbeidstaker</w:t>
      </w:r>
      <w:r w:rsidRPr="006D7319">
        <w:t xml:space="preserve">begrep, noe som kan innebære at arbeid under </w:t>
      </w:r>
      <w:r w:rsidRPr="006D7319">
        <w:t>kundens styring og ledelse utløser direktivrettigheter som arbeidstaker hos kunden. Også etter direktiver som definerer arbeidstakerbegrepet med henvisning til nasjonal rett, er det etter rettspraksis oppstilt visse krav og grenser for medlemsstatenes frihet til å avgrense hvem direktivrettigheter gjelder for.</w:t>
      </w:r>
    </w:p>
    <w:p w14:paraId="706C2BF3" w14:textId="782EA2EA" w:rsidR="0016483D" w:rsidRPr="006D7319" w:rsidRDefault="0016483D" w:rsidP="006D7319">
      <w:r w:rsidRPr="006D7319">
        <w:t xml:space="preserve">Samlet sett viser dette etter </w:t>
      </w:r>
      <w:r w:rsidRPr="006A50F4">
        <w:rPr>
          <w:rStyle w:val="kursiv"/>
        </w:rPr>
        <w:t>disse medlemmenes</w:t>
      </w:r>
      <w:r w:rsidRPr="006D7319">
        <w:t xml:space="preserve"> syn at den foreslåtte særregelen kan være EU/EØS-</w:t>
      </w:r>
      <w:r w:rsidRPr="006D7319">
        <w:t>rettslig problematisk, og det er vanskelig å se at den risikoen kan avvises.</w:t>
      </w:r>
    </w:p>
    <w:p w14:paraId="00DF0AFB" w14:textId="1B70DC43" w:rsidR="0016483D" w:rsidRPr="006D7319" w:rsidRDefault="0016483D" w:rsidP="006D7319">
      <w:r w:rsidRPr="006A50F4">
        <w:rPr>
          <w:rStyle w:val="kursiv"/>
        </w:rPr>
        <w:t>Medlemmene</w:t>
      </w:r>
      <w:r w:rsidRPr="006D7319">
        <w:t xml:space="preserve"> </w:t>
      </w:r>
      <w:r w:rsidRPr="006A50F4">
        <w:rPr>
          <w:rStyle w:val="kursiv"/>
        </w:rPr>
        <w:t xml:space="preserve">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xml:space="preserve">, Svele og Solberg </w:t>
      </w:r>
      <w:r w:rsidRPr="006D7319">
        <w:t xml:space="preserve">kan vanskelig se at den foreslåtte særregelen skal være i strid med EØS-direktivene om arbeidstakerrettigheter. </w:t>
      </w:r>
      <w:r w:rsidRPr="006D7319">
        <w:t>Disse medlemmene</w:t>
      </w:r>
      <w:r w:rsidRPr="006D7319">
        <w:t xml:space="preserve"> viser til at man i samsvar med nasjonal rett legger til grunn at det er mest nærliggende at vedkommende anses som arbeidstaker i eget aksjeselskap, og </w:t>
      </w:r>
      <w:r w:rsidRPr="006D7319">
        <w:t xml:space="preserve">at </w:t>
      </w:r>
      <w:r w:rsidRPr="006D7319">
        <w:t>selskapet, som andre arbeidsgivere, har plikt til å sikre at arbeidstakerrettighetene oppfylles. Direktivene er minimumsdirektiver, slik at det nasjonale arbeids</w:t>
      </w:r>
      <w:r w:rsidRPr="006D7319">
        <w:t>takerbegrepet kan være videre enn det som eventuelt følger av EØS-retten, jf. blant annet HR-2025-2516-A avsnitt 97.</w:t>
      </w:r>
    </w:p>
    <w:p w14:paraId="07B502D9" w14:textId="53BEC83C" w:rsidR="0016483D" w:rsidRPr="006D7319" w:rsidRDefault="0016483D" w:rsidP="006D7319">
      <w:r w:rsidRPr="006D7319">
        <w:t xml:space="preserve">Også i EU-retten og medlemslandene er selskap og aksjeeier to selvstendige rettssubjekter, og det foreligger, så vidt </w:t>
      </w:r>
      <w:r w:rsidRPr="006A50F4">
        <w:rPr>
          <w:rStyle w:val="kursiv"/>
        </w:rPr>
        <w:t>disse medlemmene</w:t>
      </w:r>
      <w:r w:rsidRPr="006D7319">
        <w:t xml:space="preserve"> kjenner til, ingen rettspraksis fra EU-domstolen om at arbeidstaker i eget selskap skal identifiseres med eierne. En slik identifikasjon er en forutsetning for at en arbeids</w:t>
      </w:r>
      <w:r w:rsidRPr="006D7319">
        <w:t>taker i et eget selskap skal kunne vurderes mot innleievirksomheten som arbeidstaker.</w:t>
      </w:r>
    </w:p>
    <w:p w14:paraId="463AF322" w14:textId="05821E96" w:rsidR="0016483D" w:rsidRPr="006D7319" w:rsidRDefault="0016483D" w:rsidP="006D7319">
      <w:pPr>
        <w:rPr>
          <w:lang w:val="en-US"/>
        </w:rPr>
      </w:pPr>
      <w:r w:rsidRPr="006D7319">
        <w:t xml:space="preserve">Hele drøftelsen i kapittel 5 er videre basert på en </w:t>
      </w:r>
      <w:r w:rsidRPr="006D7319">
        <w:t>uriktig forutsetning om at et aksjeselskap med bare én ansatt ikke kan anses som bemanningsforetak etter vikarbyrådirektivet. Det foreligger ingen EU-rettslige kilder som sier at bemanningsforetak i EU-retten må ha et visst minimum antall arbeids</w:t>
      </w:r>
      <w:r w:rsidRPr="006D7319">
        <w:t xml:space="preserve">takere for å anses som et bemanningsforetak. </w:t>
      </w:r>
      <w:r w:rsidRPr="006D7319">
        <w:rPr>
          <w:lang w:val="en-US"/>
        </w:rPr>
        <w:t xml:space="preserve">I </w:t>
      </w:r>
      <w:proofErr w:type="spellStart"/>
      <w:proofErr w:type="gramStart"/>
      <w:r w:rsidRPr="006D7319">
        <w:rPr>
          <w:lang w:val="en-US"/>
        </w:rPr>
        <w:t>artikkel</w:t>
      </w:r>
      <w:proofErr w:type="spellEnd"/>
      <w:proofErr w:type="gramEnd"/>
      <w:r w:rsidRPr="006D7319">
        <w:rPr>
          <w:lang w:val="en-US"/>
        </w:rPr>
        <w:t xml:space="preserve"> 3 nr. 1 </w:t>
      </w:r>
      <w:proofErr w:type="spellStart"/>
      <w:r w:rsidRPr="006D7319">
        <w:rPr>
          <w:lang w:val="en-US"/>
        </w:rPr>
        <w:t>bokstav</w:t>
      </w:r>
      <w:proofErr w:type="spellEnd"/>
      <w:r w:rsidRPr="006D7319">
        <w:rPr>
          <w:lang w:val="en-US"/>
        </w:rPr>
        <w:t xml:space="preserve"> b er </w:t>
      </w:r>
      <w:proofErr w:type="spellStart"/>
      <w:r w:rsidRPr="006D7319">
        <w:rPr>
          <w:lang w:val="en-US"/>
        </w:rPr>
        <w:t>bemanningsforetak</w:t>
      </w:r>
      <w:proofErr w:type="spellEnd"/>
      <w:r w:rsidRPr="006D7319">
        <w:rPr>
          <w:lang w:val="en-US"/>
        </w:rPr>
        <w:t xml:space="preserve"> </w:t>
      </w:r>
      <w:proofErr w:type="spellStart"/>
      <w:r w:rsidRPr="006D7319">
        <w:rPr>
          <w:lang w:val="en-US"/>
        </w:rPr>
        <w:t>definert</w:t>
      </w:r>
      <w:proofErr w:type="spellEnd"/>
      <w:r w:rsidRPr="006D7319">
        <w:rPr>
          <w:lang w:val="en-US"/>
        </w:rPr>
        <w:t xml:space="preserve"> </w:t>
      </w:r>
      <w:proofErr w:type="spellStart"/>
      <w:r w:rsidRPr="006D7319">
        <w:rPr>
          <w:lang w:val="en-US"/>
        </w:rPr>
        <w:t>slik</w:t>
      </w:r>
      <w:proofErr w:type="spellEnd"/>
      <w:r w:rsidRPr="006D7319">
        <w:rPr>
          <w:lang w:val="en-US"/>
        </w:rPr>
        <w:t>:</w:t>
      </w:r>
    </w:p>
    <w:p w14:paraId="5E8E3C73" w14:textId="1EDD3EB3" w:rsidR="0016483D" w:rsidRPr="006A50F4" w:rsidRDefault="0016483D" w:rsidP="006D7319">
      <w:pPr>
        <w:pStyle w:val="blokksit"/>
        <w:rPr>
          <w:lang w:val="en-US"/>
        </w:rPr>
      </w:pPr>
      <w:r w:rsidRPr="006A50F4">
        <w:rPr>
          <w:lang w:val="en-US"/>
        </w:rPr>
        <w:t>‛</w:t>
      </w:r>
      <w:proofErr w:type="gramStart"/>
      <w:r w:rsidRPr="006A50F4">
        <w:rPr>
          <w:lang w:val="en-US"/>
        </w:rPr>
        <w:t>temporary</w:t>
      </w:r>
      <w:proofErr w:type="gramEnd"/>
      <w:r w:rsidRPr="006A50F4">
        <w:rPr>
          <w:lang w:val="en-US"/>
        </w:rPr>
        <w:t>-work agency</w:t>
      </w:r>
      <w:r w:rsidR="006A50F4">
        <w:rPr>
          <w:lang w:val="en-US"/>
        </w:rPr>
        <w:t>’</w:t>
      </w:r>
      <w:r w:rsidRPr="006A50F4">
        <w:rPr>
          <w:lang w:val="en-US"/>
        </w:rPr>
        <w:t xml:space="preserve"> means any </w:t>
      </w:r>
      <w:r w:rsidRPr="006A50F4">
        <w:rPr>
          <w:lang w:val="en-US"/>
        </w:rPr>
        <w:t>natural or legal person who, in compliance with national law, concludes contracts of employment or employment relationships with temporary agency workers in order to assign them to user undertakings to work there temporarily under their supervision and direction;</w:t>
      </w:r>
    </w:p>
    <w:p w14:paraId="11B1E8E3" w14:textId="77777777" w:rsidR="0016483D" w:rsidRPr="006D7319" w:rsidRDefault="0016483D" w:rsidP="006D7319">
      <w:pPr>
        <w:rPr>
          <w:lang w:val="en-US"/>
        </w:rPr>
      </w:pPr>
      <w:r w:rsidRPr="006D7319">
        <w:t xml:space="preserve">Det er ingen henvisning til et visst antall ansatte eller noen kriterier knyttet til virksomhetens størrelse. </w:t>
      </w:r>
      <w:r w:rsidRPr="006D7319">
        <w:rPr>
          <w:lang w:val="en-US"/>
        </w:rPr>
        <w:t xml:space="preserve">Dette </w:t>
      </w:r>
      <w:proofErr w:type="spellStart"/>
      <w:r w:rsidRPr="006D7319">
        <w:rPr>
          <w:lang w:val="en-US"/>
        </w:rPr>
        <w:t>støttes</w:t>
      </w:r>
      <w:proofErr w:type="spellEnd"/>
      <w:r w:rsidRPr="006D7319">
        <w:rPr>
          <w:lang w:val="en-US"/>
        </w:rPr>
        <w:t xml:space="preserve"> </w:t>
      </w:r>
      <w:proofErr w:type="spellStart"/>
      <w:r w:rsidRPr="006D7319">
        <w:rPr>
          <w:lang w:val="en-US"/>
        </w:rPr>
        <w:t>også</w:t>
      </w:r>
      <w:proofErr w:type="spellEnd"/>
      <w:r w:rsidRPr="006D7319">
        <w:rPr>
          <w:lang w:val="en-US"/>
        </w:rPr>
        <w:t xml:space="preserve"> av </w:t>
      </w:r>
      <w:proofErr w:type="spellStart"/>
      <w:r w:rsidRPr="006D7319">
        <w:rPr>
          <w:lang w:val="en-US"/>
        </w:rPr>
        <w:t>artikkel</w:t>
      </w:r>
      <w:proofErr w:type="spellEnd"/>
      <w:r w:rsidRPr="006D7319">
        <w:rPr>
          <w:lang w:val="en-US"/>
        </w:rPr>
        <w:t xml:space="preserve"> 1 nr. 2:</w:t>
      </w:r>
    </w:p>
    <w:p w14:paraId="71400F86" w14:textId="77777777" w:rsidR="0016483D" w:rsidRPr="006A50F4" w:rsidRDefault="0016483D" w:rsidP="006D7319">
      <w:pPr>
        <w:pStyle w:val="blokksit"/>
        <w:rPr>
          <w:lang w:val="en-US"/>
        </w:rPr>
      </w:pPr>
      <w:r w:rsidRPr="006A50F4">
        <w:rPr>
          <w:lang w:val="en-US"/>
        </w:rPr>
        <w:t xml:space="preserve">This Directive applies to public and private undertakings which are temporary-work agencies or user undertakings engaged in economic activities </w:t>
      </w:r>
      <w:proofErr w:type="gramStart"/>
      <w:r w:rsidRPr="006A50F4">
        <w:rPr>
          <w:lang w:val="en-US"/>
        </w:rPr>
        <w:t>whether or not</w:t>
      </w:r>
      <w:proofErr w:type="gramEnd"/>
      <w:r w:rsidRPr="006A50F4">
        <w:rPr>
          <w:lang w:val="en-US"/>
        </w:rPr>
        <w:t xml:space="preserve"> they are operating for gain.</w:t>
      </w:r>
    </w:p>
    <w:p w14:paraId="41A07753" w14:textId="73059923" w:rsidR="0016483D" w:rsidRPr="006D7319" w:rsidRDefault="0016483D" w:rsidP="006D7319">
      <w:r w:rsidRPr="006D7319">
        <w:t xml:space="preserve">I EU-domstolens dom 24. oktober 2024 i sak C-441/23 legger EU-domstolen uttrykkelig til grunn at man for å anses som et bemanningsforetak ikke er </w:t>
      </w:r>
      <w:r w:rsidRPr="006D7319">
        <w:t>avhengig av at et foretak må stille et visst antall eller en viss andel av sine arbeidstakere til disposisjon for et annet foretak, jf. premiss 52:</w:t>
      </w:r>
    </w:p>
    <w:p w14:paraId="440E7781" w14:textId="6F94A69D" w:rsidR="0016483D" w:rsidRPr="006A50F4" w:rsidRDefault="0016483D" w:rsidP="006D7319">
      <w:pPr>
        <w:pStyle w:val="blokksit"/>
        <w:rPr>
          <w:lang w:val="en-US"/>
        </w:rPr>
      </w:pPr>
      <w:r w:rsidRPr="006A50F4">
        <w:rPr>
          <w:lang w:val="en-US"/>
        </w:rPr>
        <w:t xml:space="preserve">As is clear from paragraph 34 above, </w:t>
      </w:r>
      <w:r w:rsidRPr="006A50F4">
        <w:rPr>
          <w:lang w:val="en-US"/>
        </w:rPr>
        <w:t xml:space="preserve">Directive 2008/104 does not make the status of </w:t>
      </w:r>
      <w:r w:rsidR="006A50F4">
        <w:rPr>
          <w:lang w:val="en-US"/>
        </w:rPr>
        <w:t>‘</w:t>
      </w:r>
      <w:r w:rsidRPr="006A50F4">
        <w:rPr>
          <w:lang w:val="en-US"/>
        </w:rPr>
        <w:t xml:space="preserve">temporary-work </w:t>
      </w:r>
      <w:proofErr w:type="gramStart"/>
      <w:r w:rsidRPr="006A50F4">
        <w:rPr>
          <w:lang w:val="en-US"/>
        </w:rPr>
        <w:t>agency</w:t>
      </w:r>
      <w:r w:rsidR="006A50F4">
        <w:rPr>
          <w:lang w:val="en-US"/>
        </w:rPr>
        <w:t>’</w:t>
      </w:r>
      <w:proofErr w:type="gramEnd"/>
      <w:r w:rsidRPr="006A50F4">
        <w:rPr>
          <w:lang w:val="en-US"/>
        </w:rPr>
        <w:t xml:space="preserve"> subject to the condition that an undertaking must assign a certain number or percentage of workers to another undertaking. Nonetheless, it is not sufficient, for the </w:t>
      </w:r>
      <w:proofErr w:type="gramStart"/>
      <w:r w:rsidRPr="006A50F4">
        <w:rPr>
          <w:lang w:val="en-US"/>
        </w:rPr>
        <w:t>purposes</w:t>
      </w:r>
      <w:proofErr w:type="gramEnd"/>
      <w:r w:rsidRPr="006A50F4">
        <w:rPr>
          <w:lang w:val="en-US"/>
        </w:rPr>
        <w:t xml:space="preserve"> of classifying an undertaking as a temporary-work agency, for that undertaking to assign one or other of its workers, or occasionally a proportion of its workers, to another undertaking. Such situations in effect amount to the provision of services by one undertaking to another and not to the provision of temporary agency work.</w:t>
      </w:r>
      <w:r w:rsidR="006A50F4" w:rsidRPr="006A50F4">
        <w:rPr>
          <w:rStyle w:val="Fotnotereferanse"/>
        </w:rPr>
        <w:footnoteReference w:id="181"/>
      </w:r>
    </w:p>
    <w:p w14:paraId="7A0B6D39" w14:textId="77777777" w:rsidR="0016483D" w:rsidRPr="006D7319" w:rsidRDefault="0016483D" w:rsidP="006D7319">
      <w:r w:rsidRPr="006D7319">
        <w:t>Det vises her også til at direktivet gjaldt i Norge før 2024, og at både arbeidslivets parter, offentlige og private arbeidsgivere og Arbeidstilsynet la til grunn at disse anses som bemanningsforetak, uten at noen har ment at dette skulle være EØS-stridig.</w:t>
      </w:r>
    </w:p>
    <w:p w14:paraId="236A09FC" w14:textId="3BEC0C50" w:rsidR="0016483D" w:rsidRPr="006D7319" w:rsidRDefault="0016483D" w:rsidP="006D7319">
      <w:r w:rsidRPr="006A50F4">
        <w:rPr>
          <w:rStyle w:val="kursiv"/>
        </w:rPr>
        <w:t>Disse medlemmene</w:t>
      </w:r>
      <w:r w:rsidRPr="006D7319">
        <w:t xml:space="preserve"> vil også trekke frem at man ikke kan se at de to omtalte dommer fra EU-domstolen: sak C-603/17 og sak C-107/94 har overføringsverdi for de spørsmål arbeidsgruppen skal vurdere. Sak C-603/17 gjaldt Luganokonvensjonen om doms</w:t>
      </w:r>
      <w:r w:rsidRPr="006D7319">
        <w:t xml:space="preserve">myndighet og fullbyrdelse av dommer og er </w:t>
      </w:r>
      <w:r w:rsidRPr="006A50F4">
        <w:rPr>
          <w:rStyle w:val="kursiv"/>
        </w:rPr>
        <w:t>ikke</w:t>
      </w:r>
      <w:r w:rsidRPr="006D7319">
        <w:t xml:space="preserve"> en del av EØS-avtalen. Sak C-107/94 gjaldt beregning av inntektsskatt.</w:t>
      </w:r>
    </w:p>
    <w:p w14:paraId="360DE024" w14:textId="72348356" w:rsidR="0016483D" w:rsidRPr="006D7319" w:rsidRDefault="0016483D" w:rsidP="006D7319">
      <w:r w:rsidRPr="006A50F4">
        <w:rPr>
          <w:rStyle w:val="kursiv"/>
        </w:rPr>
        <w:t>Disse medlemmene</w:t>
      </w:r>
      <w:r w:rsidRPr="006D7319">
        <w:t xml:space="preserve"> viser videre til at lignende </w:t>
      </w:r>
      <w:r w:rsidRPr="006D7319">
        <w:t xml:space="preserve">ordninger er tillatt i flere EU-land, blant annet i </w:t>
      </w:r>
      <w:r w:rsidRPr="006D7319">
        <w:t>Sverige og Danmark.</w:t>
      </w:r>
      <w:r w:rsidR="006A50F4" w:rsidRPr="006A50F4">
        <w:rPr>
          <w:rStyle w:val="Fotnotereferanse"/>
        </w:rPr>
        <w:footnoteReference w:id="182"/>
      </w:r>
    </w:p>
    <w:p w14:paraId="4D5C8584" w14:textId="77777777" w:rsidR="0016483D" w:rsidRPr="006D7319" w:rsidRDefault="0016483D" w:rsidP="006D7319">
      <w:pPr>
        <w:pStyle w:val="Overskrift1"/>
      </w:pPr>
      <w:r w:rsidRPr="006D7319">
        <w:t>Arbeidsgruppens anbefalinger</w:t>
      </w:r>
    </w:p>
    <w:p w14:paraId="717AFAE2" w14:textId="77777777" w:rsidR="0016483D" w:rsidRPr="006D7319" w:rsidRDefault="0016483D" w:rsidP="006D7319">
      <w:pPr>
        <w:pStyle w:val="Overskrift2"/>
      </w:pPr>
      <w:r w:rsidRPr="006D7319">
        <w:t>Veileder om selvstendig oppdrag for konsulent- og rådgivernæringen</w:t>
      </w:r>
    </w:p>
    <w:p w14:paraId="15F79974" w14:textId="1CB2939B" w:rsidR="0016483D" w:rsidRPr="006D7319" w:rsidRDefault="0016483D" w:rsidP="006D7319">
      <w:r w:rsidRPr="006A50F4">
        <w:rPr>
          <w:rStyle w:val="kursiv"/>
        </w:rPr>
        <w:t>En samlet arbeidsgruppe</w:t>
      </w:r>
      <w:r w:rsidRPr="006D7319">
        <w:t xml:space="preserve"> er enige om at det er behov for mer veiledning og informasjon om når det foreligger et selvstendig oppdrag, herunder hvilket handlingsrom selvstendige rådgivere og </w:t>
      </w:r>
      <w:r w:rsidRPr="006D7319">
        <w:t xml:space="preserve">konsulenter med spesialkompetanse har etter gjeldende rett til å inngå selvstendige oppdrag. </w:t>
      </w:r>
      <w:r w:rsidRPr="006A50F4">
        <w:rPr>
          <w:rStyle w:val="kursiv"/>
        </w:rPr>
        <w:t>En samlet arbeidsgruppe</w:t>
      </w:r>
      <w:r w:rsidRPr="006D7319">
        <w:t xml:space="preserve"> anbefaler derfor at Arbeids- og inkluderingsdeparte</w:t>
      </w:r>
      <w:r w:rsidRPr="006D7319">
        <w:t xml:space="preserve">mentet utarbeider en veileder, i samråd med berørte organisasjoner i arbeidslivet, som nærmere angir når det kan være grunnlag for å inngå selvstendige oppdrag i konsulent- og rådgivernæringen. Arbeidsgruppens vurdering av det </w:t>
      </w:r>
      <w:r w:rsidRPr="006D7319">
        <w:t xml:space="preserve">aktuelle </w:t>
      </w:r>
      <w:r w:rsidRPr="006D7319">
        <w:t xml:space="preserve">handlingsrommet </w:t>
      </w:r>
      <w:proofErr w:type="gramStart"/>
      <w:r w:rsidRPr="006D7319">
        <w:t>fremgår</w:t>
      </w:r>
      <w:proofErr w:type="gramEnd"/>
      <w:r w:rsidRPr="006D7319">
        <w:t xml:space="preserve"> av punkt 4.3.2.</w:t>
      </w:r>
    </w:p>
    <w:p w14:paraId="56C6B99A" w14:textId="77777777" w:rsidR="0016483D" w:rsidRPr="006D7319" w:rsidRDefault="0016483D" w:rsidP="006D7319">
      <w:pPr>
        <w:pStyle w:val="Overskrift2"/>
      </w:pPr>
      <w:r w:rsidRPr="006D7319">
        <w:t xml:space="preserve">Særregel om </w:t>
      </w:r>
      <w:proofErr w:type="gramStart"/>
      <w:r w:rsidRPr="006D7319">
        <w:t>innleie</w:t>
      </w:r>
      <w:proofErr w:type="gramEnd"/>
      <w:r w:rsidRPr="006D7319">
        <w:t xml:space="preserve"> av selvstendige konsulenter og rådgivere</w:t>
      </w:r>
    </w:p>
    <w:p w14:paraId="20CB2735" w14:textId="77777777" w:rsidR="0016483D" w:rsidRPr="006D7319" w:rsidRDefault="0016483D" w:rsidP="006D7319">
      <w:r w:rsidRPr="006A50F4">
        <w:rPr>
          <w:rStyle w:val="kursiv"/>
        </w:rPr>
        <w:t>Medlemmene</w:t>
      </w:r>
      <w:r w:rsidRPr="006D7319">
        <w:t xml:space="preserve"> </w:t>
      </w:r>
      <w:r w:rsidRPr="006A50F4">
        <w:rPr>
          <w:rStyle w:val="kursiv"/>
        </w:rPr>
        <w:t xml:space="preserve">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Svele og Solberg</w:t>
      </w:r>
      <w:r w:rsidRPr="006D7319">
        <w:t xml:space="preserve"> mener at en veileder som angir handlingsrommet for selvstendige konsulenter og rådgivere til å inngå oppdragsavtaler ikke vil være tilstrekkelig til å løse de utfordringene selvstendige konsulenter og rådgivere står overfor. </w:t>
      </w:r>
      <w:r w:rsidRPr="006D7319">
        <w:t>Disse medlemmene</w:t>
      </w:r>
      <w:r w:rsidRPr="006D7319">
        <w:t xml:space="preserve"> viser til at det kan være tilfeller der oppdragsgiver ønsker å benytte innleie, eller der innleie er den eneste anvendelige tilknytningsformen. Dersom det ikke fastsettes en snever særregel som gir adgang til </w:t>
      </w:r>
      <w:proofErr w:type="gramStart"/>
      <w:r w:rsidRPr="006D7319">
        <w:t>innleie</w:t>
      </w:r>
      <w:proofErr w:type="gramEnd"/>
      <w:r w:rsidRPr="006D7319">
        <w:t xml:space="preserve"> av selvstendige konsulenter og rådgivere, vil disse </w:t>
      </w:r>
      <w:r w:rsidRPr="006D7319">
        <w:t>bli avskåret fra å kunne konkurrere på like vilkår med andre virksomheter i konsulent- og rådgivernæringen.</w:t>
      </w:r>
    </w:p>
    <w:p w14:paraId="2CABE310" w14:textId="77777777" w:rsidR="0016483D" w:rsidRPr="006D7319" w:rsidRDefault="0016483D" w:rsidP="006D7319">
      <w:r w:rsidRPr="006A50F4">
        <w:rPr>
          <w:rStyle w:val="kursiv"/>
        </w:rPr>
        <w:t xml:space="preserve">Medlemmene Våg, Stålhane, </w:t>
      </w:r>
      <w:proofErr w:type="spellStart"/>
      <w:r w:rsidRPr="006A50F4">
        <w:rPr>
          <w:rStyle w:val="kursiv"/>
        </w:rPr>
        <w:t>Ulserød</w:t>
      </w:r>
      <w:proofErr w:type="spellEnd"/>
      <w:r w:rsidRPr="006A50F4">
        <w:rPr>
          <w:rStyle w:val="kursiv"/>
        </w:rPr>
        <w:t xml:space="preserve">, </w:t>
      </w:r>
      <w:proofErr w:type="spellStart"/>
      <w:r w:rsidRPr="006A50F4">
        <w:rPr>
          <w:rStyle w:val="kursiv"/>
        </w:rPr>
        <w:t>Walding</w:t>
      </w:r>
      <w:proofErr w:type="spellEnd"/>
      <w:r w:rsidRPr="006A50F4">
        <w:rPr>
          <w:rStyle w:val="kursiv"/>
        </w:rPr>
        <w:t>, Svele og Solberg</w:t>
      </w:r>
      <w:r w:rsidRPr="006D7319">
        <w:t xml:space="preserve"> anbefaler derfor at det fastsettes en snever særregel som gir adgang til å leie inn selvstendige konsulenter og rådgivere med eget aksjeselskap, og som har spesialkompetanse som skal utføre rådgivnings- og konsulenttjeneste i klart avgrenset prosjekt. </w:t>
      </w:r>
      <w:r w:rsidRPr="006A50F4">
        <w:rPr>
          <w:rStyle w:val="kursiv"/>
        </w:rPr>
        <w:t>Disse medlemmene</w:t>
      </w:r>
      <w:r w:rsidRPr="006D7319">
        <w:t xml:space="preserve"> anbefaler også at slike virksomheter følger reglene om godkjenningsordningen for bemanningsforetak.</w:t>
      </w:r>
    </w:p>
    <w:p w14:paraId="5932A93D" w14:textId="3610CF28" w:rsidR="0016483D" w:rsidRPr="006D7319" w:rsidRDefault="0016483D" w:rsidP="006D7319">
      <w:r w:rsidRPr="006A50F4">
        <w:rPr>
          <w:rStyle w:val="kursiv"/>
        </w:rPr>
        <w:t xml:space="preserve">Medlemmene Hotvedt, Fjeldstad, Dahle, Kastet, </w:t>
      </w:r>
      <w:r w:rsidRPr="006A50F4">
        <w:rPr>
          <w:rStyle w:val="kursiv"/>
        </w:rPr>
        <w:t xml:space="preserve">Nordbø og Arthur </w:t>
      </w:r>
      <w:r w:rsidRPr="006D7319">
        <w:t>mener at det ikke er behov for en slik regule</w:t>
      </w:r>
      <w:r w:rsidRPr="006D7319">
        <w:t>ring, og at en særregel vil utfordre arbeidstaker</w:t>
      </w:r>
      <w:r w:rsidRPr="006D7319">
        <w:t xml:space="preserve">begrepet, stillingsvernet og lovens </w:t>
      </w:r>
      <w:r w:rsidRPr="006D7319">
        <w:t xml:space="preserve">system, samt innebære en fare for omgåelse av regelverket til skade for arbeidstakere. </w:t>
      </w:r>
      <w:r w:rsidRPr="006D7319">
        <w:t>Disse medlemmene</w:t>
      </w:r>
      <w:r w:rsidRPr="006D7319">
        <w:t xml:space="preserve"> peker også på de EU/EØS-rettslige utfordringene ved å innføre en slik regel.</w:t>
      </w:r>
    </w:p>
    <w:p w14:paraId="07936D7E" w14:textId="77777777" w:rsidR="0016483D" w:rsidRPr="006D7319" w:rsidRDefault="0016483D" w:rsidP="006D7319">
      <w:pPr>
        <w:pStyle w:val="Overskrift1"/>
      </w:pPr>
      <w:r w:rsidRPr="006D7319">
        <w:t>Økonomiske og administrative konsekvenser</w:t>
      </w:r>
    </w:p>
    <w:p w14:paraId="3DDC3691" w14:textId="0B61FDAB" w:rsidR="0016483D" w:rsidRPr="006D7319" w:rsidRDefault="0016483D" w:rsidP="006D7319">
      <w:r w:rsidRPr="006D7319">
        <w:t xml:space="preserve">En </w:t>
      </w:r>
      <w:r w:rsidRPr="006A50F4">
        <w:rPr>
          <w:rStyle w:val="kursiv"/>
        </w:rPr>
        <w:t>samlet arbeidsgruppe</w:t>
      </w:r>
      <w:r w:rsidRPr="006D7319">
        <w:t xml:space="preserve"> foreslår å utarbeide en vei</w:t>
      </w:r>
      <w:r w:rsidRPr="006D7319">
        <w:t xml:space="preserve">leder som tydeliggjør regelverket for når det foreligger et selvstendig oppdrag innen </w:t>
      </w:r>
      <w:r w:rsidRPr="006D7319">
        <w:t>konsulent- og rådgivernæringen. Dette kan være et viktig informasjonstiltak for både oppdragsgivere og oppdragstakere.</w:t>
      </w:r>
    </w:p>
    <w:p w14:paraId="44263091" w14:textId="494D4058" w:rsidR="0016483D" w:rsidRPr="006D7319" w:rsidRDefault="0016483D" w:rsidP="006D7319">
      <w:r w:rsidRPr="006D7319">
        <w:t xml:space="preserve">Veilederen er foreslått utarbeidet av Arbeids- og inkluderingsdepartementet, i samråd med berørte organisasjoner i arbeidslivet. Å utarbeide en </w:t>
      </w:r>
      <w:r w:rsidRPr="006D7319">
        <w:t xml:space="preserve">veileder vil medføre noen økonomiske og administrative konsekvenser, men arbeidsgruppen antar at disse vil være beskjedne. Det er etter </w:t>
      </w:r>
      <w:r w:rsidRPr="006A50F4">
        <w:rPr>
          <w:rStyle w:val="kursiv"/>
        </w:rPr>
        <w:t>arbeidsgruppens syn</w:t>
      </w:r>
      <w:r w:rsidRPr="006D7319">
        <w:t xml:space="preserve"> usikkert hvilke konsekvenser veilederen vil få for bruken av ulike tilknytningsformer.</w:t>
      </w:r>
    </w:p>
    <w:p w14:paraId="082206FE" w14:textId="261DC48A" w:rsidR="0016483D" w:rsidRPr="006D7319" w:rsidRDefault="0016483D" w:rsidP="006D7319">
      <w:r w:rsidRPr="006A50F4">
        <w:rPr>
          <w:rStyle w:val="kursiv"/>
        </w:rPr>
        <w:t xml:space="preserve">Deler av arbeidsgruppen </w:t>
      </w:r>
      <w:r w:rsidRPr="006D7319">
        <w:t xml:space="preserve">foreslår i tillegg en snever særregel som gir adgang til å leie inn selvstendige konsulenter og rådgivere ansatt i eget </w:t>
      </w:r>
      <w:r w:rsidRPr="006D7319">
        <w:t xml:space="preserve">aksjeselskap. Arbeidsgruppen er delt i synet på hvilke </w:t>
      </w:r>
      <w:r w:rsidRPr="006D7319">
        <w:t xml:space="preserve">konsekvenser en slik særregel kan medføre. Se punkt 4.3.3 for en nærmere drøfting av </w:t>
      </w:r>
      <w:proofErr w:type="gramStart"/>
      <w:r w:rsidRPr="006D7319">
        <w:t>potensielle</w:t>
      </w:r>
      <w:proofErr w:type="gramEnd"/>
      <w:r w:rsidRPr="006D7319">
        <w:t xml:space="preserve"> konsekvenser av en regelendring.</w:t>
      </w:r>
    </w:p>
    <w:p w14:paraId="1C72E95C" w14:textId="77777777" w:rsidR="0016483D" w:rsidRPr="006D7319" w:rsidRDefault="0016483D" w:rsidP="006D7319">
      <w:r w:rsidRPr="006D7319">
        <w:t xml:space="preserve">Dersom det innføres en snever særregel om </w:t>
      </w:r>
      <w:proofErr w:type="gramStart"/>
      <w:r w:rsidRPr="006D7319">
        <w:t>innleie</w:t>
      </w:r>
      <w:proofErr w:type="gramEnd"/>
      <w:r w:rsidRPr="006D7319">
        <w:t xml:space="preserve"> av selvstendige konsulenter og rådgivere ansatt i eget aksjeselskap, foreslås det også at disse skal følge reglene om godkjenningsordningen for bemanningsforetak. Å innlemme slike virksomheter i godkjenningsordningen vil innebære økonomiske og administrative konsekvenser både for staten og de selvstendige, men arbeidsgruppen vurderer at disse vil være av et begrenset omfang.</w:t>
      </w:r>
    </w:p>
    <w:p w14:paraId="7F6F32E7" w14:textId="77777777" w:rsidR="0016483D" w:rsidRPr="006D7319" w:rsidRDefault="0016483D" w:rsidP="006D7319">
      <w:pPr>
        <w:pStyle w:val="Overskrift1"/>
        <w:rPr>
          <w:lang w:val="nn-NO"/>
        </w:rPr>
      </w:pPr>
      <w:proofErr w:type="spellStart"/>
      <w:r w:rsidRPr="006D7319">
        <w:rPr>
          <w:lang w:val="nn-NO"/>
        </w:rPr>
        <w:t>Referanser</w:t>
      </w:r>
      <w:proofErr w:type="spellEnd"/>
      <w:r w:rsidRPr="006D7319">
        <w:rPr>
          <w:lang w:val="nn-NO"/>
        </w:rPr>
        <w:t xml:space="preserve"> og litteratur</w:t>
      </w:r>
    </w:p>
    <w:p w14:paraId="6800C8DE" w14:textId="77777777" w:rsidR="0016483D" w:rsidRPr="006A50F4" w:rsidRDefault="0016483D" w:rsidP="006D7319">
      <w:pPr>
        <w:rPr>
          <w:rStyle w:val="halvfet"/>
          <w:lang w:val="nn-NO"/>
        </w:rPr>
      </w:pPr>
      <w:r w:rsidRPr="006A50F4">
        <w:rPr>
          <w:rStyle w:val="halvfet"/>
          <w:lang w:val="nn-NO"/>
        </w:rPr>
        <w:t>Lover</w:t>
      </w:r>
    </w:p>
    <w:p w14:paraId="0126DDB8" w14:textId="77777777" w:rsidR="0016483D" w:rsidRPr="006D7319" w:rsidRDefault="0016483D" w:rsidP="006D7319">
      <w:pPr>
        <w:pStyle w:val="opplisting"/>
        <w:rPr>
          <w:lang w:val="nn-NO"/>
        </w:rPr>
      </w:pPr>
      <w:r w:rsidRPr="006D7319">
        <w:rPr>
          <w:lang w:val="nn-NO"/>
        </w:rPr>
        <w:t>Lov 29. april 1988 nr. 21 om ferie (ferieloven).</w:t>
      </w:r>
    </w:p>
    <w:p w14:paraId="4B1492FE" w14:textId="77777777" w:rsidR="0016483D" w:rsidRPr="006A50F4" w:rsidRDefault="0016483D" w:rsidP="006D7319">
      <w:pPr>
        <w:pStyle w:val="opplisting"/>
        <w:rPr>
          <w:rStyle w:val="halvfet"/>
        </w:rPr>
      </w:pPr>
      <w:r w:rsidRPr="006D7319">
        <w:t>Lov 10. desember 2004 nr. 76 om arbeidsmarkedstjenester (arbeidsmarkedsloven).</w:t>
      </w:r>
    </w:p>
    <w:p w14:paraId="6F57E81F" w14:textId="77777777" w:rsidR="0016483D" w:rsidRPr="006D7319" w:rsidRDefault="0016483D" w:rsidP="006D7319">
      <w:pPr>
        <w:pStyle w:val="opplisting"/>
        <w:rPr>
          <w:lang w:val="nn-NO"/>
        </w:rPr>
      </w:pPr>
      <w:r w:rsidRPr="006D7319">
        <w:rPr>
          <w:lang w:val="nn-NO"/>
        </w:rPr>
        <w:t>Lov 17. juni 2005 nr. 62 om arbeidsmiljø, arbeidstid og stillingsvern mv. (arbeidsmiljøloven).</w:t>
      </w:r>
    </w:p>
    <w:p w14:paraId="1A70EE5E" w14:textId="77777777" w:rsidR="0016483D" w:rsidRPr="006A50F4" w:rsidRDefault="0016483D" w:rsidP="006D7319">
      <w:pPr>
        <w:rPr>
          <w:rStyle w:val="halvfet"/>
          <w:lang w:val="nn-NO"/>
        </w:rPr>
      </w:pPr>
      <w:r w:rsidRPr="006A50F4">
        <w:rPr>
          <w:rStyle w:val="halvfet"/>
          <w:lang w:val="nn-NO"/>
        </w:rPr>
        <w:t>Forskrifter</w:t>
      </w:r>
    </w:p>
    <w:p w14:paraId="79753E6C" w14:textId="77777777" w:rsidR="0016483D" w:rsidRPr="006D7319" w:rsidRDefault="0016483D" w:rsidP="006D7319">
      <w:pPr>
        <w:pStyle w:val="opplisting"/>
        <w:rPr>
          <w:lang w:val="nn-NO"/>
        </w:rPr>
      </w:pPr>
      <w:r w:rsidRPr="006D7319">
        <w:rPr>
          <w:lang w:val="nn-NO"/>
        </w:rPr>
        <w:t xml:space="preserve">Forskrift 4. juni 2008 nr. 541 om </w:t>
      </w:r>
      <w:proofErr w:type="spellStart"/>
      <w:r w:rsidRPr="006D7319">
        <w:rPr>
          <w:lang w:val="nn-NO"/>
        </w:rPr>
        <w:t>offentlig</w:t>
      </w:r>
      <w:proofErr w:type="spellEnd"/>
      <w:r w:rsidRPr="006D7319">
        <w:rPr>
          <w:lang w:val="nn-NO"/>
        </w:rPr>
        <w:t xml:space="preserve"> godkjenning av bemanningsforetak.</w:t>
      </w:r>
    </w:p>
    <w:p w14:paraId="21E8B0DE" w14:textId="77777777" w:rsidR="0016483D" w:rsidRPr="006D7319" w:rsidRDefault="0016483D" w:rsidP="006D7319">
      <w:pPr>
        <w:pStyle w:val="opplisting"/>
        <w:rPr>
          <w:lang w:val="nn-NO"/>
        </w:rPr>
      </w:pPr>
      <w:r w:rsidRPr="006D7319">
        <w:rPr>
          <w:lang w:val="nn-NO"/>
        </w:rPr>
        <w:t xml:space="preserve">Forskrift 11. januar 2013 nr. 33 om innleie </w:t>
      </w:r>
      <w:proofErr w:type="spellStart"/>
      <w:r w:rsidRPr="006D7319">
        <w:rPr>
          <w:lang w:val="nn-NO"/>
        </w:rPr>
        <w:t>fra</w:t>
      </w:r>
      <w:proofErr w:type="spellEnd"/>
      <w:r w:rsidRPr="006D7319">
        <w:rPr>
          <w:lang w:val="nn-NO"/>
        </w:rPr>
        <w:t xml:space="preserve"> bemanningsforetak.</w:t>
      </w:r>
    </w:p>
    <w:p w14:paraId="76D60365" w14:textId="77777777" w:rsidR="0016483D" w:rsidRPr="006A50F4" w:rsidRDefault="0016483D" w:rsidP="006D7319">
      <w:pPr>
        <w:rPr>
          <w:rStyle w:val="halvfet"/>
          <w:lang w:val="nn-NO"/>
        </w:rPr>
      </w:pPr>
      <w:proofErr w:type="spellStart"/>
      <w:r w:rsidRPr="006A50F4">
        <w:rPr>
          <w:rStyle w:val="halvfet"/>
          <w:lang w:val="nn-NO"/>
        </w:rPr>
        <w:t>Offentlige</w:t>
      </w:r>
      <w:proofErr w:type="spellEnd"/>
      <w:r w:rsidRPr="006A50F4">
        <w:rPr>
          <w:rStyle w:val="halvfet"/>
          <w:lang w:val="nn-NO"/>
        </w:rPr>
        <w:t xml:space="preserve"> </w:t>
      </w:r>
      <w:proofErr w:type="spellStart"/>
      <w:r w:rsidRPr="006A50F4">
        <w:rPr>
          <w:rStyle w:val="halvfet"/>
          <w:lang w:val="nn-NO"/>
        </w:rPr>
        <w:t>utredninger</w:t>
      </w:r>
      <w:proofErr w:type="spellEnd"/>
    </w:p>
    <w:p w14:paraId="0B4D363A" w14:textId="77777777" w:rsidR="0016483D" w:rsidRPr="006D7319" w:rsidRDefault="0016483D" w:rsidP="006D7319">
      <w:pPr>
        <w:pStyle w:val="opplisting"/>
        <w:rPr>
          <w:lang w:val="nn-NO"/>
        </w:rPr>
      </w:pPr>
      <w:r w:rsidRPr="006D7319">
        <w:rPr>
          <w:lang w:val="nn-NO"/>
        </w:rPr>
        <w:t xml:space="preserve">NOU 2004: 5 </w:t>
      </w:r>
      <w:proofErr w:type="spellStart"/>
      <w:r w:rsidRPr="006A50F4">
        <w:rPr>
          <w:rStyle w:val="kursiv"/>
          <w:lang w:val="nn-NO"/>
        </w:rPr>
        <w:t>Arbeidslivslovutvalget</w:t>
      </w:r>
      <w:proofErr w:type="spellEnd"/>
      <w:r w:rsidRPr="006A50F4">
        <w:rPr>
          <w:rStyle w:val="kursiv"/>
          <w:lang w:val="nn-NO"/>
        </w:rPr>
        <w:t xml:space="preserve"> – Et arbeidsliv for </w:t>
      </w:r>
      <w:proofErr w:type="spellStart"/>
      <w:r w:rsidRPr="006A50F4">
        <w:rPr>
          <w:rStyle w:val="kursiv"/>
          <w:lang w:val="nn-NO"/>
        </w:rPr>
        <w:t>trygghet</w:t>
      </w:r>
      <w:proofErr w:type="spellEnd"/>
      <w:r w:rsidRPr="006A50F4">
        <w:rPr>
          <w:rStyle w:val="kursiv"/>
          <w:lang w:val="nn-NO"/>
        </w:rPr>
        <w:t xml:space="preserve">, </w:t>
      </w:r>
      <w:proofErr w:type="spellStart"/>
      <w:r w:rsidRPr="006A50F4">
        <w:rPr>
          <w:rStyle w:val="kursiv"/>
          <w:lang w:val="nn-NO"/>
        </w:rPr>
        <w:t>inkludering</w:t>
      </w:r>
      <w:proofErr w:type="spellEnd"/>
      <w:r w:rsidRPr="006A50F4">
        <w:rPr>
          <w:rStyle w:val="kursiv"/>
          <w:lang w:val="nn-NO"/>
        </w:rPr>
        <w:t xml:space="preserve"> og vekst</w:t>
      </w:r>
      <w:r w:rsidRPr="006D7319">
        <w:rPr>
          <w:lang w:val="nn-NO"/>
        </w:rPr>
        <w:t>, Oslo, Arbeids- og administrasjonsdepartementet.</w:t>
      </w:r>
    </w:p>
    <w:p w14:paraId="2C25FE5A" w14:textId="77777777" w:rsidR="0016483D" w:rsidRPr="006D7319" w:rsidRDefault="0016483D" w:rsidP="006D7319">
      <w:pPr>
        <w:pStyle w:val="opplisting"/>
        <w:rPr>
          <w:lang w:val="nn-NO"/>
        </w:rPr>
      </w:pPr>
      <w:r w:rsidRPr="006D7319">
        <w:rPr>
          <w:lang w:val="nn-NO"/>
        </w:rPr>
        <w:t xml:space="preserve">NOU 2021: 9 </w:t>
      </w:r>
      <w:r w:rsidRPr="006A50F4">
        <w:rPr>
          <w:rStyle w:val="kursiv"/>
          <w:lang w:val="nn-NO"/>
        </w:rPr>
        <w:t xml:space="preserve">Den norske modellen og </w:t>
      </w:r>
      <w:proofErr w:type="spellStart"/>
      <w:r w:rsidRPr="006A50F4">
        <w:rPr>
          <w:rStyle w:val="kursiv"/>
          <w:lang w:val="nn-NO"/>
        </w:rPr>
        <w:t>fremtidens</w:t>
      </w:r>
      <w:proofErr w:type="spellEnd"/>
      <w:r w:rsidRPr="006A50F4">
        <w:rPr>
          <w:rStyle w:val="kursiv"/>
          <w:lang w:val="nn-NO"/>
        </w:rPr>
        <w:t xml:space="preserve"> arbeidsliv – Utredning om </w:t>
      </w:r>
      <w:proofErr w:type="spellStart"/>
      <w:r w:rsidRPr="006A50F4">
        <w:rPr>
          <w:rStyle w:val="kursiv"/>
          <w:lang w:val="nn-NO"/>
        </w:rPr>
        <w:t>tilknytningsformer</w:t>
      </w:r>
      <w:proofErr w:type="spellEnd"/>
      <w:r w:rsidRPr="006A50F4">
        <w:rPr>
          <w:rStyle w:val="kursiv"/>
          <w:lang w:val="nn-NO"/>
        </w:rPr>
        <w:t xml:space="preserve"> og </w:t>
      </w:r>
      <w:proofErr w:type="spellStart"/>
      <w:r w:rsidRPr="006A50F4">
        <w:rPr>
          <w:rStyle w:val="kursiv"/>
          <w:lang w:val="nn-NO"/>
        </w:rPr>
        <w:t>virksomhetsorganisering</w:t>
      </w:r>
      <w:proofErr w:type="spellEnd"/>
      <w:r w:rsidRPr="006D7319">
        <w:rPr>
          <w:lang w:val="nn-NO"/>
        </w:rPr>
        <w:t>, Oslo, Arbeids- og sosialdepartementet.</w:t>
      </w:r>
    </w:p>
    <w:p w14:paraId="489B8DC6" w14:textId="77777777" w:rsidR="0016483D" w:rsidRPr="006A50F4" w:rsidRDefault="0016483D" w:rsidP="006D7319">
      <w:pPr>
        <w:rPr>
          <w:rStyle w:val="halvfet"/>
          <w:lang w:val="nn-NO"/>
        </w:rPr>
      </w:pPr>
      <w:proofErr w:type="spellStart"/>
      <w:r w:rsidRPr="006A50F4">
        <w:rPr>
          <w:rStyle w:val="halvfet"/>
          <w:lang w:val="nn-NO"/>
        </w:rPr>
        <w:t>Lovproposisjoner</w:t>
      </w:r>
      <w:proofErr w:type="spellEnd"/>
    </w:p>
    <w:p w14:paraId="129ABEEC" w14:textId="0C94BDA4" w:rsidR="0016483D" w:rsidRPr="006D7319" w:rsidRDefault="006A50F4" w:rsidP="006D7319">
      <w:pPr>
        <w:pStyle w:val="opplisting"/>
        <w:rPr>
          <w:lang w:val="nn-NO"/>
        </w:rPr>
      </w:pPr>
      <w:r w:rsidRPr="006D7319">
        <w:rPr>
          <w:lang w:val="nn-NO"/>
        </w:rPr>
        <w:t>Ot</w:t>
      </w:r>
      <w:r>
        <w:rPr>
          <w:lang w:val="nn-NO"/>
        </w:rPr>
        <w:t xml:space="preserve">.prp. nr. </w:t>
      </w:r>
      <w:r w:rsidRPr="006D7319">
        <w:rPr>
          <w:lang w:val="nn-NO"/>
        </w:rPr>
        <w:t>31</w:t>
      </w:r>
      <w:r w:rsidR="0016483D" w:rsidRPr="006D7319">
        <w:rPr>
          <w:lang w:val="nn-NO"/>
        </w:rPr>
        <w:t xml:space="preserve"> (1935) om å </w:t>
      </w:r>
      <w:proofErr w:type="spellStart"/>
      <w:r w:rsidR="0016483D" w:rsidRPr="006D7319">
        <w:rPr>
          <w:lang w:val="nn-NO"/>
        </w:rPr>
        <w:t>utferdige</w:t>
      </w:r>
      <w:proofErr w:type="spellEnd"/>
      <w:r w:rsidR="0016483D" w:rsidRPr="006D7319">
        <w:rPr>
          <w:lang w:val="nn-NO"/>
        </w:rPr>
        <w:t xml:space="preserve"> en lov om tilsyn med arbeid.</w:t>
      </w:r>
    </w:p>
    <w:p w14:paraId="559B1CFB" w14:textId="56DD22A1" w:rsidR="0016483D" w:rsidRPr="006D7319" w:rsidRDefault="006A50F4" w:rsidP="006D7319">
      <w:pPr>
        <w:pStyle w:val="opplisting"/>
        <w:rPr>
          <w:lang w:val="nn-NO"/>
        </w:rPr>
      </w:pPr>
      <w:r w:rsidRPr="006D7319">
        <w:rPr>
          <w:lang w:val="nn-NO"/>
        </w:rPr>
        <w:t>Ot</w:t>
      </w:r>
      <w:r>
        <w:rPr>
          <w:lang w:val="nn-NO"/>
        </w:rPr>
        <w:t xml:space="preserve">.prp. nr. </w:t>
      </w:r>
      <w:r w:rsidRPr="006D7319">
        <w:rPr>
          <w:lang w:val="nn-NO"/>
        </w:rPr>
        <w:t>3</w:t>
      </w:r>
      <w:r w:rsidR="0016483D" w:rsidRPr="006D7319">
        <w:rPr>
          <w:lang w:val="nn-NO"/>
        </w:rPr>
        <w:t xml:space="preserve"> (1975–1976) om lov om </w:t>
      </w:r>
      <w:proofErr w:type="spellStart"/>
      <w:r w:rsidR="0016483D" w:rsidRPr="006D7319">
        <w:rPr>
          <w:lang w:val="nn-NO"/>
        </w:rPr>
        <w:t>arbeidervern</w:t>
      </w:r>
      <w:proofErr w:type="spellEnd"/>
      <w:r w:rsidR="0016483D" w:rsidRPr="006D7319">
        <w:rPr>
          <w:lang w:val="nn-NO"/>
        </w:rPr>
        <w:t xml:space="preserve"> og arbeidsmiljø </w:t>
      </w:r>
      <w:proofErr w:type="spellStart"/>
      <w:r w:rsidR="0016483D" w:rsidRPr="006D7319">
        <w:rPr>
          <w:lang w:val="nn-NO"/>
        </w:rPr>
        <w:t>m.v</w:t>
      </w:r>
      <w:proofErr w:type="spellEnd"/>
      <w:r w:rsidR="0016483D" w:rsidRPr="006D7319">
        <w:rPr>
          <w:lang w:val="nn-NO"/>
        </w:rPr>
        <w:t>.</w:t>
      </w:r>
    </w:p>
    <w:p w14:paraId="3AB39A55" w14:textId="4A727375" w:rsidR="0016483D" w:rsidRPr="006D7319" w:rsidRDefault="006A50F4" w:rsidP="006D7319">
      <w:pPr>
        <w:pStyle w:val="opplisting"/>
        <w:rPr>
          <w:lang w:val="nn-NO"/>
        </w:rPr>
      </w:pPr>
      <w:r w:rsidRPr="006D7319">
        <w:rPr>
          <w:lang w:val="nn-NO"/>
        </w:rPr>
        <w:t>Ot</w:t>
      </w:r>
      <w:r>
        <w:rPr>
          <w:lang w:val="nn-NO"/>
        </w:rPr>
        <w:t xml:space="preserve">.prp. nr. </w:t>
      </w:r>
      <w:r w:rsidRPr="006D7319">
        <w:rPr>
          <w:lang w:val="nn-NO"/>
        </w:rPr>
        <w:t>54</w:t>
      </w:r>
      <w:r w:rsidR="0016483D" w:rsidRPr="006D7319">
        <w:rPr>
          <w:lang w:val="nn-NO"/>
        </w:rPr>
        <w:t xml:space="preserve"> (1986–1987) om lov om ferie.</w:t>
      </w:r>
    </w:p>
    <w:p w14:paraId="17347DDB" w14:textId="7E270447" w:rsidR="0016483D" w:rsidRPr="006D7319" w:rsidRDefault="006A50F4" w:rsidP="006D7319">
      <w:pPr>
        <w:pStyle w:val="opplisting"/>
        <w:rPr>
          <w:lang w:val="nn-NO"/>
        </w:rPr>
      </w:pPr>
      <w:r w:rsidRPr="006D7319">
        <w:rPr>
          <w:lang w:val="nn-NO"/>
        </w:rPr>
        <w:t>Ot</w:t>
      </w:r>
      <w:r>
        <w:rPr>
          <w:lang w:val="nn-NO"/>
        </w:rPr>
        <w:t xml:space="preserve">.prp. nr. </w:t>
      </w:r>
      <w:r w:rsidRPr="006D7319">
        <w:rPr>
          <w:lang w:val="nn-NO"/>
        </w:rPr>
        <w:t>70</w:t>
      </w:r>
      <w:r w:rsidR="0016483D" w:rsidRPr="006D7319">
        <w:rPr>
          <w:lang w:val="nn-NO"/>
        </w:rPr>
        <w:t xml:space="preserve"> (1998–1999) om lov om </w:t>
      </w:r>
      <w:proofErr w:type="spellStart"/>
      <w:r w:rsidR="0016483D" w:rsidRPr="006D7319">
        <w:rPr>
          <w:lang w:val="nn-NO"/>
        </w:rPr>
        <w:t>endringer</w:t>
      </w:r>
      <w:proofErr w:type="spellEnd"/>
      <w:r w:rsidR="0016483D" w:rsidRPr="006D7319">
        <w:rPr>
          <w:lang w:val="nn-NO"/>
        </w:rPr>
        <w:t xml:space="preserve"> i lov 4 februar 1977 nr. 4 om </w:t>
      </w:r>
      <w:proofErr w:type="spellStart"/>
      <w:r w:rsidR="0016483D" w:rsidRPr="006D7319">
        <w:rPr>
          <w:lang w:val="nn-NO"/>
        </w:rPr>
        <w:t>arbeidervern</w:t>
      </w:r>
      <w:proofErr w:type="spellEnd"/>
      <w:r w:rsidR="0016483D" w:rsidRPr="006D7319">
        <w:rPr>
          <w:lang w:val="nn-NO"/>
        </w:rPr>
        <w:t xml:space="preserve"> og arbeidsmiljø </w:t>
      </w:r>
      <w:proofErr w:type="spellStart"/>
      <w:r w:rsidR="0016483D" w:rsidRPr="006D7319">
        <w:rPr>
          <w:lang w:val="nn-NO"/>
        </w:rPr>
        <w:t>m.v</w:t>
      </w:r>
      <w:proofErr w:type="spellEnd"/>
      <w:r w:rsidR="0016483D" w:rsidRPr="006D7319">
        <w:rPr>
          <w:lang w:val="nn-NO"/>
        </w:rPr>
        <w:t xml:space="preserve">., i lov 4. mars 1983 nr. 3 om statens </w:t>
      </w:r>
      <w:proofErr w:type="spellStart"/>
      <w:r w:rsidR="0016483D" w:rsidRPr="006D7319">
        <w:rPr>
          <w:lang w:val="nn-NO"/>
        </w:rPr>
        <w:t>tjenestemenn</w:t>
      </w:r>
      <w:proofErr w:type="spellEnd"/>
      <w:r w:rsidR="0016483D" w:rsidRPr="006D7319">
        <w:rPr>
          <w:lang w:val="nn-NO"/>
        </w:rPr>
        <w:t xml:space="preserve"> m.m. og i lov 27. juni 1947 nr. 9 om tiltak til å fremme sysselsetting.</w:t>
      </w:r>
    </w:p>
    <w:p w14:paraId="53CCFF44" w14:textId="6B2AA4EB" w:rsidR="0016483D" w:rsidRPr="006D7319" w:rsidRDefault="006A50F4" w:rsidP="006D7319">
      <w:pPr>
        <w:pStyle w:val="opplisting"/>
        <w:rPr>
          <w:lang w:val="nn-NO"/>
        </w:rPr>
      </w:pPr>
      <w:r w:rsidRPr="006D7319">
        <w:rPr>
          <w:lang w:val="nn-NO"/>
        </w:rPr>
        <w:t>Ot</w:t>
      </w:r>
      <w:r>
        <w:rPr>
          <w:lang w:val="nn-NO"/>
        </w:rPr>
        <w:t xml:space="preserve">.prp. nr. </w:t>
      </w:r>
      <w:r w:rsidRPr="006D7319">
        <w:rPr>
          <w:lang w:val="nn-NO"/>
        </w:rPr>
        <w:t>49</w:t>
      </w:r>
      <w:r w:rsidR="0016483D" w:rsidRPr="006D7319">
        <w:rPr>
          <w:lang w:val="nn-NO"/>
        </w:rPr>
        <w:t xml:space="preserve"> (2004–2005) om lov om arbeidsmiljø</w:t>
      </w:r>
      <w:r w:rsidR="0016483D" w:rsidRPr="006D7319">
        <w:rPr>
          <w:lang w:val="nn-NO"/>
        </w:rPr>
        <w:t>, arbeidstid og stillingsvern mv. (arbeidsmiljøloven).</w:t>
      </w:r>
    </w:p>
    <w:p w14:paraId="7A69C331" w14:textId="31B39244" w:rsidR="0016483D" w:rsidRPr="006D7319" w:rsidRDefault="006A50F4" w:rsidP="006D7319">
      <w:pPr>
        <w:pStyle w:val="opplisting"/>
        <w:rPr>
          <w:lang w:val="nn-NO"/>
        </w:rPr>
      </w:pPr>
      <w:r w:rsidRPr="006D7319">
        <w:rPr>
          <w:lang w:val="nn-NO"/>
        </w:rPr>
        <w:t>Ot</w:t>
      </w:r>
      <w:r>
        <w:rPr>
          <w:lang w:val="nn-NO"/>
        </w:rPr>
        <w:t xml:space="preserve">.prp. nr. </w:t>
      </w:r>
      <w:r w:rsidRPr="006D7319">
        <w:rPr>
          <w:lang w:val="nn-NO"/>
        </w:rPr>
        <w:t>92</w:t>
      </w:r>
      <w:r w:rsidR="0016483D" w:rsidRPr="006D7319">
        <w:rPr>
          <w:lang w:val="nn-NO"/>
        </w:rPr>
        <w:t xml:space="preserve"> (2004–2005) om lov om </w:t>
      </w:r>
      <w:proofErr w:type="spellStart"/>
      <w:r w:rsidR="0016483D" w:rsidRPr="006D7319">
        <w:rPr>
          <w:lang w:val="nn-NO"/>
        </w:rPr>
        <w:t>endringer</w:t>
      </w:r>
      <w:proofErr w:type="spellEnd"/>
      <w:r w:rsidR="0016483D" w:rsidRPr="006D7319">
        <w:rPr>
          <w:lang w:val="nn-NO"/>
        </w:rPr>
        <w:t xml:space="preserve"> i skatte- og </w:t>
      </w:r>
      <w:proofErr w:type="spellStart"/>
      <w:r w:rsidR="0016483D" w:rsidRPr="006D7319">
        <w:rPr>
          <w:lang w:val="nn-NO"/>
        </w:rPr>
        <w:t>avgiftslovgivingen</w:t>
      </w:r>
      <w:proofErr w:type="spellEnd"/>
      <w:r w:rsidR="0016483D" w:rsidRPr="006D7319">
        <w:rPr>
          <w:lang w:val="nn-NO"/>
        </w:rPr>
        <w:t xml:space="preserve"> mv.</w:t>
      </w:r>
    </w:p>
    <w:p w14:paraId="467239CB" w14:textId="513B99F3" w:rsidR="0016483D" w:rsidRPr="006D7319" w:rsidRDefault="006A50F4" w:rsidP="006D7319">
      <w:pPr>
        <w:pStyle w:val="opplisting"/>
        <w:rPr>
          <w:lang w:val="nn-NO"/>
        </w:rPr>
      </w:pPr>
      <w:proofErr w:type="spellStart"/>
      <w:r>
        <w:rPr>
          <w:lang w:val="nn-NO"/>
        </w:rPr>
        <w:t>Prop</w:t>
      </w:r>
      <w:proofErr w:type="spellEnd"/>
      <w:r>
        <w:rPr>
          <w:lang w:val="nn-NO"/>
        </w:rPr>
        <w:t xml:space="preserve">. </w:t>
      </w:r>
      <w:r w:rsidRPr="006D7319">
        <w:rPr>
          <w:lang w:val="nn-NO"/>
        </w:rPr>
        <w:t>134</w:t>
      </w:r>
      <w:r>
        <w:rPr>
          <w:lang w:val="nn-NO"/>
        </w:rPr>
        <w:t xml:space="preserve"> </w:t>
      </w:r>
      <w:r w:rsidRPr="006D7319">
        <w:rPr>
          <w:lang w:val="nn-NO"/>
        </w:rPr>
        <w:t>L (2010</w:t>
      </w:r>
      <w:r w:rsidR="0016483D" w:rsidRPr="006D7319">
        <w:rPr>
          <w:lang w:val="nn-NO"/>
        </w:rPr>
        <w:t xml:space="preserve">–2011) om lov om </w:t>
      </w:r>
      <w:proofErr w:type="spellStart"/>
      <w:r w:rsidR="0016483D" w:rsidRPr="006D7319">
        <w:rPr>
          <w:lang w:val="nn-NO"/>
        </w:rPr>
        <w:t>arbeidstvister</w:t>
      </w:r>
      <w:proofErr w:type="spellEnd"/>
      <w:r w:rsidR="0016483D" w:rsidRPr="006D7319">
        <w:rPr>
          <w:lang w:val="nn-NO"/>
        </w:rPr>
        <w:t xml:space="preserve"> (arbeidstvistloven) og lov om lønnsnemnd i </w:t>
      </w:r>
      <w:proofErr w:type="spellStart"/>
      <w:r w:rsidR="0016483D" w:rsidRPr="006D7319">
        <w:rPr>
          <w:lang w:val="nn-NO"/>
        </w:rPr>
        <w:t>arbeidstvister</w:t>
      </w:r>
      <w:proofErr w:type="spellEnd"/>
      <w:r w:rsidR="0016483D" w:rsidRPr="006D7319">
        <w:rPr>
          <w:lang w:val="nn-NO"/>
        </w:rPr>
        <w:t xml:space="preserve"> (lønnsnemndloven) m.m.</w:t>
      </w:r>
    </w:p>
    <w:p w14:paraId="271FF87D" w14:textId="3D75870D" w:rsidR="0016483D" w:rsidRPr="006D7319" w:rsidRDefault="006A50F4" w:rsidP="006D7319">
      <w:pPr>
        <w:pStyle w:val="opplisting"/>
      </w:pPr>
      <w:proofErr w:type="spellStart"/>
      <w:r>
        <w:t>Prop</w:t>
      </w:r>
      <w:proofErr w:type="spellEnd"/>
      <w:r>
        <w:t xml:space="preserve">. </w:t>
      </w:r>
      <w:r w:rsidRPr="006D7319">
        <w:t>148</w:t>
      </w:r>
      <w:r>
        <w:t xml:space="preserve"> </w:t>
      </w:r>
      <w:r w:rsidRPr="006D7319">
        <w:t>L (2010</w:t>
      </w:r>
      <w:r w:rsidR="0016483D" w:rsidRPr="006D7319">
        <w:t>–2011) om endringer i aksjeloven mv. (nedsettelse av kravet til minste aksjekapital mv.).</w:t>
      </w:r>
    </w:p>
    <w:p w14:paraId="108CA1CA" w14:textId="5EAB98C7" w:rsidR="0016483D" w:rsidRPr="006D7319" w:rsidRDefault="006A50F4" w:rsidP="006D7319">
      <w:pPr>
        <w:pStyle w:val="opplisting"/>
      </w:pPr>
      <w:proofErr w:type="spellStart"/>
      <w:r>
        <w:t>Prop</w:t>
      </w:r>
      <w:proofErr w:type="spellEnd"/>
      <w:r>
        <w:t xml:space="preserve">. </w:t>
      </w:r>
      <w:r w:rsidRPr="006D7319">
        <w:t>74</w:t>
      </w:r>
      <w:r>
        <w:t xml:space="preserve"> </w:t>
      </w:r>
      <w:r w:rsidRPr="006D7319">
        <w:t>L (2011</w:t>
      </w:r>
      <w:r w:rsidR="0016483D" w:rsidRPr="006D7319">
        <w:t>–2012) om endringer i arbeidsmiljøloven og tjenestemannsloven mv. (likebehandling ved utleie av arbeidstakere og tiltak i den forbindelse mv.).</w:t>
      </w:r>
    </w:p>
    <w:p w14:paraId="7E2775B5" w14:textId="3F624C1B" w:rsidR="0016483D" w:rsidRPr="006D7319" w:rsidRDefault="006A50F4" w:rsidP="006D7319">
      <w:pPr>
        <w:pStyle w:val="opplisting"/>
      </w:pPr>
      <w:proofErr w:type="spellStart"/>
      <w:r>
        <w:t>Prop</w:t>
      </w:r>
      <w:proofErr w:type="spellEnd"/>
      <w:r>
        <w:t xml:space="preserve">. </w:t>
      </w:r>
      <w:r w:rsidRPr="006D7319">
        <w:t>73</w:t>
      </w:r>
      <w:r>
        <w:t xml:space="preserve"> </w:t>
      </w:r>
      <w:r w:rsidRPr="006D7319">
        <w:t>L (2017</w:t>
      </w:r>
      <w:r w:rsidR="0016483D" w:rsidRPr="006D7319">
        <w:t>–2018) om endringer i arbeidsmiljøloven (fast og midlertidig ansettelse og innleie fra bemanningsforetak).</w:t>
      </w:r>
    </w:p>
    <w:p w14:paraId="4ADB8ADA" w14:textId="79D32E87" w:rsidR="0016483D" w:rsidRPr="006D7319" w:rsidRDefault="006A50F4" w:rsidP="006D7319">
      <w:pPr>
        <w:pStyle w:val="opplisting"/>
      </w:pPr>
      <w:proofErr w:type="spellStart"/>
      <w:r>
        <w:t>Prop</w:t>
      </w:r>
      <w:proofErr w:type="spellEnd"/>
      <w:r>
        <w:t xml:space="preserve">. </w:t>
      </w:r>
      <w:r w:rsidRPr="006D7319">
        <w:t>131</w:t>
      </w:r>
      <w:r>
        <w:t xml:space="preserve"> </w:t>
      </w:r>
      <w:r w:rsidRPr="006D7319">
        <w:t>L (2021</w:t>
      </w:r>
      <w:r w:rsidR="0016483D" w:rsidRPr="006D7319">
        <w:t>–2022) om endringer i arbeidsmiljøloven m.m. (inn- og utleie fra bemanningsforetak).</w:t>
      </w:r>
    </w:p>
    <w:p w14:paraId="636AAED3" w14:textId="47D50271" w:rsidR="0016483D" w:rsidRPr="006D7319" w:rsidRDefault="006A50F4" w:rsidP="006D7319">
      <w:pPr>
        <w:pStyle w:val="opplisting"/>
      </w:pPr>
      <w:proofErr w:type="spellStart"/>
      <w:r>
        <w:t>Prop</w:t>
      </w:r>
      <w:proofErr w:type="spellEnd"/>
      <w:r>
        <w:t xml:space="preserve">. </w:t>
      </w:r>
      <w:r w:rsidRPr="006D7319">
        <w:t>133</w:t>
      </w:r>
      <w:r>
        <w:t xml:space="preserve"> </w:t>
      </w:r>
      <w:r w:rsidRPr="006D7319">
        <w:t>L (2021</w:t>
      </w:r>
      <w:r w:rsidR="0016483D" w:rsidRPr="006D7319">
        <w:t>–2022) om endringer i arbeidsmiljøloven (styrking av retten til heltid).</w:t>
      </w:r>
    </w:p>
    <w:p w14:paraId="0EC1C87F" w14:textId="08A28868" w:rsidR="0016483D" w:rsidRPr="006D7319" w:rsidRDefault="006A50F4" w:rsidP="006D7319">
      <w:pPr>
        <w:pStyle w:val="opplisting"/>
      </w:pPr>
      <w:proofErr w:type="spellStart"/>
      <w:r>
        <w:t>Prop</w:t>
      </w:r>
      <w:proofErr w:type="spellEnd"/>
      <w:r>
        <w:t xml:space="preserve">. </w:t>
      </w:r>
      <w:r w:rsidRPr="006D7319">
        <w:t>14</w:t>
      </w:r>
      <w:r>
        <w:t xml:space="preserve"> </w:t>
      </w:r>
      <w:r w:rsidRPr="006D7319">
        <w:t>L (2022</w:t>
      </w:r>
      <w:r w:rsidR="0016483D" w:rsidRPr="006D7319">
        <w:t>–2023) om endringer i arbeidsmiljøloven mv. (arbeidstakerbegrepet og arbeidsgiveransvar i konsern).</w:t>
      </w:r>
    </w:p>
    <w:p w14:paraId="3B355C92" w14:textId="66D31027" w:rsidR="0016483D" w:rsidRPr="006D7319" w:rsidRDefault="006A50F4" w:rsidP="006D7319">
      <w:pPr>
        <w:pStyle w:val="opplisting"/>
      </w:pPr>
      <w:proofErr w:type="spellStart"/>
      <w:r>
        <w:t>Prop</w:t>
      </w:r>
      <w:proofErr w:type="spellEnd"/>
      <w:r>
        <w:t xml:space="preserve">. </w:t>
      </w:r>
      <w:r w:rsidRPr="006D7319">
        <w:t>130</w:t>
      </w:r>
      <w:r>
        <w:t xml:space="preserve"> </w:t>
      </w:r>
      <w:r w:rsidRPr="006D7319">
        <w:t>L (2022</w:t>
      </w:r>
      <w:r w:rsidR="0016483D" w:rsidRPr="006D7319">
        <w:t xml:space="preserve">–2023) om endringer i arbeidsmiljøloven og </w:t>
      </w:r>
      <w:proofErr w:type="spellStart"/>
      <w:r w:rsidR="0016483D" w:rsidRPr="006D7319">
        <w:t>statsansatteloven</w:t>
      </w:r>
      <w:proofErr w:type="spellEnd"/>
      <w:r w:rsidR="0016483D" w:rsidRPr="006D7319">
        <w:t xml:space="preserve"> (tydelige og mer forutsigbare arbeidsvilkår.</w:t>
      </w:r>
    </w:p>
    <w:p w14:paraId="092D1BDE" w14:textId="77777777" w:rsidR="0016483D" w:rsidRPr="006A50F4" w:rsidRDefault="0016483D" w:rsidP="006D7319">
      <w:pPr>
        <w:rPr>
          <w:rStyle w:val="halvfet"/>
        </w:rPr>
      </w:pPr>
      <w:r w:rsidRPr="006A50F4">
        <w:rPr>
          <w:rStyle w:val="halvfet"/>
        </w:rPr>
        <w:t>Innstillinger</w:t>
      </w:r>
    </w:p>
    <w:p w14:paraId="2292CA6C" w14:textId="39660EE3" w:rsidR="0016483D" w:rsidRPr="006D7319" w:rsidRDefault="006A50F4" w:rsidP="006D7319">
      <w:pPr>
        <w:pStyle w:val="opplisting"/>
      </w:pPr>
      <w:proofErr w:type="spellStart"/>
      <w:r>
        <w:t>Innst</w:t>
      </w:r>
      <w:proofErr w:type="spellEnd"/>
      <w:r>
        <w:t xml:space="preserve">. </w:t>
      </w:r>
      <w:r w:rsidRPr="006D7319">
        <w:t>449</w:t>
      </w:r>
      <w:r>
        <w:t xml:space="preserve"> </w:t>
      </w:r>
      <w:r w:rsidRPr="006D7319">
        <w:t>S (2023</w:t>
      </w:r>
      <w:r>
        <w:t>–</w:t>
      </w:r>
      <w:r w:rsidRPr="006D7319">
        <w:t>2024)</w:t>
      </w:r>
      <w:r w:rsidR="0016483D" w:rsidRPr="006D7319">
        <w:t xml:space="preserve">, jf. Representantforslag 154 S (2023–2024), Innstilling fra arbeids- og sosialkomiteen om representantforslag om å sikre ansatte i eget selskap muligheten til å selge sine tjenester gjennom </w:t>
      </w:r>
      <w:proofErr w:type="gramStart"/>
      <w:r w:rsidR="0016483D" w:rsidRPr="006D7319">
        <w:t>innleie</w:t>
      </w:r>
      <w:proofErr w:type="gramEnd"/>
      <w:r w:rsidR="0016483D" w:rsidRPr="006D7319">
        <w:t>.</w:t>
      </w:r>
    </w:p>
    <w:p w14:paraId="746C629B" w14:textId="77777777" w:rsidR="0016483D" w:rsidRPr="006A50F4" w:rsidRDefault="0016483D" w:rsidP="006D7319">
      <w:pPr>
        <w:rPr>
          <w:rStyle w:val="halvfet"/>
        </w:rPr>
      </w:pPr>
      <w:r w:rsidRPr="006A50F4">
        <w:rPr>
          <w:rStyle w:val="halvfet"/>
        </w:rPr>
        <w:t>Høringsnotater</w:t>
      </w:r>
    </w:p>
    <w:p w14:paraId="7D0FB82F" w14:textId="77777777" w:rsidR="0016483D" w:rsidRPr="006D7319" w:rsidRDefault="0016483D" w:rsidP="006D7319">
      <w:r w:rsidRPr="006D7319">
        <w:t>Høringsnotat om partssammensatt arbeidsgruppe og midlertidig unntak fra godkjenningsordningen for bemanningsforetak av 18. desember 2024, Arbeids- og inkluderingsdepartementet.</w:t>
      </w:r>
    </w:p>
    <w:p w14:paraId="5F19E838" w14:textId="77777777" w:rsidR="0016483D" w:rsidRPr="006A50F4" w:rsidRDefault="0016483D" w:rsidP="006D7319">
      <w:pPr>
        <w:rPr>
          <w:rStyle w:val="halvfet"/>
        </w:rPr>
      </w:pPr>
      <w:r w:rsidRPr="006A50F4">
        <w:rPr>
          <w:rStyle w:val="halvfet"/>
        </w:rPr>
        <w:t>Veiledere</w:t>
      </w:r>
    </w:p>
    <w:p w14:paraId="7FEEA400" w14:textId="77777777" w:rsidR="0016483D" w:rsidRPr="006D7319" w:rsidRDefault="0016483D" w:rsidP="006D7319">
      <w:r w:rsidRPr="006A50F4">
        <w:rPr>
          <w:rStyle w:val="kursiv"/>
        </w:rPr>
        <w:t>Veileder: Innleie av arbeidskraft</w:t>
      </w:r>
      <w:r w:rsidRPr="006D7319">
        <w:t>. (2023, revidert 20. januar 2026), Arbeids- og inkluderingsdepartementet.</w:t>
      </w:r>
    </w:p>
    <w:p w14:paraId="01169747" w14:textId="77777777" w:rsidR="0016483D" w:rsidRPr="006A50F4" w:rsidRDefault="0016483D" w:rsidP="006D7319">
      <w:pPr>
        <w:rPr>
          <w:rStyle w:val="halvfet"/>
        </w:rPr>
      </w:pPr>
      <w:r w:rsidRPr="006A50F4">
        <w:rPr>
          <w:rStyle w:val="halvfet"/>
        </w:rPr>
        <w:t>Rettsavgjørelser</w:t>
      </w:r>
    </w:p>
    <w:p w14:paraId="5AB63B42" w14:textId="77777777" w:rsidR="0016483D" w:rsidRPr="006A50F4" w:rsidRDefault="0016483D" w:rsidP="006D7319">
      <w:pPr>
        <w:rPr>
          <w:rStyle w:val="kursiv"/>
        </w:rPr>
      </w:pPr>
      <w:r w:rsidRPr="006A50F4">
        <w:rPr>
          <w:rStyle w:val="kursiv"/>
        </w:rPr>
        <w:t>Høyesterett</w:t>
      </w:r>
    </w:p>
    <w:p w14:paraId="1C0C4339" w14:textId="77777777" w:rsidR="0016483D" w:rsidRPr="006D7319" w:rsidRDefault="0016483D" w:rsidP="006D7319">
      <w:pPr>
        <w:pStyle w:val="opplisting"/>
      </w:pPr>
      <w:proofErr w:type="spellStart"/>
      <w:r w:rsidRPr="006D7319">
        <w:t>Rt</w:t>
      </w:r>
      <w:proofErr w:type="spellEnd"/>
      <w:r w:rsidRPr="006D7319">
        <w:t>. 1929 s. 640 (Skipsfører)</w:t>
      </w:r>
    </w:p>
    <w:p w14:paraId="38A23771" w14:textId="77777777" w:rsidR="006A50F4" w:rsidRDefault="0016483D" w:rsidP="006D7319">
      <w:pPr>
        <w:pStyle w:val="opplisting"/>
        <w:rPr>
          <w:lang w:val="nn-NO"/>
        </w:rPr>
      </w:pPr>
      <w:proofErr w:type="spellStart"/>
      <w:r w:rsidRPr="006D7319">
        <w:rPr>
          <w:lang w:val="nn-NO"/>
        </w:rPr>
        <w:t>Rt</w:t>
      </w:r>
      <w:proofErr w:type="spellEnd"/>
      <w:r w:rsidRPr="006D7319">
        <w:rPr>
          <w:lang w:val="nn-NO"/>
        </w:rPr>
        <w:t>. 1958 s. 1229 (</w:t>
      </w:r>
      <w:proofErr w:type="spellStart"/>
      <w:r w:rsidRPr="006D7319">
        <w:rPr>
          <w:lang w:val="nn-NO"/>
        </w:rPr>
        <w:t>Sceneinstruktører</w:t>
      </w:r>
      <w:proofErr w:type="spellEnd"/>
      <w:r w:rsidRPr="006D7319">
        <w:rPr>
          <w:lang w:val="nn-NO"/>
        </w:rPr>
        <w:t>)</w:t>
      </w:r>
    </w:p>
    <w:p w14:paraId="2B5E837F" w14:textId="782B8535" w:rsidR="0016483D" w:rsidRPr="006D7319" w:rsidRDefault="0016483D" w:rsidP="006D7319">
      <w:pPr>
        <w:pStyle w:val="opplisting"/>
        <w:rPr>
          <w:lang w:val="nn-NO"/>
        </w:rPr>
      </w:pPr>
      <w:proofErr w:type="spellStart"/>
      <w:r w:rsidRPr="006D7319">
        <w:rPr>
          <w:lang w:val="nn-NO"/>
        </w:rPr>
        <w:t>Rt</w:t>
      </w:r>
      <w:proofErr w:type="spellEnd"/>
      <w:r w:rsidRPr="006D7319">
        <w:rPr>
          <w:lang w:val="nn-NO"/>
        </w:rPr>
        <w:t>. 1992 s. 1055</w:t>
      </w:r>
    </w:p>
    <w:p w14:paraId="63E75994" w14:textId="77777777" w:rsidR="0016483D" w:rsidRPr="006D7319" w:rsidRDefault="0016483D" w:rsidP="006D7319">
      <w:pPr>
        <w:pStyle w:val="opplisting"/>
        <w:rPr>
          <w:lang w:val="nn-NO"/>
        </w:rPr>
      </w:pPr>
      <w:proofErr w:type="spellStart"/>
      <w:r w:rsidRPr="006D7319">
        <w:rPr>
          <w:lang w:val="nn-NO"/>
        </w:rPr>
        <w:t>Rt</w:t>
      </w:r>
      <w:proofErr w:type="spellEnd"/>
      <w:r w:rsidRPr="006D7319">
        <w:rPr>
          <w:lang w:val="nn-NO"/>
        </w:rPr>
        <w:t>. 1986 s. 1322 (Norsk Stålpress)</w:t>
      </w:r>
    </w:p>
    <w:p w14:paraId="3D6476AE" w14:textId="77777777" w:rsidR="0016483D" w:rsidRPr="006D7319" w:rsidRDefault="0016483D" w:rsidP="006D7319">
      <w:pPr>
        <w:pStyle w:val="opplisting"/>
        <w:rPr>
          <w:lang w:val="nn-NO"/>
        </w:rPr>
      </w:pPr>
      <w:proofErr w:type="spellStart"/>
      <w:r w:rsidRPr="006D7319">
        <w:rPr>
          <w:lang w:val="nn-NO"/>
        </w:rPr>
        <w:t>Rt</w:t>
      </w:r>
      <w:proofErr w:type="spellEnd"/>
      <w:r w:rsidRPr="006D7319">
        <w:rPr>
          <w:lang w:val="nn-NO"/>
        </w:rPr>
        <w:t>. 1994 s. 1064 (Bye)</w:t>
      </w:r>
    </w:p>
    <w:p w14:paraId="5229CAF9" w14:textId="77777777" w:rsidR="0016483D" w:rsidRPr="006D7319" w:rsidRDefault="0016483D" w:rsidP="006D7319">
      <w:pPr>
        <w:pStyle w:val="opplisting"/>
        <w:rPr>
          <w:lang w:val="nn-NO"/>
        </w:rPr>
      </w:pPr>
      <w:proofErr w:type="spellStart"/>
      <w:r w:rsidRPr="006D7319">
        <w:rPr>
          <w:lang w:val="nn-NO"/>
        </w:rPr>
        <w:t>Rt</w:t>
      </w:r>
      <w:proofErr w:type="spellEnd"/>
      <w:r w:rsidRPr="006D7319">
        <w:rPr>
          <w:lang w:val="nn-NO"/>
        </w:rPr>
        <w:t>. 2010 s. 93 (</w:t>
      </w:r>
      <w:proofErr w:type="spellStart"/>
      <w:r w:rsidRPr="006D7319">
        <w:rPr>
          <w:lang w:val="nn-NO"/>
        </w:rPr>
        <w:t>Skogsarbeider</w:t>
      </w:r>
      <w:proofErr w:type="spellEnd"/>
      <w:r w:rsidRPr="006D7319">
        <w:rPr>
          <w:lang w:val="nn-NO"/>
        </w:rPr>
        <w:t>)</w:t>
      </w:r>
    </w:p>
    <w:p w14:paraId="285CA387" w14:textId="77777777" w:rsidR="0016483D" w:rsidRPr="006D7319" w:rsidRDefault="0016483D" w:rsidP="006D7319">
      <w:pPr>
        <w:pStyle w:val="opplisting"/>
        <w:rPr>
          <w:lang w:val="nn-NO"/>
        </w:rPr>
      </w:pPr>
      <w:r w:rsidRPr="006D7319">
        <w:rPr>
          <w:lang w:val="nn-NO"/>
        </w:rPr>
        <w:t>HR-2012-1280-A (</w:t>
      </w:r>
      <w:proofErr w:type="spellStart"/>
      <w:r w:rsidRPr="006D7319">
        <w:rPr>
          <w:lang w:val="nn-NO"/>
        </w:rPr>
        <w:t>Stena</w:t>
      </w:r>
      <w:proofErr w:type="spellEnd"/>
      <w:r w:rsidRPr="006D7319">
        <w:rPr>
          <w:lang w:val="nn-NO"/>
        </w:rPr>
        <w:t xml:space="preserve">- </w:t>
      </w:r>
      <w:proofErr w:type="spellStart"/>
      <w:r w:rsidRPr="006D7319">
        <w:rPr>
          <w:lang w:val="nn-NO"/>
        </w:rPr>
        <w:t>Songa</w:t>
      </w:r>
      <w:proofErr w:type="spellEnd"/>
      <w:r w:rsidRPr="006D7319">
        <w:rPr>
          <w:lang w:val="nn-NO"/>
        </w:rPr>
        <w:t>)</w:t>
      </w:r>
    </w:p>
    <w:p w14:paraId="04FA2932" w14:textId="77777777" w:rsidR="0016483D" w:rsidRPr="006D7319" w:rsidRDefault="0016483D" w:rsidP="006D7319">
      <w:pPr>
        <w:pStyle w:val="opplisting"/>
        <w:rPr>
          <w:lang w:val="nn-NO"/>
        </w:rPr>
      </w:pPr>
      <w:proofErr w:type="spellStart"/>
      <w:r w:rsidRPr="006D7319">
        <w:rPr>
          <w:lang w:val="nn-NO"/>
        </w:rPr>
        <w:t>Rt</w:t>
      </w:r>
      <w:proofErr w:type="spellEnd"/>
      <w:r w:rsidRPr="006D7319">
        <w:rPr>
          <w:lang w:val="nn-NO"/>
        </w:rPr>
        <w:t>. 2013 s. 354 (</w:t>
      </w:r>
      <w:proofErr w:type="spellStart"/>
      <w:r w:rsidRPr="006D7319">
        <w:rPr>
          <w:lang w:val="nn-NO"/>
        </w:rPr>
        <w:t>Avlaster</w:t>
      </w:r>
      <w:proofErr w:type="spellEnd"/>
      <w:r w:rsidRPr="006D7319">
        <w:rPr>
          <w:lang w:val="nn-NO"/>
        </w:rPr>
        <w:t xml:space="preserve"> I)</w:t>
      </w:r>
    </w:p>
    <w:p w14:paraId="0C0B0AA8" w14:textId="77777777" w:rsidR="0016483D" w:rsidRPr="006D7319" w:rsidRDefault="0016483D" w:rsidP="006D7319">
      <w:pPr>
        <w:pStyle w:val="opplisting"/>
        <w:rPr>
          <w:lang w:val="nn-NO"/>
        </w:rPr>
      </w:pPr>
      <w:r w:rsidRPr="006D7319">
        <w:rPr>
          <w:lang w:val="nn-NO"/>
        </w:rPr>
        <w:t>HR-2013-628-A (</w:t>
      </w:r>
      <w:proofErr w:type="spellStart"/>
      <w:r w:rsidRPr="006D7319">
        <w:rPr>
          <w:lang w:val="nn-NO"/>
        </w:rPr>
        <w:t>Beredskapshjem</w:t>
      </w:r>
      <w:proofErr w:type="spellEnd"/>
      <w:r w:rsidRPr="006D7319">
        <w:rPr>
          <w:lang w:val="nn-NO"/>
        </w:rPr>
        <w:t>)</w:t>
      </w:r>
    </w:p>
    <w:p w14:paraId="1EA477F2" w14:textId="77777777" w:rsidR="0016483D" w:rsidRPr="006D7319" w:rsidRDefault="0016483D" w:rsidP="006D7319">
      <w:pPr>
        <w:pStyle w:val="opplisting"/>
        <w:rPr>
          <w:lang w:val="en-US"/>
        </w:rPr>
      </w:pPr>
      <w:r w:rsidRPr="006D7319">
        <w:rPr>
          <w:lang w:val="en-US"/>
        </w:rPr>
        <w:t>Rt. 2013 s. 998 (Quality People)</w:t>
      </w:r>
    </w:p>
    <w:p w14:paraId="269A3923" w14:textId="77777777" w:rsidR="0016483D" w:rsidRPr="006D7319" w:rsidRDefault="0016483D" w:rsidP="006D7319">
      <w:pPr>
        <w:pStyle w:val="opplisting"/>
        <w:rPr>
          <w:lang w:val="en-US"/>
        </w:rPr>
      </w:pPr>
      <w:r w:rsidRPr="006D7319">
        <w:rPr>
          <w:lang w:val="en-US"/>
        </w:rPr>
        <w:t>Rt. 2013 s. 1730 (YIT)</w:t>
      </w:r>
    </w:p>
    <w:p w14:paraId="058EAC5D" w14:textId="77777777" w:rsidR="0016483D" w:rsidRPr="006D7319" w:rsidRDefault="0016483D" w:rsidP="006D7319">
      <w:pPr>
        <w:pStyle w:val="opplisting"/>
        <w:rPr>
          <w:lang w:val="en-US"/>
        </w:rPr>
      </w:pPr>
      <w:r w:rsidRPr="006D7319">
        <w:rPr>
          <w:lang w:val="en-US"/>
        </w:rPr>
        <w:t>HR-2016-1366-A (</w:t>
      </w:r>
      <w:proofErr w:type="spellStart"/>
      <w:r w:rsidRPr="006D7319">
        <w:rPr>
          <w:lang w:val="en-US"/>
        </w:rPr>
        <w:t>Avlaster</w:t>
      </w:r>
      <w:proofErr w:type="spellEnd"/>
      <w:r w:rsidRPr="006D7319">
        <w:rPr>
          <w:lang w:val="en-US"/>
        </w:rPr>
        <w:t xml:space="preserve"> II)</w:t>
      </w:r>
    </w:p>
    <w:p w14:paraId="4D772B8C" w14:textId="77777777" w:rsidR="0016483D" w:rsidRPr="006D7319" w:rsidRDefault="0016483D" w:rsidP="006D7319">
      <w:pPr>
        <w:pStyle w:val="opplisting"/>
        <w:rPr>
          <w:lang w:val="en-US"/>
        </w:rPr>
      </w:pPr>
      <w:r w:rsidRPr="006D7319">
        <w:rPr>
          <w:lang w:val="en-US"/>
        </w:rPr>
        <w:t>HR-2018-2371-A (Norwegian)</w:t>
      </w:r>
    </w:p>
    <w:p w14:paraId="6FCE89CD" w14:textId="77777777" w:rsidR="0016483D" w:rsidRPr="006A50F4" w:rsidRDefault="0016483D" w:rsidP="006D7319">
      <w:pPr>
        <w:pStyle w:val="opplisting"/>
        <w:rPr>
          <w:rStyle w:val="kursiv"/>
        </w:rPr>
      </w:pPr>
      <w:r w:rsidRPr="006D7319">
        <w:t>HR-2025-2516-A (Beredskapshjem II)</w:t>
      </w:r>
    </w:p>
    <w:p w14:paraId="6189658C" w14:textId="77777777" w:rsidR="0016483D" w:rsidRPr="006A50F4" w:rsidRDefault="0016483D" w:rsidP="006D7319">
      <w:pPr>
        <w:rPr>
          <w:rStyle w:val="kursiv"/>
        </w:rPr>
      </w:pPr>
      <w:r w:rsidRPr="006A50F4">
        <w:rPr>
          <w:rStyle w:val="kursiv"/>
        </w:rPr>
        <w:t>Lagmannsrettsdommer</w:t>
      </w:r>
    </w:p>
    <w:p w14:paraId="6F09913C" w14:textId="77777777" w:rsidR="0016483D" w:rsidRPr="006D7319" w:rsidRDefault="0016483D" w:rsidP="006D7319">
      <w:pPr>
        <w:pStyle w:val="opplisting"/>
      </w:pPr>
      <w:r w:rsidRPr="006D7319">
        <w:t>RG 1999 s. 1607</w:t>
      </w:r>
    </w:p>
    <w:p w14:paraId="5D15A1C8" w14:textId="77777777" w:rsidR="0016483D" w:rsidRPr="006D7319" w:rsidRDefault="0016483D" w:rsidP="006D7319">
      <w:pPr>
        <w:pStyle w:val="opplisting"/>
      </w:pPr>
      <w:r w:rsidRPr="006D7319">
        <w:t>RG 2000 s. 1572</w:t>
      </w:r>
    </w:p>
    <w:p w14:paraId="21EC6095" w14:textId="77777777" w:rsidR="0016483D" w:rsidRPr="006A50F4" w:rsidRDefault="0016483D" w:rsidP="006D7319">
      <w:pPr>
        <w:pStyle w:val="opplisting"/>
        <w:rPr>
          <w:rStyle w:val="kursiv"/>
        </w:rPr>
      </w:pPr>
      <w:r w:rsidRPr="006D7319">
        <w:t>LB-2019-184977 (</w:t>
      </w:r>
      <w:proofErr w:type="spellStart"/>
      <w:r w:rsidRPr="006D7319">
        <w:t>Stendi</w:t>
      </w:r>
      <w:proofErr w:type="spellEnd"/>
      <w:r w:rsidRPr="006D7319">
        <w:t>/</w:t>
      </w:r>
      <w:proofErr w:type="spellStart"/>
      <w:r w:rsidRPr="006D7319">
        <w:t>Aleris</w:t>
      </w:r>
      <w:proofErr w:type="spellEnd"/>
      <w:r w:rsidRPr="006D7319">
        <w:t>)</w:t>
      </w:r>
    </w:p>
    <w:p w14:paraId="0441EF54" w14:textId="77777777" w:rsidR="0016483D" w:rsidRPr="006D7319" w:rsidRDefault="0016483D" w:rsidP="006D7319">
      <w:pPr>
        <w:pStyle w:val="opplisting"/>
      </w:pPr>
      <w:r w:rsidRPr="006D7319">
        <w:t>LB-2024-85425</w:t>
      </w:r>
    </w:p>
    <w:p w14:paraId="708709A8" w14:textId="77777777" w:rsidR="0016483D" w:rsidRPr="006D7319" w:rsidRDefault="0016483D" w:rsidP="006D7319">
      <w:pPr>
        <w:pStyle w:val="opplisting"/>
      </w:pPr>
      <w:r w:rsidRPr="006D7319">
        <w:t>LB-2025-94406 (</w:t>
      </w:r>
      <w:proofErr w:type="spellStart"/>
      <w:r w:rsidRPr="006D7319">
        <w:t>Wolt</w:t>
      </w:r>
      <w:proofErr w:type="spellEnd"/>
      <w:r w:rsidRPr="006D7319">
        <w:t>)</w:t>
      </w:r>
    </w:p>
    <w:p w14:paraId="078A6F51" w14:textId="77777777" w:rsidR="0016483D" w:rsidRPr="006A50F4" w:rsidRDefault="0016483D" w:rsidP="006D7319">
      <w:pPr>
        <w:rPr>
          <w:rStyle w:val="kursiv"/>
        </w:rPr>
      </w:pPr>
      <w:r w:rsidRPr="006A50F4">
        <w:rPr>
          <w:rStyle w:val="kursiv"/>
        </w:rPr>
        <w:t>Avgjørelser fra Trygderetten</w:t>
      </w:r>
    </w:p>
    <w:p w14:paraId="64DD1E83" w14:textId="77777777" w:rsidR="0016483D" w:rsidRPr="006D7319" w:rsidRDefault="0016483D" w:rsidP="006D7319">
      <w:pPr>
        <w:pStyle w:val="opplisting"/>
      </w:pPr>
      <w:r w:rsidRPr="006D7319">
        <w:t>TRR-2022-102</w:t>
      </w:r>
    </w:p>
    <w:p w14:paraId="11E86840" w14:textId="77777777" w:rsidR="0016483D" w:rsidRPr="006A50F4" w:rsidRDefault="0016483D" w:rsidP="006D7319">
      <w:pPr>
        <w:pStyle w:val="opplisting"/>
        <w:rPr>
          <w:rStyle w:val="kursiv"/>
        </w:rPr>
      </w:pPr>
      <w:r w:rsidRPr="006D7319">
        <w:t>TRR-2023-3259</w:t>
      </w:r>
    </w:p>
    <w:p w14:paraId="1BF41EDE" w14:textId="77777777" w:rsidR="0016483D" w:rsidRPr="006D7319" w:rsidRDefault="0016483D" w:rsidP="006D7319">
      <w:pPr>
        <w:pStyle w:val="opplisting"/>
      </w:pPr>
      <w:r w:rsidRPr="006D7319">
        <w:t>TRR-2025-3511</w:t>
      </w:r>
    </w:p>
    <w:p w14:paraId="7F50E64A" w14:textId="77777777" w:rsidR="0016483D" w:rsidRPr="006A50F4" w:rsidRDefault="0016483D" w:rsidP="006D7319">
      <w:pPr>
        <w:rPr>
          <w:rStyle w:val="kursiv"/>
        </w:rPr>
      </w:pPr>
      <w:r w:rsidRPr="006A50F4">
        <w:rPr>
          <w:rStyle w:val="kursiv"/>
        </w:rPr>
        <w:t>Uttalelser fra Sivilombudsmannen</w:t>
      </w:r>
    </w:p>
    <w:p w14:paraId="5D9F9533" w14:textId="77777777" w:rsidR="0016483D" w:rsidRPr="006D7319" w:rsidRDefault="0016483D" w:rsidP="006D7319">
      <w:pPr>
        <w:pStyle w:val="opplisting"/>
      </w:pPr>
      <w:r w:rsidRPr="006D7319">
        <w:t>SOM-2016-3169</w:t>
      </w:r>
    </w:p>
    <w:p w14:paraId="4E2BAA28" w14:textId="77777777" w:rsidR="0016483D" w:rsidRPr="006A50F4" w:rsidRDefault="0016483D" w:rsidP="006D7319">
      <w:pPr>
        <w:rPr>
          <w:rStyle w:val="halvfet"/>
        </w:rPr>
      </w:pPr>
      <w:r w:rsidRPr="006A50F4">
        <w:rPr>
          <w:rStyle w:val="halvfet"/>
        </w:rPr>
        <w:t>Internasjonale kilder</w:t>
      </w:r>
    </w:p>
    <w:p w14:paraId="7C2B9832" w14:textId="77777777" w:rsidR="0016483D" w:rsidRPr="006A50F4" w:rsidRDefault="0016483D" w:rsidP="006D7319">
      <w:pPr>
        <w:rPr>
          <w:rStyle w:val="kursiv"/>
        </w:rPr>
      </w:pPr>
      <w:r w:rsidRPr="006A50F4">
        <w:rPr>
          <w:rStyle w:val="kursiv"/>
        </w:rPr>
        <w:t>Direktiver</w:t>
      </w:r>
    </w:p>
    <w:p w14:paraId="2F7AA3EF" w14:textId="0ECE6710" w:rsidR="0016483D" w:rsidRPr="006D7319" w:rsidRDefault="0016483D" w:rsidP="006D7319">
      <w:r w:rsidRPr="006D7319">
        <w:t xml:space="preserve">Rådsdirektiv 89/391/EØF av 12. juni 1989 om iverksetting av tiltak som forbedrer </w:t>
      </w:r>
      <w:r w:rsidRPr="006D7319">
        <w:t xml:space="preserve">arbeidstakernes </w:t>
      </w:r>
      <w:r w:rsidRPr="006D7319">
        <w:t>sikkerhet og helse på arbeidsplassen (rammedirektivet/arbeidsmiljødirektivet).</w:t>
      </w:r>
    </w:p>
    <w:p w14:paraId="0EEFE5B6" w14:textId="1F547BF9" w:rsidR="0016483D" w:rsidRPr="006D7319" w:rsidRDefault="0016483D" w:rsidP="006D7319">
      <w:r w:rsidRPr="006D7319">
        <w:t xml:space="preserve">Rådsdirektiv 89/656/EØF av 30. november 1989 om minimumskrav til helse og sikkerhet for </w:t>
      </w:r>
      <w:r w:rsidRPr="006D7319">
        <w:t>arbeidstakeres bruk av personlig verneutstyr på arbeidsplassen (bruk av personlig verneutstyr).</w:t>
      </w:r>
    </w:p>
    <w:p w14:paraId="244C4173" w14:textId="77777777" w:rsidR="0016483D" w:rsidRPr="006A50F4" w:rsidRDefault="0016483D" w:rsidP="006D7319">
      <w:pPr>
        <w:rPr>
          <w:rStyle w:val="kursiv"/>
        </w:rPr>
      </w:pPr>
      <w:r w:rsidRPr="006D7319">
        <w:t>Rådsdirektiv 92/85/EØF av 19. oktober 1992 om iverksetting av tiltak som forbedrer helse og sikkerhet på arbeidsplassen for gravide arbeidstakere og arbeidstakere som nylig har født eller som ammer (svangerskapsdirektivet).</w:t>
      </w:r>
    </w:p>
    <w:p w14:paraId="1C779373" w14:textId="77777777" w:rsidR="0016483D" w:rsidRPr="006D7319" w:rsidRDefault="0016483D" w:rsidP="006D7319">
      <w:r w:rsidRPr="006D7319">
        <w:t>Rådsdirektiv 97/81/EF av 15. desember 1997 om rammeavtalen om deltidsarbeid inngått mellom UNICE, CEEP og EFF (deltidsdirektivet).</w:t>
      </w:r>
    </w:p>
    <w:p w14:paraId="32605EDF" w14:textId="0724CAEA" w:rsidR="0016483D" w:rsidRPr="006D7319" w:rsidRDefault="0016483D" w:rsidP="006D7319">
      <w:r w:rsidRPr="006D7319">
        <w:t>Rådsdirektiv 98/24/EF av 7. april 1998 om vern av arbeidstakernes helse og sikkerhet mot risiko i forbindelse med kjemiske agens på arbeidsplassen (vern av arbeidstakere mot eksponering for kjem</w:t>
      </w:r>
      <w:r w:rsidRPr="006D7319">
        <w:t>iske stoffer).</w:t>
      </w:r>
    </w:p>
    <w:p w14:paraId="36245E6A" w14:textId="77777777" w:rsidR="0016483D" w:rsidRPr="006D7319" w:rsidRDefault="0016483D" w:rsidP="006D7319">
      <w:r w:rsidRPr="006D7319">
        <w:t>Rådsdirektiv 98/59/EF av 20. juli 1998 om tilnærming av medlemsstatenes lovgivning om masseoppsigelse (masseoppsigelsesdirektivet).</w:t>
      </w:r>
    </w:p>
    <w:p w14:paraId="2C46D456" w14:textId="2989231D" w:rsidR="0016483D" w:rsidRPr="006D7319" w:rsidRDefault="0016483D" w:rsidP="006D7319">
      <w:r w:rsidRPr="006D7319">
        <w:t>Rådsdirektiv 1999/70/EF av 28. juni 1999 om ramme</w:t>
      </w:r>
      <w:r w:rsidRPr="006D7319">
        <w:t>avtalen om midlertidig ansettelse inngått mellom EFF, UNICE og CEEP (rammeavtale om midlertidig ansettelse).</w:t>
      </w:r>
    </w:p>
    <w:p w14:paraId="344CBA30" w14:textId="0D14DA8B" w:rsidR="0016483D" w:rsidRPr="006D7319" w:rsidRDefault="0016483D" w:rsidP="006D7319">
      <w:r w:rsidRPr="006D7319">
        <w:t xml:space="preserve">Europaparlaments- og rådsdirektiv 2000/54/EF av 18. september 2000 om vern av arbeidstakerne mot fare ved å være utsatt for biologiske </w:t>
      </w:r>
      <w:r w:rsidRPr="006D7319">
        <w:t>agenser på arbeidsplassen (vern av arbeidstakere mot fare ved å være utsatt for biologiske agenser på arbeidsplassen).</w:t>
      </w:r>
    </w:p>
    <w:p w14:paraId="7E8FA032" w14:textId="77777777" w:rsidR="0016483D" w:rsidRPr="006D7319" w:rsidRDefault="0016483D" w:rsidP="006D7319">
      <w:r w:rsidRPr="006D7319">
        <w:t>Rådsdirektiv 2000/78/EF av 27. november 2000 om generelle rammebestemmelser om likebehandling i arbeidslivet (ikke-diskrimineringsdirektivet).</w:t>
      </w:r>
    </w:p>
    <w:p w14:paraId="6701996B" w14:textId="77777777" w:rsidR="0016483D" w:rsidRPr="006D7319" w:rsidRDefault="0016483D" w:rsidP="006D7319">
      <w:r w:rsidRPr="006D7319">
        <w:t>Rådsdirektiv 2001/23/EF av 12. mars 2001 om tilnærming av medlemsstatenes lovgivning om ivaretakelse av arbeidstakernes rettigheter ved overdragelse av foretak, virksomheter eller deler av foretak eller virksomheter (virksomhetsoverdragelsesdirektivet).</w:t>
      </w:r>
    </w:p>
    <w:p w14:paraId="4367966E" w14:textId="77777777" w:rsidR="0016483D" w:rsidRPr="006D7319" w:rsidRDefault="0016483D" w:rsidP="006D7319">
      <w:r w:rsidRPr="006D7319">
        <w:t>Europaparlaments- og rådsdirektiv 2003/88/EF av 4. november 2003 om visse aspekter ved organisering av arbeidstiden (arbeidstidsdirektivet).</w:t>
      </w:r>
    </w:p>
    <w:p w14:paraId="7802DDC3" w14:textId="77777777" w:rsidR="0016483D" w:rsidRPr="006D7319" w:rsidRDefault="0016483D" w:rsidP="006D7319">
      <w:r w:rsidRPr="006D7319">
        <w:t>Europaparlaments- og rådsdirektiv 2008/104/EF av 19. november 2008 om vikararbeid (vikarbyrådirektivet)</w:t>
      </w:r>
    </w:p>
    <w:p w14:paraId="21027FF2" w14:textId="7410B327" w:rsidR="0016483D" w:rsidRPr="006D7319" w:rsidRDefault="0016483D" w:rsidP="006D7319">
      <w:r w:rsidRPr="006D7319">
        <w:t>Europaparlaments- og rådsdir</w:t>
      </w:r>
      <w:r w:rsidRPr="006D7319">
        <w:t xml:space="preserve">ektiv 2009/104/EF av 16. september 2009 om minstekrav til helse og </w:t>
      </w:r>
      <w:r w:rsidRPr="006D7319">
        <w:t>sikkerhet i forbindelse med arbeidstakernes bruk av arbeidsutstyr i arbeidet (arbeidsutstyrsdirektivet).</w:t>
      </w:r>
    </w:p>
    <w:p w14:paraId="77F3355C" w14:textId="77777777" w:rsidR="0016483D" w:rsidRPr="006D7319" w:rsidRDefault="0016483D" w:rsidP="006D7319">
      <w:r w:rsidRPr="006D7319">
        <w:t>Europaparlaments- og rådsdirektiv (EU) 2019/1152 av 20. juni 2019 om tydelige og forutsigbare arbeidsvilkår i Den europeiske union (arbeidsvilkårsdirektivet).</w:t>
      </w:r>
    </w:p>
    <w:p w14:paraId="48531171" w14:textId="77777777" w:rsidR="0016483D" w:rsidRPr="006A50F4" w:rsidRDefault="0016483D" w:rsidP="006D7319">
      <w:pPr>
        <w:rPr>
          <w:rStyle w:val="kursiv"/>
        </w:rPr>
      </w:pPr>
      <w:r w:rsidRPr="006A50F4">
        <w:rPr>
          <w:rStyle w:val="kursiv"/>
        </w:rPr>
        <w:t>EØS- komitébeslutninger</w:t>
      </w:r>
    </w:p>
    <w:p w14:paraId="35D1022E" w14:textId="77777777" w:rsidR="0016483D" w:rsidRPr="006D7319" w:rsidRDefault="0016483D" w:rsidP="006D7319">
      <w:pPr>
        <w:pStyle w:val="opplisting"/>
      </w:pPr>
      <w:r w:rsidRPr="006D7319">
        <w:t xml:space="preserve">Joint Committee </w:t>
      </w:r>
      <w:proofErr w:type="spellStart"/>
      <w:r w:rsidRPr="006D7319">
        <w:t>Decision</w:t>
      </w:r>
      <w:proofErr w:type="spellEnd"/>
      <w:r w:rsidRPr="006D7319">
        <w:t xml:space="preserve"> (JCD) nr. 221/2024</w:t>
      </w:r>
    </w:p>
    <w:p w14:paraId="2E4D684B" w14:textId="77777777" w:rsidR="0016483D" w:rsidRPr="006A50F4" w:rsidRDefault="0016483D" w:rsidP="006D7319">
      <w:pPr>
        <w:rPr>
          <w:rStyle w:val="kursiv"/>
          <w:lang w:val="nn-NO"/>
        </w:rPr>
      </w:pPr>
      <w:r w:rsidRPr="006A50F4">
        <w:rPr>
          <w:rStyle w:val="kursiv"/>
          <w:lang w:val="nn-NO"/>
        </w:rPr>
        <w:t>EU-domstolen</w:t>
      </w:r>
    </w:p>
    <w:p w14:paraId="6AA6C6F5" w14:textId="77777777" w:rsidR="0016483D" w:rsidRPr="006D7319" w:rsidRDefault="0016483D" w:rsidP="006D7319">
      <w:pPr>
        <w:pStyle w:val="opplisting"/>
        <w:rPr>
          <w:lang w:val="nn-NO"/>
        </w:rPr>
      </w:pPr>
      <w:r w:rsidRPr="006D7319">
        <w:rPr>
          <w:lang w:val="nn-NO"/>
        </w:rPr>
        <w:t>C-66/85 (</w:t>
      </w:r>
      <w:proofErr w:type="spellStart"/>
      <w:r w:rsidRPr="006D7319">
        <w:rPr>
          <w:lang w:val="nn-NO"/>
        </w:rPr>
        <w:t>Lawrie-Blum</w:t>
      </w:r>
      <w:proofErr w:type="spellEnd"/>
      <w:r w:rsidRPr="006D7319">
        <w:rPr>
          <w:lang w:val="nn-NO"/>
        </w:rPr>
        <w:t>)</w:t>
      </w:r>
    </w:p>
    <w:p w14:paraId="1B2B8A4F" w14:textId="77777777" w:rsidR="0016483D" w:rsidRPr="006A50F4" w:rsidRDefault="0016483D" w:rsidP="006D7319">
      <w:pPr>
        <w:pStyle w:val="opplisting"/>
        <w:rPr>
          <w:rStyle w:val="kursiv"/>
          <w:lang w:val="nn-NO"/>
        </w:rPr>
      </w:pPr>
      <w:r w:rsidRPr="006D7319">
        <w:rPr>
          <w:lang w:val="nn-NO"/>
        </w:rPr>
        <w:t>C-357/89</w:t>
      </w:r>
    </w:p>
    <w:p w14:paraId="7065C25A" w14:textId="77777777" w:rsidR="0016483D" w:rsidRPr="006A50F4" w:rsidRDefault="0016483D" w:rsidP="006D7319">
      <w:pPr>
        <w:pStyle w:val="opplisting"/>
        <w:rPr>
          <w:rStyle w:val="kursiv"/>
          <w:lang w:val="nn-NO"/>
        </w:rPr>
      </w:pPr>
      <w:r w:rsidRPr="006D7319">
        <w:rPr>
          <w:lang w:val="nn-NO"/>
        </w:rPr>
        <w:t>C-107/94</w:t>
      </w:r>
    </w:p>
    <w:p w14:paraId="0ADDE5BE" w14:textId="77777777" w:rsidR="0016483D" w:rsidRPr="006D7319" w:rsidRDefault="0016483D" w:rsidP="006D7319">
      <w:pPr>
        <w:pStyle w:val="opplisting"/>
        <w:rPr>
          <w:lang w:val="nn-NO"/>
        </w:rPr>
      </w:pPr>
      <w:r w:rsidRPr="006D7319">
        <w:rPr>
          <w:lang w:val="nn-NO"/>
        </w:rPr>
        <w:t>C</w:t>
      </w:r>
      <w:r w:rsidRPr="006D7319">
        <w:rPr>
          <w:lang w:val="nn-NO"/>
        </w:rPr>
        <w:noBreakHyphen/>
        <w:t>116/06 (</w:t>
      </w:r>
      <w:proofErr w:type="spellStart"/>
      <w:r w:rsidRPr="006D7319">
        <w:rPr>
          <w:lang w:val="nn-NO"/>
        </w:rPr>
        <w:t>Kiiski</w:t>
      </w:r>
      <w:proofErr w:type="spellEnd"/>
      <w:r w:rsidRPr="006D7319">
        <w:rPr>
          <w:lang w:val="nn-NO"/>
        </w:rPr>
        <w:t>)</w:t>
      </w:r>
    </w:p>
    <w:p w14:paraId="7DC364FD" w14:textId="77777777" w:rsidR="0016483D" w:rsidRPr="006D7319" w:rsidRDefault="0016483D" w:rsidP="006D7319">
      <w:pPr>
        <w:pStyle w:val="opplisting"/>
        <w:rPr>
          <w:lang w:val="nn-NO"/>
        </w:rPr>
      </w:pPr>
      <w:r w:rsidRPr="006D7319">
        <w:rPr>
          <w:lang w:val="nn-NO"/>
        </w:rPr>
        <w:t>C-232/09 (</w:t>
      </w:r>
      <w:proofErr w:type="spellStart"/>
      <w:r w:rsidRPr="006D7319">
        <w:rPr>
          <w:lang w:val="nn-NO"/>
        </w:rPr>
        <w:t>Danosa</w:t>
      </w:r>
      <w:proofErr w:type="spellEnd"/>
      <w:r w:rsidRPr="006D7319">
        <w:rPr>
          <w:lang w:val="nn-NO"/>
        </w:rPr>
        <w:t>)</w:t>
      </w:r>
    </w:p>
    <w:p w14:paraId="4C063C3D" w14:textId="77777777" w:rsidR="0016483D" w:rsidRPr="006A50F4" w:rsidRDefault="0016483D" w:rsidP="006D7319">
      <w:pPr>
        <w:pStyle w:val="opplisting"/>
        <w:rPr>
          <w:rStyle w:val="kursiv"/>
          <w:lang w:val="nn-NO"/>
        </w:rPr>
      </w:pPr>
      <w:r w:rsidRPr="006D7319">
        <w:rPr>
          <w:lang w:val="nn-NO"/>
        </w:rPr>
        <w:t>C-242/09 (Heineken/</w:t>
      </w:r>
      <w:proofErr w:type="spellStart"/>
      <w:r w:rsidRPr="006D7319">
        <w:rPr>
          <w:lang w:val="nn-NO"/>
        </w:rPr>
        <w:t>Albron</w:t>
      </w:r>
      <w:proofErr w:type="spellEnd"/>
      <w:r w:rsidRPr="006D7319">
        <w:rPr>
          <w:lang w:val="nn-NO"/>
        </w:rPr>
        <w:t>)</w:t>
      </w:r>
    </w:p>
    <w:p w14:paraId="2641D398" w14:textId="77777777" w:rsidR="0016483D" w:rsidRPr="006D7319" w:rsidRDefault="0016483D" w:rsidP="006D7319">
      <w:pPr>
        <w:pStyle w:val="opplisting"/>
        <w:rPr>
          <w:lang w:val="nn-NO"/>
        </w:rPr>
      </w:pPr>
      <w:r w:rsidRPr="006D7319">
        <w:rPr>
          <w:lang w:val="nn-NO"/>
        </w:rPr>
        <w:t>C-290/12 (</w:t>
      </w:r>
      <w:proofErr w:type="spellStart"/>
      <w:r w:rsidRPr="006D7319">
        <w:rPr>
          <w:lang w:val="nn-NO"/>
        </w:rPr>
        <w:t>Della</w:t>
      </w:r>
      <w:proofErr w:type="spellEnd"/>
      <w:r w:rsidRPr="006D7319">
        <w:rPr>
          <w:lang w:val="nn-NO"/>
        </w:rPr>
        <w:t xml:space="preserve"> </w:t>
      </w:r>
      <w:proofErr w:type="spellStart"/>
      <w:r w:rsidRPr="006D7319">
        <w:rPr>
          <w:lang w:val="nn-NO"/>
        </w:rPr>
        <w:t>Rocca</w:t>
      </w:r>
      <w:proofErr w:type="spellEnd"/>
      <w:r w:rsidRPr="006D7319">
        <w:rPr>
          <w:lang w:val="nn-NO"/>
        </w:rPr>
        <w:t>)</w:t>
      </w:r>
    </w:p>
    <w:p w14:paraId="465F231E" w14:textId="77777777" w:rsidR="0016483D" w:rsidRPr="006D7319" w:rsidRDefault="0016483D" w:rsidP="006D7319">
      <w:pPr>
        <w:pStyle w:val="opplisting"/>
        <w:rPr>
          <w:lang w:val="nn-NO"/>
        </w:rPr>
      </w:pPr>
      <w:r w:rsidRPr="006D7319">
        <w:rPr>
          <w:lang w:val="nn-NO"/>
        </w:rPr>
        <w:t>C-316/13 (</w:t>
      </w:r>
      <w:proofErr w:type="spellStart"/>
      <w:r w:rsidRPr="006D7319">
        <w:rPr>
          <w:lang w:val="nn-NO"/>
        </w:rPr>
        <w:t>Fenoll</w:t>
      </w:r>
      <w:proofErr w:type="spellEnd"/>
      <w:r w:rsidRPr="006D7319">
        <w:rPr>
          <w:lang w:val="nn-NO"/>
        </w:rPr>
        <w:t>)</w:t>
      </w:r>
    </w:p>
    <w:p w14:paraId="24274DD0" w14:textId="77777777" w:rsidR="006A50F4" w:rsidRDefault="0016483D" w:rsidP="006D7319">
      <w:pPr>
        <w:pStyle w:val="opplisting"/>
        <w:rPr>
          <w:lang w:val="nn-NO"/>
        </w:rPr>
      </w:pPr>
      <w:r w:rsidRPr="006D7319">
        <w:rPr>
          <w:lang w:val="nn-NO"/>
        </w:rPr>
        <w:t>C-413/13 (FNV Kunsten)</w:t>
      </w:r>
    </w:p>
    <w:p w14:paraId="1F6E478E" w14:textId="4235C730" w:rsidR="0016483D" w:rsidRPr="006A50F4" w:rsidRDefault="0016483D" w:rsidP="006D7319">
      <w:pPr>
        <w:pStyle w:val="opplisting"/>
        <w:rPr>
          <w:rStyle w:val="kursiv"/>
          <w:lang w:val="fr-FR"/>
        </w:rPr>
      </w:pPr>
      <w:r w:rsidRPr="006D7319">
        <w:rPr>
          <w:lang w:val="fr-FR"/>
        </w:rPr>
        <w:t>C-229/14 (Balkaya)</w:t>
      </w:r>
    </w:p>
    <w:p w14:paraId="64BBE7ED" w14:textId="77777777" w:rsidR="0016483D" w:rsidRPr="006D7319" w:rsidRDefault="0016483D" w:rsidP="006D7319">
      <w:pPr>
        <w:pStyle w:val="opplisting"/>
        <w:rPr>
          <w:lang w:val="fr-FR"/>
        </w:rPr>
      </w:pPr>
      <w:r w:rsidRPr="006D7319">
        <w:rPr>
          <w:lang w:val="fr-FR"/>
        </w:rPr>
        <w:t>C-206/15 (Ruhrlandklinik)</w:t>
      </w:r>
    </w:p>
    <w:p w14:paraId="17BD6B08" w14:textId="77777777" w:rsidR="0016483D" w:rsidRPr="006D7319" w:rsidRDefault="0016483D" w:rsidP="006D7319">
      <w:pPr>
        <w:pStyle w:val="opplisting"/>
        <w:rPr>
          <w:lang w:val="fr-FR"/>
        </w:rPr>
      </w:pPr>
      <w:r w:rsidRPr="006D7319">
        <w:rPr>
          <w:lang w:val="fr-FR"/>
        </w:rPr>
        <w:t>C-147/17 (Sindicatul Familia Constanta)</w:t>
      </w:r>
    </w:p>
    <w:p w14:paraId="58BFD604" w14:textId="77777777" w:rsidR="0016483D" w:rsidRPr="006D7319" w:rsidRDefault="0016483D" w:rsidP="006D7319">
      <w:pPr>
        <w:pStyle w:val="opplisting"/>
        <w:rPr>
          <w:lang w:val="fr-FR"/>
        </w:rPr>
      </w:pPr>
      <w:r w:rsidRPr="006D7319">
        <w:rPr>
          <w:lang w:val="fr-FR"/>
        </w:rPr>
        <w:t>C-603/17</w:t>
      </w:r>
    </w:p>
    <w:p w14:paraId="52823590" w14:textId="77777777" w:rsidR="0016483D" w:rsidRPr="006D7319" w:rsidRDefault="0016483D" w:rsidP="006D7319">
      <w:pPr>
        <w:pStyle w:val="opplisting"/>
        <w:rPr>
          <w:lang w:val="fr-FR"/>
        </w:rPr>
      </w:pPr>
      <w:r w:rsidRPr="006D7319">
        <w:rPr>
          <w:lang w:val="fr-FR"/>
        </w:rPr>
        <w:t>C-441/23 (Omnitel Comunicaciones)</w:t>
      </w:r>
    </w:p>
    <w:p w14:paraId="684DB48B" w14:textId="77777777" w:rsidR="0016483D" w:rsidRPr="006D7319" w:rsidRDefault="0016483D" w:rsidP="006D7319">
      <w:pPr>
        <w:pStyle w:val="opplisting"/>
        <w:rPr>
          <w:lang w:val="fr-FR"/>
        </w:rPr>
      </w:pPr>
      <w:r w:rsidRPr="006A50F4">
        <w:rPr>
          <w:rStyle w:val="kursiv"/>
          <w:lang w:val="fr-FR"/>
        </w:rPr>
        <w:t>EFTA- domstolen</w:t>
      </w:r>
    </w:p>
    <w:p w14:paraId="08143388" w14:textId="77777777" w:rsidR="0016483D" w:rsidRPr="006D7319" w:rsidRDefault="0016483D" w:rsidP="006D7319">
      <w:pPr>
        <w:pStyle w:val="opplisting"/>
        <w:rPr>
          <w:lang w:val="fr-FR"/>
        </w:rPr>
      </w:pPr>
      <w:r w:rsidRPr="006D7319">
        <w:rPr>
          <w:lang w:val="fr-FR"/>
        </w:rPr>
        <w:t>E-15/12 (Wahl)</w:t>
      </w:r>
    </w:p>
    <w:p w14:paraId="0A09A5A0" w14:textId="77777777" w:rsidR="0016483D" w:rsidRPr="006A50F4" w:rsidRDefault="0016483D" w:rsidP="006D7319">
      <w:pPr>
        <w:rPr>
          <w:rStyle w:val="halvfet"/>
          <w:lang w:val="fr-FR"/>
        </w:rPr>
      </w:pPr>
      <w:r w:rsidRPr="006A50F4">
        <w:rPr>
          <w:rStyle w:val="halvfet"/>
          <w:lang w:val="fr-FR"/>
        </w:rPr>
        <w:t>Litteratur</w:t>
      </w:r>
    </w:p>
    <w:p w14:paraId="2F23ADF6" w14:textId="29D8DD32" w:rsidR="0016483D" w:rsidRPr="006D7319" w:rsidRDefault="0016483D" w:rsidP="006D7319">
      <w:pPr>
        <w:rPr>
          <w:lang w:val="fr-FR"/>
        </w:rPr>
      </w:pPr>
      <w:r w:rsidRPr="006D7319">
        <w:rPr>
          <w:lang w:val="fr-FR"/>
        </w:rPr>
        <w:t xml:space="preserve">Breilid, H og Helvik, G. Karnov lovkommentar til </w:t>
      </w:r>
      <w:r w:rsidRPr="006D7319">
        <w:rPr>
          <w:lang w:val="fr-FR"/>
        </w:rPr>
        <w:t xml:space="preserve">permitteringslønnsloven </w:t>
      </w:r>
      <w:r w:rsidR="006A50F4">
        <w:rPr>
          <w:lang w:val="fr-FR"/>
        </w:rPr>
        <w:t>§ </w:t>
      </w:r>
      <w:r w:rsidR="006A50F4" w:rsidRPr="006D7319">
        <w:rPr>
          <w:lang w:val="fr-FR"/>
        </w:rPr>
        <w:t>1</w:t>
      </w:r>
      <w:r w:rsidRPr="006D7319">
        <w:rPr>
          <w:lang w:val="fr-FR"/>
        </w:rPr>
        <w:t xml:space="preserve"> første ledd. I Lovdata pro (2026), hentet 10. mars 2026.</w:t>
      </w:r>
    </w:p>
    <w:p w14:paraId="06D5911C" w14:textId="6E6023AD" w:rsidR="0016483D" w:rsidRPr="006D7319" w:rsidRDefault="0016483D" w:rsidP="006D7319">
      <w:r w:rsidRPr="006D7319">
        <w:t xml:space="preserve">Christoffersen, M. </w:t>
      </w:r>
      <w:proofErr w:type="spellStart"/>
      <w:r w:rsidRPr="006D7319">
        <w:t>Karnov</w:t>
      </w:r>
      <w:proofErr w:type="spellEnd"/>
      <w:r w:rsidRPr="006D7319">
        <w:t xml:space="preserve"> lovkommentar til aksje</w:t>
      </w:r>
      <w:r w:rsidRPr="006D7319">
        <w:t xml:space="preserve">loven </w:t>
      </w:r>
      <w:r w:rsidR="006A50F4">
        <w:t>§ </w:t>
      </w:r>
      <w:r w:rsidR="006A50F4" w:rsidRPr="006D7319">
        <w:t>5</w:t>
      </w:r>
      <w:r w:rsidRPr="006D7319">
        <w:t>-1 første ledd. I Lovdata Pro (2025), hentet 20. august 2025.</w:t>
      </w:r>
    </w:p>
    <w:p w14:paraId="4A2C9160" w14:textId="77777777" w:rsidR="0016483D" w:rsidRPr="006D7319" w:rsidRDefault="0016483D" w:rsidP="006D7319">
      <w:r w:rsidRPr="006D7319">
        <w:t xml:space="preserve">DFØ-notat (2024:1). </w:t>
      </w:r>
      <w:r w:rsidRPr="006A50F4">
        <w:rPr>
          <w:rStyle w:val="kursiv"/>
        </w:rPr>
        <w:t>Statlige virksomheters bruk av konsulenter i 2023</w:t>
      </w:r>
      <w:r w:rsidRPr="006D7319">
        <w:t>. Direktoratet for forvaltning og økonomistyring, hentet 13. oktober 2025.</w:t>
      </w:r>
    </w:p>
    <w:p w14:paraId="2AD1DE2D" w14:textId="46480F6C" w:rsidR="0016483D" w:rsidRPr="006D7319" w:rsidRDefault="0016483D" w:rsidP="006D7319">
      <w:r w:rsidRPr="006D7319">
        <w:t xml:space="preserve">Engh, J. </w:t>
      </w:r>
      <w:proofErr w:type="spellStart"/>
      <w:r w:rsidRPr="006D7319">
        <w:t>Karnov</w:t>
      </w:r>
      <w:proofErr w:type="spellEnd"/>
      <w:r w:rsidRPr="006D7319">
        <w:t xml:space="preserve"> lovkommentar til foretaksregister</w:t>
      </w:r>
      <w:r w:rsidRPr="006D7319">
        <w:t xml:space="preserve">loven </w:t>
      </w:r>
      <w:r w:rsidR="006A50F4">
        <w:t>§ </w:t>
      </w:r>
      <w:r w:rsidR="006A50F4" w:rsidRPr="006D7319">
        <w:t>2</w:t>
      </w:r>
      <w:r w:rsidRPr="006D7319">
        <w:t>-2. I Lovdata Pro (2025) hentet 10. juli 2025.</w:t>
      </w:r>
    </w:p>
    <w:p w14:paraId="50453711" w14:textId="77777777" w:rsidR="0016483D" w:rsidRPr="006D7319" w:rsidRDefault="0016483D" w:rsidP="006D7319">
      <w:pPr>
        <w:rPr>
          <w:lang w:val="nn-NO"/>
        </w:rPr>
      </w:pPr>
      <w:r w:rsidRPr="006D7319">
        <w:t xml:space="preserve">Fougner, J. (2019). </w:t>
      </w:r>
      <w:r w:rsidRPr="006A50F4">
        <w:rPr>
          <w:rStyle w:val="kursiv"/>
          <w:lang w:val="nn-NO"/>
        </w:rPr>
        <w:t xml:space="preserve">Norsk arbeidsrett – Styringsrett, samarbeid og </w:t>
      </w:r>
      <w:proofErr w:type="spellStart"/>
      <w:r w:rsidRPr="006A50F4">
        <w:rPr>
          <w:rStyle w:val="kursiv"/>
          <w:lang w:val="nn-NO"/>
        </w:rPr>
        <w:t>arbeidstakervern</w:t>
      </w:r>
      <w:proofErr w:type="spellEnd"/>
      <w:r w:rsidRPr="006A50F4">
        <w:rPr>
          <w:rStyle w:val="kursiv"/>
          <w:lang w:val="nn-NO"/>
        </w:rPr>
        <w:t xml:space="preserve">. </w:t>
      </w:r>
      <w:r w:rsidRPr="006D7319">
        <w:rPr>
          <w:lang w:val="nn-NO"/>
        </w:rPr>
        <w:t>Oslo: Universitetsforlaget.</w:t>
      </w:r>
    </w:p>
    <w:p w14:paraId="0A5E7566" w14:textId="29F96B17" w:rsidR="0016483D" w:rsidRPr="006A50F4" w:rsidRDefault="0016483D" w:rsidP="006D7319">
      <w:pPr>
        <w:rPr>
          <w:lang w:val="nn-NO"/>
        </w:rPr>
      </w:pPr>
      <w:r w:rsidRPr="006A50F4">
        <w:rPr>
          <w:lang w:val="nn-NO"/>
        </w:rPr>
        <w:t xml:space="preserve">Fougner mfl. Lovkommentar til arbeidsmiljøloven </w:t>
      </w:r>
      <w:r w:rsidR="006A50F4" w:rsidRPr="006A50F4">
        <w:rPr>
          <w:lang w:val="nn-NO"/>
        </w:rPr>
        <w:t>§ </w:t>
      </w:r>
      <w:r w:rsidR="006A50F4" w:rsidRPr="006A50F4">
        <w:rPr>
          <w:lang w:val="nn-NO"/>
        </w:rPr>
        <w:t>1</w:t>
      </w:r>
      <w:r w:rsidRPr="006A50F4">
        <w:rPr>
          <w:lang w:val="nn-NO"/>
        </w:rPr>
        <w:t xml:space="preserve">-8. </w:t>
      </w:r>
      <w:proofErr w:type="spellStart"/>
      <w:r w:rsidRPr="006A50F4">
        <w:rPr>
          <w:lang w:val="nn-NO"/>
        </w:rPr>
        <w:t>Juridika</w:t>
      </w:r>
      <w:proofErr w:type="spellEnd"/>
      <w:r w:rsidRPr="006A50F4">
        <w:rPr>
          <w:lang w:val="nn-NO"/>
        </w:rPr>
        <w:t xml:space="preserve"> (2025), </w:t>
      </w:r>
      <w:proofErr w:type="spellStart"/>
      <w:r w:rsidRPr="006A50F4">
        <w:rPr>
          <w:lang w:val="nn-NO"/>
        </w:rPr>
        <w:t>hentet</w:t>
      </w:r>
      <w:proofErr w:type="spellEnd"/>
      <w:r w:rsidRPr="006A50F4">
        <w:rPr>
          <w:lang w:val="nn-NO"/>
        </w:rPr>
        <w:t xml:space="preserve"> 5. august 2025.</w:t>
      </w:r>
    </w:p>
    <w:p w14:paraId="64CA84F2" w14:textId="7E5AF154" w:rsidR="0016483D" w:rsidRPr="006A50F4" w:rsidRDefault="0016483D" w:rsidP="006D7319">
      <w:pPr>
        <w:rPr>
          <w:lang w:val="nn-NO"/>
        </w:rPr>
      </w:pPr>
      <w:r w:rsidRPr="006A50F4">
        <w:rPr>
          <w:lang w:val="nn-NO"/>
        </w:rPr>
        <w:t xml:space="preserve">Fougner, J. mfl., Lovkommentar til arbeidsmiljøloven </w:t>
      </w:r>
      <w:r w:rsidR="006A50F4" w:rsidRPr="006A50F4">
        <w:rPr>
          <w:lang w:val="nn-NO"/>
        </w:rPr>
        <w:t>§ </w:t>
      </w:r>
      <w:r w:rsidR="006A50F4" w:rsidRPr="006A50F4">
        <w:rPr>
          <w:lang w:val="nn-NO"/>
        </w:rPr>
        <w:t>1</w:t>
      </w:r>
      <w:r w:rsidRPr="006A50F4">
        <w:rPr>
          <w:lang w:val="nn-NO"/>
        </w:rPr>
        <w:t xml:space="preserve">-4. </w:t>
      </w:r>
      <w:proofErr w:type="spellStart"/>
      <w:r w:rsidRPr="006A50F4">
        <w:rPr>
          <w:lang w:val="nn-NO"/>
        </w:rPr>
        <w:t>Juridika</w:t>
      </w:r>
      <w:proofErr w:type="spellEnd"/>
      <w:r w:rsidRPr="006A50F4">
        <w:rPr>
          <w:lang w:val="nn-NO"/>
        </w:rPr>
        <w:t xml:space="preserve"> (2026) </w:t>
      </w:r>
      <w:proofErr w:type="spellStart"/>
      <w:r w:rsidRPr="006A50F4">
        <w:rPr>
          <w:lang w:val="nn-NO"/>
        </w:rPr>
        <w:t>hentet</w:t>
      </w:r>
      <w:proofErr w:type="spellEnd"/>
      <w:r w:rsidRPr="006A50F4">
        <w:rPr>
          <w:lang w:val="nn-NO"/>
        </w:rPr>
        <w:t xml:space="preserve"> 10. mars 2026.</w:t>
      </w:r>
    </w:p>
    <w:p w14:paraId="485B2F46" w14:textId="75866275" w:rsidR="0016483D" w:rsidRPr="006D7319" w:rsidRDefault="0016483D" w:rsidP="006D7319">
      <w:pPr>
        <w:rPr>
          <w:lang w:val="en-US"/>
        </w:rPr>
      </w:pPr>
      <w:proofErr w:type="spellStart"/>
      <w:r w:rsidRPr="006D7319">
        <w:rPr>
          <w:lang w:val="nn-NO"/>
        </w:rPr>
        <w:t>Gellérné</w:t>
      </w:r>
      <w:proofErr w:type="spellEnd"/>
      <w:r w:rsidRPr="006D7319">
        <w:rPr>
          <w:lang w:val="nn-NO"/>
        </w:rPr>
        <w:t xml:space="preserve">, E og </w:t>
      </w:r>
      <w:proofErr w:type="spellStart"/>
      <w:r w:rsidRPr="006D7319">
        <w:rPr>
          <w:lang w:val="nn-NO"/>
        </w:rPr>
        <w:t>Gyulavári</w:t>
      </w:r>
      <w:proofErr w:type="spellEnd"/>
      <w:r w:rsidRPr="006D7319">
        <w:rPr>
          <w:lang w:val="nn-NO"/>
        </w:rPr>
        <w:t xml:space="preserve">, T. (2025). </w:t>
      </w:r>
      <w:r w:rsidRPr="006A50F4">
        <w:rPr>
          <w:rStyle w:val="kursiv"/>
          <w:lang w:val="en-US"/>
        </w:rPr>
        <w:t xml:space="preserve">Social rights of EU mobile workers: limitations through the concepts of </w:t>
      </w:r>
      <w:r w:rsidR="006A50F4" w:rsidRPr="006A50F4">
        <w:rPr>
          <w:rStyle w:val="kursiv"/>
          <w:lang w:val="en-US"/>
        </w:rPr>
        <w:t>‘</w:t>
      </w:r>
      <w:r w:rsidRPr="006A50F4">
        <w:rPr>
          <w:rStyle w:val="kursiv"/>
          <w:lang w:val="en-US"/>
        </w:rPr>
        <w:t>worker</w:t>
      </w:r>
      <w:r w:rsidR="006A50F4" w:rsidRPr="006A50F4">
        <w:rPr>
          <w:rStyle w:val="kursiv"/>
          <w:lang w:val="en-US"/>
        </w:rPr>
        <w:t>’</w:t>
      </w:r>
      <w:r w:rsidRPr="006A50F4">
        <w:rPr>
          <w:rStyle w:val="kursiv"/>
          <w:lang w:val="en-US"/>
        </w:rPr>
        <w:t xml:space="preserve"> and </w:t>
      </w:r>
      <w:r w:rsidR="006A50F4" w:rsidRPr="006A50F4">
        <w:rPr>
          <w:rStyle w:val="kursiv"/>
          <w:lang w:val="en-US"/>
        </w:rPr>
        <w:t>‘</w:t>
      </w:r>
      <w:r w:rsidRPr="006A50F4">
        <w:rPr>
          <w:rStyle w:val="kursiv"/>
          <w:lang w:val="en-US"/>
        </w:rPr>
        <w:t>insured person</w:t>
      </w:r>
      <w:r w:rsidR="006A50F4" w:rsidRPr="006A50F4">
        <w:rPr>
          <w:rStyle w:val="kursiv"/>
          <w:lang w:val="en-US"/>
        </w:rPr>
        <w:t>’</w:t>
      </w:r>
      <w:r w:rsidRPr="006D7319">
        <w:rPr>
          <w:lang w:val="en-US"/>
        </w:rPr>
        <w:t xml:space="preserve">, European Review of </w:t>
      </w:r>
      <w:proofErr w:type="spellStart"/>
      <w:r w:rsidRPr="006D7319">
        <w:rPr>
          <w:lang w:val="en-US"/>
        </w:rPr>
        <w:t>Labour</w:t>
      </w:r>
      <w:proofErr w:type="spellEnd"/>
      <w:r w:rsidRPr="006D7319">
        <w:rPr>
          <w:lang w:val="en-US"/>
        </w:rPr>
        <w:t xml:space="preserve"> and Research, Volume 31.</w:t>
      </w:r>
    </w:p>
    <w:p w14:paraId="6D3177D4" w14:textId="77777777" w:rsidR="0016483D" w:rsidRPr="006A50F4" w:rsidRDefault="0016483D" w:rsidP="006D7319">
      <w:pPr>
        <w:rPr>
          <w:rStyle w:val="kursiv"/>
          <w:lang w:val="nn-NO"/>
        </w:rPr>
      </w:pPr>
      <w:r w:rsidRPr="006D7319">
        <w:t xml:space="preserve">Hotvedt, M. (2016). </w:t>
      </w:r>
      <w:r w:rsidRPr="006A50F4">
        <w:rPr>
          <w:rStyle w:val="kursiv"/>
        </w:rPr>
        <w:t xml:space="preserve">Arbeidsgiverbegrepet – en analyse av grunnlaget for arbeidsgiverplikter. </w:t>
      </w:r>
      <w:r w:rsidRPr="006D7319">
        <w:rPr>
          <w:lang w:val="nn-NO"/>
        </w:rPr>
        <w:t>Oslo: Gyldendal.</w:t>
      </w:r>
    </w:p>
    <w:p w14:paraId="1DCEF355" w14:textId="613AAC12" w:rsidR="0016483D" w:rsidRPr="006A50F4" w:rsidRDefault="0016483D" w:rsidP="006D7319">
      <w:pPr>
        <w:rPr>
          <w:rStyle w:val="halvfet"/>
          <w:lang w:val="nn-NO"/>
        </w:rPr>
      </w:pPr>
      <w:r w:rsidRPr="006D7319">
        <w:rPr>
          <w:lang w:val="nn-NO"/>
        </w:rPr>
        <w:t xml:space="preserve">Hotvedt, M. </w:t>
      </w:r>
      <w:proofErr w:type="spellStart"/>
      <w:r w:rsidRPr="006D7319">
        <w:rPr>
          <w:lang w:val="nn-NO"/>
        </w:rPr>
        <w:t>Karnov</w:t>
      </w:r>
      <w:proofErr w:type="spellEnd"/>
      <w:r w:rsidRPr="006D7319">
        <w:rPr>
          <w:lang w:val="nn-NO"/>
        </w:rPr>
        <w:t xml:space="preserve"> lovkommentar til arbeidsmiljø</w:t>
      </w:r>
      <w:r w:rsidRPr="006D7319">
        <w:rPr>
          <w:lang w:val="nn-NO"/>
        </w:rPr>
        <w:t xml:space="preserve">loven </w:t>
      </w:r>
      <w:r w:rsidR="006A50F4">
        <w:rPr>
          <w:lang w:val="nn-NO"/>
        </w:rPr>
        <w:t>§ </w:t>
      </w:r>
      <w:r w:rsidR="006A50F4" w:rsidRPr="006D7319">
        <w:rPr>
          <w:lang w:val="nn-NO"/>
        </w:rPr>
        <w:t>1</w:t>
      </w:r>
      <w:r w:rsidRPr="006D7319">
        <w:rPr>
          <w:lang w:val="nn-NO"/>
        </w:rPr>
        <w:t xml:space="preserve">-4. I Lovdata Pro (2025), </w:t>
      </w:r>
      <w:proofErr w:type="spellStart"/>
      <w:r w:rsidRPr="006D7319">
        <w:rPr>
          <w:lang w:val="nn-NO"/>
        </w:rPr>
        <w:t>hentet</w:t>
      </w:r>
      <w:proofErr w:type="spellEnd"/>
      <w:r w:rsidRPr="006D7319">
        <w:rPr>
          <w:lang w:val="nn-NO"/>
        </w:rPr>
        <w:t xml:space="preserve"> 11. august 2025.</w:t>
      </w:r>
    </w:p>
    <w:p w14:paraId="2759CC56" w14:textId="62B9B681" w:rsidR="0016483D" w:rsidRPr="006A50F4" w:rsidRDefault="0016483D" w:rsidP="006D7319">
      <w:pPr>
        <w:rPr>
          <w:rStyle w:val="halvfet"/>
          <w:lang w:val="nn-NO"/>
        </w:rPr>
      </w:pPr>
      <w:r w:rsidRPr="006D7319">
        <w:rPr>
          <w:lang w:val="nn-NO"/>
        </w:rPr>
        <w:t xml:space="preserve">Hotvedt, M. </w:t>
      </w:r>
      <w:proofErr w:type="spellStart"/>
      <w:r w:rsidRPr="006D7319">
        <w:rPr>
          <w:lang w:val="nn-NO"/>
        </w:rPr>
        <w:t>Karnov</w:t>
      </w:r>
      <w:proofErr w:type="spellEnd"/>
      <w:r w:rsidRPr="006D7319">
        <w:rPr>
          <w:lang w:val="nn-NO"/>
        </w:rPr>
        <w:t xml:space="preserve"> lovkommentar til arbeidsmiljø</w:t>
      </w:r>
      <w:r w:rsidRPr="006D7319">
        <w:rPr>
          <w:lang w:val="nn-NO"/>
        </w:rPr>
        <w:t xml:space="preserve">loven </w:t>
      </w:r>
      <w:r w:rsidR="006A50F4">
        <w:rPr>
          <w:lang w:val="nn-NO"/>
        </w:rPr>
        <w:t>§ </w:t>
      </w:r>
      <w:r w:rsidR="006A50F4" w:rsidRPr="006D7319">
        <w:rPr>
          <w:lang w:val="nn-NO"/>
        </w:rPr>
        <w:t>1</w:t>
      </w:r>
      <w:r w:rsidRPr="006D7319">
        <w:rPr>
          <w:lang w:val="nn-NO"/>
        </w:rPr>
        <w:t xml:space="preserve">-8. I Lovdata Pro (2025), </w:t>
      </w:r>
      <w:proofErr w:type="spellStart"/>
      <w:r w:rsidRPr="006D7319">
        <w:rPr>
          <w:lang w:val="nn-NO"/>
        </w:rPr>
        <w:t>hentet</w:t>
      </w:r>
      <w:proofErr w:type="spellEnd"/>
      <w:r w:rsidRPr="006D7319">
        <w:rPr>
          <w:lang w:val="nn-NO"/>
        </w:rPr>
        <w:t xml:space="preserve"> 13. august 2025.</w:t>
      </w:r>
    </w:p>
    <w:p w14:paraId="3B00CB85" w14:textId="77777777" w:rsidR="0016483D" w:rsidRPr="006A50F4" w:rsidRDefault="0016483D" w:rsidP="006D7319">
      <w:pPr>
        <w:rPr>
          <w:rStyle w:val="kursiv"/>
          <w:lang w:val="nn-NO"/>
        </w:rPr>
      </w:pPr>
      <w:r w:rsidRPr="006D7319">
        <w:rPr>
          <w:lang w:val="nn-NO"/>
        </w:rPr>
        <w:t xml:space="preserve">Hotvedt, M. (2018). </w:t>
      </w:r>
      <w:proofErr w:type="spellStart"/>
      <w:r w:rsidRPr="006A50F4">
        <w:rPr>
          <w:rStyle w:val="kursiv"/>
          <w:lang w:val="nn-NO"/>
        </w:rPr>
        <w:t>Arbeidstaker</w:t>
      </w:r>
      <w:proofErr w:type="spellEnd"/>
      <w:r w:rsidRPr="006A50F4">
        <w:rPr>
          <w:rStyle w:val="kursiv"/>
          <w:lang w:val="nn-NO"/>
        </w:rPr>
        <w:t xml:space="preserve"> – quo vadis?</w:t>
      </w:r>
      <w:r w:rsidRPr="006D7319">
        <w:rPr>
          <w:lang w:val="nn-NO"/>
        </w:rPr>
        <w:t xml:space="preserve"> </w:t>
      </w:r>
      <w:r w:rsidRPr="006A50F4">
        <w:rPr>
          <w:rStyle w:val="kursiv"/>
          <w:lang w:val="nn-NO"/>
        </w:rPr>
        <w:t xml:space="preserve">Den </w:t>
      </w:r>
      <w:proofErr w:type="spellStart"/>
      <w:r w:rsidRPr="006A50F4">
        <w:rPr>
          <w:rStyle w:val="kursiv"/>
          <w:lang w:val="nn-NO"/>
        </w:rPr>
        <w:t>nyere</w:t>
      </w:r>
      <w:proofErr w:type="spellEnd"/>
      <w:r w:rsidRPr="006A50F4">
        <w:rPr>
          <w:rStyle w:val="kursiv"/>
          <w:lang w:val="nn-NO"/>
        </w:rPr>
        <w:t xml:space="preserve"> </w:t>
      </w:r>
      <w:proofErr w:type="spellStart"/>
      <w:r w:rsidRPr="006A50F4">
        <w:rPr>
          <w:rStyle w:val="kursiv"/>
          <w:lang w:val="nn-NO"/>
        </w:rPr>
        <w:t>utviklingen</w:t>
      </w:r>
      <w:proofErr w:type="spellEnd"/>
      <w:r w:rsidRPr="006A50F4">
        <w:rPr>
          <w:rStyle w:val="kursiv"/>
          <w:lang w:val="nn-NO"/>
        </w:rPr>
        <w:t xml:space="preserve"> av </w:t>
      </w:r>
      <w:proofErr w:type="spellStart"/>
      <w:r w:rsidRPr="006A50F4">
        <w:rPr>
          <w:rStyle w:val="kursiv"/>
          <w:lang w:val="nn-NO"/>
        </w:rPr>
        <w:t>arbeidstakerbegrepet</w:t>
      </w:r>
      <w:proofErr w:type="spellEnd"/>
      <w:r w:rsidRPr="006A50F4">
        <w:rPr>
          <w:rStyle w:val="kursiv"/>
          <w:lang w:val="nn-NO"/>
        </w:rPr>
        <w:t xml:space="preserve">, </w:t>
      </w:r>
      <w:r w:rsidRPr="006D7319">
        <w:rPr>
          <w:lang w:val="nn-NO"/>
        </w:rPr>
        <w:t xml:space="preserve">Tidsskrift for </w:t>
      </w:r>
      <w:proofErr w:type="spellStart"/>
      <w:r w:rsidRPr="006D7319">
        <w:rPr>
          <w:lang w:val="nn-NO"/>
        </w:rPr>
        <w:t>rettsvitenskap</w:t>
      </w:r>
      <w:proofErr w:type="spellEnd"/>
      <w:r w:rsidRPr="006D7319">
        <w:rPr>
          <w:lang w:val="nn-NO"/>
        </w:rPr>
        <w:t>, Vol. 131. Utg. 1.</w:t>
      </w:r>
    </w:p>
    <w:p w14:paraId="288C83B6" w14:textId="362E32BF" w:rsidR="0016483D" w:rsidRPr="006D7319" w:rsidRDefault="0016483D" w:rsidP="006D7319">
      <w:pPr>
        <w:rPr>
          <w:lang w:val="nn-NO"/>
        </w:rPr>
      </w:pPr>
      <w:r w:rsidRPr="006D7319">
        <w:rPr>
          <w:lang w:val="nn-NO"/>
        </w:rPr>
        <w:t xml:space="preserve">Håvemoen, M og Arthur R. Lovkommentar til </w:t>
      </w:r>
      <w:proofErr w:type="spellStart"/>
      <w:r w:rsidRPr="006D7319">
        <w:rPr>
          <w:lang w:val="nn-NO"/>
        </w:rPr>
        <w:t>permitte</w:t>
      </w:r>
      <w:r w:rsidRPr="006D7319">
        <w:rPr>
          <w:lang w:val="nn-NO"/>
        </w:rPr>
        <w:t>ringslønnsloven</w:t>
      </w:r>
      <w:proofErr w:type="spellEnd"/>
      <w:r w:rsidRPr="006D7319">
        <w:rPr>
          <w:lang w:val="nn-NO"/>
        </w:rPr>
        <w:t xml:space="preserve"> </w:t>
      </w:r>
      <w:r w:rsidR="006A50F4">
        <w:rPr>
          <w:lang w:val="nn-NO"/>
        </w:rPr>
        <w:t>§ </w:t>
      </w:r>
      <w:r w:rsidR="006A50F4" w:rsidRPr="006D7319">
        <w:rPr>
          <w:lang w:val="nn-NO"/>
        </w:rPr>
        <w:t>1</w:t>
      </w:r>
      <w:r w:rsidRPr="006D7319">
        <w:rPr>
          <w:lang w:val="nn-NO"/>
        </w:rPr>
        <w:t xml:space="preserve">. Arbeidsrett.no (2026), </w:t>
      </w:r>
      <w:proofErr w:type="spellStart"/>
      <w:r w:rsidRPr="006D7319">
        <w:rPr>
          <w:lang w:val="nn-NO"/>
        </w:rPr>
        <w:t>hentet</w:t>
      </w:r>
      <w:proofErr w:type="spellEnd"/>
      <w:r w:rsidRPr="006D7319">
        <w:rPr>
          <w:lang w:val="nn-NO"/>
        </w:rPr>
        <w:t xml:space="preserve"> 10. mars 2026.</w:t>
      </w:r>
    </w:p>
    <w:p w14:paraId="31A5A127" w14:textId="64B8B2B2" w:rsidR="0016483D" w:rsidRPr="006D7319" w:rsidRDefault="0016483D" w:rsidP="004411CF">
      <w:pPr>
        <w:rPr>
          <w:lang w:val="nn-NO"/>
        </w:rPr>
      </w:pPr>
      <w:r w:rsidRPr="006D7319">
        <w:rPr>
          <w:lang w:val="nn-NO"/>
        </w:rPr>
        <w:t xml:space="preserve">Jakhelln, H. Lovkommentar til </w:t>
      </w:r>
      <w:proofErr w:type="spellStart"/>
      <w:r w:rsidRPr="006D7319">
        <w:rPr>
          <w:lang w:val="nn-NO"/>
        </w:rPr>
        <w:t>permitteringslønns</w:t>
      </w:r>
      <w:r w:rsidRPr="006D7319">
        <w:rPr>
          <w:lang w:val="nn-NO"/>
        </w:rPr>
        <w:t>loven</w:t>
      </w:r>
      <w:proofErr w:type="spellEnd"/>
      <w:r w:rsidRPr="006D7319">
        <w:rPr>
          <w:lang w:val="nn-NO"/>
        </w:rPr>
        <w:t xml:space="preserve"> </w:t>
      </w:r>
      <w:r w:rsidR="006A50F4">
        <w:rPr>
          <w:lang w:val="nn-NO"/>
        </w:rPr>
        <w:t>§ </w:t>
      </w:r>
      <w:r w:rsidR="006A50F4" w:rsidRPr="006D7319">
        <w:rPr>
          <w:lang w:val="nn-NO"/>
        </w:rPr>
        <w:t>1</w:t>
      </w:r>
      <w:r w:rsidRPr="006D7319">
        <w:rPr>
          <w:lang w:val="nn-NO"/>
        </w:rPr>
        <w:t xml:space="preserve">. Rettsdata.no (2026), </w:t>
      </w:r>
      <w:proofErr w:type="spellStart"/>
      <w:r w:rsidRPr="006D7319">
        <w:rPr>
          <w:lang w:val="nn-NO"/>
        </w:rPr>
        <w:t>hentet</w:t>
      </w:r>
      <w:proofErr w:type="spellEnd"/>
      <w:r w:rsidRPr="006D7319">
        <w:rPr>
          <w:lang w:val="nn-NO"/>
        </w:rPr>
        <w:t xml:space="preserve"> 10. mars 2026.</w:t>
      </w:r>
    </w:p>
    <w:p w14:paraId="3A242C4F" w14:textId="51A31D85" w:rsidR="0016483D" w:rsidRPr="006D7319" w:rsidRDefault="0016483D" w:rsidP="006D7319">
      <w:pPr>
        <w:rPr>
          <w:lang w:val="en-US"/>
        </w:rPr>
      </w:pPr>
      <w:r w:rsidRPr="006D7319">
        <w:rPr>
          <w:lang w:val="nn-NO"/>
        </w:rPr>
        <w:t xml:space="preserve">Jakhelln, H og Thorsheim, B. Lovkommentar til arbeidsmiljøloven </w:t>
      </w:r>
      <w:r w:rsidR="006A50F4">
        <w:rPr>
          <w:lang w:val="nn-NO"/>
        </w:rPr>
        <w:t>§ </w:t>
      </w:r>
      <w:r w:rsidR="006A50F4" w:rsidRPr="006D7319">
        <w:rPr>
          <w:lang w:val="nn-NO"/>
        </w:rPr>
        <w:t>1</w:t>
      </w:r>
      <w:r w:rsidRPr="006D7319">
        <w:rPr>
          <w:lang w:val="nn-NO"/>
        </w:rPr>
        <w:t xml:space="preserve">-4. </w:t>
      </w:r>
      <w:r w:rsidRPr="006D7319">
        <w:rPr>
          <w:lang w:val="en-US"/>
        </w:rPr>
        <w:t xml:space="preserve">Arbeidsrett.no, (2026), </w:t>
      </w:r>
      <w:proofErr w:type="spellStart"/>
      <w:r w:rsidRPr="006D7319">
        <w:rPr>
          <w:lang w:val="en-US"/>
        </w:rPr>
        <w:t>hentet</w:t>
      </w:r>
      <w:proofErr w:type="spellEnd"/>
      <w:r w:rsidRPr="006D7319">
        <w:rPr>
          <w:lang w:val="en-US"/>
        </w:rPr>
        <w:t xml:space="preserve"> 10. mars 2026.</w:t>
      </w:r>
    </w:p>
    <w:p w14:paraId="18C4B60F" w14:textId="77777777" w:rsidR="0016483D" w:rsidRPr="006D7319" w:rsidRDefault="0016483D" w:rsidP="006D7319">
      <w:pPr>
        <w:rPr>
          <w:lang w:val="en-US"/>
        </w:rPr>
      </w:pPr>
      <w:r w:rsidRPr="006D7319">
        <w:rPr>
          <w:lang w:val="en-US"/>
        </w:rPr>
        <w:t xml:space="preserve">Meder, M og Weltzien, K. (2024) </w:t>
      </w:r>
      <w:proofErr w:type="spellStart"/>
      <w:r w:rsidRPr="006A50F4">
        <w:rPr>
          <w:rStyle w:val="kursiv"/>
          <w:lang w:val="en-US"/>
        </w:rPr>
        <w:t>Permittering</w:t>
      </w:r>
      <w:proofErr w:type="spellEnd"/>
      <w:r w:rsidRPr="006A50F4">
        <w:rPr>
          <w:rStyle w:val="kursiv"/>
          <w:lang w:val="en-US"/>
        </w:rPr>
        <w:t xml:space="preserve">. </w:t>
      </w:r>
      <w:r w:rsidRPr="006D7319">
        <w:rPr>
          <w:lang w:val="en-US"/>
        </w:rPr>
        <w:t>Oslo: Gyldendal.</w:t>
      </w:r>
    </w:p>
    <w:p w14:paraId="4D890B61" w14:textId="5A5B403B" w:rsidR="0016483D" w:rsidRPr="006A50F4" w:rsidRDefault="0016483D" w:rsidP="006D7319">
      <w:pPr>
        <w:rPr>
          <w:rStyle w:val="halvfet"/>
          <w:lang w:val="en-US"/>
        </w:rPr>
      </w:pPr>
      <w:proofErr w:type="spellStart"/>
      <w:r w:rsidRPr="006D7319">
        <w:rPr>
          <w:lang w:val="en-US"/>
        </w:rPr>
        <w:t>Menegatti</w:t>
      </w:r>
      <w:proofErr w:type="spellEnd"/>
      <w:r w:rsidRPr="006D7319">
        <w:rPr>
          <w:lang w:val="en-US"/>
        </w:rPr>
        <w:t xml:space="preserve">, E. (2020). </w:t>
      </w:r>
      <w:r w:rsidRPr="006A50F4">
        <w:rPr>
          <w:rStyle w:val="kursiv"/>
          <w:lang w:val="en-US"/>
        </w:rPr>
        <w:t xml:space="preserve">The Concept of </w:t>
      </w:r>
      <w:r w:rsidR="006A50F4" w:rsidRPr="006A50F4">
        <w:rPr>
          <w:rStyle w:val="kursiv"/>
          <w:lang w:val="en-US"/>
        </w:rPr>
        <w:t>«</w:t>
      </w:r>
      <w:r w:rsidRPr="006A50F4">
        <w:rPr>
          <w:rStyle w:val="kursiv"/>
          <w:lang w:val="en-US"/>
        </w:rPr>
        <w:t>Worker</w:t>
      </w:r>
      <w:r w:rsidR="006A50F4" w:rsidRPr="006A50F4">
        <w:rPr>
          <w:rStyle w:val="kursiv"/>
          <w:lang w:val="en-US"/>
        </w:rPr>
        <w:t>»</w:t>
      </w:r>
      <w:r w:rsidRPr="006A50F4">
        <w:rPr>
          <w:rStyle w:val="kursiv"/>
          <w:lang w:val="en-US"/>
        </w:rPr>
        <w:t xml:space="preserve"> under the Principle of Free Movement, Studies on </w:t>
      </w:r>
      <w:proofErr w:type="spellStart"/>
      <w:r w:rsidRPr="006A50F4">
        <w:rPr>
          <w:rStyle w:val="kursiv"/>
          <w:lang w:val="en-US"/>
        </w:rPr>
        <w:t>Labour</w:t>
      </w:r>
      <w:proofErr w:type="spellEnd"/>
      <w:r w:rsidRPr="006A50F4">
        <w:rPr>
          <w:rStyle w:val="kursiv"/>
          <w:lang w:val="en-US"/>
        </w:rPr>
        <w:t xml:space="preserve"> Law and Social Policy</w:t>
      </w:r>
      <w:r w:rsidRPr="006D7319">
        <w:rPr>
          <w:lang w:val="en-US"/>
        </w:rPr>
        <w:t>.</w:t>
      </w:r>
    </w:p>
    <w:p w14:paraId="1D866F58" w14:textId="77777777" w:rsidR="0016483D" w:rsidRPr="006D7319" w:rsidRDefault="0016483D" w:rsidP="006D7319">
      <w:r w:rsidRPr="006D7319">
        <w:t xml:space="preserve">Nesheim, T. (2016). </w:t>
      </w:r>
      <w:r w:rsidRPr="006A50F4">
        <w:rPr>
          <w:rStyle w:val="kursiv"/>
        </w:rPr>
        <w:t>Fast ansettelse eller løsere kobling til virksomheten?</w:t>
      </w:r>
      <w:r w:rsidRPr="006D7319">
        <w:t xml:space="preserve"> I Mikkelsen, A. og Laudal, T. (red.): Strategisk HRM 1. Ledelse, organisasjon, strategi og regulering (2. </w:t>
      </w:r>
      <w:proofErr w:type="spellStart"/>
      <w:r w:rsidRPr="006D7319">
        <w:t>utg</w:t>
      </w:r>
      <w:proofErr w:type="spellEnd"/>
      <w:r w:rsidRPr="006D7319">
        <w:t>) Oslo: Cappelen Damm.</w:t>
      </w:r>
    </w:p>
    <w:p w14:paraId="496A340C" w14:textId="0A596722" w:rsidR="0016483D" w:rsidRPr="006D7319" w:rsidRDefault="0016483D" w:rsidP="006D7319">
      <w:pPr>
        <w:rPr>
          <w:lang w:val="en-US"/>
        </w:rPr>
      </w:pPr>
      <w:proofErr w:type="spellStart"/>
      <w:r w:rsidRPr="006D7319">
        <w:t>Risak</w:t>
      </w:r>
      <w:proofErr w:type="spellEnd"/>
      <w:r w:rsidRPr="006D7319">
        <w:t xml:space="preserve">, M og Dullinger, T. (2018). </w:t>
      </w:r>
      <w:r w:rsidRPr="006A50F4">
        <w:rPr>
          <w:rStyle w:val="kursiv"/>
          <w:lang w:val="en-US"/>
        </w:rPr>
        <w:t xml:space="preserve">The Concept of </w:t>
      </w:r>
      <w:r w:rsidR="006A50F4" w:rsidRPr="006A50F4">
        <w:rPr>
          <w:rStyle w:val="kursiv"/>
          <w:lang w:val="en-US"/>
        </w:rPr>
        <w:t>«</w:t>
      </w:r>
      <w:r w:rsidRPr="006A50F4">
        <w:rPr>
          <w:rStyle w:val="kursiv"/>
          <w:lang w:val="en-US"/>
        </w:rPr>
        <w:t>worker</w:t>
      </w:r>
      <w:r w:rsidR="006A50F4" w:rsidRPr="006A50F4">
        <w:rPr>
          <w:rStyle w:val="kursiv"/>
          <w:lang w:val="en-US"/>
        </w:rPr>
        <w:t>»</w:t>
      </w:r>
      <w:r w:rsidRPr="006A50F4">
        <w:rPr>
          <w:rStyle w:val="kursiv"/>
          <w:lang w:val="en-US"/>
        </w:rPr>
        <w:t xml:space="preserve"> in the EU law. Status quo and potential change</w:t>
      </w:r>
      <w:r w:rsidRPr="006D7319">
        <w:rPr>
          <w:lang w:val="en-US"/>
        </w:rPr>
        <w:t>. Report 140. European Trade Union Institute.</w:t>
      </w:r>
    </w:p>
    <w:p w14:paraId="0A5B893A" w14:textId="77777777" w:rsidR="0016483D" w:rsidRPr="006D7319" w:rsidRDefault="0016483D" w:rsidP="006D7319">
      <w:pPr>
        <w:rPr>
          <w:lang w:val="en-US"/>
        </w:rPr>
      </w:pPr>
      <w:r w:rsidRPr="006D7319">
        <w:rPr>
          <w:lang w:val="nn-NO"/>
        </w:rPr>
        <w:t xml:space="preserve">Roverud, L. H., Kjølvik, T. K., Nesheim, T. og </w:t>
      </w:r>
      <w:proofErr w:type="spellStart"/>
      <w:r w:rsidRPr="006D7319">
        <w:rPr>
          <w:lang w:val="nn-NO"/>
        </w:rPr>
        <w:t>Jesnes</w:t>
      </w:r>
      <w:proofErr w:type="spellEnd"/>
      <w:r w:rsidRPr="006D7319">
        <w:rPr>
          <w:lang w:val="nn-NO"/>
        </w:rPr>
        <w:t xml:space="preserve">, K. (2017). </w:t>
      </w:r>
      <w:proofErr w:type="spellStart"/>
      <w:r w:rsidRPr="006A50F4">
        <w:rPr>
          <w:rStyle w:val="kursiv"/>
          <w:lang w:val="en-US"/>
        </w:rPr>
        <w:t>Mellomledd</w:t>
      </w:r>
      <w:proofErr w:type="spellEnd"/>
      <w:r w:rsidRPr="006A50F4">
        <w:rPr>
          <w:rStyle w:val="kursiv"/>
          <w:lang w:val="en-US"/>
        </w:rPr>
        <w:t xml:space="preserve"> </w:t>
      </w:r>
      <w:proofErr w:type="spellStart"/>
      <w:r w:rsidRPr="006A50F4">
        <w:rPr>
          <w:rStyle w:val="kursiv"/>
          <w:lang w:val="en-US"/>
        </w:rPr>
        <w:t>i</w:t>
      </w:r>
      <w:proofErr w:type="spellEnd"/>
      <w:r w:rsidRPr="006A50F4">
        <w:rPr>
          <w:rStyle w:val="kursiv"/>
          <w:lang w:val="en-US"/>
        </w:rPr>
        <w:t xml:space="preserve"> </w:t>
      </w:r>
      <w:proofErr w:type="spellStart"/>
      <w:r w:rsidRPr="006A50F4">
        <w:rPr>
          <w:rStyle w:val="kursiv"/>
          <w:lang w:val="en-US"/>
        </w:rPr>
        <w:t>oppdragsmarkedet</w:t>
      </w:r>
      <w:proofErr w:type="spellEnd"/>
      <w:r w:rsidRPr="006A50F4">
        <w:rPr>
          <w:rStyle w:val="kursiv"/>
          <w:lang w:val="en-US"/>
        </w:rPr>
        <w:t xml:space="preserve">. </w:t>
      </w:r>
      <w:proofErr w:type="spellStart"/>
      <w:r w:rsidRPr="006A50F4">
        <w:rPr>
          <w:rStyle w:val="kursiv"/>
          <w:lang w:val="en-US"/>
        </w:rPr>
        <w:t>Søkelys</w:t>
      </w:r>
      <w:proofErr w:type="spellEnd"/>
      <w:r w:rsidRPr="006A50F4">
        <w:rPr>
          <w:rStyle w:val="kursiv"/>
          <w:lang w:val="en-US"/>
        </w:rPr>
        <w:t xml:space="preserve"> </w:t>
      </w:r>
      <w:proofErr w:type="spellStart"/>
      <w:r w:rsidRPr="006A50F4">
        <w:rPr>
          <w:rStyle w:val="kursiv"/>
          <w:lang w:val="en-US"/>
        </w:rPr>
        <w:t>på</w:t>
      </w:r>
      <w:proofErr w:type="spellEnd"/>
      <w:r w:rsidRPr="006A50F4">
        <w:rPr>
          <w:rStyle w:val="kursiv"/>
          <w:lang w:val="en-US"/>
        </w:rPr>
        <w:t xml:space="preserve"> </w:t>
      </w:r>
      <w:proofErr w:type="spellStart"/>
      <w:r w:rsidRPr="006A50F4">
        <w:rPr>
          <w:rStyle w:val="kursiv"/>
          <w:lang w:val="en-US"/>
        </w:rPr>
        <w:t>arbeidslivet</w:t>
      </w:r>
      <w:proofErr w:type="spellEnd"/>
      <w:r w:rsidRPr="006D7319">
        <w:rPr>
          <w:lang w:val="en-US"/>
        </w:rPr>
        <w:t>, 34 (3), 199–215.</w:t>
      </w:r>
    </w:p>
    <w:p w14:paraId="74AC39E1" w14:textId="2FD1E1D3" w:rsidR="0016483D" w:rsidRPr="006D7319" w:rsidRDefault="0016483D" w:rsidP="006D7319">
      <w:pPr>
        <w:rPr>
          <w:lang w:val="en-US"/>
        </w:rPr>
      </w:pPr>
      <w:proofErr w:type="spellStart"/>
      <w:proofErr w:type="gramStart"/>
      <w:r w:rsidRPr="006D7319">
        <w:rPr>
          <w:lang w:val="en-US"/>
        </w:rPr>
        <w:t>Schadewijk,M</w:t>
      </w:r>
      <w:proofErr w:type="spellEnd"/>
      <w:r w:rsidRPr="006D7319">
        <w:rPr>
          <w:lang w:val="en-US"/>
        </w:rPr>
        <w:t>.</w:t>
      </w:r>
      <w:proofErr w:type="gramEnd"/>
      <w:r w:rsidRPr="006D7319">
        <w:rPr>
          <w:lang w:val="en-US"/>
        </w:rPr>
        <w:t xml:space="preserve"> (2025). </w:t>
      </w:r>
      <w:r w:rsidRPr="006A50F4">
        <w:rPr>
          <w:rStyle w:val="kursiv"/>
          <w:lang w:val="en-US"/>
        </w:rPr>
        <w:t xml:space="preserve">The concept of </w:t>
      </w:r>
      <w:r w:rsidR="006A50F4" w:rsidRPr="006A50F4">
        <w:rPr>
          <w:rStyle w:val="kursiv"/>
          <w:lang w:val="en-US"/>
        </w:rPr>
        <w:t>‘</w:t>
      </w:r>
      <w:r w:rsidRPr="006A50F4">
        <w:rPr>
          <w:rStyle w:val="kursiv"/>
          <w:lang w:val="en-US"/>
        </w:rPr>
        <w:t>temporary agency work</w:t>
      </w:r>
      <w:r w:rsidR="006A50F4" w:rsidRPr="006A50F4">
        <w:rPr>
          <w:rStyle w:val="kursiv"/>
          <w:lang w:val="en-US"/>
        </w:rPr>
        <w:t>’</w:t>
      </w:r>
      <w:r w:rsidRPr="006A50F4">
        <w:rPr>
          <w:rStyle w:val="kursiv"/>
          <w:lang w:val="en-US"/>
        </w:rPr>
        <w:t xml:space="preserve"> in EU law. C-441/23, ECLI:EU:C:2024:916 (Omnitel Comunicaciones and Others),</w:t>
      </w:r>
      <w:r w:rsidRPr="006D7319">
        <w:rPr>
          <w:lang w:val="en-US"/>
        </w:rPr>
        <w:t xml:space="preserve"> European </w:t>
      </w:r>
      <w:proofErr w:type="spellStart"/>
      <w:r w:rsidRPr="006D7319">
        <w:rPr>
          <w:lang w:val="en-US"/>
        </w:rPr>
        <w:t>Labour</w:t>
      </w:r>
      <w:proofErr w:type="spellEnd"/>
      <w:r w:rsidRPr="006D7319">
        <w:rPr>
          <w:lang w:val="en-US"/>
        </w:rPr>
        <w:t xml:space="preserve"> Law.</w:t>
      </w:r>
    </w:p>
    <w:p w14:paraId="0E355557" w14:textId="1C799B41" w:rsidR="0016483D" w:rsidRPr="006D7319" w:rsidRDefault="0016483D" w:rsidP="006D7319">
      <w:r w:rsidRPr="006D7319">
        <w:t xml:space="preserve">Skogli, E. m.fl. (2023). </w:t>
      </w:r>
      <w:r w:rsidRPr="006A50F4">
        <w:rPr>
          <w:rStyle w:val="kursiv"/>
        </w:rPr>
        <w:t>Oppdragsformer i rådgiver</w:t>
      </w:r>
      <w:r w:rsidRPr="006A50F4">
        <w:rPr>
          <w:rStyle w:val="kursiv"/>
        </w:rPr>
        <w:t xml:space="preserve">næringen. </w:t>
      </w:r>
      <w:r w:rsidRPr="006D7319">
        <w:t xml:space="preserve">Oslo: Menon </w:t>
      </w:r>
      <w:proofErr w:type="spellStart"/>
      <w:r w:rsidRPr="006D7319">
        <w:t>Economics</w:t>
      </w:r>
      <w:proofErr w:type="spellEnd"/>
      <w:r w:rsidRPr="006D7319">
        <w:t>.</w:t>
      </w:r>
    </w:p>
    <w:p w14:paraId="2F17B3F6" w14:textId="0045DD04" w:rsidR="0016483D" w:rsidRPr="006D7319" w:rsidRDefault="0016483D" w:rsidP="006D7319">
      <w:r w:rsidRPr="006D7319">
        <w:t xml:space="preserve">Skogli, E. mfl. (2025). </w:t>
      </w:r>
      <w:r w:rsidRPr="006A50F4">
        <w:rPr>
          <w:rStyle w:val="kursiv"/>
        </w:rPr>
        <w:t>Oppdragsorganisering i rådgiver</w:t>
      </w:r>
      <w:r w:rsidRPr="006A50F4">
        <w:rPr>
          <w:rStyle w:val="kursiv"/>
        </w:rPr>
        <w:t>næringen – Kartlegging av organisering av arbeid og oppdrag innen konsulent- og rådgivningsvirksomhet</w:t>
      </w:r>
      <w:r w:rsidRPr="006D7319">
        <w:t xml:space="preserve">. Oslo: Menon </w:t>
      </w:r>
      <w:proofErr w:type="spellStart"/>
      <w:r w:rsidRPr="006D7319">
        <w:t>Economics</w:t>
      </w:r>
      <w:proofErr w:type="spellEnd"/>
      <w:r w:rsidRPr="006D7319">
        <w:t>.</w:t>
      </w:r>
    </w:p>
    <w:p w14:paraId="3B5FB78A" w14:textId="77777777" w:rsidR="0016483D" w:rsidRPr="006D7319" w:rsidRDefault="0016483D" w:rsidP="006D7319">
      <w:r w:rsidRPr="006D7319">
        <w:t xml:space="preserve">Skjønberg, A., Hognestad, E., Hotvedt, M. (2024). </w:t>
      </w:r>
      <w:r w:rsidRPr="006A50F4">
        <w:rPr>
          <w:rStyle w:val="kursiv"/>
        </w:rPr>
        <w:t>Arbeidsrett – individuelle og kollektive emner</w:t>
      </w:r>
      <w:r w:rsidRPr="006D7319">
        <w:t>. 4. utgave. Oslo: Gyldendal.</w:t>
      </w:r>
    </w:p>
    <w:p w14:paraId="6210F46F" w14:textId="09A01344" w:rsidR="0016483D" w:rsidRPr="006A50F4" w:rsidRDefault="0016483D" w:rsidP="006D7319">
      <w:pPr>
        <w:rPr>
          <w:rStyle w:val="halvfet"/>
          <w:lang w:val="nn-NO"/>
        </w:rPr>
      </w:pPr>
      <w:r w:rsidRPr="006D7319">
        <w:t xml:space="preserve">Skjønberg, A. </w:t>
      </w:r>
      <w:proofErr w:type="spellStart"/>
      <w:r w:rsidRPr="006D7319">
        <w:t>Karnov</w:t>
      </w:r>
      <w:proofErr w:type="spellEnd"/>
      <w:r w:rsidRPr="006D7319">
        <w:t xml:space="preserve"> lovkommentar til arbeidsmiljø</w:t>
      </w:r>
      <w:r w:rsidRPr="006D7319">
        <w:t xml:space="preserve">loven </w:t>
      </w:r>
      <w:r w:rsidR="006A50F4">
        <w:t>§ </w:t>
      </w:r>
      <w:r w:rsidR="006A50F4" w:rsidRPr="006D7319">
        <w:t>1</w:t>
      </w:r>
      <w:r w:rsidRPr="006D7319">
        <w:t xml:space="preserve">4-12. </w:t>
      </w:r>
      <w:r w:rsidRPr="006D7319">
        <w:rPr>
          <w:lang w:val="nn-NO"/>
        </w:rPr>
        <w:t xml:space="preserve">I Lovdata Pro (2025), </w:t>
      </w:r>
      <w:proofErr w:type="spellStart"/>
      <w:r w:rsidRPr="006D7319">
        <w:rPr>
          <w:lang w:val="nn-NO"/>
        </w:rPr>
        <w:t>hentet</w:t>
      </w:r>
      <w:proofErr w:type="spellEnd"/>
      <w:r w:rsidRPr="006D7319">
        <w:rPr>
          <w:lang w:val="nn-NO"/>
        </w:rPr>
        <w:t xml:space="preserve"> 15. august 2025.</w:t>
      </w:r>
    </w:p>
    <w:p w14:paraId="3F7E3538" w14:textId="273553C7" w:rsidR="0016483D" w:rsidRPr="006A50F4" w:rsidRDefault="0016483D" w:rsidP="006D7319">
      <w:pPr>
        <w:rPr>
          <w:rStyle w:val="halvfet"/>
          <w:lang w:val="nn-NO"/>
        </w:rPr>
      </w:pPr>
      <w:r w:rsidRPr="006D7319">
        <w:rPr>
          <w:lang w:val="nn-NO"/>
        </w:rPr>
        <w:t xml:space="preserve">Skjønberg, A. </w:t>
      </w:r>
      <w:proofErr w:type="spellStart"/>
      <w:r w:rsidRPr="006D7319">
        <w:rPr>
          <w:lang w:val="nn-NO"/>
        </w:rPr>
        <w:t>Karnov</w:t>
      </w:r>
      <w:proofErr w:type="spellEnd"/>
      <w:r w:rsidRPr="006D7319">
        <w:rPr>
          <w:lang w:val="nn-NO"/>
        </w:rPr>
        <w:t xml:space="preserve"> lovkommentar til arbeidsmiljø</w:t>
      </w:r>
      <w:r w:rsidRPr="006D7319">
        <w:rPr>
          <w:lang w:val="nn-NO"/>
        </w:rPr>
        <w:t xml:space="preserve">loven </w:t>
      </w:r>
      <w:r w:rsidR="006A50F4">
        <w:rPr>
          <w:lang w:val="nn-NO"/>
        </w:rPr>
        <w:t>§ </w:t>
      </w:r>
      <w:r w:rsidR="006A50F4" w:rsidRPr="006D7319">
        <w:rPr>
          <w:lang w:val="nn-NO"/>
        </w:rPr>
        <w:t>1</w:t>
      </w:r>
      <w:r w:rsidRPr="006D7319">
        <w:rPr>
          <w:lang w:val="nn-NO"/>
        </w:rPr>
        <w:t xml:space="preserve">4-13. I Lovdata Pro (2025), </w:t>
      </w:r>
      <w:proofErr w:type="spellStart"/>
      <w:r w:rsidRPr="006D7319">
        <w:rPr>
          <w:lang w:val="nn-NO"/>
        </w:rPr>
        <w:t>hentet</w:t>
      </w:r>
      <w:proofErr w:type="spellEnd"/>
      <w:r w:rsidRPr="006D7319">
        <w:rPr>
          <w:lang w:val="nn-NO"/>
        </w:rPr>
        <w:t xml:space="preserve"> 18. august 2025.</w:t>
      </w:r>
    </w:p>
    <w:p w14:paraId="67CC7896" w14:textId="77777777" w:rsidR="0016483D" w:rsidRPr="006D7319" w:rsidRDefault="0016483D" w:rsidP="006D7319">
      <w:r w:rsidRPr="006D7319">
        <w:t xml:space="preserve">Ulseth, T. (2006). </w:t>
      </w:r>
      <w:r w:rsidRPr="006A50F4">
        <w:rPr>
          <w:rStyle w:val="kursiv"/>
        </w:rPr>
        <w:t>Daglig leders stillingsvern – samspill og kollisjon mellom selskapsrett og arbeidsrett</w:t>
      </w:r>
      <w:r w:rsidRPr="006D7319">
        <w:t>. Oslo: Universitetsforlaget.</w:t>
      </w:r>
    </w:p>
    <w:p w14:paraId="2A3B0B21" w14:textId="77777777" w:rsidR="0016483D" w:rsidRPr="006A50F4" w:rsidRDefault="0016483D" w:rsidP="006D7319">
      <w:pPr>
        <w:rPr>
          <w:rStyle w:val="halvfet"/>
        </w:rPr>
      </w:pPr>
      <w:r w:rsidRPr="006A50F4">
        <w:rPr>
          <w:rStyle w:val="halvfet"/>
        </w:rPr>
        <w:t>Nettsider</w:t>
      </w:r>
    </w:p>
    <w:p w14:paraId="3626B566" w14:textId="77777777" w:rsidR="0016483D" w:rsidRPr="006D7319" w:rsidRDefault="0016483D" w:rsidP="006D7319">
      <w:pPr>
        <w:pStyle w:val="opplisting"/>
      </w:pPr>
      <w:proofErr w:type="spellStart"/>
      <w:r w:rsidRPr="006D7319">
        <w:t>Altinn</w:t>
      </w:r>
      <w:proofErr w:type="spellEnd"/>
      <w:r w:rsidRPr="006D7319">
        <w:t xml:space="preserve">. Enkeltpersonforetak. </w:t>
      </w:r>
      <w:hyperlink r:id="rId14" w:history="1">
        <w:r w:rsidRPr="006D7319">
          <w:rPr>
            <w:rStyle w:val="Hyperkobling"/>
          </w:rPr>
          <w:t>https://info.altinn.no/starte-og-drive/starte/valg-av-organisasjonsform/enkeltpersonforetak/#:~:text=for%20privat%C3%B8konomien%20din.-,Ansatte,penger%20til%20skatt%20og%20avgifter.</w:t>
        </w:r>
      </w:hyperlink>
      <w:r w:rsidRPr="006D7319">
        <w:t>, hentet 7. august 2025.</w:t>
      </w:r>
    </w:p>
    <w:p w14:paraId="0609DDAE" w14:textId="77777777" w:rsidR="0016483D" w:rsidRPr="006D7319" w:rsidRDefault="0016483D" w:rsidP="006D7319">
      <w:pPr>
        <w:pStyle w:val="opplisting"/>
      </w:pPr>
      <w:proofErr w:type="spellStart"/>
      <w:r w:rsidRPr="006D7319">
        <w:t>Altinn</w:t>
      </w:r>
      <w:proofErr w:type="spellEnd"/>
      <w:r w:rsidRPr="006D7319">
        <w:t xml:space="preserve">. Merverdiavgift. </w:t>
      </w:r>
      <w:hyperlink r:id="rId15" w:history="1">
        <w:r w:rsidRPr="006D7319">
          <w:rPr>
            <w:rStyle w:val="Hyperkobling"/>
          </w:rPr>
          <w:t>https://info.altinn.no/starte-og-drive/skatt-og-avgift/avgift/merverdiavgift/</w:t>
        </w:r>
      </w:hyperlink>
      <w:r w:rsidRPr="006D7319">
        <w:t>, hentet 13. oktober 2025.</w:t>
      </w:r>
    </w:p>
    <w:p w14:paraId="438A0499" w14:textId="77777777" w:rsidR="0016483D" w:rsidRPr="006D7319" w:rsidRDefault="0016483D" w:rsidP="006D7319">
      <w:pPr>
        <w:pStyle w:val="opplisting"/>
      </w:pPr>
      <w:r w:rsidRPr="006D7319">
        <w:t xml:space="preserve">Berge, C. SSB. (2025). </w:t>
      </w:r>
      <w:r w:rsidRPr="006A50F4">
        <w:rPr>
          <w:rStyle w:val="kursiv"/>
        </w:rPr>
        <w:t>Hvor mange jobber det i Norge?</w:t>
      </w:r>
      <w:r w:rsidRPr="006D7319">
        <w:t xml:space="preserve"> </w:t>
      </w:r>
      <w:hyperlink r:id="rId16" w:history="1">
        <w:r w:rsidRPr="006D7319">
          <w:rPr>
            <w:rStyle w:val="Hyperkobling"/>
          </w:rPr>
          <w:t>https://www.ssb.no/arbeid-og-lonn/sysselsetting/statistikk/antall-arbeidsforhold-og-lonn/artikler/hvor-mange-jobber-er-det-i-norge</w:t>
        </w:r>
      </w:hyperlink>
      <w:r w:rsidRPr="006D7319">
        <w:t>, hentet 15. oktober 2025.</w:t>
      </w:r>
    </w:p>
    <w:p w14:paraId="20DF37C0" w14:textId="77777777" w:rsidR="0016483D" w:rsidRPr="006D7319" w:rsidRDefault="0016483D" w:rsidP="006D7319">
      <w:pPr>
        <w:pStyle w:val="opplisting"/>
      </w:pPr>
      <w:r w:rsidRPr="006D7319">
        <w:t xml:space="preserve">Brønnøysundregistrene. Gebyr for registrering og tinglysning. </w:t>
      </w:r>
      <w:hyperlink r:id="rId17" w:history="1">
        <w:r w:rsidRPr="006D7319">
          <w:rPr>
            <w:rStyle w:val="Hyperkobling"/>
          </w:rPr>
          <w:t>https://www.brreg.no/hvordan-kan-vi-hjelpe-deg/gebyr-for-registrering-og-tinglysing/#enkeltpersonforetak</w:t>
        </w:r>
      </w:hyperlink>
      <w:r w:rsidRPr="006D7319">
        <w:t>, hentet 13. oktober 2025.</w:t>
      </w:r>
    </w:p>
    <w:p w14:paraId="2E6A963F" w14:textId="77777777" w:rsidR="0016483D" w:rsidRPr="006D7319" w:rsidRDefault="0016483D" w:rsidP="006D7319">
      <w:pPr>
        <w:pStyle w:val="opplisting"/>
      </w:pPr>
      <w:r w:rsidRPr="006D7319">
        <w:t xml:space="preserve">Nav. </w:t>
      </w:r>
      <w:hyperlink r:id="rId18" w:history="1">
        <w:r w:rsidRPr="006D7319">
          <w:rPr>
            <w:rStyle w:val="Hyperkobling"/>
          </w:rPr>
          <w:t>Aksjeselskap (AS) med bare én ansatt – nav.no</w:t>
        </w:r>
      </w:hyperlink>
      <w:r w:rsidRPr="006D7319">
        <w:t>, hentet 9. mars 2026.</w:t>
      </w:r>
    </w:p>
    <w:p w14:paraId="4A12AC07" w14:textId="4B82A83C" w:rsidR="0016483D" w:rsidRPr="006D7319" w:rsidRDefault="0016483D" w:rsidP="006D7319">
      <w:pPr>
        <w:pStyle w:val="opplisting"/>
      </w:pPr>
      <w:r w:rsidRPr="006D7319">
        <w:t xml:space="preserve">Nav rettskilder. </w:t>
      </w:r>
      <w:hyperlink r:id="rId19" w:history="1">
        <w:r w:rsidRPr="006D7319">
          <w:rPr>
            <w:rStyle w:val="Hyperkobling"/>
          </w:rPr>
          <w:t xml:space="preserve">Rundskriv til </w:t>
        </w:r>
        <w:proofErr w:type="spellStart"/>
        <w:r w:rsidRPr="006D7319">
          <w:rPr>
            <w:rStyle w:val="Hyperkobling"/>
          </w:rPr>
          <w:t>ftrl</w:t>
        </w:r>
        <w:proofErr w:type="spellEnd"/>
        <w:r w:rsidRPr="006D7319">
          <w:rPr>
            <w:rStyle w:val="Hyperkobling"/>
          </w:rPr>
          <w:t xml:space="preserve"> </w:t>
        </w:r>
        <w:proofErr w:type="spellStart"/>
        <w:r w:rsidRPr="006D7319">
          <w:rPr>
            <w:rStyle w:val="Hyperkobling"/>
          </w:rPr>
          <w:t>kap</w:t>
        </w:r>
        <w:proofErr w:type="spellEnd"/>
        <w:r w:rsidRPr="006D7319">
          <w:rPr>
            <w:rStyle w:val="Hyperkobling"/>
          </w:rPr>
          <w:t xml:space="preserve"> 4: Dagpenger under arbeidsløshet – Lovdata</w:t>
        </w:r>
      </w:hyperlink>
      <w:r w:rsidRPr="006D7319">
        <w:t xml:space="preserve">, kommentar til </w:t>
      </w:r>
      <w:proofErr w:type="spellStart"/>
      <w:r w:rsidRPr="006D7319">
        <w:t>ftrl</w:t>
      </w:r>
      <w:proofErr w:type="spellEnd"/>
      <w:r w:rsidRPr="006D7319">
        <w:t xml:space="preserve">. </w:t>
      </w:r>
      <w:r w:rsidR="006A50F4">
        <w:t>§ </w:t>
      </w:r>
      <w:r w:rsidR="006A50F4" w:rsidRPr="006D7319">
        <w:t>4</w:t>
      </w:r>
      <w:r w:rsidRPr="006D7319">
        <w:t>-3, hentet 9. mars 2026.</w:t>
      </w:r>
    </w:p>
    <w:p w14:paraId="495E6AC6" w14:textId="77777777" w:rsidR="0016483D" w:rsidRPr="006D7319" w:rsidRDefault="0016483D" w:rsidP="006D7319">
      <w:pPr>
        <w:pStyle w:val="opplisting"/>
      </w:pPr>
      <w:r w:rsidRPr="006D7319">
        <w:t xml:space="preserve">Skatteetaten. Er jeg selvstendig næringsdrivende? </w:t>
      </w:r>
      <w:hyperlink r:id="rId20" w:history="1">
        <w:r w:rsidRPr="006D7319">
          <w:rPr>
            <w:rStyle w:val="Hyperkobling"/>
          </w:rPr>
          <w:t>https://www.skatteetaten.no/bedrift-og-organisasjon/starte-og-drive/er-jeg-naringsdrivend</w:t>
        </w:r>
      </w:hyperlink>
      <w:r w:rsidRPr="006D7319">
        <w:t>, hentet 7. august 2025.</w:t>
      </w:r>
    </w:p>
    <w:p w14:paraId="46330CCA" w14:textId="77777777" w:rsidR="0016483D" w:rsidRPr="006D7319" w:rsidRDefault="0016483D" w:rsidP="006D7319">
      <w:pPr>
        <w:pStyle w:val="opplisting"/>
      </w:pPr>
      <w:r w:rsidRPr="006D7319">
        <w:t xml:space="preserve">Skatteetaten. Kom i gang med ditt nye enkeltpersonforetak. </w:t>
      </w:r>
      <w:hyperlink r:id="rId21" w:history="1">
        <w:r w:rsidRPr="006D7319">
          <w:rPr>
            <w:rStyle w:val="Hyperkobling"/>
          </w:rPr>
          <w:t>https://www.skatteetaten.no/bedrift-og-organisasjon/starte-og-drive/ny-som-naringsdrivende/nytt-enk/</w:t>
        </w:r>
      </w:hyperlink>
      <w:r w:rsidRPr="006D7319">
        <w:t>, hentet 8. juli 2025.</w:t>
      </w:r>
    </w:p>
    <w:sectPr w:rsidR="00000000" w:rsidRPr="006D7319">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E03C7" w14:textId="77777777" w:rsidR="0016483D" w:rsidRDefault="0016483D">
      <w:pPr>
        <w:spacing w:before="0" w:after="0" w:line="240" w:lineRule="auto"/>
      </w:pPr>
      <w:r>
        <w:separator/>
      </w:r>
    </w:p>
  </w:endnote>
  <w:endnote w:type="continuationSeparator" w:id="0">
    <w:p w14:paraId="4A5F84CA" w14:textId="77777777" w:rsidR="0016483D" w:rsidRDefault="001648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4742" w14:textId="77777777" w:rsidR="0016483D" w:rsidRDefault="0016483D">
      <w:pPr>
        <w:spacing w:before="0" w:after="0" w:line="240" w:lineRule="auto"/>
      </w:pPr>
      <w:r>
        <w:separator/>
      </w:r>
    </w:p>
  </w:footnote>
  <w:footnote w:type="continuationSeparator" w:id="0">
    <w:p w14:paraId="38E624D5" w14:textId="77777777" w:rsidR="0016483D" w:rsidRDefault="0016483D">
      <w:pPr>
        <w:spacing w:before="0" w:after="0" w:line="240" w:lineRule="auto"/>
      </w:pPr>
      <w:r>
        <w:continuationSeparator/>
      </w:r>
    </w:p>
  </w:footnote>
  <w:footnote w:id="1">
    <w:p w14:paraId="5BABC4FC" w14:textId="71423F9C" w:rsidR="006A50F4" w:rsidRDefault="006A50F4">
      <w:pPr>
        <w:pStyle w:val="Fotnotetekst"/>
      </w:pPr>
      <w:r w:rsidRPr="006A50F4">
        <w:rPr>
          <w:rStyle w:val="Fotnotereferanse"/>
        </w:rPr>
        <w:footnoteRef/>
      </w:r>
      <w:r w:rsidRPr="006D7319">
        <w:tab/>
        <w:t xml:space="preserve">Arbeids- og inkluderingsdepartementet, Veileder: Innleie av arbeidskraft (30. juni 2023; revidert 20. januar 2026) s. 6. </w:t>
      </w:r>
    </w:p>
  </w:footnote>
  <w:footnote w:id="2">
    <w:p w14:paraId="46B8EF88" w14:textId="158F24B5" w:rsidR="006A50F4" w:rsidRDefault="006A50F4">
      <w:pPr>
        <w:pStyle w:val="Fotnotetekst"/>
      </w:pPr>
      <w:r w:rsidRPr="006A50F4">
        <w:rPr>
          <w:rStyle w:val="Fotnotereferanse"/>
        </w:rPr>
        <w:footnoteRef/>
      </w:r>
      <w:r w:rsidRPr="006D7319">
        <w:tab/>
        <w:t xml:space="preserve">Skriftlig spørsmål fra Anna </w:t>
      </w:r>
      <w:proofErr w:type="spellStart"/>
      <w:r w:rsidRPr="006D7319">
        <w:t>Molberg</w:t>
      </w:r>
      <w:proofErr w:type="spellEnd"/>
      <w:r w:rsidRPr="006D7319">
        <w:t xml:space="preserve"> til arbeids- og inkluderingsministeren, Dokument nr. 15:2725 (2024–2025), 30. juni 2025.</w:t>
      </w:r>
    </w:p>
  </w:footnote>
  <w:footnote w:id="3">
    <w:p w14:paraId="5B6DAF1B" w14:textId="2F7FEFEC" w:rsidR="006A50F4" w:rsidRDefault="006A50F4">
      <w:pPr>
        <w:pStyle w:val="Fotnotetekst"/>
      </w:pPr>
      <w:r w:rsidRPr="006A50F4">
        <w:rPr>
          <w:rStyle w:val="Fotnotereferanse"/>
        </w:rPr>
        <w:footnoteRef/>
      </w:r>
      <w:r w:rsidRPr="006D7319">
        <w:tab/>
      </w:r>
      <w:proofErr w:type="spellStart"/>
      <w:r>
        <w:t>Innst</w:t>
      </w:r>
      <w:proofErr w:type="spellEnd"/>
      <w:r>
        <w:t xml:space="preserve">. </w:t>
      </w:r>
      <w:r w:rsidRPr="006D7319">
        <w:t>449</w:t>
      </w:r>
      <w:r>
        <w:t xml:space="preserve"> </w:t>
      </w:r>
      <w:r w:rsidRPr="006D7319">
        <w:t>S (2023</w:t>
      </w:r>
      <w:r>
        <w:t>–</w:t>
      </w:r>
      <w:r w:rsidRPr="006D7319">
        <w:t xml:space="preserve">2024). </w:t>
      </w:r>
    </w:p>
  </w:footnote>
  <w:footnote w:id="4">
    <w:p w14:paraId="5FBAD52E" w14:textId="5A24051A" w:rsidR="006A50F4" w:rsidRDefault="006A50F4">
      <w:pPr>
        <w:pStyle w:val="Fotnotetekst"/>
      </w:pPr>
      <w:r w:rsidRPr="006A50F4">
        <w:rPr>
          <w:rStyle w:val="Fotnotereferanse"/>
        </w:rPr>
        <w:footnoteRef/>
      </w:r>
      <w:r w:rsidRPr="006D7319">
        <w:tab/>
        <w:t xml:space="preserve">Se vedlegg 1 til denne rapporten. </w:t>
      </w:r>
    </w:p>
  </w:footnote>
  <w:footnote w:id="5">
    <w:p w14:paraId="2985A06A" w14:textId="32E4A484" w:rsidR="006A50F4" w:rsidRDefault="006A50F4">
      <w:pPr>
        <w:pStyle w:val="Fotnotetekst"/>
      </w:pPr>
      <w:r w:rsidRPr="006A50F4">
        <w:rPr>
          <w:rStyle w:val="Fotnotereferanse"/>
        </w:rPr>
        <w:footnoteRef/>
      </w:r>
      <w:r w:rsidRPr="006D7319">
        <w:tab/>
        <w:t xml:space="preserve">Se arbeidsmiljøloven </w:t>
      </w:r>
      <w:r>
        <w:t>§ </w:t>
      </w:r>
      <w:r w:rsidRPr="006D7319">
        <w:t xml:space="preserve">1-8 første ledd og </w:t>
      </w:r>
      <w:proofErr w:type="spellStart"/>
      <w:r>
        <w:t>Prop</w:t>
      </w:r>
      <w:proofErr w:type="spellEnd"/>
      <w:r>
        <w:t xml:space="preserve">. </w:t>
      </w:r>
      <w:r w:rsidRPr="006D7319">
        <w:t>14</w:t>
      </w:r>
      <w:r>
        <w:t xml:space="preserve"> </w:t>
      </w:r>
      <w:r w:rsidRPr="006D7319">
        <w:t xml:space="preserve">L (2022–2023). </w:t>
      </w:r>
    </w:p>
  </w:footnote>
  <w:footnote w:id="6">
    <w:p w14:paraId="69522DED" w14:textId="08882F47" w:rsidR="006A50F4" w:rsidRDefault="006A50F4">
      <w:pPr>
        <w:pStyle w:val="Fotnotetekst"/>
      </w:pPr>
      <w:r w:rsidRPr="006A50F4">
        <w:rPr>
          <w:rStyle w:val="Fotnotereferanse"/>
        </w:rPr>
        <w:footnoteRef/>
      </w:r>
      <w:r w:rsidRPr="006D7319">
        <w:tab/>
        <w:t xml:space="preserve">Begrepet </w:t>
      </w:r>
      <w:r>
        <w:t>«</w:t>
      </w:r>
      <w:r w:rsidRPr="006D7319">
        <w:t>enpersonsbedrifter</w:t>
      </w:r>
      <w:r>
        <w:t>»</w:t>
      </w:r>
      <w:r w:rsidRPr="006D7319">
        <w:t xml:space="preserve"> er ikke et rettslig begrep, men vil av praktiske hensyn benyttes som en samlebetegnelse på foretak som kun består av én person, uavhengig av organisasjonsform (typisk enkeltpersonforetak eller aksjeselskap). Begrepet innebærer ikke at det er tatt stilling til den rettslige klassifiseringen av disse etter arbeidsmiljøloven. Se nærmere om dette i punkt 2.5.3. </w:t>
      </w:r>
    </w:p>
  </w:footnote>
  <w:footnote w:id="7">
    <w:p w14:paraId="2BD2DC3A" w14:textId="6B8A69AB" w:rsidR="006A50F4" w:rsidRDefault="006A50F4">
      <w:pPr>
        <w:pStyle w:val="Fotnotetekst"/>
      </w:pPr>
      <w:r w:rsidRPr="006A50F4">
        <w:rPr>
          <w:rStyle w:val="Fotnotereferanse"/>
        </w:rPr>
        <w:footnoteRef/>
      </w:r>
      <w:r w:rsidRPr="006D7319">
        <w:tab/>
        <w:t xml:space="preserve">Skjønberg mfl. (2024) s. 101. </w:t>
      </w:r>
    </w:p>
  </w:footnote>
  <w:footnote w:id="8">
    <w:p w14:paraId="19444099" w14:textId="3804ABC6" w:rsidR="006A50F4" w:rsidRDefault="006A50F4">
      <w:pPr>
        <w:pStyle w:val="Fotnotetekst"/>
      </w:pPr>
      <w:r w:rsidRPr="006A50F4">
        <w:rPr>
          <w:rStyle w:val="Fotnotereferanse"/>
        </w:rPr>
        <w:footnoteRef/>
      </w:r>
      <w:r w:rsidRPr="006D7319">
        <w:tab/>
        <w:t>Ot</w:t>
      </w:r>
      <w:r>
        <w:t xml:space="preserve">.prp. nr. </w:t>
      </w:r>
      <w:r w:rsidRPr="006D7319">
        <w:t>31 (1935) s. 7–8. Se nærmere Hotvedt (2016) s. 156–160.</w:t>
      </w:r>
    </w:p>
  </w:footnote>
  <w:footnote w:id="9">
    <w:p w14:paraId="4145A442" w14:textId="263E9F13" w:rsidR="006A50F4" w:rsidRDefault="006A50F4">
      <w:pPr>
        <w:pStyle w:val="Fotnotetekst"/>
      </w:pPr>
      <w:r w:rsidRPr="006A50F4">
        <w:rPr>
          <w:rStyle w:val="Fotnotereferanse"/>
        </w:rPr>
        <w:footnoteRef/>
      </w:r>
      <w:r w:rsidRPr="006D7319">
        <w:tab/>
        <w:t xml:space="preserve">Skjønberg mfl. (2024) s. 103, med videre henvisning til f.eks. </w:t>
      </w:r>
      <w:proofErr w:type="spellStart"/>
      <w:r w:rsidRPr="006D7319">
        <w:t>Rt</w:t>
      </w:r>
      <w:proofErr w:type="spellEnd"/>
      <w:r w:rsidRPr="006D7319">
        <w:t xml:space="preserve">. 1992 s. 1055. </w:t>
      </w:r>
    </w:p>
  </w:footnote>
  <w:footnote w:id="10">
    <w:p w14:paraId="2894E0B4" w14:textId="4B697511"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 xml:space="preserve">49 (2004–2005) s. 74 og s. 77. </w:t>
      </w:r>
    </w:p>
  </w:footnote>
  <w:footnote w:id="11">
    <w:p w14:paraId="7D4D34D4" w14:textId="27BCECDC"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49 (2004–2005) s. 74 og s. 77.</w:t>
      </w:r>
    </w:p>
  </w:footnote>
  <w:footnote w:id="12">
    <w:p w14:paraId="27C9D842" w14:textId="15D78C0A" w:rsidR="006A50F4" w:rsidRDefault="006A50F4">
      <w:pPr>
        <w:pStyle w:val="Fotnotetekst"/>
      </w:pPr>
      <w:r w:rsidRPr="006A50F4">
        <w:rPr>
          <w:rStyle w:val="Fotnotereferanse"/>
        </w:rPr>
        <w:footnoteRef/>
      </w:r>
      <w:r w:rsidRPr="006D7319">
        <w:tab/>
        <w:t xml:space="preserve">Hotvedt, Lovdata </w:t>
      </w:r>
      <w:proofErr w:type="spellStart"/>
      <w:r w:rsidRPr="006D7319">
        <w:t>Karnov</w:t>
      </w:r>
      <w:proofErr w:type="spellEnd"/>
      <w:r w:rsidRPr="006D7319">
        <w:t xml:space="preserve"> lovkommentar til arbeidsmiljøloven </w:t>
      </w:r>
      <w:r>
        <w:t>§ </w:t>
      </w:r>
      <w:r w:rsidRPr="006D7319">
        <w:t>1-4.</w:t>
      </w:r>
    </w:p>
  </w:footnote>
  <w:footnote w:id="13">
    <w:p w14:paraId="6B6FF19F" w14:textId="0924267D"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74</w:t>
      </w:r>
      <w:r>
        <w:t xml:space="preserve"> </w:t>
      </w:r>
      <w:r w:rsidRPr="006D7319">
        <w:t>L (2011–2012) s. 52.</w:t>
      </w:r>
    </w:p>
  </w:footnote>
  <w:footnote w:id="14">
    <w:p w14:paraId="6778985C" w14:textId="4AE54E7E" w:rsidR="006A50F4" w:rsidRDefault="006A50F4">
      <w:pPr>
        <w:pStyle w:val="Fotnotetekst"/>
      </w:pPr>
      <w:r w:rsidRPr="006A50F4">
        <w:rPr>
          <w:rStyle w:val="Fotnotereferanse"/>
        </w:rPr>
        <w:footnoteRef/>
      </w:r>
      <w:r w:rsidRPr="006D7319">
        <w:tab/>
        <w:t>Skjønberg mfl. (2024) s. 65.</w:t>
      </w:r>
    </w:p>
  </w:footnote>
  <w:footnote w:id="15">
    <w:p w14:paraId="3A91264A" w14:textId="5A0123BE" w:rsidR="006A50F4" w:rsidRDefault="006A50F4">
      <w:pPr>
        <w:pStyle w:val="Fotnotetekst"/>
      </w:pPr>
      <w:r w:rsidRPr="006A50F4">
        <w:rPr>
          <w:rStyle w:val="Fotnotereferanse"/>
        </w:rPr>
        <w:footnoteRef/>
      </w:r>
      <w:r w:rsidRPr="006D7319">
        <w:tab/>
        <w:t xml:space="preserve">Ibid. Hvor det også påpekes at det ikke er nødvendig med en </w:t>
      </w:r>
      <w:r w:rsidRPr="006A50F4">
        <w:rPr>
          <w:rStyle w:val="kursiv"/>
        </w:rPr>
        <w:t xml:space="preserve">formell </w:t>
      </w:r>
      <w:r w:rsidRPr="006D7319">
        <w:t>arbeidskontrakt.</w:t>
      </w:r>
    </w:p>
  </w:footnote>
  <w:footnote w:id="16">
    <w:p w14:paraId="1EE310F3" w14:textId="78C52668" w:rsidR="006A50F4" w:rsidRDefault="006A50F4">
      <w:pPr>
        <w:pStyle w:val="Fotnotetekst"/>
      </w:pPr>
      <w:r w:rsidRPr="006A50F4">
        <w:rPr>
          <w:rStyle w:val="Fotnotereferanse"/>
        </w:rPr>
        <w:footnoteRef/>
      </w:r>
      <w:r w:rsidRPr="006D7319">
        <w:tab/>
        <w:t>Disse personene anses likevel som arbeidstakere etter lovens regler om varsling og helse, miljø og sikkerhet når de utfører arbeid i virksomhet som går inn under loven, se første ledd.</w:t>
      </w:r>
    </w:p>
  </w:footnote>
  <w:footnote w:id="17">
    <w:p w14:paraId="1FDCD795" w14:textId="3E5F63AF"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14</w:t>
      </w:r>
      <w:r>
        <w:t xml:space="preserve"> </w:t>
      </w:r>
      <w:r w:rsidRPr="006D7319">
        <w:t>L (2022–2023) s. 25.</w:t>
      </w:r>
    </w:p>
  </w:footnote>
  <w:footnote w:id="18">
    <w:p w14:paraId="53BBF78F" w14:textId="6C800CCF" w:rsidR="006A50F4" w:rsidRDefault="006A50F4">
      <w:pPr>
        <w:pStyle w:val="Fotnotetekst"/>
      </w:pPr>
      <w:r w:rsidRPr="006A50F4">
        <w:rPr>
          <w:rStyle w:val="Fotnotereferanse"/>
        </w:rPr>
        <w:footnoteRef/>
      </w:r>
      <w:r w:rsidRPr="006D7319">
        <w:tab/>
        <w:t xml:space="preserve">Endringslov 17. mars 2023 nr. 3, i kraft 1. januar 2024. </w:t>
      </w:r>
    </w:p>
  </w:footnote>
  <w:footnote w:id="19">
    <w:p w14:paraId="56765CC0" w14:textId="0778520C"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14</w:t>
      </w:r>
      <w:r>
        <w:t xml:space="preserve"> </w:t>
      </w:r>
      <w:r w:rsidRPr="006D7319">
        <w:t>L (2022–2023) s. 27.</w:t>
      </w:r>
    </w:p>
  </w:footnote>
  <w:footnote w:id="20">
    <w:p w14:paraId="56199342" w14:textId="2DF038C1" w:rsidR="006A50F4" w:rsidRDefault="006A50F4">
      <w:pPr>
        <w:pStyle w:val="Fotnotetekst"/>
      </w:pPr>
      <w:r w:rsidRPr="006A50F4">
        <w:rPr>
          <w:rStyle w:val="Fotnotereferanse"/>
        </w:rPr>
        <w:footnoteRef/>
      </w:r>
      <w:r w:rsidRPr="006D7319">
        <w:tab/>
      </w:r>
      <w:proofErr w:type="spellStart"/>
      <w:r w:rsidRPr="006D7319">
        <w:t>Prop</w:t>
      </w:r>
      <w:proofErr w:type="spellEnd"/>
      <w:r w:rsidRPr="006D7319">
        <w:t>. 14. L (2022–2023) s. 28.</w:t>
      </w:r>
    </w:p>
  </w:footnote>
  <w:footnote w:id="21">
    <w:p w14:paraId="482A5A5A" w14:textId="73BE05E6" w:rsidR="006A50F4" w:rsidRDefault="006A50F4">
      <w:pPr>
        <w:pStyle w:val="Fotnotetekst"/>
      </w:pPr>
      <w:r w:rsidRPr="006A50F4">
        <w:rPr>
          <w:rStyle w:val="Fotnotereferanse"/>
        </w:rPr>
        <w:footnoteRef/>
      </w:r>
      <w:r w:rsidRPr="006D7319">
        <w:tab/>
        <w:t xml:space="preserve">Se for eksempel </w:t>
      </w:r>
      <w:proofErr w:type="spellStart"/>
      <w:r w:rsidRPr="006D7319">
        <w:t>Rt</w:t>
      </w:r>
      <w:proofErr w:type="spellEnd"/>
      <w:r w:rsidRPr="006D7319">
        <w:t>. 2013 s. 354 avsnitt 39 (Avlaster I) og HR-2025-2516-A avsnitt 33.</w:t>
      </w:r>
    </w:p>
  </w:footnote>
  <w:footnote w:id="22">
    <w:p w14:paraId="38C7ECAB" w14:textId="5BF534D3"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14</w:t>
      </w:r>
      <w:r>
        <w:t xml:space="preserve"> </w:t>
      </w:r>
      <w:r w:rsidRPr="006D7319">
        <w:t xml:space="preserve">L (2022–2023) s. 27. </w:t>
      </w:r>
    </w:p>
  </w:footnote>
  <w:footnote w:id="23">
    <w:p w14:paraId="4C6360BE" w14:textId="68F86E9F"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14</w:t>
      </w:r>
      <w:r>
        <w:t xml:space="preserve"> </w:t>
      </w:r>
      <w:r w:rsidRPr="006D7319">
        <w:t xml:space="preserve">L (2022–2023) s. 30. </w:t>
      </w:r>
    </w:p>
  </w:footnote>
  <w:footnote w:id="24">
    <w:p w14:paraId="555FE760" w14:textId="1DB8C027" w:rsidR="006A50F4" w:rsidRDefault="006A50F4">
      <w:pPr>
        <w:pStyle w:val="Fotnotetekst"/>
      </w:pPr>
      <w:r w:rsidRPr="006A50F4">
        <w:rPr>
          <w:rStyle w:val="Fotnotereferanse"/>
        </w:rPr>
        <w:footnoteRef/>
      </w:r>
      <w:r w:rsidRPr="006D7319">
        <w:tab/>
        <w:t xml:space="preserve">NOU 2004: 5 s. 154, </w:t>
      </w:r>
      <w:proofErr w:type="spellStart"/>
      <w:r w:rsidRPr="006D7319">
        <w:t>Rt</w:t>
      </w:r>
      <w:proofErr w:type="spellEnd"/>
      <w:r w:rsidRPr="006D7319">
        <w:t xml:space="preserve">. 2013 s. 354 (Avlaster I), </w:t>
      </w:r>
      <w:proofErr w:type="spellStart"/>
      <w:r>
        <w:t>Prop</w:t>
      </w:r>
      <w:proofErr w:type="spellEnd"/>
      <w:r>
        <w:t xml:space="preserve">. </w:t>
      </w:r>
      <w:r w:rsidRPr="006D7319">
        <w:t>134</w:t>
      </w:r>
      <w:r>
        <w:t xml:space="preserve"> </w:t>
      </w:r>
      <w:r w:rsidRPr="006D7319">
        <w:t xml:space="preserve">L (2010–2011) s. 72 og </w:t>
      </w:r>
      <w:proofErr w:type="spellStart"/>
      <w:r>
        <w:t>Prop</w:t>
      </w:r>
      <w:proofErr w:type="spellEnd"/>
      <w:r>
        <w:t xml:space="preserve">. </w:t>
      </w:r>
      <w:r w:rsidRPr="006D7319">
        <w:t>14</w:t>
      </w:r>
      <w:r>
        <w:t xml:space="preserve"> </w:t>
      </w:r>
      <w:r w:rsidRPr="006D7319">
        <w:t xml:space="preserve">L (2022–2023) s. 66. </w:t>
      </w:r>
    </w:p>
  </w:footnote>
  <w:footnote w:id="25">
    <w:p w14:paraId="4FBB7609" w14:textId="53B04B58"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14</w:t>
      </w:r>
      <w:r>
        <w:t xml:space="preserve"> </w:t>
      </w:r>
      <w:r w:rsidRPr="006D7319">
        <w:t xml:space="preserve">L (2022–2023) s. 27. </w:t>
      </w:r>
    </w:p>
  </w:footnote>
  <w:footnote w:id="26">
    <w:p w14:paraId="28C88953" w14:textId="2D474B22"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Skjønberg mfl. (2024) s. 67–68.</w:t>
      </w:r>
    </w:p>
  </w:footnote>
  <w:footnote w:id="27">
    <w:p w14:paraId="2075041B" w14:textId="231A1ADD" w:rsidR="006A50F4" w:rsidRPr="006D7319" w:rsidRDefault="006A50F4">
      <w:pPr>
        <w:pStyle w:val="Fotnotetekst"/>
        <w:rPr>
          <w:lang w:val="nn-NO"/>
        </w:rPr>
      </w:pPr>
      <w:r w:rsidRPr="006A50F4">
        <w:rPr>
          <w:rStyle w:val="Fotnotereferanse"/>
        </w:rPr>
        <w:footnoteRef/>
      </w:r>
      <w:r w:rsidRPr="006D7319">
        <w:rPr>
          <w:lang w:val="nn-NO"/>
        </w:rPr>
        <w:tab/>
      </w:r>
      <w:proofErr w:type="spellStart"/>
      <w:r>
        <w:rPr>
          <w:lang w:val="nn-NO"/>
        </w:rPr>
        <w:t>Prop</w:t>
      </w:r>
      <w:proofErr w:type="spellEnd"/>
      <w:r>
        <w:rPr>
          <w:lang w:val="nn-NO"/>
        </w:rPr>
        <w:t xml:space="preserve">. </w:t>
      </w:r>
      <w:r w:rsidRPr="006D7319">
        <w:rPr>
          <w:lang w:val="nn-NO"/>
        </w:rPr>
        <w:t>14</w:t>
      </w:r>
      <w:r>
        <w:rPr>
          <w:lang w:val="nn-NO"/>
        </w:rPr>
        <w:t xml:space="preserve"> </w:t>
      </w:r>
      <w:r w:rsidRPr="006D7319">
        <w:rPr>
          <w:lang w:val="nn-NO"/>
        </w:rPr>
        <w:t>L (2022–2023) s. 16.</w:t>
      </w:r>
    </w:p>
  </w:footnote>
  <w:footnote w:id="28">
    <w:p w14:paraId="0B324166" w14:textId="3B855D03"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 xml:space="preserve">NOU 2021: 9 s. 167. </w:t>
      </w:r>
    </w:p>
  </w:footnote>
  <w:footnote w:id="29">
    <w:p w14:paraId="19C3CC51" w14:textId="064E15EF"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 xml:space="preserve">Hotvedt, Lovdata </w:t>
      </w:r>
      <w:proofErr w:type="spellStart"/>
      <w:r w:rsidRPr="006D7319">
        <w:rPr>
          <w:lang w:val="nn-NO"/>
        </w:rPr>
        <w:t>Karnov</w:t>
      </w:r>
      <w:proofErr w:type="spellEnd"/>
      <w:r w:rsidRPr="006D7319">
        <w:rPr>
          <w:lang w:val="nn-NO"/>
        </w:rPr>
        <w:t xml:space="preserve"> lovkommentar til arbeidsmiljøloven </w:t>
      </w:r>
      <w:r>
        <w:rPr>
          <w:lang w:val="nn-NO"/>
        </w:rPr>
        <w:t>§ </w:t>
      </w:r>
      <w:r w:rsidRPr="006D7319">
        <w:rPr>
          <w:lang w:val="nn-NO"/>
        </w:rPr>
        <w:t>1-8.</w:t>
      </w:r>
    </w:p>
  </w:footnote>
  <w:footnote w:id="30">
    <w:p w14:paraId="1ED545D3" w14:textId="7CAC1D21"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 xml:space="preserve">49 (2004–2005) s. 74. </w:t>
      </w:r>
    </w:p>
  </w:footnote>
  <w:footnote w:id="31">
    <w:p w14:paraId="2EE912B3" w14:textId="71E67ABD"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 xml:space="preserve">Hotvedt, Lovdata </w:t>
      </w:r>
      <w:proofErr w:type="spellStart"/>
      <w:r w:rsidRPr="006D7319">
        <w:rPr>
          <w:lang w:val="nn-NO"/>
        </w:rPr>
        <w:t>Karnov</w:t>
      </w:r>
      <w:proofErr w:type="spellEnd"/>
      <w:r w:rsidRPr="006D7319">
        <w:rPr>
          <w:lang w:val="nn-NO"/>
        </w:rPr>
        <w:t xml:space="preserve"> lovkommentar til arbeidsmiljøloven </w:t>
      </w:r>
      <w:r>
        <w:rPr>
          <w:lang w:val="nn-NO"/>
        </w:rPr>
        <w:t>§ </w:t>
      </w:r>
      <w:r w:rsidRPr="006D7319">
        <w:rPr>
          <w:lang w:val="nn-NO"/>
        </w:rPr>
        <w:t>1-8.</w:t>
      </w:r>
    </w:p>
  </w:footnote>
  <w:footnote w:id="32">
    <w:p w14:paraId="1D34E4F2" w14:textId="31FF9953"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Ibid.</w:t>
      </w:r>
    </w:p>
  </w:footnote>
  <w:footnote w:id="33">
    <w:p w14:paraId="5FA6A274" w14:textId="35A9D7F3"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Ibid.</w:t>
      </w:r>
    </w:p>
  </w:footnote>
  <w:footnote w:id="34">
    <w:p w14:paraId="295E6EFE" w14:textId="4FCE541A"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49 (2004–2005) s. 76.</w:t>
      </w:r>
    </w:p>
  </w:footnote>
  <w:footnote w:id="35">
    <w:p w14:paraId="4D193FCA" w14:textId="397D4695"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49 (2004–2005) s. 76–77.</w:t>
      </w:r>
    </w:p>
  </w:footnote>
  <w:footnote w:id="36">
    <w:p w14:paraId="0647BF08" w14:textId="16099381"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92 (2004–2005) s. 76.</w:t>
      </w:r>
    </w:p>
  </w:footnote>
  <w:footnote w:id="37">
    <w:p w14:paraId="5858D4D6" w14:textId="086C7962"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92 (2004–2005) s. 73.</w:t>
      </w:r>
    </w:p>
  </w:footnote>
  <w:footnote w:id="38">
    <w:p w14:paraId="22D19FAF" w14:textId="44795CF3"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92 (2004–2005) s. 76.</w:t>
      </w:r>
    </w:p>
  </w:footnote>
  <w:footnote w:id="39">
    <w:p w14:paraId="41120CCA" w14:textId="7EEFA087"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 xml:space="preserve">Engh, Lovdata </w:t>
      </w:r>
      <w:proofErr w:type="spellStart"/>
      <w:r w:rsidRPr="006D7319">
        <w:rPr>
          <w:lang w:val="nn-NO"/>
        </w:rPr>
        <w:t>Karnov</w:t>
      </w:r>
      <w:proofErr w:type="spellEnd"/>
      <w:r w:rsidRPr="006D7319">
        <w:rPr>
          <w:lang w:val="nn-NO"/>
        </w:rPr>
        <w:t xml:space="preserve"> lovkommentar til foretaksregisterloven </w:t>
      </w:r>
      <w:r>
        <w:rPr>
          <w:lang w:val="nn-NO"/>
        </w:rPr>
        <w:t>§ </w:t>
      </w:r>
      <w:r w:rsidRPr="006D7319">
        <w:rPr>
          <w:lang w:val="nn-NO"/>
        </w:rPr>
        <w:t xml:space="preserve">2-2. </w:t>
      </w:r>
    </w:p>
  </w:footnote>
  <w:footnote w:id="40">
    <w:p w14:paraId="2ADF7AFE" w14:textId="49EE5B78" w:rsidR="006A50F4" w:rsidRPr="0016483D" w:rsidRDefault="006A50F4">
      <w:pPr>
        <w:pStyle w:val="Fotnotetekst"/>
      </w:pPr>
      <w:r w:rsidRPr="006A50F4">
        <w:rPr>
          <w:rStyle w:val="Fotnotereferanse"/>
        </w:rPr>
        <w:footnoteRef/>
      </w:r>
      <w:r w:rsidRPr="0016483D">
        <w:tab/>
      </w:r>
      <w:hyperlink r:id="rId1" w:history="1">
        <w:r w:rsidRPr="0016483D">
          <w:rPr>
            <w:rStyle w:val="Hyperkobling"/>
          </w:rPr>
          <w:t>Er jeg næringsdrivende? – Skatteetaten</w:t>
        </w:r>
      </w:hyperlink>
      <w:r w:rsidRPr="0016483D">
        <w:t xml:space="preserve"> (hentet 7. august 2025).</w:t>
      </w:r>
    </w:p>
  </w:footnote>
  <w:footnote w:id="41">
    <w:p w14:paraId="4D5C7628" w14:textId="5837F152" w:rsidR="006A50F4" w:rsidRPr="0016483D" w:rsidRDefault="006A50F4">
      <w:pPr>
        <w:pStyle w:val="Fotnotetekst"/>
      </w:pPr>
      <w:r w:rsidRPr="006A50F4">
        <w:rPr>
          <w:rStyle w:val="Fotnotereferanse"/>
        </w:rPr>
        <w:footnoteRef/>
      </w:r>
      <w:r w:rsidRPr="0016483D">
        <w:tab/>
      </w:r>
      <w:hyperlink r:id="rId2" w:history="1">
        <w:proofErr w:type="spellStart"/>
        <w:r w:rsidRPr="0016483D">
          <w:rPr>
            <w:rStyle w:val="Hyperkobling"/>
          </w:rPr>
          <w:t>Altinn</w:t>
        </w:r>
        <w:proofErr w:type="spellEnd"/>
        <w:r w:rsidRPr="0016483D">
          <w:rPr>
            <w:rStyle w:val="Hyperkobling"/>
          </w:rPr>
          <w:t xml:space="preserve"> – Enkeltpersonforetak</w:t>
        </w:r>
      </w:hyperlink>
      <w:r w:rsidRPr="0016483D">
        <w:t xml:space="preserve"> (hentet 7. august 2025).</w:t>
      </w:r>
    </w:p>
  </w:footnote>
  <w:footnote w:id="42">
    <w:p w14:paraId="2DE152B6" w14:textId="7531B1C0" w:rsidR="006A50F4" w:rsidRPr="0016483D" w:rsidRDefault="006A50F4">
      <w:pPr>
        <w:pStyle w:val="Fotnotetekst"/>
      </w:pPr>
      <w:r w:rsidRPr="006A50F4">
        <w:rPr>
          <w:rStyle w:val="Fotnotereferanse"/>
        </w:rPr>
        <w:footnoteRef/>
      </w:r>
      <w:r w:rsidRPr="0016483D">
        <w:tab/>
      </w:r>
      <w:hyperlink r:id="rId3" w:history="1">
        <w:r w:rsidRPr="0016483D">
          <w:rPr>
            <w:rStyle w:val="Hyperkobling"/>
          </w:rPr>
          <w:t>Kom i gang med ditt nye enkeltpersonforetak – Skatteetaten</w:t>
        </w:r>
      </w:hyperlink>
      <w:r w:rsidRPr="0016483D">
        <w:t xml:space="preserve"> (hentet 8. juli 2025).</w:t>
      </w:r>
    </w:p>
  </w:footnote>
  <w:footnote w:id="43">
    <w:p w14:paraId="2D161DAE" w14:textId="0E7D0039" w:rsidR="006A50F4" w:rsidRPr="006D7319" w:rsidRDefault="006A50F4">
      <w:pPr>
        <w:pStyle w:val="Fotnotetekst"/>
        <w:rPr>
          <w:lang w:val="nn-NO"/>
        </w:rPr>
      </w:pPr>
      <w:r w:rsidRPr="006A50F4">
        <w:rPr>
          <w:rStyle w:val="Fotnotereferanse"/>
        </w:rPr>
        <w:footnoteRef/>
      </w:r>
      <w:r w:rsidRPr="006D7319">
        <w:rPr>
          <w:lang w:val="nn-NO"/>
        </w:rPr>
        <w:tab/>
      </w:r>
      <w:proofErr w:type="spellStart"/>
      <w:r>
        <w:rPr>
          <w:lang w:val="nn-NO"/>
        </w:rPr>
        <w:t>Prop</w:t>
      </w:r>
      <w:proofErr w:type="spellEnd"/>
      <w:r>
        <w:rPr>
          <w:lang w:val="nn-NO"/>
        </w:rPr>
        <w:t xml:space="preserve">. </w:t>
      </w:r>
      <w:r w:rsidRPr="006D7319">
        <w:rPr>
          <w:lang w:val="nn-NO"/>
        </w:rPr>
        <w:t>148</w:t>
      </w:r>
      <w:r>
        <w:rPr>
          <w:lang w:val="nn-NO"/>
        </w:rPr>
        <w:t xml:space="preserve"> </w:t>
      </w:r>
      <w:r w:rsidRPr="006D7319">
        <w:rPr>
          <w:lang w:val="nn-NO"/>
        </w:rPr>
        <w:t>L (2010–2011) s. 28.</w:t>
      </w:r>
    </w:p>
  </w:footnote>
  <w:footnote w:id="44">
    <w:p w14:paraId="6ADAC1BF" w14:textId="6C7E4CB7"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 xml:space="preserve">Christoffersen, Lovdata </w:t>
      </w:r>
      <w:proofErr w:type="spellStart"/>
      <w:r w:rsidRPr="006D7319">
        <w:rPr>
          <w:lang w:val="nn-NO"/>
        </w:rPr>
        <w:t>Karnov</w:t>
      </w:r>
      <w:proofErr w:type="spellEnd"/>
      <w:r w:rsidRPr="006D7319">
        <w:rPr>
          <w:lang w:val="nn-NO"/>
        </w:rPr>
        <w:t xml:space="preserve"> lovkommentar til </w:t>
      </w:r>
      <w:proofErr w:type="spellStart"/>
      <w:r w:rsidRPr="006D7319">
        <w:rPr>
          <w:lang w:val="nn-NO"/>
        </w:rPr>
        <w:t>aksjeloven</w:t>
      </w:r>
      <w:proofErr w:type="spellEnd"/>
      <w:r w:rsidRPr="006D7319">
        <w:rPr>
          <w:lang w:val="nn-NO"/>
        </w:rPr>
        <w:t xml:space="preserve"> </w:t>
      </w:r>
      <w:r>
        <w:rPr>
          <w:lang w:val="nn-NO"/>
        </w:rPr>
        <w:t>§ </w:t>
      </w:r>
      <w:r w:rsidRPr="006D7319">
        <w:rPr>
          <w:lang w:val="nn-NO"/>
        </w:rPr>
        <w:t>5-1 første ledd.</w:t>
      </w:r>
    </w:p>
  </w:footnote>
  <w:footnote w:id="45">
    <w:p w14:paraId="6535A5DB" w14:textId="445209A8"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NOU 2021: 9, s. 111.</w:t>
      </w:r>
    </w:p>
  </w:footnote>
  <w:footnote w:id="46">
    <w:p w14:paraId="6FA98A1B" w14:textId="1A495191"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Ibid.</w:t>
      </w:r>
    </w:p>
  </w:footnote>
  <w:footnote w:id="47">
    <w:p w14:paraId="6212AD1C" w14:textId="09CAF1DC"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Nesheim (2016) s. 275; Roverud mfl. (2017) s. 202. Se også NOU 2021: 9 s. 102.</w:t>
      </w:r>
    </w:p>
  </w:footnote>
  <w:footnote w:id="48">
    <w:p w14:paraId="06246594" w14:textId="49AD31A7" w:rsidR="006A50F4" w:rsidRPr="006D7319" w:rsidRDefault="006A50F4">
      <w:pPr>
        <w:pStyle w:val="Fotnotetekst"/>
        <w:rPr>
          <w:lang w:val="en-US"/>
        </w:rPr>
      </w:pPr>
      <w:r w:rsidRPr="006A50F4">
        <w:rPr>
          <w:rStyle w:val="Fotnotereferanse"/>
        </w:rPr>
        <w:footnoteRef/>
      </w:r>
      <w:r w:rsidRPr="006D7319">
        <w:rPr>
          <w:lang w:val="en-US"/>
        </w:rPr>
        <w:tab/>
        <w:t>NOU 2021: 9 s. 180.</w:t>
      </w:r>
    </w:p>
  </w:footnote>
  <w:footnote w:id="49">
    <w:p w14:paraId="23173AE2" w14:textId="1456BE5E" w:rsidR="006A50F4" w:rsidRPr="006D7319" w:rsidRDefault="006A50F4">
      <w:pPr>
        <w:pStyle w:val="Fotnotetekst"/>
        <w:rPr>
          <w:lang w:val="en-US"/>
        </w:rPr>
      </w:pPr>
      <w:r w:rsidRPr="006A50F4">
        <w:rPr>
          <w:rStyle w:val="Fotnotereferanse"/>
        </w:rPr>
        <w:footnoteRef/>
      </w:r>
      <w:r w:rsidRPr="006D7319">
        <w:rPr>
          <w:lang w:val="en-US"/>
        </w:rPr>
        <w:tab/>
        <w:t>Ibid.</w:t>
      </w:r>
    </w:p>
  </w:footnote>
  <w:footnote w:id="50">
    <w:p w14:paraId="2F2E0EE3" w14:textId="5ED1E8CC" w:rsidR="006A50F4" w:rsidRPr="006D7319" w:rsidRDefault="006A50F4">
      <w:pPr>
        <w:pStyle w:val="Fotnotetekst"/>
        <w:rPr>
          <w:lang w:val="en-US"/>
        </w:rPr>
      </w:pPr>
      <w:r w:rsidRPr="006A50F4">
        <w:rPr>
          <w:rStyle w:val="Fotnotereferanse"/>
        </w:rPr>
        <w:footnoteRef/>
      </w:r>
      <w:r w:rsidRPr="006D7319">
        <w:rPr>
          <w:lang w:val="en-US"/>
        </w:rPr>
        <w:tab/>
      </w:r>
      <w:r>
        <w:rPr>
          <w:lang w:val="en-US"/>
        </w:rPr>
        <w:t xml:space="preserve">Prop. </w:t>
      </w:r>
      <w:r w:rsidRPr="006D7319">
        <w:rPr>
          <w:lang w:val="en-US"/>
        </w:rPr>
        <w:t>73</w:t>
      </w:r>
      <w:r>
        <w:rPr>
          <w:lang w:val="en-US"/>
        </w:rPr>
        <w:t xml:space="preserve"> </w:t>
      </w:r>
      <w:r w:rsidRPr="006D7319">
        <w:rPr>
          <w:lang w:val="en-US"/>
        </w:rPr>
        <w:t>L (2017–2018) s. 51.</w:t>
      </w:r>
    </w:p>
  </w:footnote>
  <w:footnote w:id="51">
    <w:p w14:paraId="0AA8BED7" w14:textId="35DCD358" w:rsidR="006A50F4" w:rsidRPr="006D7319" w:rsidRDefault="006A50F4">
      <w:pPr>
        <w:pStyle w:val="Fotnotetekst"/>
        <w:rPr>
          <w:lang w:val="en-US"/>
        </w:rPr>
      </w:pPr>
      <w:r w:rsidRPr="006A50F4">
        <w:rPr>
          <w:rStyle w:val="Fotnotereferanse"/>
        </w:rPr>
        <w:footnoteRef/>
      </w:r>
      <w:r w:rsidRPr="006D7319">
        <w:rPr>
          <w:lang w:val="en-US"/>
        </w:rPr>
        <w:tab/>
      </w:r>
      <w:r>
        <w:rPr>
          <w:lang w:val="en-US"/>
        </w:rPr>
        <w:t xml:space="preserve">Prop. </w:t>
      </w:r>
      <w:r w:rsidRPr="006D7319">
        <w:rPr>
          <w:lang w:val="en-US"/>
        </w:rPr>
        <w:t>73</w:t>
      </w:r>
      <w:r>
        <w:rPr>
          <w:lang w:val="en-US"/>
        </w:rPr>
        <w:t xml:space="preserve"> </w:t>
      </w:r>
      <w:r w:rsidRPr="006D7319">
        <w:rPr>
          <w:lang w:val="en-US"/>
        </w:rPr>
        <w:t>L (2017–2018) s. 181.</w:t>
      </w:r>
    </w:p>
  </w:footnote>
  <w:footnote w:id="52">
    <w:p w14:paraId="7232998B" w14:textId="73A4ACC2" w:rsidR="006A50F4" w:rsidRPr="006D7319" w:rsidRDefault="006A50F4">
      <w:pPr>
        <w:pStyle w:val="Fotnotetekst"/>
        <w:rPr>
          <w:lang w:val="en-US"/>
        </w:rPr>
      </w:pPr>
      <w:r w:rsidRPr="006A50F4">
        <w:rPr>
          <w:rStyle w:val="Fotnotereferanse"/>
        </w:rPr>
        <w:footnoteRef/>
      </w:r>
      <w:r w:rsidRPr="006D7319">
        <w:rPr>
          <w:lang w:val="en-US"/>
        </w:rPr>
        <w:tab/>
      </w:r>
      <w:r>
        <w:rPr>
          <w:lang w:val="en-US"/>
        </w:rPr>
        <w:t xml:space="preserve">Prop. </w:t>
      </w:r>
      <w:r w:rsidRPr="006D7319">
        <w:rPr>
          <w:lang w:val="en-US"/>
        </w:rPr>
        <w:t>73</w:t>
      </w:r>
      <w:r>
        <w:rPr>
          <w:lang w:val="en-US"/>
        </w:rPr>
        <w:t xml:space="preserve"> </w:t>
      </w:r>
      <w:r w:rsidRPr="006D7319">
        <w:rPr>
          <w:lang w:val="en-US"/>
        </w:rPr>
        <w:t>L (2017–2018) s. 52.</w:t>
      </w:r>
    </w:p>
  </w:footnote>
  <w:footnote w:id="53">
    <w:p w14:paraId="7D97C671" w14:textId="0F848DDC" w:rsidR="006A50F4" w:rsidRPr="006D7319" w:rsidRDefault="006A50F4">
      <w:pPr>
        <w:pStyle w:val="Fotnotetekst"/>
        <w:rPr>
          <w:lang w:val="en-US"/>
        </w:rPr>
      </w:pPr>
      <w:r w:rsidRPr="006A50F4">
        <w:rPr>
          <w:rStyle w:val="Fotnotereferanse"/>
        </w:rPr>
        <w:footnoteRef/>
      </w:r>
      <w:r w:rsidRPr="006D7319">
        <w:rPr>
          <w:lang w:val="en-US"/>
        </w:rPr>
        <w:tab/>
        <w:t xml:space="preserve">Ibid. </w:t>
      </w:r>
    </w:p>
  </w:footnote>
  <w:footnote w:id="54">
    <w:p w14:paraId="67129E11" w14:textId="6B42DC4E" w:rsidR="006A50F4" w:rsidRPr="006D7319" w:rsidRDefault="006A50F4">
      <w:pPr>
        <w:pStyle w:val="Fotnotetekst"/>
        <w:rPr>
          <w:lang w:val="fr-FR"/>
        </w:rPr>
      </w:pPr>
      <w:r w:rsidRPr="006A50F4">
        <w:rPr>
          <w:rStyle w:val="Fotnotereferanse"/>
        </w:rPr>
        <w:footnoteRef/>
      </w:r>
      <w:r w:rsidRPr="006D7319">
        <w:rPr>
          <w:lang w:val="fr-FR"/>
        </w:rPr>
        <w:tab/>
      </w:r>
      <w:r>
        <w:rPr>
          <w:lang w:val="fr-FR"/>
        </w:rPr>
        <w:t xml:space="preserve">Prop. </w:t>
      </w:r>
      <w:r w:rsidRPr="006D7319">
        <w:rPr>
          <w:lang w:val="fr-FR"/>
        </w:rPr>
        <w:t>73</w:t>
      </w:r>
      <w:r>
        <w:rPr>
          <w:lang w:val="fr-FR"/>
        </w:rPr>
        <w:t xml:space="preserve"> </w:t>
      </w:r>
      <w:r w:rsidRPr="006D7319">
        <w:rPr>
          <w:lang w:val="fr-FR"/>
        </w:rPr>
        <w:t>L (2017–2018) s. 28.</w:t>
      </w:r>
    </w:p>
  </w:footnote>
  <w:footnote w:id="55">
    <w:p w14:paraId="0A419EF9" w14:textId="7F0A7CB1" w:rsidR="006A50F4" w:rsidRPr="006D7319" w:rsidRDefault="006A50F4">
      <w:pPr>
        <w:pStyle w:val="Fotnotetekst"/>
        <w:rPr>
          <w:lang w:val="fr-FR"/>
        </w:rPr>
      </w:pPr>
      <w:r w:rsidRPr="006A50F4">
        <w:rPr>
          <w:rStyle w:val="Fotnotereferanse"/>
        </w:rPr>
        <w:footnoteRef/>
      </w:r>
      <w:r w:rsidRPr="006D7319">
        <w:rPr>
          <w:lang w:val="fr-FR"/>
        </w:rPr>
        <w:tab/>
      </w:r>
      <w:r w:rsidRPr="006D7319">
        <w:rPr>
          <w:lang w:val="fr-FR"/>
        </w:rPr>
        <w:t xml:space="preserve">NOU </w:t>
      </w:r>
      <w:r w:rsidRPr="006D7319">
        <w:rPr>
          <w:lang w:val="fr-FR"/>
        </w:rPr>
        <w:t>2021: 9 s. 181.</w:t>
      </w:r>
    </w:p>
  </w:footnote>
  <w:footnote w:id="56">
    <w:p w14:paraId="136AE219" w14:textId="505E82EB" w:rsidR="006A50F4" w:rsidRPr="006D7319" w:rsidRDefault="006A50F4">
      <w:pPr>
        <w:pStyle w:val="Fotnotetekst"/>
        <w:rPr>
          <w:lang w:val="fr-FR"/>
        </w:rPr>
      </w:pPr>
      <w:r w:rsidRPr="006A50F4">
        <w:rPr>
          <w:rStyle w:val="Fotnotereferanse"/>
        </w:rPr>
        <w:footnoteRef/>
      </w:r>
      <w:r w:rsidRPr="006D7319">
        <w:rPr>
          <w:lang w:val="fr-FR"/>
        </w:rPr>
        <w:tab/>
      </w:r>
      <w:r w:rsidRPr="006D7319">
        <w:rPr>
          <w:lang w:val="fr-FR"/>
        </w:rPr>
        <w:t>Ibid.</w:t>
      </w:r>
    </w:p>
  </w:footnote>
  <w:footnote w:id="57">
    <w:p w14:paraId="6335E4E6" w14:textId="54D14B82" w:rsidR="006A50F4" w:rsidRPr="006D7319" w:rsidRDefault="006A50F4">
      <w:pPr>
        <w:pStyle w:val="Fotnotetekst"/>
        <w:rPr>
          <w:lang w:val="fr-FR"/>
        </w:rPr>
      </w:pPr>
      <w:r w:rsidRPr="006A50F4">
        <w:rPr>
          <w:rStyle w:val="Fotnotereferanse"/>
        </w:rPr>
        <w:footnoteRef/>
      </w:r>
      <w:r w:rsidRPr="006D7319">
        <w:rPr>
          <w:lang w:val="fr-FR"/>
        </w:rPr>
        <w:tab/>
      </w:r>
      <w:r>
        <w:rPr>
          <w:lang w:val="fr-FR"/>
        </w:rPr>
        <w:t xml:space="preserve">Prop. </w:t>
      </w:r>
      <w:r w:rsidRPr="006D7319">
        <w:rPr>
          <w:lang w:val="fr-FR"/>
        </w:rPr>
        <w:t>73</w:t>
      </w:r>
      <w:r>
        <w:rPr>
          <w:lang w:val="fr-FR"/>
        </w:rPr>
        <w:t xml:space="preserve"> </w:t>
      </w:r>
      <w:r w:rsidRPr="006D7319">
        <w:rPr>
          <w:lang w:val="fr-FR"/>
        </w:rPr>
        <w:t>L (2017–2018) s. 28.</w:t>
      </w:r>
    </w:p>
  </w:footnote>
  <w:footnote w:id="58">
    <w:p w14:paraId="08D222CE" w14:textId="7C4AA7C5" w:rsidR="006A50F4" w:rsidRPr="006D7319" w:rsidRDefault="006A50F4">
      <w:pPr>
        <w:pStyle w:val="Fotnotetekst"/>
        <w:rPr>
          <w:lang w:val="fr-FR"/>
        </w:rPr>
      </w:pPr>
      <w:r w:rsidRPr="006A50F4">
        <w:rPr>
          <w:rStyle w:val="Fotnotereferanse"/>
        </w:rPr>
        <w:footnoteRef/>
      </w:r>
      <w:r w:rsidRPr="006D7319">
        <w:rPr>
          <w:lang w:val="fr-FR"/>
        </w:rPr>
        <w:tab/>
      </w:r>
      <w:r>
        <w:rPr>
          <w:lang w:val="fr-FR"/>
        </w:rPr>
        <w:t xml:space="preserve">Prop. </w:t>
      </w:r>
      <w:r w:rsidRPr="006D7319">
        <w:rPr>
          <w:lang w:val="fr-FR"/>
        </w:rPr>
        <w:t>133</w:t>
      </w:r>
      <w:r>
        <w:rPr>
          <w:lang w:val="fr-FR"/>
        </w:rPr>
        <w:t xml:space="preserve"> </w:t>
      </w:r>
      <w:r w:rsidRPr="006D7319">
        <w:rPr>
          <w:lang w:val="fr-FR"/>
        </w:rPr>
        <w:t xml:space="preserve">L (2021–2022) s. 34, merknader til ny </w:t>
      </w:r>
      <w:r>
        <w:rPr>
          <w:lang w:val="fr-FR"/>
        </w:rPr>
        <w:t>§ </w:t>
      </w:r>
      <w:r w:rsidRPr="006D7319">
        <w:rPr>
          <w:lang w:val="fr-FR"/>
        </w:rPr>
        <w:t>14-1 b.</w:t>
      </w:r>
    </w:p>
  </w:footnote>
  <w:footnote w:id="59">
    <w:p w14:paraId="470FFD95" w14:textId="57131FD5" w:rsidR="006A50F4" w:rsidRPr="006D7319" w:rsidRDefault="006A50F4">
      <w:pPr>
        <w:pStyle w:val="Fotnotetekst"/>
        <w:rPr>
          <w:lang w:val="fr-FR"/>
        </w:rPr>
      </w:pPr>
      <w:r w:rsidRPr="006A50F4">
        <w:rPr>
          <w:rStyle w:val="Fotnotereferanse"/>
        </w:rPr>
        <w:footnoteRef/>
      </w:r>
      <w:r w:rsidRPr="006D7319">
        <w:rPr>
          <w:lang w:val="fr-FR"/>
        </w:rPr>
        <w:tab/>
      </w:r>
      <w:r>
        <w:rPr>
          <w:lang w:val="fr-FR"/>
        </w:rPr>
        <w:t xml:space="preserve">Prop. </w:t>
      </w:r>
      <w:r w:rsidRPr="006D7319">
        <w:rPr>
          <w:lang w:val="fr-FR"/>
        </w:rPr>
        <w:t>133</w:t>
      </w:r>
      <w:r>
        <w:rPr>
          <w:lang w:val="fr-FR"/>
        </w:rPr>
        <w:t xml:space="preserve"> </w:t>
      </w:r>
      <w:r w:rsidRPr="006D7319">
        <w:rPr>
          <w:lang w:val="fr-FR"/>
        </w:rPr>
        <w:t>L (2021–2022) s. 18</w:t>
      </w:r>
    </w:p>
  </w:footnote>
  <w:footnote w:id="60">
    <w:p w14:paraId="17E18D4B" w14:textId="13B9248B" w:rsidR="006A50F4" w:rsidRPr="006D7319" w:rsidRDefault="006A50F4">
      <w:pPr>
        <w:pStyle w:val="Fotnotetekst"/>
        <w:rPr>
          <w:lang w:val="fr-FR"/>
        </w:rPr>
      </w:pPr>
      <w:r w:rsidRPr="006A50F4">
        <w:rPr>
          <w:rStyle w:val="Fotnotereferanse"/>
        </w:rPr>
        <w:footnoteRef/>
      </w:r>
      <w:r w:rsidRPr="006D7319">
        <w:rPr>
          <w:lang w:val="fr-FR"/>
        </w:rPr>
        <w:tab/>
      </w:r>
      <w:r w:rsidRPr="006D7319">
        <w:rPr>
          <w:lang w:val="fr-FR"/>
        </w:rPr>
        <w:t xml:space="preserve">NOU </w:t>
      </w:r>
      <w:r w:rsidRPr="006D7319">
        <w:rPr>
          <w:lang w:val="fr-FR"/>
        </w:rPr>
        <w:t>2021: 9 s. 188.</w:t>
      </w:r>
    </w:p>
  </w:footnote>
  <w:footnote w:id="61">
    <w:p w14:paraId="34DA7ED4" w14:textId="40BBAD21" w:rsidR="006A50F4" w:rsidRPr="006D7319" w:rsidRDefault="006A50F4">
      <w:pPr>
        <w:pStyle w:val="Fotnotetekst"/>
        <w:rPr>
          <w:lang w:val="fr-FR"/>
        </w:rPr>
      </w:pPr>
      <w:r w:rsidRPr="006A50F4">
        <w:rPr>
          <w:rStyle w:val="Fotnotereferanse"/>
        </w:rPr>
        <w:footnoteRef/>
      </w:r>
      <w:r w:rsidRPr="006D7319">
        <w:rPr>
          <w:lang w:val="fr-FR"/>
        </w:rPr>
        <w:tab/>
      </w:r>
      <w:r w:rsidRPr="006D7319">
        <w:rPr>
          <w:lang w:val="fr-FR"/>
        </w:rPr>
        <w:t>Ibid.</w:t>
      </w:r>
    </w:p>
  </w:footnote>
  <w:footnote w:id="62">
    <w:p w14:paraId="687954F8" w14:textId="7AEDB383" w:rsidR="006A50F4" w:rsidRPr="006A50F4" w:rsidRDefault="006A50F4">
      <w:pPr>
        <w:pStyle w:val="Fotnotetekst"/>
        <w:rPr>
          <w:lang w:val="nn-NO"/>
        </w:rPr>
      </w:pPr>
      <w:r w:rsidRPr="006A50F4">
        <w:rPr>
          <w:rStyle w:val="Fotnotereferanse"/>
        </w:rPr>
        <w:footnoteRef/>
      </w:r>
      <w:r w:rsidRPr="006A50F4">
        <w:rPr>
          <w:lang w:val="nn-NO"/>
        </w:rPr>
        <w:tab/>
      </w:r>
      <w:proofErr w:type="spellStart"/>
      <w:r w:rsidRPr="006A50F4">
        <w:rPr>
          <w:lang w:val="nn-NO"/>
        </w:rPr>
        <w:t>Prop</w:t>
      </w:r>
      <w:proofErr w:type="spellEnd"/>
      <w:r w:rsidRPr="006A50F4">
        <w:rPr>
          <w:lang w:val="nn-NO"/>
        </w:rPr>
        <w:t xml:space="preserve">. </w:t>
      </w:r>
      <w:r w:rsidRPr="006A50F4">
        <w:rPr>
          <w:lang w:val="nn-NO"/>
        </w:rPr>
        <w:t>74</w:t>
      </w:r>
      <w:r w:rsidRPr="006A50F4">
        <w:rPr>
          <w:lang w:val="nn-NO"/>
        </w:rPr>
        <w:t xml:space="preserve"> </w:t>
      </w:r>
      <w:r w:rsidRPr="006A50F4">
        <w:rPr>
          <w:lang w:val="nn-NO"/>
        </w:rPr>
        <w:t>L (2011–2012) s. 52.</w:t>
      </w:r>
    </w:p>
  </w:footnote>
  <w:footnote w:id="63">
    <w:p w14:paraId="06827B9B" w14:textId="0C0C9158" w:rsidR="006A50F4" w:rsidRPr="006D7319" w:rsidRDefault="006A50F4">
      <w:pPr>
        <w:pStyle w:val="Fotnotetekst"/>
        <w:rPr>
          <w:lang w:val="nn-NO"/>
        </w:rPr>
      </w:pPr>
      <w:r w:rsidRPr="006A50F4">
        <w:rPr>
          <w:rStyle w:val="Fotnotereferanse"/>
        </w:rPr>
        <w:footnoteRef/>
      </w:r>
      <w:r w:rsidRPr="006D7319">
        <w:rPr>
          <w:lang w:val="nn-NO"/>
        </w:rPr>
        <w:tab/>
      </w:r>
      <w:proofErr w:type="spellStart"/>
      <w:r>
        <w:rPr>
          <w:lang w:val="nn-NO"/>
        </w:rPr>
        <w:t>Prop</w:t>
      </w:r>
      <w:proofErr w:type="spellEnd"/>
      <w:r>
        <w:rPr>
          <w:lang w:val="nn-NO"/>
        </w:rPr>
        <w:t xml:space="preserve">. </w:t>
      </w:r>
      <w:r w:rsidRPr="006D7319">
        <w:rPr>
          <w:lang w:val="nn-NO"/>
        </w:rPr>
        <w:t>73</w:t>
      </w:r>
      <w:r>
        <w:rPr>
          <w:lang w:val="nn-NO"/>
        </w:rPr>
        <w:t xml:space="preserve"> </w:t>
      </w:r>
      <w:r w:rsidRPr="006D7319">
        <w:rPr>
          <w:lang w:val="nn-NO"/>
        </w:rPr>
        <w:t>L (2017–2018) s. 9 og Ot</w:t>
      </w:r>
      <w:r>
        <w:rPr>
          <w:lang w:val="nn-NO"/>
        </w:rPr>
        <w:t xml:space="preserve">.prp. nr. </w:t>
      </w:r>
      <w:r w:rsidRPr="006D7319">
        <w:rPr>
          <w:lang w:val="nn-NO"/>
        </w:rPr>
        <w:t>70 (1998–1999) s. 15.</w:t>
      </w:r>
    </w:p>
  </w:footnote>
  <w:footnote w:id="64">
    <w:p w14:paraId="14F5699B" w14:textId="59308E0C"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 xml:space="preserve">Arbeids- og inkluderingsdepartementet, </w:t>
      </w:r>
      <w:proofErr w:type="spellStart"/>
      <w:r w:rsidRPr="006D7319">
        <w:rPr>
          <w:lang w:val="nn-NO"/>
        </w:rPr>
        <w:t>Veileder</w:t>
      </w:r>
      <w:proofErr w:type="spellEnd"/>
      <w:r w:rsidRPr="006D7319">
        <w:rPr>
          <w:lang w:val="nn-NO"/>
        </w:rPr>
        <w:t xml:space="preserve">: Innleie av arbeidskraft (30. juni 2023; revidert 20. januar 2026), s. 5. </w:t>
      </w:r>
    </w:p>
  </w:footnote>
  <w:footnote w:id="65">
    <w:p w14:paraId="3EBE79B9" w14:textId="36C63B3A"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NOU 2021: 9 s. 189.</w:t>
      </w:r>
    </w:p>
  </w:footnote>
  <w:footnote w:id="66">
    <w:p w14:paraId="61D551C6" w14:textId="6DDAE3E1" w:rsidR="006A50F4" w:rsidRPr="006D7319" w:rsidRDefault="006A50F4">
      <w:pPr>
        <w:pStyle w:val="Fotnotetekst"/>
        <w:rPr>
          <w:lang w:val="nn-NO"/>
        </w:rPr>
      </w:pPr>
      <w:r w:rsidRPr="006A50F4">
        <w:rPr>
          <w:rStyle w:val="Fotnotereferanse"/>
        </w:rPr>
        <w:footnoteRef/>
      </w:r>
      <w:r w:rsidRPr="006D7319">
        <w:rPr>
          <w:lang w:val="nn-NO"/>
        </w:rPr>
        <w:tab/>
      </w:r>
      <w:proofErr w:type="spellStart"/>
      <w:r>
        <w:rPr>
          <w:lang w:val="nn-NO"/>
        </w:rPr>
        <w:t>Prop</w:t>
      </w:r>
      <w:proofErr w:type="spellEnd"/>
      <w:r>
        <w:rPr>
          <w:lang w:val="nn-NO"/>
        </w:rPr>
        <w:t xml:space="preserve">. </w:t>
      </w:r>
      <w:r w:rsidRPr="006D7319">
        <w:rPr>
          <w:lang w:val="nn-NO"/>
        </w:rPr>
        <w:t>74</w:t>
      </w:r>
      <w:r>
        <w:rPr>
          <w:lang w:val="nn-NO"/>
        </w:rPr>
        <w:t xml:space="preserve"> </w:t>
      </w:r>
      <w:r w:rsidRPr="006D7319">
        <w:rPr>
          <w:lang w:val="nn-NO"/>
        </w:rPr>
        <w:t>L (2011–2012) s. 22.</w:t>
      </w:r>
    </w:p>
  </w:footnote>
  <w:footnote w:id="67">
    <w:p w14:paraId="05718C28" w14:textId="01651758" w:rsidR="006A50F4" w:rsidRPr="006D7319" w:rsidRDefault="006A50F4">
      <w:pPr>
        <w:pStyle w:val="Fotnotetekst"/>
        <w:rPr>
          <w:lang w:val="nn-NO"/>
        </w:rPr>
      </w:pPr>
      <w:r w:rsidRPr="006A50F4">
        <w:rPr>
          <w:rStyle w:val="Fotnotereferanse"/>
        </w:rPr>
        <w:footnoteRef/>
      </w:r>
      <w:r w:rsidRPr="006D7319">
        <w:rPr>
          <w:lang w:val="nn-NO"/>
        </w:rPr>
        <w:tab/>
      </w:r>
      <w:proofErr w:type="spellStart"/>
      <w:r>
        <w:rPr>
          <w:lang w:val="nn-NO"/>
        </w:rPr>
        <w:t>Prop</w:t>
      </w:r>
      <w:proofErr w:type="spellEnd"/>
      <w:r>
        <w:rPr>
          <w:lang w:val="nn-NO"/>
        </w:rPr>
        <w:t xml:space="preserve">. </w:t>
      </w:r>
      <w:r w:rsidRPr="006D7319">
        <w:rPr>
          <w:lang w:val="nn-NO"/>
        </w:rPr>
        <w:t>74</w:t>
      </w:r>
      <w:r>
        <w:rPr>
          <w:lang w:val="nn-NO"/>
        </w:rPr>
        <w:t xml:space="preserve"> </w:t>
      </w:r>
      <w:r w:rsidRPr="006D7319">
        <w:rPr>
          <w:lang w:val="nn-NO"/>
        </w:rPr>
        <w:t>L (2011–2012) s. 21.</w:t>
      </w:r>
    </w:p>
  </w:footnote>
  <w:footnote w:id="68">
    <w:p w14:paraId="32009CA8" w14:textId="1E3D2DF6" w:rsidR="006A50F4" w:rsidRPr="006D7319" w:rsidRDefault="006A50F4">
      <w:pPr>
        <w:pStyle w:val="Fotnotetekst"/>
        <w:rPr>
          <w:lang w:val="nn-NO"/>
        </w:rPr>
      </w:pPr>
      <w:r w:rsidRPr="006A50F4">
        <w:rPr>
          <w:rStyle w:val="Fotnotereferanse"/>
        </w:rPr>
        <w:footnoteRef/>
      </w:r>
      <w:r w:rsidRPr="006D7319">
        <w:rPr>
          <w:lang w:val="nn-NO"/>
        </w:rPr>
        <w:tab/>
      </w:r>
      <w:proofErr w:type="spellStart"/>
      <w:r>
        <w:rPr>
          <w:lang w:val="nn-NO"/>
        </w:rPr>
        <w:t>Prop</w:t>
      </w:r>
      <w:proofErr w:type="spellEnd"/>
      <w:r>
        <w:rPr>
          <w:lang w:val="nn-NO"/>
        </w:rPr>
        <w:t xml:space="preserve">. </w:t>
      </w:r>
      <w:r w:rsidRPr="006D7319">
        <w:rPr>
          <w:lang w:val="nn-NO"/>
        </w:rPr>
        <w:t>131</w:t>
      </w:r>
      <w:r>
        <w:rPr>
          <w:lang w:val="nn-NO"/>
        </w:rPr>
        <w:t xml:space="preserve"> </w:t>
      </w:r>
      <w:r w:rsidRPr="006D7319">
        <w:rPr>
          <w:lang w:val="nn-NO"/>
        </w:rPr>
        <w:t xml:space="preserve">L (2021–2022) s. 48 og </w:t>
      </w:r>
      <w:proofErr w:type="spellStart"/>
      <w:r w:rsidRPr="006D7319">
        <w:rPr>
          <w:lang w:val="nn-NO"/>
        </w:rPr>
        <w:t>Rt</w:t>
      </w:r>
      <w:proofErr w:type="spellEnd"/>
      <w:r w:rsidRPr="006D7319">
        <w:rPr>
          <w:lang w:val="nn-NO"/>
        </w:rPr>
        <w:t xml:space="preserve">. 2013 s. 1730 (YIT) avsnitt 52 og 53. Se også Skjønberg, Lovdata </w:t>
      </w:r>
      <w:proofErr w:type="spellStart"/>
      <w:r w:rsidRPr="006D7319">
        <w:rPr>
          <w:lang w:val="nn-NO"/>
        </w:rPr>
        <w:t>Karnov</w:t>
      </w:r>
      <w:proofErr w:type="spellEnd"/>
      <w:r w:rsidRPr="006D7319">
        <w:rPr>
          <w:lang w:val="nn-NO"/>
        </w:rPr>
        <w:t xml:space="preserve"> lovkommentar til arbeidsmiljøloven </w:t>
      </w:r>
      <w:r>
        <w:rPr>
          <w:lang w:val="nn-NO"/>
        </w:rPr>
        <w:t>§ </w:t>
      </w:r>
      <w:r w:rsidRPr="006D7319">
        <w:rPr>
          <w:lang w:val="nn-NO"/>
        </w:rPr>
        <w:t>14-12.</w:t>
      </w:r>
    </w:p>
  </w:footnote>
  <w:footnote w:id="69">
    <w:p w14:paraId="01A58EDE" w14:textId="2C19098A" w:rsidR="006A50F4" w:rsidRPr="006A50F4" w:rsidRDefault="006A50F4">
      <w:pPr>
        <w:pStyle w:val="Fotnotetekst"/>
      </w:pPr>
      <w:r w:rsidRPr="006A50F4">
        <w:rPr>
          <w:rStyle w:val="Fotnotereferanse"/>
        </w:rPr>
        <w:footnoteRef/>
      </w:r>
      <w:r w:rsidRPr="006A50F4">
        <w:tab/>
        <w:t xml:space="preserve">Se nærmere </w:t>
      </w:r>
      <w:proofErr w:type="spellStart"/>
      <w:r w:rsidRPr="006A50F4">
        <w:t>Prop</w:t>
      </w:r>
      <w:proofErr w:type="spellEnd"/>
      <w:r w:rsidRPr="006A50F4">
        <w:t xml:space="preserve">. </w:t>
      </w:r>
      <w:r w:rsidRPr="006A50F4">
        <w:t>131</w:t>
      </w:r>
      <w:r w:rsidRPr="006A50F4">
        <w:t xml:space="preserve"> </w:t>
      </w:r>
      <w:r w:rsidRPr="006A50F4">
        <w:t>L (2021–2022) s. 38.</w:t>
      </w:r>
    </w:p>
  </w:footnote>
  <w:footnote w:id="70">
    <w:p w14:paraId="37F52718" w14:textId="578FC9F0" w:rsidR="006A50F4" w:rsidRPr="006D7319" w:rsidRDefault="006A50F4">
      <w:pPr>
        <w:pStyle w:val="Fotnotetekst"/>
        <w:rPr>
          <w:lang w:val="nn-NO"/>
        </w:rPr>
      </w:pPr>
      <w:r w:rsidRPr="006A50F4">
        <w:rPr>
          <w:rStyle w:val="Fotnotereferanse"/>
        </w:rPr>
        <w:footnoteRef/>
      </w:r>
      <w:r w:rsidRPr="006D7319">
        <w:rPr>
          <w:lang w:val="nn-NO"/>
        </w:rPr>
        <w:tab/>
      </w:r>
      <w:proofErr w:type="spellStart"/>
      <w:r>
        <w:rPr>
          <w:lang w:val="nn-NO"/>
        </w:rPr>
        <w:t>Prop</w:t>
      </w:r>
      <w:proofErr w:type="spellEnd"/>
      <w:r>
        <w:rPr>
          <w:lang w:val="nn-NO"/>
        </w:rPr>
        <w:t xml:space="preserve">. </w:t>
      </w:r>
      <w:r w:rsidRPr="006D7319">
        <w:rPr>
          <w:lang w:val="nn-NO"/>
        </w:rPr>
        <w:t>74</w:t>
      </w:r>
      <w:r>
        <w:rPr>
          <w:lang w:val="nn-NO"/>
        </w:rPr>
        <w:t xml:space="preserve"> </w:t>
      </w:r>
      <w:r w:rsidRPr="006D7319">
        <w:rPr>
          <w:lang w:val="nn-NO"/>
        </w:rPr>
        <w:t>L (2011–2012) s. 66.</w:t>
      </w:r>
    </w:p>
  </w:footnote>
  <w:footnote w:id="71">
    <w:p w14:paraId="06B5FD12" w14:textId="4242D35E" w:rsidR="006A50F4" w:rsidRDefault="006A50F4">
      <w:pPr>
        <w:pStyle w:val="Fotnotetekst"/>
      </w:pPr>
      <w:r w:rsidRPr="006A50F4">
        <w:rPr>
          <w:rStyle w:val="Fotnotereferanse"/>
        </w:rPr>
        <w:footnoteRef/>
      </w:r>
      <w:r w:rsidRPr="006D7319">
        <w:rPr>
          <w:lang w:val="nn-NO"/>
        </w:rPr>
        <w:tab/>
      </w:r>
      <w:r w:rsidRPr="006D7319">
        <w:rPr>
          <w:lang w:val="nn-NO"/>
        </w:rPr>
        <w:t xml:space="preserve">Se forskrift 11. januar 2013 nr. 33 om innleie </w:t>
      </w:r>
      <w:proofErr w:type="spellStart"/>
      <w:r w:rsidRPr="006D7319">
        <w:rPr>
          <w:lang w:val="nn-NO"/>
        </w:rPr>
        <w:t>fra</w:t>
      </w:r>
      <w:proofErr w:type="spellEnd"/>
      <w:r w:rsidRPr="006D7319">
        <w:rPr>
          <w:lang w:val="nn-NO"/>
        </w:rPr>
        <w:t xml:space="preserve"> bemanningsforetak. </w:t>
      </w:r>
      <w:r w:rsidRPr="006D7319">
        <w:t xml:space="preserve">I forskriftens </w:t>
      </w:r>
      <w:r>
        <w:t>§ </w:t>
      </w:r>
      <w:r w:rsidRPr="006D7319">
        <w:t>2 er taushetsplikten nærmere regulert, og andre ledd fastsetter straffansvar for forsettlig eller uaktsom overtredelse av bestemmelsen.</w:t>
      </w:r>
    </w:p>
  </w:footnote>
  <w:footnote w:id="72">
    <w:p w14:paraId="21710F32" w14:textId="18B390C5" w:rsidR="006A50F4" w:rsidRPr="006D7319" w:rsidRDefault="006A50F4">
      <w:pPr>
        <w:pStyle w:val="Fotnotetekst"/>
        <w:rPr>
          <w:lang w:val="nn-NO"/>
        </w:rPr>
      </w:pPr>
      <w:r w:rsidRPr="006A50F4">
        <w:rPr>
          <w:rStyle w:val="Fotnotereferanse"/>
        </w:rPr>
        <w:footnoteRef/>
      </w:r>
      <w:r w:rsidRPr="006D7319">
        <w:rPr>
          <w:lang w:val="nn-NO"/>
        </w:rPr>
        <w:tab/>
      </w:r>
      <w:proofErr w:type="spellStart"/>
      <w:r>
        <w:rPr>
          <w:lang w:val="nn-NO"/>
        </w:rPr>
        <w:t>Prop</w:t>
      </w:r>
      <w:proofErr w:type="spellEnd"/>
      <w:r>
        <w:rPr>
          <w:lang w:val="nn-NO"/>
        </w:rPr>
        <w:t xml:space="preserve">. </w:t>
      </w:r>
      <w:r w:rsidRPr="006D7319">
        <w:rPr>
          <w:lang w:val="nn-NO"/>
        </w:rPr>
        <w:t>74</w:t>
      </w:r>
      <w:r>
        <w:rPr>
          <w:lang w:val="nn-NO"/>
        </w:rPr>
        <w:t xml:space="preserve"> </w:t>
      </w:r>
      <w:r w:rsidRPr="006D7319">
        <w:rPr>
          <w:lang w:val="nn-NO"/>
        </w:rPr>
        <w:t>L (2011–2012) s. 81.</w:t>
      </w:r>
    </w:p>
  </w:footnote>
  <w:footnote w:id="73">
    <w:p w14:paraId="0B6417CC" w14:textId="3BC5A451"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70 (1998–1999) s. 49.</w:t>
      </w:r>
    </w:p>
  </w:footnote>
  <w:footnote w:id="74">
    <w:p w14:paraId="46E34E2D" w14:textId="283D8D98" w:rsidR="006A50F4" w:rsidRDefault="006A50F4">
      <w:pPr>
        <w:pStyle w:val="Fotnotetekst"/>
      </w:pPr>
      <w:r w:rsidRPr="006A50F4">
        <w:rPr>
          <w:rStyle w:val="Fotnotereferanse"/>
        </w:rPr>
        <w:footnoteRef/>
      </w:r>
      <w:r w:rsidRPr="006D7319">
        <w:tab/>
        <w:t xml:space="preserve">Bestemmelsen i </w:t>
      </w:r>
      <w:r>
        <w:t>§ </w:t>
      </w:r>
      <w:r w:rsidRPr="006D7319">
        <w:t xml:space="preserve">58 A i den tidligere arbeidsmiljøloven av 1977 regulerte adgangen til midlertidig ansettelse. </w:t>
      </w:r>
    </w:p>
  </w:footnote>
  <w:footnote w:id="75">
    <w:p w14:paraId="4460FBA8" w14:textId="5C6DD5B6"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70 (1998–1999) s. 49.</w:t>
      </w:r>
    </w:p>
  </w:footnote>
  <w:footnote w:id="76">
    <w:p w14:paraId="566B9B69" w14:textId="7CAC8A9E"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70 (1998–1999) s. 50.</w:t>
      </w:r>
    </w:p>
  </w:footnote>
  <w:footnote w:id="77">
    <w:p w14:paraId="72C4F183" w14:textId="024ED7FF"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 xml:space="preserve">Skjønberg, Lovdata </w:t>
      </w:r>
      <w:proofErr w:type="spellStart"/>
      <w:r w:rsidRPr="006D7319">
        <w:rPr>
          <w:lang w:val="nn-NO"/>
        </w:rPr>
        <w:t>Karnov</w:t>
      </w:r>
      <w:proofErr w:type="spellEnd"/>
      <w:r w:rsidRPr="006D7319">
        <w:rPr>
          <w:lang w:val="nn-NO"/>
        </w:rPr>
        <w:t xml:space="preserve"> lovkommentar til arbeidsmiljøloven </w:t>
      </w:r>
      <w:r>
        <w:rPr>
          <w:lang w:val="nn-NO"/>
        </w:rPr>
        <w:t>§ </w:t>
      </w:r>
      <w:r w:rsidRPr="006D7319">
        <w:rPr>
          <w:lang w:val="nn-NO"/>
        </w:rPr>
        <w:t>14-13.</w:t>
      </w:r>
    </w:p>
  </w:footnote>
  <w:footnote w:id="78">
    <w:p w14:paraId="6C244935" w14:textId="25C10A36"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NOU 2021: 9 s. 106.</w:t>
      </w:r>
    </w:p>
  </w:footnote>
  <w:footnote w:id="79">
    <w:p w14:paraId="079A91BA" w14:textId="79B17269"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Ibid.</w:t>
      </w:r>
    </w:p>
  </w:footnote>
  <w:footnote w:id="80">
    <w:p w14:paraId="01A6614F" w14:textId="277F3137"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49 (2004–2005) s. 304.</w:t>
      </w:r>
    </w:p>
  </w:footnote>
  <w:footnote w:id="81">
    <w:p w14:paraId="40EADD7E" w14:textId="558FC340" w:rsidR="006A50F4" w:rsidRDefault="006A50F4">
      <w:pPr>
        <w:pStyle w:val="Fotnotetekst"/>
      </w:pPr>
      <w:r w:rsidRPr="006A50F4">
        <w:rPr>
          <w:rStyle w:val="Fotnotereferanse"/>
        </w:rPr>
        <w:footnoteRef/>
      </w:r>
      <w:r w:rsidRPr="006D7319">
        <w:tab/>
        <w:t>NOU 2021: 9 s. 198.</w:t>
      </w:r>
    </w:p>
  </w:footnote>
  <w:footnote w:id="82">
    <w:p w14:paraId="5F63FA7C" w14:textId="074257E7" w:rsidR="006A50F4" w:rsidRDefault="006A50F4">
      <w:pPr>
        <w:pStyle w:val="Fotnotetekst"/>
      </w:pPr>
      <w:r w:rsidRPr="006A50F4">
        <w:rPr>
          <w:rStyle w:val="Fotnotereferanse"/>
        </w:rPr>
        <w:footnoteRef/>
      </w:r>
      <w:r w:rsidRPr="006D7319">
        <w:tab/>
        <w:t xml:space="preserve">Ibid. En virksomhet som er omfattet av loven, vil imidlertid ha visse arbeidsgiverplikter til vern av selvstendige dersom man benytter slike i virksomheten, se arbeidsmiljøloven </w:t>
      </w:r>
      <w:r>
        <w:t>§ </w:t>
      </w:r>
      <w:r w:rsidRPr="006D7319">
        <w:t>2-2 og diskrimineringsreglene.</w:t>
      </w:r>
    </w:p>
  </w:footnote>
  <w:footnote w:id="83">
    <w:p w14:paraId="5D1C6C6A" w14:textId="1732F0BE" w:rsidR="006A50F4" w:rsidRPr="006D7319" w:rsidRDefault="006A50F4">
      <w:pPr>
        <w:pStyle w:val="Fotnotetekst"/>
        <w:rPr>
          <w:lang w:val="en-US"/>
        </w:rPr>
      </w:pPr>
      <w:r w:rsidRPr="006A50F4">
        <w:rPr>
          <w:rStyle w:val="Fotnotereferanse"/>
        </w:rPr>
        <w:footnoteRef/>
      </w:r>
      <w:r w:rsidRPr="006D7319">
        <w:rPr>
          <w:lang w:val="en-US"/>
        </w:rPr>
        <w:tab/>
        <w:t>NOU 2021: 9 s. 204.</w:t>
      </w:r>
    </w:p>
  </w:footnote>
  <w:footnote w:id="84">
    <w:p w14:paraId="2E9771DD" w14:textId="184A68DD" w:rsidR="006A50F4" w:rsidRPr="006D7319" w:rsidRDefault="006A50F4">
      <w:pPr>
        <w:pStyle w:val="Fotnotetekst"/>
        <w:rPr>
          <w:lang w:val="en-US"/>
        </w:rPr>
      </w:pPr>
      <w:r w:rsidRPr="006A50F4">
        <w:rPr>
          <w:rStyle w:val="Fotnotereferanse"/>
        </w:rPr>
        <w:footnoteRef/>
      </w:r>
      <w:r w:rsidRPr="006D7319">
        <w:rPr>
          <w:lang w:val="en-US"/>
        </w:rPr>
        <w:tab/>
        <w:t>Ibid.</w:t>
      </w:r>
    </w:p>
  </w:footnote>
  <w:footnote w:id="85">
    <w:p w14:paraId="27FF8729" w14:textId="79A5B6D4" w:rsidR="006A50F4" w:rsidRPr="006D7319" w:rsidRDefault="006A50F4">
      <w:pPr>
        <w:pStyle w:val="Fotnotetekst"/>
        <w:rPr>
          <w:lang w:val="en-US"/>
        </w:rPr>
      </w:pPr>
      <w:r w:rsidRPr="006A50F4">
        <w:rPr>
          <w:rStyle w:val="Fotnotereferanse"/>
        </w:rPr>
        <w:footnoteRef/>
      </w:r>
      <w:r w:rsidRPr="006D7319">
        <w:rPr>
          <w:lang w:val="en-US"/>
        </w:rPr>
        <w:tab/>
        <w:t xml:space="preserve">Rt-2013-998 (Quality People) og HR-2018-2371-A (Norwegian). </w:t>
      </w:r>
    </w:p>
  </w:footnote>
  <w:footnote w:id="86">
    <w:p w14:paraId="31BDC396" w14:textId="6563ED55" w:rsidR="006A50F4" w:rsidRDefault="006A50F4">
      <w:pPr>
        <w:pStyle w:val="Fotnotetekst"/>
      </w:pPr>
      <w:r w:rsidRPr="006A50F4">
        <w:rPr>
          <w:rStyle w:val="Fotnotereferanse"/>
        </w:rPr>
        <w:footnoteRef/>
      </w:r>
      <w:r w:rsidRPr="006D7319">
        <w:tab/>
        <w:t>NOU 2021: 9 s. 298. Begrepet er nevnt i Ot</w:t>
      </w:r>
      <w:r>
        <w:t xml:space="preserve">.prp. nr. </w:t>
      </w:r>
      <w:r w:rsidRPr="006D7319">
        <w:t xml:space="preserve">74 L (2011–2012) s. 52, men synes ikke nærmere definert der. </w:t>
      </w:r>
    </w:p>
  </w:footnote>
  <w:footnote w:id="87">
    <w:p w14:paraId="5B6A9838" w14:textId="4594BBB5"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131</w:t>
      </w:r>
      <w:r>
        <w:t xml:space="preserve"> </w:t>
      </w:r>
      <w:r w:rsidRPr="006D7319">
        <w:t>L (2021–2022) s. 66.</w:t>
      </w:r>
    </w:p>
  </w:footnote>
  <w:footnote w:id="88">
    <w:p w14:paraId="0AAA5782" w14:textId="75F1E2D2"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131</w:t>
      </w:r>
      <w:r>
        <w:t xml:space="preserve"> </w:t>
      </w:r>
      <w:r w:rsidRPr="006D7319">
        <w:t>L (2021–2022) s. 45.</w:t>
      </w:r>
    </w:p>
  </w:footnote>
  <w:footnote w:id="89">
    <w:p w14:paraId="3DEEB52C" w14:textId="5B978AD9" w:rsidR="006A50F4" w:rsidRDefault="006A50F4">
      <w:pPr>
        <w:pStyle w:val="Fotnotetekst"/>
      </w:pPr>
      <w:r w:rsidRPr="006A50F4">
        <w:rPr>
          <w:rStyle w:val="Fotnotereferanse"/>
        </w:rPr>
        <w:footnoteRef/>
      </w:r>
      <w:r w:rsidRPr="006D7319">
        <w:tab/>
        <w:t xml:space="preserve">Skjønberg mfl. (2024) s. 71 og </w:t>
      </w:r>
      <w:proofErr w:type="spellStart"/>
      <w:r>
        <w:t>Prop</w:t>
      </w:r>
      <w:proofErr w:type="spellEnd"/>
      <w:r>
        <w:t xml:space="preserve">. </w:t>
      </w:r>
      <w:r w:rsidRPr="006D7319">
        <w:t>14</w:t>
      </w:r>
      <w:r>
        <w:t xml:space="preserve"> </w:t>
      </w:r>
      <w:r w:rsidRPr="006D7319">
        <w:t xml:space="preserve">L (2022–2023) s. 27. Se for eksempel også NOU 2021: 9 s. 353 og </w:t>
      </w:r>
      <w:proofErr w:type="spellStart"/>
      <w:r>
        <w:t>Prop</w:t>
      </w:r>
      <w:proofErr w:type="spellEnd"/>
      <w:r>
        <w:t xml:space="preserve">. </w:t>
      </w:r>
      <w:r w:rsidRPr="006D7319">
        <w:t>14</w:t>
      </w:r>
      <w:r>
        <w:t xml:space="preserve"> </w:t>
      </w:r>
      <w:r w:rsidRPr="006D7319">
        <w:t xml:space="preserve">L (2022–2023) s. 61. Se nærmere omtale av arbeidsmiljøloven </w:t>
      </w:r>
      <w:r>
        <w:t>§ </w:t>
      </w:r>
      <w:r w:rsidRPr="006D7319">
        <w:t xml:space="preserve">1-4 under punkt 2.2.1 over. </w:t>
      </w:r>
    </w:p>
  </w:footnote>
  <w:footnote w:id="90">
    <w:p w14:paraId="47A87759" w14:textId="5FB68AB6" w:rsidR="006A50F4" w:rsidRDefault="006A50F4">
      <w:pPr>
        <w:pStyle w:val="Fotnotetekst"/>
      </w:pPr>
      <w:r w:rsidRPr="006A50F4">
        <w:rPr>
          <w:rStyle w:val="Fotnotereferanse"/>
        </w:rPr>
        <w:footnoteRef/>
      </w:r>
      <w:r w:rsidRPr="006D7319">
        <w:tab/>
        <w:t>Ot</w:t>
      </w:r>
      <w:r>
        <w:t xml:space="preserve">.prp. nr. </w:t>
      </w:r>
      <w:r w:rsidRPr="006D7319">
        <w:t xml:space="preserve">3 (1975–1976) s. 102. </w:t>
      </w:r>
    </w:p>
  </w:footnote>
  <w:footnote w:id="91">
    <w:p w14:paraId="5FF04C03" w14:textId="78F446D3" w:rsidR="006A50F4" w:rsidRDefault="006A50F4">
      <w:pPr>
        <w:pStyle w:val="Fotnotetekst"/>
      </w:pPr>
      <w:r w:rsidRPr="006A50F4">
        <w:rPr>
          <w:rStyle w:val="Fotnotereferanse"/>
        </w:rPr>
        <w:footnoteRef/>
      </w:r>
      <w:r w:rsidRPr="006D7319">
        <w:tab/>
        <w:t>Se for eksempel Ot</w:t>
      </w:r>
      <w:r>
        <w:t xml:space="preserve">.prp. nr. </w:t>
      </w:r>
      <w:r w:rsidRPr="006D7319">
        <w:t>70 (1998–1999) s. 42, Ot</w:t>
      </w:r>
      <w:r>
        <w:t xml:space="preserve">.prp. nr. </w:t>
      </w:r>
      <w:r w:rsidRPr="006D7319">
        <w:t xml:space="preserve">49 (2004–2005) s. 74 og </w:t>
      </w:r>
      <w:proofErr w:type="spellStart"/>
      <w:r>
        <w:t>Prop</w:t>
      </w:r>
      <w:proofErr w:type="spellEnd"/>
      <w:r>
        <w:t xml:space="preserve">. </w:t>
      </w:r>
      <w:r w:rsidRPr="006D7319">
        <w:t>74</w:t>
      </w:r>
      <w:r>
        <w:t xml:space="preserve"> </w:t>
      </w:r>
      <w:r w:rsidRPr="006D7319">
        <w:t>L (2011–2012) s. 52.</w:t>
      </w:r>
    </w:p>
  </w:footnote>
  <w:footnote w:id="92">
    <w:p w14:paraId="69E5938C" w14:textId="4E4DFD45" w:rsidR="006A50F4" w:rsidRDefault="006A50F4">
      <w:pPr>
        <w:pStyle w:val="Fotnotetekst"/>
      </w:pPr>
      <w:r w:rsidRPr="006A50F4">
        <w:rPr>
          <w:rStyle w:val="Fotnotereferanse"/>
        </w:rPr>
        <w:footnoteRef/>
      </w:r>
      <w:r w:rsidRPr="006D7319">
        <w:tab/>
        <w:t xml:space="preserve">LB-2019-184977 punkt 7.2.3. Avgjørelsen ble anket til Høyesterett, men ikke tillatt fremmet. </w:t>
      </w:r>
    </w:p>
  </w:footnote>
  <w:footnote w:id="93">
    <w:p w14:paraId="2BB65504" w14:textId="20FA1A35" w:rsidR="006A50F4" w:rsidRDefault="006A50F4">
      <w:pPr>
        <w:pStyle w:val="Fotnotetekst"/>
      </w:pPr>
      <w:r w:rsidRPr="006A50F4">
        <w:rPr>
          <w:rStyle w:val="Fotnotereferanse"/>
        </w:rPr>
        <w:footnoteRef/>
      </w:r>
      <w:r w:rsidRPr="006D7319">
        <w:tab/>
        <w:t xml:space="preserve">I arbeidsgruppens mandat er det presisert at det skal avgrenses mot eventuelle skatterettslige og trygderettslige spørsmål. </w:t>
      </w:r>
    </w:p>
  </w:footnote>
  <w:footnote w:id="94">
    <w:p w14:paraId="02DA817A" w14:textId="35CC2A70" w:rsidR="006A50F4" w:rsidRPr="006D7319" w:rsidRDefault="006A50F4">
      <w:pPr>
        <w:pStyle w:val="Fotnotetekst"/>
        <w:rPr>
          <w:lang w:val="nn-NO"/>
        </w:rPr>
      </w:pPr>
      <w:r w:rsidRPr="006A50F4">
        <w:rPr>
          <w:rStyle w:val="Fotnotereferanse"/>
        </w:rPr>
        <w:footnoteRef/>
      </w:r>
      <w:r w:rsidRPr="006D7319">
        <w:tab/>
        <w:t xml:space="preserve">Se NOU 2021: 9 s. 108 med videre henvisning til Brønnøysundregistrenes veiledningstjeneste. </w:t>
      </w:r>
      <w:r w:rsidRPr="006D7319">
        <w:rPr>
          <w:lang w:val="nn-NO"/>
        </w:rPr>
        <w:t xml:space="preserve">Nettside: </w:t>
      </w:r>
      <w:hyperlink r:id="rId4" w:history="1">
        <w:r w:rsidRPr="006D7319">
          <w:rPr>
            <w:rStyle w:val="Hyperkobling"/>
            <w:lang w:val="nn-NO"/>
          </w:rPr>
          <w:t>https://www.altinn.no/starte-og-drive/starte/valg-av-organisasjonsform/aksjeselskap</w:t>
        </w:r>
      </w:hyperlink>
      <w:r w:rsidRPr="006D7319">
        <w:rPr>
          <w:lang w:val="nn-NO"/>
        </w:rPr>
        <w:t xml:space="preserve">. </w:t>
      </w:r>
    </w:p>
  </w:footnote>
  <w:footnote w:id="95">
    <w:p w14:paraId="58E54433" w14:textId="7484D397"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 xml:space="preserve">Ulseth (2006) s. 97. </w:t>
      </w:r>
    </w:p>
  </w:footnote>
  <w:footnote w:id="96">
    <w:p w14:paraId="74E51201" w14:textId="26B63DF2"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Se for eksempel Ot</w:t>
      </w:r>
      <w:r>
        <w:rPr>
          <w:lang w:val="nn-NO"/>
        </w:rPr>
        <w:t xml:space="preserve">.prp. nr. </w:t>
      </w:r>
      <w:r w:rsidRPr="006D7319">
        <w:rPr>
          <w:lang w:val="nn-NO"/>
        </w:rPr>
        <w:t>70 (1998–1999) s. 42, Ot</w:t>
      </w:r>
      <w:r>
        <w:rPr>
          <w:lang w:val="nn-NO"/>
        </w:rPr>
        <w:t xml:space="preserve">.prp. nr. </w:t>
      </w:r>
      <w:r w:rsidRPr="006D7319">
        <w:rPr>
          <w:lang w:val="nn-NO"/>
        </w:rPr>
        <w:t xml:space="preserve">49 (2004–2005) s. 74 og </w:t>
      </w:r>
      <w:proofErr w:type="spellStart"/>
      <w:r>
        <w:rPr>
          <w:lang w:val="nn-NO"/>
        </w:rPr>
        <w:t>Prop</w:t>
      </w:r>
      <w:proofErr w:type="spellEnd"/>
      <w:r>
        <w:rPr>
          <w:lang w:val="nn-NO"/>
        </w:rPr>
        <w:t xml:space="preserve">. </w:t>
      </w:r>
      <w:r w:rsidRPr="006D7319">
        <w:rPr>
          <w:lang w:val="nn-NO"/>
        </w:rPr>
        <w:t>74</w:t>
      </w:r>
      <w:r>
        <w:rPr>
          <w:lang w:val="nn-NO"/>
        </w:rPr>
        <w:t xml:space="preserve"> </w:t>
      </w:r>
      <w:r w:rsidRPr="006D7319">
        <w:rPr>
          <w:lang w:val="nn-NO"/>
        </w:rPr>
        <w:t>L (2011–2012) s. 52.</w:t>
      </w:r>
    </w:p>
  </w:footnote>
  <w:footnote w:id="97">
    <w:p w14:paraId="2F99A633" w14:textId="38732A95"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 xml:space="preserve">I juridisk teori finnes det både </w:t>
      </w:r>
      <w:proofErr w:type="spellStart"/>
      <w:r w:rsidRPr="006D7319">
        <w:rPr>
          <w:lang w:val="nn-NO"/>
        </w:rPr>
        <w:t>eksempler</w:t>
      </w:r>
      <w:proofErr w:type="spellEnd"/>
      <w:r w:rsidRPr="006D7319">
        <w:rPr>
          <w:lang w:val="nn-NO"/>
        </w:rPr>
        <w:t xml:space="preserve"> på at det er lagt til grunn at arbeidsmiljøloven </w:t>
      </w:r>
      <w:r>
        <w:rPr>
          <w:lang w:val="nn-NO"/>
        </w:rPr>
        <w:t>§ </w:t>
      </w:r>
      <w:r w:rsidRPr="006D7319">
        <w:rPr>
          <w:lang w:val="nn-NO"/>
        </w:rPr>
        <w:t xml:space="preserve">1-4 gjelder </w:t>
      </w:r>
      <w:proofErr w:type="spellStart"/>
      <w:r w:rsidRPr="006D7319">
        <w:rPr>
          <w:lang w:val="nn-NO"/>
        </w:rPr>
        <w:t>enkeltpersonforetak</w:t>
      </w:r>
      <w:proofErr w:type="spellEnd"/>
      <w:r w:rsidRPr="006D7319">
        <w:rPr>
          <w:lang w:val="nn-NO"/>
        </w:rPr>
        <w:t xml:space="preserve">, </w:t>
      </w:r>
      <w:proofErr w:type="spellStart"/>
      <w:r w:rsidRPr="006D7319">
        <w:rPr>
          <w:lang w:val="nn-NO"/>
        </w:rPr>
        <w:t>se</w:t>
      </w:r>
      <w:proofErr w:type="spellEnd"/>
      <w:r w:rsidRPr="006D7319">
        <w:rPr>
          <w:lang w:val="nn-NO"/>
        </w:rPr>
        <w:t xml:space="preserve"> Fougner mfl., </w:t>
      </w:r>
      <w:proofErr w:type="spellStart"/>
      <w:r w:rsidRPr="006D7319">
        <w:rPr>
          <w:lang w:val="nn-NO"/>
        </w:rPr>
        <w:t>Juridika</w:t>
      </w:r>
      <w:proofErr w:type="spellEnd"/>
      <w:r w:rsidRPr="006D7319">
        <w:rPr>
          <w:lang w:val="nn-NO"/>
        </w:rPr>
        <w:t xml:space="preserve">, lovkommentar til arbeidsmiljøloven </w:t>
      </w:r>
      <w:r>
        <w:rPr>
          <w:lang w:val="nn-NO"/>
        </w:rPr>
        <w:t>§ </w:t>
      </w:r>
      <w:r w:rsidRPr="006D7319">
        <w:rPr>
          <w:lang w:val="nn-NO"/>
        </w:rPr>
        <w:t xml:space="preserve">1-4, samt Jakhelln og Thorsheim, Arbeidsrett.no, lovkommentar til arbeidsmiljøloven </w:t>
      </w:r>
      <w:r>
        <w:rPr>
          <w:lang w:val="nn-NO"/>
        </w:rPr>
        <w:t>§ </w:t>
      </w:r>
      <w:r w:rsidRPr="006D7319">
        <w:rPr>
          <w:lang w:val="nn-NO"/>
        </w:rPr>
        <w:t xml:space="preserve">1-4, men også at </w:t>
      </w:r>
      <w:proofErr w:type="spellStart"/>
      <w:r w:rsidRPr="006D7319">
        <w:rPr>
          <w:lang w:val="nn-NO"/>
        </w:rPr>
        <w:t>bestemmelsen</w:t>
      </w:r>
      <w:proofErr w:type="spellEnd"/>
      <w:r w:rsidRPr="006D7319">
        <w:rPr>
          <w:lang w:val="nn-NO"/>
        </w:rPr>
        <w:t xml:space="preserve"> </w:t>
      </w:r>
      <w:proofErr w:type="spellStart"/>
      <w:r w:rsidRPr="006D7319">
        <w:rPr>
          <w:lang w:val="nn-NO"/>
        </w:rPr>
        <w:t>omfatter</w:t>
      </w:r>
      <w:proofErr w:type="spellEnd"/>
      <w:r w:rsidRPr="006D7319">
        <w:rPr>
          <w:lang w:val="nn-NO"/>
        </w:rPr>
        <w:t xml:space="preserve"> aksjeselskap </w:t>
      </w:r>
      <w:proofErr w:type="spellStart"/>
      <w:r w:rsidRPr="006D7319">
        <w:rPr>
          <w:lang w:val="nn-NO"/>
        </w:rPr>
        <w:t>uten</w:t>
      </w:r>
      <w:proofErr w:type="spellEnd"/>
      <w:r w:rsidRPr="006D7319">
        <w:rPr>
          <w:lang w:val="nn-NO"/>
        </w:rPr>
        <w:t xml:space="preserve"> andre </w:t>
      </w:r>
      <w:proofErr w:type="spellStart"/>
      <w:r w:rsidRPr="006D7319">
        <w:rPr>
          <w:lang w:val="nn-NO"/>
        </w:rPr>
        <w:t>ansatte</w:t>
      </w:r>
      <w:proofErr w:type="spellEnd"/>
      <w:r w:rsidRPr="006D7319">
        <w:rPr>
          <w:lang w:val="nn-NO"/>
        </w:rPr>
        <w:t xml:space="preserve"> enn </w:t>
      </w:r>
      <w:proofErr w:type="spellStart"/>
      <w:r w:rsidRPr="006D7319">
        <w:rPr>
          <w:lang w:val="nn-NO"/>
        </w:rPr>
        <w:t>eier</w:t>
      </w:r>
      <w:proofErr w:type="spellEnd"/>
      <w:r w:rsidRPr="006D7319">
        <w:rPr>
          <w:lang w:val="nn-NO"/>
        </w:rPr>
        <w:t xml:space="preserve">, </w:t>
      </w:r>
      <w:proofErr w:type="spellStart"/>
      <w:r w:rsidRPr="006D7319">
        <w:rPr>
          <w:lang w:val="nn-NO"/>
        </w:rPr>
        <w:t>se</w:t>
      </w:r>
      <w:proofErr w:type="spellEnd"/>
      <w:r w:rsidRPr="006D7319">
        <w:rPr>
          <w:lang w:val="nn-NO"/>
        </w:rPr>
        <w:t xml:space="preserve"> Hotvedt, M. </w:t>
      </w:r>
      <w:proofErr w:type="spellStart"/>
      <w:r w:rsidRPr="006D7319">
        <w:rPr>
          <w:lang w:val="nn-NO"/>
        </w:rPr>
        <w:t>Karnov</w:t>
      </w:r>
      <w:proofErr w:type="spellEnd"/>
      <w:r w:rsidRPr="006D7319">
        <w:rPr>
          <w:lang w:val="nn-NO"/>
        </w:rPr>
        <w:t xml:space="preserve"> lovkommentar til arbeidsmiljøloven </w:t>
      </w:r>
      <w:r>
        <w:rPr>
          <w:lang w:val="nn-NO"/>
        </w:rPr>
        <w:t>§ </w:t>
      </w:r>
      <w:r w:rsidRPr="006D7319">
        <w:rPr>
          <w:lang w:val="nn-NO"/>
        </w:rPr>
        <w:t xml:space="preserve">1-4. </w:t>
      </w:r>
    </w:p>
  </w:footnote>
  <w:footnote w:id="98">
    <w:p w14:paraId="17150BBB" w14:textId="35355C6A" w:rsidR="006A50F4" w:rsidRDefault="006A50F4">
      <w:pPr>
        <w:pStyle w:val="Fotnotetekst"/>
      </w:pPr>
      <w:r w:rsidRPr="006A50F4">
        <w:rPr>
          <w:rStyle w:val="Fotnotereferanse"/>
        </w:rPr>
        <w:footnoteRef/>
      </w:r>
      <w:r w:rsidRPr="006D7319">
        <w:tab/>
        <w:t>Skjønberg mfl. (2024) s. 79.</w:t>
      </w:r>
    </w:p>
  </w:footnote>
  <w:footnote w:id="99">
    <w:p w14:paraId="1287E641" w14:textId="5B271085" w:rsidR="006A50F4" w:rsidRDefault="006A50F4">
      <w:pPr>
        <w:pStyle w:val="Fotnotetekst"/>
      </w:pPr>
      <w:r w:rsidRPr="006A50F4">
        <w:rPr>
          <w:rStyle w:val="Fotnotereferanse"/>
        </w:rPr>
        <w:footnoteRef/>
      </w:r>
      <w:r w:rsidRPr="006D7319">
        <w:tab/>
        <w:t xml:space="preserve">I </w:t>
      </w:r>
      <w:proofErr w:type="spellStart"/>
      <w:r w:rsidRPr="006D7319">
        <w:t>Rt</w:t>
      </w:r>
      <w:proofErr w:type="spellEnd"/>
      <w:r w:rsidRPr="006D7319">
        <w:t xml:space="preserve">. 1958 s. 1229 (Sceneinstruktører) la Høyesterett til grunn at vitenskapelig eller kunstnerisk høyt kvalifiserte personer kan være arbeidstakere selv om de gjerne har </w:t>
      </w:r>
      <w:r>
        <w:t>«</w:t>
      </w:r>
      <w:r w:rsidRPr="006D7319">
        <w:t>en meget fri og selvstendig stilling</w:t>
      </w:r>
      <w:r>
        <w:t>»</w:t>
      </w:r>
      <w:r w:rsidRPr="006D7319">
        <w:t xml:space="preserve"> og bare er underlagt </w:t>
      </w:r>
      <w:r>
        <w:t>«</w:t>
      </w:r>
      <w:r w:rsidRPr="006D7319">
        <w:t>et minimum av instruksjoner</w:t>
      </w:r>
      <w:r>
        <w:t>»</w:t>
      </w:r>
      <w:r w:rsidRPr="006D7319">
        <w:t>.</w:t>
      </w:r>
    </w:p>
  </w:footnote>
  <w:footnote w:id="100">
    <w:p w14:paraId="582ED71C" w14:textId="04B19922"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54 (1986–1987) s. 24.</w:t>
      </w:r>
    </w:p>
  </w:footnote>
  <w:footnote w:id="101">
    <w:p w14:paraId="7EAC9780" w14:textId="2C4C6686"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NOU 2004: 5 s. 154 og Rt-2013-354 (</w:t>
      </w:r>
      <w:proofErr w:type="spellStart"/>
      <w:r w:rsidRPr="006D7319">
        <w:rPr>
          <w:lang w:val="nn-NO"/>
        </w:rPr>
        <w:t>Avlaster</w:t>
      </w:r>
      <w:proofErr w:type="spellEnd"/>
      <w:r w:rsidRPr="006D7319">
        <w:rPr>
          <w:lang w:val="nn-NO"/>
        </w:rPr>
        <w:t xml:space="preserve"> I) premiss 38.</w:t>
      </w:r>
    </w:p>
  </w:footnote>
  <w:footnote w:id="102">
    <w:p w14:paraId="6C2ECF51" w14:textId="0A05ECDD"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 xml:space="preserve">NOU 2021: 9 s. 166 med videre </w:t>
      </w:r>
      <w:proofErr w:type="spellStart"/>
      <w:r w:rsidRPr="006D7319">
        <w:rPr>
          <w:lang w:val="nn-NO"/>
        </w:rPr>
        <w:t>henvisning</w:t>
      </w:r>
      <w:proofErr w:type="spellEnd"/>
      <w:r w:rsidRPr="006D7319">
        <w:rPr>
          <w:lang w:val="nn-NO"/>
        </w:rPr>
        <w:t xml:space="preserve"> til Ot</w:t>
      </w:r>
      <w:r>
        <w:rPr>
          <w:lang w:val="nn-NO"/>
        </w:rPr>
        <w:t xml:space="preserve">.prp. nr. </w:t>
      </w:r>
      <w:r w:rsidRPr="006D7319">
        <w:rPr>
          <w:lang w:val="nn-NO"/>
        </w:rPr>
        <w:t>11 (1987–1988) s. 36.</w:t>
      </w:r>
    </w:p>
  </w:footnote>
  <w:footnote w:id="103">
    <w:p w14:paraId="127EF4B6" w14:textId="205C8705"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 xml:space="preserve">Breilid og Helvik, Lovdata </w:t>
      </w:r>
      <w:proofErr w:type="spellStart"/>
      <w:r w:rsidRPr="006D7319">
        <w:rPr>
          <w:lang w:val="nn-NO"/>
        </w:rPr>
        <w:t>Karnov</w:t>
      </w:r>
      <w:proofErr w:type="spellEnd"/>
      <w:r w:rsidRPr="006D7319">
        <w:rPr>
          <w:lang w:val="nn-NO"/>
        </w:rPr>
        <w:t xml:space="preserve"> lovkommentar til </w:t>
      </w:r>
      <w:proofErr w:type="spellStart"/>
      <w:r w:rsidRPr="006D7319">
        <w:rPr>
          <w:lang w:val="nn-NO"/>
        </w:rPr>
        <w:t>permitteringslønnsloven</w:t>
      </w:r>
      <w:proofErr w:type="spellEnd"/>
      <w:r w:rsidRPr="006D7319">
        <w:rPr>
          <w:lang w:val="nn-NO"/>
        </w:rPr>
        <w:t xml:space="preserve"> </w:t>
      </w:r>
      <w:r>
        <w:rPr>
          <w:lang w:val="nn-NO"/>
        </w:rPr>
        <w:t>§ </w:t>
      </w:r>
      <w:r w:rsidRPr="006D7319">
        <w:rPr>
          <w:lang w:val="nn-NO"/>
        </w:rPr>
        <w:t xml:space="preserve">1. Se også </w:t>
      </w:r>
      <w:proofErr w:type="spellStart"/>
      <w:r w:rsidRPr="006D7319">
        <w:rPr>
          <w:lang w:val="nn-NO"/>
        </w:rPr>
        <w:t>Meder</w:t>
      </w:r>
      <w:proofErr w:type="spellEnd"/>
      <w:r w:rsidRPr="006D7319">
        <w:rPr>
          <w:lang w:val="nn-NO"/>
        </w:rPr>
        <w:t xml:space="preserve"> og Weltzien (2024) s. 174 og s. 189. </w:t>
      </w:r>
    </w:p>
  </w:footnote>
  <w:footnote w:id="104">
    <w:p w14:paraId="5AB1B558" w14:textId="18B48F27" w:rsidR="006A50F4" w:rsidRDefault="006A50F4">
      <w:pPr>
        <w:pStyle w:val="Fotnotetekst"/>
      </w:pPr>
      <w:r w:rsidRPr="006A50F4">
        <w:rPr>
          <w:rStyle w:val="Fotnotereferanse"/>
        </w:rPr>
        <w:footnoteRef/>
      </w:r>
      <w:r w:rsidRPr="006D7319">
        <w:rPr>
          <w:lang w:val="nn-NO"/>
        </w:rPr>
        <w:tab/>
      </w:r>
      <w:r w:rsidRPr="006D7319">
        <w:rPr>
          <w:lang w:val="nn-NO"/>
        </w:rPr>
        <w:t xml:space="preserve">Se </w:t>
      </w:r>
      <w:hyperlink r:id="rId5" w:history="1">
        <w:r w:rsidRPr="006D7319">
          <w:rPr>
            <w:rStyle w:val="Hyperkobling"/>
            <w:lang w:val="nn-NO"/>
          </w:rPr>
          <w:t xml:space="preserve">Aksjeselskap (AS) med </w:t>
        </w:r>
        <w:proofErr w:type="spellStart"/>
        <w:r w:rsidRPr="006D7319">
          <w:rPr>
            <w:rStyle w:val="Hyperkobling"/>
            <w:lang w:val="nn-NO"/>
          </w:rPr>
          <w:t>bare</w:t>
        </w:r>
        <w:proofErr w:type="spellEnd"/>
        <w:r w:rsidRPr="006D7319">
          <w:rPr>
            <w:rStyle w:val="Hyperkobling"/>
            <w:lang w:val="nn-NO"/>
          </w:rPr>
          <w:t xml:space="preserve"> </w:t>
        </w:r>
        <w:proofErr w:type="spellStart"/>
        <w:r w:rsidRPr="006D7319">
          <w:rPr>
            <w:rStyle w:val="Hyperkobling"/>
            <w:lang w:val="nn-NO"/>
          </w:rPr>
          <w:t>én</w:t>
        </w:r>
        <w:proofErr w:type="spellEnd"/>
        <w:r w:rsidRPr="006D7319">
          <w:rPr>
            <w:rStyle w:val="Hyperkobling"/>
            <w:lang w:val="nn-NO"/>
          </w:rPr>
          <w:t xml:space="preserve"> </w:t>
        </w:r>
        <w:proofErr w:type="spellStart"/>
        <w:r w:rsidRPr="006D7319">
          <w:rPr>
            <w:rStyle w:val="Hyperkobling"/>
            <w:lang w:val="nn-NO"/>
          </w:rPr>
          <w:t>ansatt</w:t>
        </w:r>
        <w:proofErr w:type="spellEnd"/>
        <w:r w:rsidRPr="006D7319">
          <w:rPr>
            <w:rStyle w:val="Hyperkobling"/>
            <w:lang w:val="nn-NO"/>
          </w:rPr>
          <w:t xml:space="preserve"> – nav.no</w:t>
        </w:r>
      </w:hyperlink>
      <w:r w:rsidRPr="006D7319">
        <w:rPr>
          <w:lang w:val="nn-NO"/>
        </w:rPr>
        <w:t xml:space="preserve"> (</w:t>
      </w:r>
      <w:proofErr w:type="spellStart"/>
      <w:r w:rsidRPr="006D7319">
        <w:rPr>
          <w:lang w:val="nn-NO"/>
        </w:rPr>
        <w:t>hentet</w:t>
      </w:r>
      <w:proofErr w:type="spellEnd"/>
      <w:r w:rsidRPr="006D7319">
        <w:rPr>
          <w:lang w:val="nn-NO"/>
        </w:rPr>
        <w:t xml:space="preserve"> 9. mars 2026), </w:t>
      </w:r>
      <w:hyperlink r:id="rId6" w:history="1">
        <w:r w:rsidRPr="006D7319">
          <w:rPr>
            <w:rStyle w:val="Hyperkobling"/>
            <w:lang w:val="nn-NO"/>
          </w:rPr>
          <w:t xml:space="preserve">Rundskriv til folketrygdloven kapittel 4: </w:t>
        </w:r>
        <w:proofErr w:type="spellStart"/>
        <w:r w:rsidRPr="006D7319">
          <w:rPr>
            <w:rStyle w:val="Hyperkobling"/>
            <w:lang w:val="nn-NO"/>
          </w:rPr>
          <w:t>Dagpenger</w:t>
        </w:r>
        <w:proofErr w:type="spellEnd"/>
        <w:r w:rsidRPr="006D7319">
          <w:rPr>
            <w:rStyle w:val="Hyperkobling"/>
            <w:lang w:val="nn-NO"/>
          </w:rPr>
          <w:t xml:space="preserve"> under </w:t>
        </w:r>
        <w:proofErr w:type="spellStart"/>
        <w:r w:rsidRPr="006D7319">
          <w:rPr>
            <w:rStyle w:val="Hyperkobling"/>
            <w:lang w:val="nn-NO"/>
          </w:rPr>
          <w:t>arbeidsløshet</w:t>
        </w:r>
        <w:proofErr w:type="spellEnd"/>
        <w:r w:rsidRPr="006D7319">
          <w:rPr>
            <w:rStyle w:val="Hyperkobling"/>
            <w:lang w:val="nn-NO"/>
          </w:rPr>
          <w:t xml:space="preserve"> – Lovdata</w:t>
        </w:r>
      </w:hyperlink>
      <w:r w:rsidRPr="006D7319">
        <w:rPr>
          <w:lang w:val="nn-NO"/>
        </w:rPr>
        <w:t xml:space="preserve"> kommentar til folketrygdloven </w:t>
      </w:r>
      <w:r>
        <w:rPr>
          <w:lang w:val="nn-NO"/>
        </w:rPr>
        <w:t>§ </w:t>
      </w:r>
      <w:r w:rsidRPr="006D7319">
        <w:rPr>
          <w:lang w:val="nn-NO"/>
        </w:rPr>
        <w:t>4-3 (</w:t>
      </w:r>
      <w:proofErr w:type="spellStart"/>
      <w:r w:rsidRPr="006D7319">
        <w:rPr>
          <w:lang w:val="nn-NO"/>
        </w:rPr>
        <w:t>hentet</w:t>
      </w:r>
      <w:proofErr w:type="spellEnd"/>
      <w:r w:rsidRPr="006D7319">
        <w:rPr>
          <w:lang w:val="nn-NO"/>
        </w:rPr>
        <w:t xml:space="preserve"> 9. mars 2026). </w:t>
      </w:r>
      <w:r w:rsidRPr="006D7319">
        <w:t>Se også Sivilombudets uttalelse i SOM-2016-3169 og praksis fra Trygderetten, eksempelvis TRR-2025-3511, TRR-2023-3259 og TRR-2022-102.</w:t>
      </w:r>
    </w:p>
  </w:footnote>
  <w:footnote w:id="105">
    <w:p w14:paraId="1A3A7F69" w14:textId="61E497D1" w:rsidR="006A50F4" w:rsidRDefault="006A50F4">
      <w:pPr>
        <w:pStyle w:val="Fotnotetekst"/>
      </w:pPr>
      <w:r w:rsidRPr="006A50F4">
        <w:rPr>
          <w:rStyle w:val="Fotnotereferanse"/>
        </w:rPr>
        <w:footnoteRef/>
      </w:r>
      <w:r w:rsidRPr="006D7319">
        <w:tab/>
        <w:t xml:space="preserve">Fougner (2019) s. 672-673. Se også Ulseth (2006) s. 99-111 og Hotvedt (2016) s. 141-142. </w:t>
      </w:r>
    </w:p>
  </w:footnote>
  <w:footnote w:id="106">
    <w:p w14:paraId="30242D74" w14:textId="19A1262A" w:rsidR="006A50F4" w:rsidRDefault="006A50F4">
      <w:pPr>
        <w:pStyle w:val="Fotnotetekst"/>
      </w:pPr>
      <w:r w:rsidRPr="006A50F4">
        <w:rPr>
          <w:rStyle w:val="Fotnotereferanse"/>
        </w:rPr>
        <w:footnoteRef/>
      </w:r>
      <w:r w:rsidRPr="006D7319">
        <w:tab/>
        <w:t xml:space="preserve">Fougner mfl., </w:t>
      </w:r>
      <w:proofErr w:type="spellStart"/>
      <w:r w:rsidRPr="006D7319">
        <w:t>Juridika</w:t>
      </w:r>
      <w:proofErr w:type="spellEnd"/>
      <w:r w:rsidRPr="006D7319">
        <w:t xml:space="preserve">, lovkommentar til arbeidsmiljøloven </w:t>
      </w:r>
      <w:r>
        <w:t>§ </w:t>
      </w:r>
      <w:r w:rsidRPr="006D7319">
        <w:t xml:space="preserve">1-8. </w:t>
      </w:r>
    </w:p>
  </w:footnote>
  <w:footnote w:id="107">
    <w:p w14:paraId="350F9B87" w14:textId="5641C8B0" w:rsidR="006A50F4" w:rsidRDefault="006A50F4">
      <w:pPr>
        <w:pStyle w:val="Fotnotetekst"/>
      </w:pPr>
      <w:r w:rsidRPr="006A50F4">
        <w:rPr>
          <w:rStyle w:val="Fotnotereferanse"/>
        </w:rPr>
        <w:footnoteRef/>
      </w:r>
      <w:r w:rsidRPr="006D7319">
        <w:tab/>
        <w:t xml:space="preserve">Departementets syn </w:t>
      </w:r>
      <w:proofErr w:type="gramStart"/>
      <w:r w:rsidRPr="006D7319">
        <w:t>fremgår</w:t>
      </w:r>
      <w:proofErr w:type="gramEnd"/>
      <w:r w:rsidRPr="006D7319">
        <w:t xml:space="preserve"> av Veileder: Innleie av arbeidskraft (30. juni 2023; revidert 20. januar 2026), s. 5 og høringsnotat av 18. desember 2024 s. 3-6, og har også kommet til uttrykk i brev fra Arbeids- og sosialdepartementet av 7. april 2014 til Den norske revisorforening. </w:t>
      </w:r>
    </w:p>
  </w:footnote>
  <w:footnote w:id="108">
    <w:p w14:paraId="649489BC" w14:textId="34BCE0F4" w:rsidR="006A50F4" w:rsidRDefault="006A50F4">
      <w:pPr>
        <w:pStyle w:val="Fotnotetekst"/>
      </w:pPr>
      <w:r w:rsidRPr="006A50F4">
        <w:rPr>
          <w:rStyle w:val="Fotnotereferanse"/>
        </w:rPr>
        <w:footnoteRef/>
      </w:r>
      <w:r w:rsidRPr="006D7319">
        <w:tab/>
        <w:t xml:space="preserve">At en slik uttalelsene tidligere har ligget på Arbeidstilsynets nettsider </w:t>
      </w:r>
      <w:proofErr w:type="gramStart"/>
      <w:r w:rsidRPr="006D7319">
        <w:t>fremgår</w:t>
      </w:r>
      <w:proofErr w:type="gramEnd"/>
      <w:r w:rsidRPr="006D7319">
        <w:t xml:space="preserve"> blant annet av skriftlig innspill fra Norsk konsulentallianse til den partssammensatte arbeidsgruppen, datert 26. januar 2025.</w:t>
      </w:r>
    </w:p>
  </w:footnote>
  <w:footnote w:id="109">
    <w:p w14:paraId="27B98446" w14:textId="4D0EC263" w:rsidR="006A50F4" w:rsidRDefault="006A50F4">
      <w:pPr>
        <w:pStyle w:val="Fotnotetekst"/>
      </w:pPr>
      <w:r w:rsidRPr="006A50F4">
        <w:rPr>
          <w:rStyle w:val="Fotnotereferanse"/>
        </w:rPr>
        <w:footnoteRef/>
      </w:r>
      <w:r w:rsidRPr="006D7319">
        <w:tab/>
        <w:t xml:space="preserve">LB-2019-184977. </w:t>
      </w:r>
    </w:p>
  </w:footnote>
  <w:footnote w:id="110">
    <w:p w14:paraId="48F15D6A" w14:textId="4A443053" w:rsidR="006A50F4" w:rsidRDefault="006A50F4">
      <w:pPr>
        <w:pStyle w:val="Fotnotetekst"/>
      </w:pPr>
      <w:r w:rsidRPr="006A50F4">
        <w:rPr>
          <w:rStyle w:val="Fotnotereferanse"/>
        </w:rPr>
        <w:footnoteRef/>
      </w:r>
      <w:r w:rsidRPr="006D7319">
        <w:tab/>
        <w:t>Brev 7. april 2014 fra Arbeids- og sosialdepartementet til Den norske revisorforening.</w:t>
      </w:r>
    </w:p>
  </w:footnote>
  <w:footnote w:id="111">
    <w:p w14:paraId="27645B59" w14:textId="34FEAA42"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14</w:t>
      </w:r>
      <w:r>
        <w:t xml:space="preserve"> </w:t>
      </w:r>
      <w:r w:rsidRPr="006D7319">
        <w:t>L (2022–2023) s. 27.</w:t>
      </w:r>
    </w:p>
  </w:footnote>
  <w:footnote w:id="112">
    <w:p w14:paraId="3C606E2A" w14:textId="28D6721B" w:rsidR="006A50F4" w:rsidRDefault="006A50F4">
      <w:pPr>
        <w:pStyle w:val="Fotnotetekst"/>
      </w:pPr>
      <w:r w:rsidRPr="006A50F4">
        <w:rPr>
          <w:rStyle w:val="Fotnotereferanse"/>
        </w:rPr>
        <w:footnoteRef/>
      </w:r>
      <w:r w:rsidRPr="006D7319">
        <w:tab/>
        <w:t>NOU 2004: 5 s. 148.</w:t>
      </w:r>
    </w:p>
  </w:footnote>
  <w:footnote w:id="113">
    <w:p w14:paraId="0BE80082" w14:textId="45E43E44" w:rsidR="006A50F4" w:rsidRDefault="006A50F4">
      <w:pPr>
        <w:pStyle w:val="Fotnotetekst"/>
      </w:pPr>
      <w:r w:rsidRPr="006A50F4">
        <w:rPr>
          <w:rStyle w:val="Fotnotereferanse"/>
        </w:rPr>
        <w:footnoteRef/>
      </w:r>
      <w:r w:rsidRPr="006D7319">
        <w:tab/>
        <w:t>NOU 2021: 9 s. 108.</w:t>
      </w:r>
    </w:p>
  </w:footnote>
  <w:footnote w:id="114">
    <w:p w14:paraId="7E62B52D" w14:textId="603582FA" w:rsidR="006A50F4" w:rsidRDefault="006A50F4">
      <w:pPr>
        <w:pStyle w:val="Fotnotetekst"/>
      </w:pPr>
      <w:r w:rsidRPr="006A50F4">
        <w:rPr>
          <w:rStyle w:val="Fotnotereferanse"/>
        </w:rPr>
        <w:footnoteRef/>
      </w:r>
      <w:r w:rsidRPr="006D7319">
        <w:tab/>
        <w:t xml:space="preserve">Se blant annet Håvemoen og Arthur, Arbeidsrett.no, lovkommentar til permitteringslønnsloven </w:t>
      </w:r>
      <w:r>
        <w:t>§ </w:t>
      </w:r>
      <w:r w:rsidRPr="006D7319">
        <w:t xml:space="preserve">1, Meder og Weltzien (2024) s. 189, </w:t>
      </w:r>
      <w:proofErr w:type="spellStart"/>
      <w:r w:rsidRPr="006D7319">
        <w:t>Breilid</w:t>
      </w:r>
      <w:proofErr w:type="spellEnd"/>
      <w:r w:rsidRPr="006D7319">
        <w:t xml:space="preserve"> og Helvik, Lovdata </w:t>
      </w:r>
      <w:proofErr w:type="spellStart"/>
      <w:r w:rsidRPr="006D7319">
        <w:t>Karnov</w:t>
      </w:r>
      <w:proofErr w:type="spellEnd"/>
      <w:r w:rsidRPr="006D7319">
        <w:t xml:space="preserve"> lovkommentar til permitteringslønnsloven </w:t>
      </w:r>
      <w:r>
        <w:t>§ </w:t>
      </w:r>
      <w:r w:rsidRPr="006D7319">
        <w:t xml:space="preserve">1, Jakhelln, Rettsdata.no lovkommentar til permitteringslønnsloven </w:t>
      </w:r>
      <w:r>
        <w:t>§ </w:t>
      </w:r>
      <w:r w:rsidRPr="006D7319">
        <w:t xml:space="preserve">1. </w:t>
      </w:r>
    </w:p>
  </w:footnote>
  <w:footnote w:id="115">
    <w:p w14:paraId="058B57D8" w14:textId="7FEEAD93" w:rsidR="006A50F4" w:rsidRDefault="006A50F4">
      <w:pPr>
        <w:pStyle w:val="Fotnotetekst"/>
      </w:pPr>
      <w:r w:rsidRPr="006A50F4">
        <w:rPr>
          <w:rStyle w:val="Fotnotereferanse"/>
        </w:rPr>
        <w:footnoteRef/>
      </w:r>
      <w:r w:rsidRPr="006D7319">
        <w:tab/>
        <w:t xml:space="preserve">Se vedlegg 1 til denne rapporten. </w:t>
      </w:r>
    </w:p>
  </w:footnote>
  <w:footnote w:id="116">
    <w:p w14:paraId="6375DF1C" w14:textId="0285CACE" w:rsidR="006A50F4" w:rsidRDefault="006A50F4">
      <w:pPr>
        <w:pStyle w:val="Fotnotetekst"/>
      </w:pPr>
      <w:r w:rsidRPr="006A50F4">
        <w:rPr>
          <w:rStyle w:val="Fotnotereferanse"/>
        </w:rPr>
        <w:footnoteRef/>
      </w:r>
      <w:r w:rsidRPr="006D7319">
        <w:tab/>
      </w:r>
      <w:hyperlink r:id="rId7" w:history="1">
        <w:r w:rsidRPr="006D7319">
          <w:rPr>
            <w:rStyle w:val="Hyperkobling"/>
          </w:rPr>
          <w:t>DFØ-notat 2024:1 Statlige virksomheters bruk av konsulenter i 2023 – 3. Hva driver konsulentbruk i staten? | DFØ</w:t>
        </w:r>
      </w:hyperlink>
      <w:r w:rsidRPr="006D7319">
        <w:t xml:space="preserve"> (hentet 13. oktober 2025). </w:t>
      </w:r>
    </w:p>
  </w:footnote>
  <w:footnote w:id="117">
    <w:p w14:paraId="4712532E" w14:textId="61C1F19D" w:rsidR="006A50F4" w:rsidRDefault="006A50F4">
      <w:pPr>
        <w:pStyle w:val="Fotnotetekst"/>
      </w:pPr>
      <w:r w:rsidRPr="006A50F4">
        <w:rPr>
          <w:rStyle w:val="Fotnotereferanse"/>
        </w:rPr>
        <w:footnoteRef/>
      </w:r>
      <w:r w:rsidRPr="006D7319">
        <w:tab/>
      </w:r>
      <w:hyperlink r:id="rId8" w:history="1">
        <w:r w:rsidRPr="006D7319">
          <w:rPr>
            <w:rStyle w:val="Hyperkobling"/>
          </w:rPr>
          <w:t>Gebyr for registrering og tinglysing – Brønnøysundregistrene</w:t>
        </w:r>
      </w:hyperlink>
      <w:r w:rsidRPr="006D7319">
        <w:t xml:space="preserve"> (hentet 13. oktober 2025). </w:t>
      </w:r>
    </w:p>
  </w:footnote>
  <w:footnote w:id="118">
    <w:p w14:paraId="2E84C6D2" w14:textId="685EF764" w:rsidR="006A50F4" w:rsidRDefault="006A50F4">
      <w:pPr>
        <w:pStyle w:val="Fotnotetekst"/>
      </w:pPr>
      <w:r w:rsidRPr="006A50F4">
        <w:rPr>
          <w:rStyle w:val="Fotnotereferanse"/>
        </w:rPr>
        <w:footnoteRef/>
      </w:r>
      <w:r w:rsidRPr="006D7319">
        <w:tab/>
      </w:r>
      <w:hyperlink r:id="rId9" w:history="1">
        <w:proofErr w:type="spellStart"/>
        <w:r w:rsidRPr="006D7319">
          <w:rPr>
            <w:rStyle w:val="Hyperkobling"/>
          </w:rPr>
          <w:t>Altinn</w:t>
        </w:r>
        <w:proofErr w:type="spellEnd"/>
        <w:r w:rsidRPr="006D7319">
          <w:rPr>
            <w:rStyle w:val="Hyperkobling"/>
          </w:rPr>
          <w:t xml:space="preserve"> – Merverdiavgift</w:t>
        </w:r>
      </w:hyperlink>
      <w:r w:rsidRPr="006D7319">
        <w:t xml:space="preserve"> (hentet 13. oktober 2025). </w:t>
      </w:r>
    </w:p>
  </w:footnote>
  <w:footnote w:id="119">
    <w:p w14:paraId="11B26FBB" w14:textId="1E45A2A1" w:rsidR="006A50F4" w:rsidRDefault="006A50F4">
      <w:pPr>
        <w:pStyle w:val="Fotnotetekst"/>
      </w:pPr>
      <w:r w:rsidRPr="006A50F4">
        <w:rPr>
          <w:rStyle w:val="Fotnotereferanse"/>
        </w:rPr>
        <w:footnoteRef/>
      </w:r>
      <w:r w:rsidRPr="006D7319">
        <w:tab/>
      </w:r>
      <w:hyperlink r:id="rId10" w:history="1">
        <w:r w:rsidRPr="006D7319">
          <w:rPr>
            <w:rStyle w:val="Hyperkobling"/>
          </w:rPr>
          <w:t xml:space="preserve">Sysselsetting, </w:t>
        </w:r>
        <w:proofErr w:type="spellStart"/>
        <w:r w:rsidRPr="006D7319">
          <w:rPr>
            <w:rStyle w:val="Hyperkobling"/>
          </w:rPr>
          <w:t>registerbasert</w:t>
        </w:r>
        <w:proofErr w:type="spellEnd"/>
        <w:r w:rsidRPr="006D7319">
          <w:rPr>
            <w:rStyle w:val="Hyperkobling"/>
          </w:rPr>
          <w:t xml:space="preserve"> – SSB</w:t>
        </w:r>
      </w:hyperlink>
      <w:r w:rsidRPr="006D7319">
        <w:t xml:space="preserve"> (hentet 17. februar 2026). </w:t>
      </w:r>
    </w:p>
  </w:footnote>
  <w:footnote w:id="120">
    <w:p w14:paraId="5C8F6902" w14:textId="707CB228" w:rsidR="006A50F4" w:rsidRDefault="006A50F4">
      <w:pPr>
        <w:pStyle w:val="Fotnotetekst"/>
      </w:pPr>
      <w:r w:rsidRPr="006A50F4">
        <w:rPr>
          <w:rStyle w:val="Fotnotereferanse"/>
        </w:rPr>
        <w:footnoteRef/>
      </w:r>
      <w:r w:rsidRPr="006D7319">
        <w:tab/>
      </w:r>
      <w:hyperlink r:id="rId11" w:history="1">
        <w:r w:rsidRPr="006D7319">
          <w:rPr>
            <w:rStyle w:val="Hyperkobling"/>
          </w:rPr>
          <w:t>Hvor mange jobber er det i Norge? – SSB</w:t>
        </w:r>
      </w:hyperlink>
      <w:r w:rsidRPr="006D7319">
        <w:t xml:space="preserve"> (hentet 2. mars 2026). Dette tallet er noe høyere enn tallet for sysselsetting, ettersom sysselsatte kan ha mer enn én jobb.</w:t>
      </w:r>
    </w:p>
  </w:footnote>
  <w:footnote w:id="121">
    <w:p w14:paraId="39D5F888" w14:textId="7ACBA728" w:rsidR="006A50F4" w:rsidRDefault="006A50F4">
      <w:pPr>
        <w:pStyle w:val="Fotnotetekst"/>
      </w:pPr>
      <w:r w:rsidRPr="006A50F4">
        <w:rPr>
          <w:rStyle w:val="Fotnotereferanse"/>
        </w:rPr>
        <w:footnoteRef/>
      </w:r>
      <w:r w:rsidRPr="006D7319">
        <w:tab/>
        <w:t xml:space="preserve">Merk at antall enkeltpersonforetak som legges til grunn i Menons rapport er antall enkeltpersonforetak registrert i </w:t>
      </w:r>
      <w:proofErr w:type="spellStart"/>
      <w:r w:rsidRPr="006D7319">
        <w:t>Merverdiavgiftsregisteret</w:t>
      </w:r>
      <w:proofErr w:type="spellEnd"/>
      <w:r w:rsidRPr="006D7319">
        <w:t xml:space="preserve">. Som nevnt, tilsier usikkerhet knyttet til aktivitetsnivået at man bør lese antall enkeltpersonforetak registrert i </w:t>
      </w:r>
      <w:proofErr w:type="spellStart"/>
      <w:r w:rsidRPr="006D7319">
        <w:t>Merverdiavgiftsregisteret</w:t>
      </w:r>
      <w:proofErr w:type="spellEnd"/>
      <w:r w:rsidRPr="006D7319">
        <w:t xml:space="preserve"> med varsomhet.</w:t>
      </w:r>
    </w:p>
  </w:footnote>
  <w:footnote w:id="122">
    <w:p w14:paraId="45A64C6A" w14:textId="71D8A8D5" w:rsidR="006A50F4" w:rsidRDefault="006A50F4">
      <w:pPr>
        <w:pStyle w:val="Fotnotetekst"/>
      </w:pPr>
      <w:r w:rsidRPr="006A50F4">
        <w:rPr>
          <w:rStyle w:val="Fotnotereferanse"/>
        </w:rPr>
        <w:footnoteRef/>
      </w:r>
      <w:r w:rsidRPr="006D7319">
        <w:tab/>
        <w:t xml:space="preserve">NOU 2021: 9 s. 231. </w:t>
      </w:r>
    </w:p>
  </w:footnote>
  <w:footnote w:id="123">
    <w:p w14:paraId="52435A84" w14:textId="1FD1E499" w:rsidR="006A50F4" w:rsidRDefault="006A50F4">
      <w:pPr>
        <w:pStyle w:val="Fotnotetekst"/>
      </w:pPr>
      <w:r w:rsidRPr="006A50F4">
        <w:rPr>
          <w:rStyle w:val="Fotnotereferanse"/>
        </w:rPr>
        <w:footnoteRef/>
      </w:r>
      <w:r w:rsidRPr="006D7319">
        <w:tab/>
        <w:t xml:space="preserve">En annen grensedragning som kan by på lignende vurderinger er grensen mellom </w:t>
      </w:r>
      <w:proofErr w:type="gramStart"/>
      <w:r w:rsidRPr="006D7319">
        <w:t>innleie</w:t>
      </w:r>
      <w:proofErr w:type="gramEnd"/>
      <w:r w:rsidRPr="006D7319">
        <w:t xml:space="preserve"> og entreprise, jf. arbeidsmiljøloven </w:t>
      </w:r>
      <w:r>
        <w:t>§ </w:t>
      </w:r>
      <w:r w:rsidRPr="006D7319">
        <w:t xml:space="preserve">14-12 fjerde ledd. Likheten mellom vurderingene kan være egnet til å skape forvirring. Det avgrenses imidlertid mot denne vurderingen, da den knytter seg til andre regler enn grensedragningen mellom arbeidstakerforhold og oppdragsforhold, jf. arbeidsmiljøloven </w:t>
      </w:r>
      <w:r>
        <w:t>§ </w:t>
      </w:r>
      <w:r w:rsidRPr="006D7319">
        <w:t xml:space="preserve">1-8, se nærmere om dette i punkt 2.4.4 og 2.4.5. </w:t>
      </w:r>
    </w:p>
  </w:footnote>
  <w:footnote w:id="124">
    <w:p w14:paraId="39456F6F" w14:textId="523B86BD" w:rsidR="006A50F4" w:rsidRDefault="006A50F4">
      <w:pPr>
        <w:pStyle w:val="Fotnotetekst"/>
      </w:pPr>
      <w:r w:rsidRPr="006A50F4">
        <w:rPr>
          <w:rStyle w:val="Fotnotereferanse"/>
        </w:rPr>
        <w:footnoteRef/>
      </w:r>
      <w:r w:rsidRPr="006D7319">
        <w:tab/>
        <w:t xml:space="preserve">Presumsjonsregelen i arbeidsmiljøloven </w:t>
      </w:r>
      <w:r>
        <w:t>§ </w:t>
      </w:r>
      <w:r w:rsidRPr="006D7319">
        <w:t>1-8 andre ledd er ikke ment å påvirke den rettslige normen for hva som utgjør et arbeidsforhold, men innebærer at det kreves klarere bevismessige holdepunkter enn tidligere for å konkludere med at det foreligger et oppdragsforhold.</w:t>
      </w:r>
    </w:p>
  </w:footnote>
  <w:footnote w:id="125">
    <w:p w14:paraId="231EE1C6" w14:textId="50ACF399" w:rsidR="006A50F4" w:rsidRDefault="006A50F4">
      <w:pPr>
        <w:pStyle w:val="Fotnotetekst"/>
      </w:pPr>
      <w:r w:rsidRPr="006A50F4">
        <w:rPr>
          <w:rStyle w:val="Fotnotereferanse"/>
        </w:rPr>
        <w:footnoteRef/>
      </w:r>
      <w:r w:rsidRPr="006D7319">
        <w:tab/>
        <w:t xml:space="preserve">Se </w:t>
      </w:r>
      <w:proofErr w:type="spellStart"/>
      <w:r>
        <w:t>Prop</w:t>
      </w:r>
      <w:proofErr w:type="spellEnd"/>
      <w:r>
        <w:t xml:space="preserve">. </w:t>
      </w:r>
      <w:r w:rsidRPr="006D7319">
        <w:t>14</w:t>
      </w:r>
      <w:r>
        <w:t xml:space="preserve"> </w:t>
      </w:r>
      <w:r w:rsidRPr="006D7319">
        <w:t>L (2022–2023) s. 27 og 28.</w:t>
      </w:r>
    </w:p>
  </w:footnote>
  <w:footnote w:id="126">
    <w:p w14:paraId="48FE845D" w14:textId="160A26DA" w:rsidR="006A50F4" w:rsidRDefault="006A50F4">
      <w:pPr>
        <w:pStyle w:val="Fotnotetekst"/>
      </w:pPr>
      <w:r w:rsidRPr="006A50F4">
        <w:rPr>
          <w:rStyle w:val="Fotnotereferanse"/>
        </w:rPr>
        <w:footnoteRef/>
      </w:r>
      <w:r w:rsidRPr="006D7319">
        <w:tab/>
        <w:t xml:space="preserve">I </w:t>
      </w:r>
      <w:proofErr w:type="spellStart"/>
      <w:r>
        <w:t>Prop</w:t>
      </w:r>
      <w:proofErr w:type="spellEnd"/>
      <w:r>
        <w:t xml:space="preserve">. </w:t>
      </w:r>
      <w:r w:rsidRPr="006D7319">
        <w:t>14</w:t>
      </w:r>
      <w:r>
        <w:t xml:space="preserve"> </w:t>
      </w:r>
      <w:r w:rsidRPr="006D7319">
        <w:t>L (2022–2023) s. 27 og 28 er det henvist til flertallets gjennomgang av gjeldende rett og presisert at redegjørelsen er basert på de tradisjonelle momentene som er utviklet gjennom rettspraksis og forarbeider, og oppdatert med enkelte nyere momenter.</w:t>
      </w:r>
    </w:p>
  </w:footnote>
  <w:footnote w:id="127">
    <w:p w14:paraId="557B8CD0" w14:textId="1E812CC0" w:rsidR="006A50F4" w:rsidRDefault="006A50F4">
      <w:pPr>
        <w:pStyle w:val="Fotnotetekst"/>
      </w:pPr>
      <w:r w:rsidRPr="006A50F4">
        <w:rPr>
          <w:rStyle w:val="Fotnotereferanse"/>
        </w:rPr>
        <w:footnoteRef/>
      </w:r>
      <w:r w:rsidRPr="006D7319">
        <w:tab/>
        <w:t>NOU 2021: 9 s. 247.</w:t>
      </w:r>
    </w:p>
  </w:footnote>
  <w:footnote w:id="128">
    <w:p w14:paraId="6A63D4EA" w14:textId="5C9E7407" w:rsidR="006A50F4" w:rsidRDefault="006A50F4">
      <w:pPr>
        <w:pStyle w:val="Fotnotetekst"/>
      </w:pPr>
      <w:r w:rsidRPr="006A50F4">
        <w:rPr>
          <w:rStyle w:val="Fotnotereferanse"/>
        </w:rPr>
        <w:footnoteRef/>
      </w:r>
      <w:r w:rsidRPr="006D7319">
        <w:tab/>
        <w:t xml:space="preserve">Se også </w:t>
      </w:r>
      <w:proofErr w:type="spellStart"/>
      <w:r>
        <w:t>Prop</w:t>
      </w:r>
      <w:proofErr w:type="spellEnd"/>
      <w:r>
        <w:t xml:space="preserve">. </w:t>
      </w:r>
      <w:r w:rsidRPr="006D7319">
        <w:t>14</w:t>
      </w:r>
      <w:r>
        <w:t xml:space="preserve"> </w:t>
      </w:r>
      <w:r w:rsidRPr="006D7319">
        <w:t>L (2022–2023) s. 28.</w:t>
      </w:r>
    </w:p>
  </w:footnote>
  <w:footnote w:id="129">
    <w:p w14:paraId="74AB0358" w14:textId="45D605D0" w:rsidR="006A50F4" w:rsidRDefault="006A50F4">
      <w:pPr>
        <w:pStyle w:val="Fotnotetekst"/>
      </w:pPr>
      <w:r w:rsidRPr="006A50F4">
        <w:rPr>
          <w:rStyle w:val="Fotnotereferanse"/>
        </w:rPr>
        <w:footnoteRef/>
      </w:r>
      <w:r w:rsidRPr="006D7319">
        <w:tab/>
        <w:t xml:space="preserve">Se for eksempel Høyesteretts vurdering av dette momentet i HR-2016-1366-A (Avlaster II) avsnitt 70, hvor oppdragets personlige karakter ikke var tilstrekkelig til å utelukke at man hadde med en oppdragsavtale å gjøre. Se også LB-2024-85425 hvor plikten til personlig utførelse ikke ble ansett som noe tungtveiende argument for at sangeren i koret måtte anses som arbeidstaker. </w:t>
      </w:r>
    </w:p>
  </w:footnote>
  <w:footnote w:id="130">
    <w:p w14:paraId="3B34BFC0" w14:textId="3EA9CB2A" w:rsidR="006A50F4" w:rsidRDefault="006A50F4">
      <w:pPr>
        <w:pStyle w:val="Fotnotetekst"/>
      </w:pPr>
      <w:r w:rsidRPr="006A50F4">
        <w:rPr>
          <w:rStyle w:val="Fotnotereferanse"/>
        </w:rPr>
        <w:footnoteRef/>
      </w:r>
      <w:r w:rsidRPr="006D7319">
        <w:tab/>
        <w:t xml:space="preserve">NOU 2021: 9 s. 246 og 247. </w:t>
      </w:r>
    </w:p>
  </w:footnote>
  <w:footnote w:id="131">
    <w:p w14:paraId="216047AC" w14:textId="12E3D27E"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14</w:t>
      </w:r>
      <w:r>
        <w:t xml:space="preserve"> </w:t>
      </w:r>
      <w:r w:rsidRPr="006D7319">
        <w:t xml:space="preserve">L (2022–2023) s. 28. Se også HR-2013-630-A (Avlaster I) avsnitt 53 hvor Høyesterett viser til at momentet ikke passer så godt der arbeidet går ut på en løpende ytelse som i den aktuelle saken var en omsorgsytelse. </w:t>
      </w:r>
    </w:p>
  </w:footnote>
  <w:footnote w:id="132">
    <w:p w14:paraId="56AC70CE" w14:textId="490EE325" w:rsidR="006A50F4" w:rsidRDefault="006A50F4">
      <w:pPr>
        <w:pStyle w:val="Fotnotetekst"/>
      </w:pPr>
      <w:r w:rsidRPr="006A50F4">
        <w:rPr>
          <w:rStyle w:val="Fotnotereferanse"/>
        </w:rPr>
        <w:footnoteRef/>
      </w:r>
      <w:r w:rsidRPr="006D7319">
        <w:tab/>
        <w:t xml:space="preserve">LB-2024-85425. I den konkrete dommen ble manglende risiko for arbeidsresultatet ikke tillagt stor vekt, selv om det isolert sett talte for at sangeren var arbeidstaker. </w:t>
      </w:r>
    </w:p>
  </w:footnote>
  <w:footnote w:id="133">
    <w:p w14:paraId="6825924B" w14:textId="5B2CE532"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14</w:t>
      </w:r>
      <w:r>
        <w:t xml:space="preserve"> </w:t>
      </w:r>
      <w:r w:rsidRPr="006D7319">
        <w:t xml:space="preserve">L (2022–2023) s. 29. </w:t>
      </w:r>
    </w:p>
  </w:footnote>
  <w:footnote w:id="134">
    <w:p w14:paraId="1B7D1ED6" w14:textId="64619870" w:rsidR="006A50F4" w:rsidRDefault="006A50F4">
      <w:pPr>
        <w:pStyle w:val="Fotnotetekst"/>
      </w:pPr>
      <w:r w:rsidRPr="006A50F4">
        <w:rPr>
          <w:rStyle w:val="Fotnotereferanse"/>
        </w:rPr>
        <w:footnoteRef/>
      </w:r>
      <w:r w:rsidRPr="006D7319">
        <w:tab/>
        <w:t>Se for eksempel HR-2013-628-A (Beredskapshjem) avsnitt 51. Se også LB-2024-85425 hvor lagmannsretten kom til at det forelå et oppdragsforhold selv om sangeren i stor utstrekning var underlagt korets ledelse og kontroll, og momentet i seg selv tilsa at det forelå et arbeidstakerforhold.</w:t>
      </w:r>
    </w:p>
  </w:footnote>
  <w:footnote w:id="135">
    <w:p w14:paraId="52918E86" w14:textId="0F21E266" w:rsidR="006A50F4" w:rsidRDefault="006A50F4">
      <w:pPr>
        <w:pStyle w:val="Fotnotetekst"/>
      </w:pPr>
      <w:r w:rsidRPr="006A50F4">
        <w:rPr>
          <w:rStyle w:val="Fotnotereferanse"/>
        </w:rPr>
        <w:footnoteRef/>
      </w:r>
      <w:r w:rsidRPr="006D7319">
        <w:tab/>
        <w:t>NOU 2021: 9 s. 247.</w:t>
      </w:r>
    </w:p>
  </w:footnote>
  <w:footnote w:id="136">
    <w:p w14:paraId="73F9A43C" w14:textId="21F71123" w:rsidR="006A50F4" w:rsidRDefault="006A50F4">
      <w:pPr>
        <w:pStyle w:val="Fotnotetekst"/>
      </w:pPr>
      <w:r w:rsidRPr="006A50F4">
        <w:rPr>
          <w:rStyle w:val="Fotnotereferanse"/>
        </w:rPr>
        <w:footnoteRef/>
      </w:r>
      <w:r w:rsidRPr="006D7319">
        <w:tab/>
        <w:t xml:space="preserve">I </w:t>
      </w:r>
      <w:proofErr w:type="spellStart"/>
      <w:r>
        <w:t>Prop</w:t>
      </w:r>
      <w:proofErr w:type="spellEnd"/>
      <w:r>
        <w:t xml:space="preserve">. </w:t>
      </w:r>
      <w:r w:rsidRPr="006D7319">
        <w:t>14</w:t>
      </w:r>
      <w:r>
        <w:t xml:space="preserve"> </w:t>
      </w:r>
      <w:r w:rsidRPr="006D7319">
        <w:t>L (2022–2023) s. 28 er det vist til flertallets gjennomgang av gjeldende rett, herunder de oppdaterte nye momentene.</w:t>
      </w:r>
    </w:p>
  </w:footnote>
  <w:footnote w:id="137">
    <w:p w14:paraId="409B2958" w14:textId="1E593A64" w:rsidR="006A50F4" w:rsidRDefault="006A50F4">
      <w:pPr>
        <w:pStyle w:val="Fotnotetekst"/>
      </w:pPr>
      <w:r w:rsidRPr="006A50F4">
        <w:rPr>
          <w:rStyle w:val="Fotnotereferanse"/>
        </w:rPr>
        <w:footnoteRef/>
      </w:r>
      <w:r w:rsidRPr="006D7319">
        <w:tab/>
        <w:t>NOU 2021: 9 s. 248.</w:t>
      </w:r>
    </w:p>
  </w:footnote>
  <w:footnote w:id="138">
    <w:p w14:paraId="11005A51" w14:textId="6021DD87" w:rsidR="006A50F4" w:rsidRDefault="006A50F4">
      <w:pPr>
        <w:pStyle w:val="Fotnotetekst"/>
      </w:pPr>
      <w:r w:rsidRPr="006A50F4">
        <w:rPr>
          <w:rStyle w:val="Fotnotereferanse"/>
        </w:rPr>
        <w:footnoteRef/>
      </w:r>
      <w:r w:rsidRPr="006D7319">
        <w:tab/>
        <w:t xml:space="preserve">Se også betydningen av forhandlingsposisjon i HR-2013-630-A (avlaster I) avsnitt 48. </w:t>
      </w:r>
    </w:p>
  </w:footnote>
  <w:footnote w:id="139">
    <w:p w14:paraId="653A1B3E" w14:textId="0E3C5DA9"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 xml:space="preserve">Ibid. </w:t>
      </w:r>
    </w:p>
  </w:footnote>
  <w:footnote w:id="140">
    <w:p w14:paraId="3027F41E" w14:textId="3CE1D929" w:rsidR="006A50F4" w:rsidRPr="006D7319" w:rsidRDefault="006A50F4">
      <w:pPr>
        <w:pStyle w:val="Fotnotetekst"/>
        <w:rPr>
          <w:lang w:val="nn-NO"/>
        </w:rPr>
      </w:pPr>
      <w:r w:rsidRPr="006A50F4">
        <w:rPr>
          <w:rStyle w:val="Fotnotereferanse"/>
        </w:rPr>
        <w:footnoteRef/>
      </w:r>
      <w:r w:rsidRPr="006D7319">
        <w:rPr>
          <w:lang w:val="nn-NO"/>
        </w:rPr>
        <w:tab/>
      </w:r>
      <w:proofErr w:type="spellStart"/>
      <w:r>
        <w:rPr>
          <w:lang w:val="nn-NO"/>
        </w:rPr>
        <w:t>Prop</w:t>
      </w:r>
      <w:proofErr w:type="spellEnd"/>
      <w:r>
        <w:rPr>
          <w:lang w:val="nn-NO"/>
        </w:rPr>
        <w:t xml:space="preserve">. </w:t>
      </w:r>
      <w:r w:rsidRPr="006D7319">
        <w:rPr>
          <w:lang w:val="nn-NO"/>
        </w:rPr>
        <w:t>14</w:t>
      </w:r>
      <w:r>
        <w:rPr>
          <w:lang w:val="nn-NO"/>
        </w:rPr>
        <w:t xml:space="preserve"> </w:t>
      </w:r>
      <w:r w:rsidRPr="006D7319">
        <w:rPr>
          <w:lang w:val="nn-NO"/>
        </w:rPr>
        <w:t>L (2022–2023) s. 27 og 28.</w:t>
      </w:r>
    </w:p>
  </w:footnote>
  <w:footnote w:id="141">
    <w:p w14:paraId="7BC6EC85" w14:textId="3F54DFA6"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49 (2004–2005) s. 73 og NOU 2021: 9 s. 245.</w:t>
      </w:r>
    </w:p>
  </w:footnote>
  <w:footnote w:id="142">
    <w:p w14:paraId="3AEBEDD5" w14:textId="3614B068" w:rsidR="006A50F4" w:rsidRDefault="006A50F4">
      <w:pPr>
        <w:pStyle w:val="Fotnotetekst"/>
      </w:pPr>
      <w:r w:rsidRPr="006A50F4">
        <w:rPr>
          <w:rStyle w:val="Fotnotereferanse"/>
        </w:rPr>
        <w:footnoteRef/>
      </w:r>
      <w:r w:rsidRPr="006D7319">
        <w:tab/>
        <w:t xml:space="preserve">NOU 2021: 9 s. 245 og 246. Se for eksempel LB-2024-85425 hvor sangerens mulighet til å bestemme over sangkorets virksomhet, herunder over sine egne rammebetingelser, tilsa en frihet og innflytelse som talte mot at det forelå et avhengighets- og underordningsforhold. </w:t>
      </w:r>
    </w:p>
  </w:footnote>
  <w:footnote w:id="143">
    <w:p w14:paraId="1ED376A4" w14:textId="52C05C19" w:rsidR="006A50F4" w:rsidRDefault="006A50F4">
      <w:pPr>
        <w:pStyle w:val="Fotnotetekst"/>
      </w:pPr>
      <w:r w:rsidRPr="006A50F4">
        <w:rPr>
          <w:rStyle w:val="Fotnotereferanse"/>
        </w:rPr>
        <w:footnoteRef/>
      </w:r>
      <w:r w:rsidRPr="006D7319">
        <w:tab/>
        <w:t xml:space="preserve">Ibid. </w:t>
      </w:r>
    </w:p>
  </w:footnote>
  <w:footnote w:id="144">
    <w:p w14:paraId="7A3B51CA" w14:textId="389A0E83" w:rsidR="006A50F4" w:rsidRDefault="006A50F4">
      <w:pPr>
        <w:pStyle w:val="Fotnotetekst"/>
      </w:pPr>
      <w:r w:rsidRPr="006A50F4">
        <w:rPr>
          <w:rStyle w:val="Fotnotereferanse"/>
        </w:rPr>
        <w:footnoteRef/>
      </w:r>
      <w:r w:rsidRPr="006D7319">
        <w:tab/>
        <w:t>Jf. for eksempel HR-2016-1366-A avsnitt 65.</w:t>
      </w:r>
    </w:p>
  </w:footnote>
  <w:footnote w:id="145">
    <w:p w14:paraId="30B39FBD" w14:textId="092B92DB" w:rsidR="006A50F4" w:rsidRDefault="006A50F4">
      <w:pPr>
        <w:pStyle w:val="Fotnotetekst"/>
      </w:pPr>
      <w:r w:rsidRPr="006A50F4">
        <w:rPr>
          <w:rStyle w:val="Fotnotereferanse"/>
        </w:rPr>
        <w:footnoteRef/>
      </w:r>
      <w:r w:rsidRPr="006D7319">
        <w:tab/>
        <w:t>Se for eksempel LB-2025-94406 (</w:t>
      </w:r>
      <w:proofErr w:type="spellStart"/>
      <w:r w:rsidRPr="006D7319">
        <w:t>Wolt</w:t>
      </w:r>
      <w:proofErr w:type="spellEnd"/>
      <w:r w:rsidRPr="006D7319">
        <w:t xml:space="preserve">). Momentet ble imidlertid ikke tillagt avgjørende vekt i den konkrete helhetsvurderingen, se s. 20–21. Dommen er anket til Høyesterett. </w:t>
      </w:r>
    </w:p>
  </w:footnote>
  <w:footnote w:id="146">
    <w:p w14:paraId="4010C55D" w14:textId="67AD982C" w:rsidR="006A50F4" w:rsidRDefault="006A50F4">
      <w:pPr>
        <w:pStyle w:val="Fotnotetekst"/>
      </w:pPr>
      <w:r w:rsidRPr="006A50F4">
        <w:rPr>
          <w:rStyle w:val="Fotnotereferanse"/>
        </w:rPr>
        <w:footnoteRef/>
      </w:r>
      <w:r w:rsidRPr="006D7319">
        <w:tab/>
        <w:t xml:space="preserve">Se for eksempel LB-2024-85425 hvor lagmannsretten i vurderingen av om en sanger var arbeidstaker eller oppdragstaker blant annet la avgjørende vekt på sangerens frihet til å velge om hun ville påta seg oppdrag for koret hun sang i. </w:t>
      </w:r>
    </w:p>
  </w:footnote>
  <w:footnote w:id="147">
    <w:p w14:paraId="64A13037" w14:textId="09B3CE2B" w:rsidR="006A50F4" w:rsidRDefault="006A50F4">
      <w:pPr>
        <w:pStyle w:val="Fotnotetekst"/>
      </w:pPr>
      <w:r w:rsidRPr="006A50F4">
        <w:rPr>
          <w:rStyle w:val="Fotnotereferanse"/>
        </w:rPr>
        <w:footnoteRef/>
      </w:r>
      <w:r w:rsidRPr="006D7319">
        <w:tab/>
        <w:t xml:space="preserve">NOU 2021: 9 s. 251. </w:t>
      </w:r>
    </w:p>
  </w:footnote>
  <w:footnote w:id="148">
    <w:p w14:paraId="0528CE6A" w14:textId="51F8F69A" w:rsidR="006A50F4" w:rsidRDefault="006A50F4">
      <w:pPr>
        <w:pStyle w:val="Fotnotetekst"/>
      </w:pPr>
      <w:r w:rsidRPr="006A50F4">
        <w:rPr>
          <w:rStyle w:val="Fotnotereferanse"/>
        </w:rPr>
        <w:footnoteRef/>
      </w:r>
      <w:r w:rsidRPr="006D7319">
        <w:tab/>
        <w:t xml:space="preserve">Arbeids- og inkluderingsdepartementet, Veileder: Innleie av arbeidskraft (30. juni 2023; revidert 20. januar 2026). </w:t>
      </w:r>
    </w:p>
  </w:footnote>
  <w:footnote w:id="149">
    <w:p w14:paraId="0210F1D4" w14:textId="57194783" w:rsidR="006A50F4" w:rsidRDefault="006A50F4">
      <w:pPr>
        <w:pStyle w:val="Fotnotetekst"/>
      </w:pPr>
      <w:r w:rsidRPr="006A50F4">
        <w:rPr>
          <w:rStyle w:val="Fotnotereferanse"/>
        </w:rPr>
        <w:footnoteRef/>
      </w:r>
      <w:r w:rsidRPr="006D7319">
        <w:tab/>
      </w:r>
      <w:hyperlink r:id="rId12" w:history="1">
        <w:proofErr w:type="spellStart"/>
        <w:r w:rsidRPr="006D7319">
          <w:rPr>
            <w:rStyle w:val="Hyperkobling"/>
          </w:rPr>
          <w:t>Altinn</w:t>
        </w:r>
        <w:proofErr w:type="spellEnd"/>
        <w:r w:rsidRPr="006D7319">
          <w:rPr>
            <w:rStyle w:val="Hyperkobling"/>
          </w:rPr>
          <w:t xml:space="preserve"> – Aksjeselskap (AS)</w:t>
        </w:r>
      </w:hyperlink>
      <w:r w:rsidRPr="006D7319">
        <w:t xml:space="preserve"> (hentet 13. februar 2026). </w:t>
      </w:r>
    </w:p>
  </w:footnote>
  <w:footnote w:id="150">
    <w:p w14:paraId="600A40FB" w14:textId="7FD9570F" w:rsidR="006A50F4" w:rsidRDefault="006A50F4">
      <w:pPr>
        <w:pStyle w:val="Fotnotetekst"/>
      </w:pPr>
      <w:r w:rsidRPr="006A50F4">
        <w:rPr>
          <w:rStyle w:val="Fotnotereferanse"/>
        </w:rPr>
        <w:footnoteRef/>
      </w:r>
      <w:r w:rsidRPr="006D7319">
        <w:tab/>
        <w:t xml:space="preserve">Arbeids- og inkluderingsdepartementet, Veileder: Innleie av arbeidskraft (30. juni 2023; revidert 20. januar 2026), s. 19-20. </w:t>
      </w:r>
    </w:p>
  </w:footnote>
  <w:footnote w:id="151">
    <w:p w14:paraId="71D4010F" w14:textId="4FEDDEEC" w:rsidR="006A50F4" w:rsidRDefault="006A50F4">
      <w:pPr>
        <w:pStyle w:val="Fotnotetekst"/>
      </w:pPr>
      <w:r w:rsidRPr="006A50F4">
        <w:rPr>
          <w:rStyle w:val="Fotnotereferanse"/>
        </w:rPr>
        <w:footnoteRef/>
      </w:r>
      <w:r w:rsidRPr="006D7319">
        <w:tab/>
        <w:t xml:space="preserve">Arbeids- og inkluderingsdepartementet, Veileder: Innleie av arbeidskraft (30. juni 2023; revidert 20. januar 2026) s. 20-21. </w:t>
      </w:r>
    </w:p>
  </w:footnote>
  <w:footnote w:id="152">
    <w:p w14:paraId="7E1F3EE0" w14:textId="738DE2F7" w:rsidR="006A50F4" w:rsidRDefault="006A50F4">
      <w:pPr>
        <w:pStyle w:val="Fotnotetekst"/>
      </w:pPr>
      <w:r w:rsidRPr="006A50F4">
        <w:rPr>
          <w:rStyle w:val="Fotnotereferanse"/>
        </w:rPr>
        <w:footnoteRef/>
      </w:r>
      <w:r w:rsidRPr="006D7319">
        <w:tab/>
        <w:t xml:space="preserve">Arbeids- og inkluderingsdepartementet, Veileder: Innleie av arbeidskraft (30. juni 2023; revidert 20. januar 2026) s. 21-22. </w:t>
      </w:r>
    </w:p>
  </w:footnote>
  <w:footnote w:id="153">
    <w:p w14:paraId="75E6E520" w14:textId="254918C4" w:rsidR="006A50F4" w:rsidRPr="006D7319" w:rsidRDefault="006A50F4">
      <w:pPr>
        <w:pStyle w:val="Fotnotetekst"/>
        <w:rPr>
          <w:lang w:val="nn-NO"/>
        </w:rPr>
      </w:pPr>
      <w:r w:rsidRPr="006A50F4">
        <w:rPr>
          <w:rStyle w:val="Fotnotereferanse"/>
        </w:rPr>
        <w:footnoteRef/>
      </w:r>
      <w:r w:rsidRPr="006D7319">
        <w:rPr>
          <w:lang w:val="nn-NO"/>
        </w:rPr>
        <w:tab/>
      </w:r>
      <w:r w:rsidRPr="006D7319">
        <w:rPr>
          <w:lang w:val="nn-NO"/>
        </w:rPr>
        <w:t>Ot</w:t>
      </w:r>
      <w:r>
        <w:rPr>
          <w:lang w:val="nn-NO"/>
        </w:rPr>
        <w:t xml:space="preserve">.prp. nr. </w:t>
      </w:r>
      <w:r w:rsidRPr="006D7319">
        <w:rPr>
          <w:lang w:val="nn-NO"/>
        </w:rPr>
        <w:t xml:space="preserve">49 (2004–2005) s. 335. </w:t>
      </w:r>
    </w:p>
  </w:footnote>
  <w:footnote w:id="154">
    <w:p w14:paraId="16F6A83F" w14:textId="0047D493" w:rsidR="006A50F4" w:rsidRDefault="006A50F4">
      <w:pPr>
        <w:pStyle w:val="Fotnotetekst"/>
      </w:pPr>
      <w:r w:rsidRPr="006A50F4">
        <w:rPr>
          <w:rStyle w:val="Fotnotereferanse"/>
        </w:rPr>
        <w:footnoteRef/>
      </w:r>
      <w:r w:rsidRPr="006D7319">
        <w:rPr>
          <w:lang w:val="nn-NO"/>
        </w:rPr>
        <w:tab/>
      </w:r>
      <w:r w:rsidRPr="006D7319">
        <w:rPr>
          <w:lang w:val="nn-NO"/>
        </w:rPr>
        <w:t xml:space="preserve">Skjønberg mfl. </w:t>
      </w:r>
      <w:r w:rsidRPr="006D7319">
        <w:t xml:space="preserve">(2024) s. 67–68. </w:t>
      </w:r>
    </w:p>
  </w:footnote>
  <w:footnote w:id="155">
    <w:p w14:paraId="28D704A7" w14:textId="5EB2B5CF" w:rsidR="006A50F4" w:rsidRDefault="006A50F4">
      <w:pPr>
        <w:pStyle w:val="Fotnotetekst"/>
      </w:pPr>
      <w:r w:rsidRPr="006A50F4">
        <w:rPr>
          <w:rStyle w:val="Fotnotereferanse"/>
        </w:rPr>
        <w:footnoteRef/>
      </w:r>
      <w:r w:rsidRPr="006D7319">
        <w:tab/>
        <w:t>Hotvedt (2018) s. 79.</w:t>
      </w:r>
    </w:p>
  </w:footnote>
  <w:footnote w:id="156">
    <w:p w14:paraId="7B1C19D6" w14:textId="08F5BF10"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14</w:t>
      </w:r>
      <w:r>
        <w:t xml:space="preserve"> </w:t>
      </w:r>
      <w:r w:rsidRPr="006D7319">
        <w:t>L (2022–2023) s. 16 og 17 med videre henvisninger til Kristiansen (2016).</w:t>
      </w:r>
    </w:p>
  </w:footnote>
  <w:footnote w:id="157">
    <w:p w14:paraId="006097FB" w14:textId="56AF8A26" w:rsidR="006A50F4" w:rsidRDefault="006A50F4">
      <w:pPr>
        <w:pStyle w:val="Fotnotetekst"/>
      </w:pPr>
      <w:r w:rsidRPr="006A50F4">
        <w:rPr>
          <w:rStyle w:val="Fotnotereferanse"/>
        </w:rPr>
        <w:footnoteRef/>
      </w:r>
      <w:r w:rsidRPr="006D7319">
        <w:tab/>
        <w:t>Ibid. Se også Skjønberg mfl. (2024) s. 87.</w:t>
      </w:r>
    </w:p>
  </w:footnote>
  <w:footnote w:id="158">
    <w:p w14:paraId="0DE4689E" w14:textId="2753BCA2" w:rsidR="006A50F4" w:rsidRDefault="006A50F4">
      <w:pPr>
        <w:pStyle w:val="Fotnotetekst"/>
      </w:pPr>
      <w:r w:rsidRPr="006A50F4">
        <w:rPr>
          <w:rStyle w:val="Fotnotereferanse"/>
        </w:rPr>
        <w:footnoteRef/>
      </w:r>
      <w:r w:rsidRPr="006D7319">
        <w:tab/>
        <w:t>Se EU-domstolens sak i C-216/15 (</w:t>
      </w:r>
      <w:proofErr w:type="spellStart"/>
      <w:r w:rsidRPr="006D7319">
        <w:t>Ruhrlandklinik</w:t>
      </w:r>
      <w:proofErr w:type="spellEnd"/>
      <w:r w:rsidRPr="006D7319">
        <w:t xml:space="preserve">) avsnitt 32 som omhandlet vikarbyrådirektivet. Se også omtale av dommen i Skjønberg mfl. (2024) s. 85-86. </w:t>
      </w:r>
    </w:p>
  </w:footnote>
  <w:footnote w:id="159">
    <w:p w14:paraId="5728CE1E" w14:textId="52784ABF" w:rsidR="006A50F4" w:rsidRDefault="006A50F4">
      <w:pPr>
        <w:pStyle w:val="Fotnotetekst"/>
      </w:pPr>
      <w:r w:rsidRPr="006A50F4">
        <w:rPr>
          <w:rStyle w:val="Fotnotereferanse"/>
        </w:rPr>
        <w:footnoteRef/>
      </w:r>
      <w:r w:rsidRPr="006D7319">
        <w:tab/>
        <w:t>C-216/15 (</w:t>
      </w:r>
      <w:proofErr w:type="spellStart"/>
      <w:r w:rsidRPr="006D7319">
        <w:t>Ruhrlandklinik</w:t>
      </w:r>
      <w:proofErr w:type="spellEnd"/>
      <w:r w:rsidRPr="006D7319">
        <w:t xml:space="preserve">) avsnitt 36. </w:t>
      </w:r>
    </w:p>
  </w:footnote>
  <w:footnote w:id="160">
    <w:p w14:paraId="03F9F381" w14:textId="6BD86E8E"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14</w:t>
      </w:r>
      <w:r>
        <w:t xml:space="preserve"> </w:t>
      </w:r>
      <w:r w:rsidRPr="006D7319">
        <w:t xml:space="preserve">L (2022–2023) s. 17. I JCD nr. 221/2024 er det tatt inn en tilpasningstekst til artikkel 1 i arbeidsvilkårsdirektivet som fastsetter at i artikkel 1 nr. 2 skal ordene </w:t>
      </w:r>
      <w:r>
        <w:t>«</w:t>
      </w:r>
      <w:r w:rsidRPr="006D7319">
        <w:t>og til EFTA-domstolens rettspraksis, i samsvar med EØS-avtalen</w:t>
      </w:r>
      <w:r>
        <w:t>»</w:t>
      </w:r>
      <w:r w:rsidRPr="006D7319">
        <w:t xml:space="preserve"> tilføyes etter ordene </w:t>
      </w:r>
      <w:r>
        <w:t>«</w:t>
      </w:r>
      <w:r w:rsidRPr="006D7319">
        <w:t>EU-domstolens rettspraksis</w:t>
      </w:r>
      <w:r>
        <w:t>»</w:t>
      </w:r>
      <w:r w:rsidRPr="006D7319">
        <w:t>.</w:t>
      </w:r>
    </w:p>
  </w:footnote>
  <w:footnote w:id="161">
    <w:p w14:paraId="0E35E6B2" w14:textId="69163060"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14</w:t>
      </w:r>
      <w:r>
        <w:t xml:space="preserve"> </w:t>
      </w:r>
      <w:r w:rsidRPr="006D7319">
        <w:t>L (2022–2023) s. 17.</w:t>
      </w:r>
    </w:p>
  </w:footnote>
  <w:footnote w:id="162">
    <w:p w14:paraId="0C8270AA" w14:textId="134AB735" w:rsidR="006A50F4" w:rsidRDefault="006A50F4">
      <w:pPr>
        <w:pStyle w:val="Fotnotetekst"/>
      </w:pPr>
      <w:r w:rsidRPr="006A50F4">
        <w:rPr>
          <w:rStyle w:val="Fotnotereferanse"/>
        </w:rPr>
        <w:footnoteRef/>
      </w:r>
      <w:r w:rsidRPr="006D7319">
        <w:tab/>
      </w:r>
      <w:proofErr w:type="spellStart"/>
      <w:r>
        <w:t>Prop</w:t>
      </w:r>
      <w:proofErr w:type="spellEnd"/>
      <w:r>
        <w:t xml:space="preserve">. </w:t>
      </w:r>
      <w:r w:rsidRPr="006D7319">
        <w:t>14</w:t>
      </w:r>
      <w:r>
        <w:t xml:space="preserve"> </w:t>
      </w:r>
      <w:r w:rsidRPr="006D7319">
        <w:t>L (2022–2023) s. 17.</w:t>
      </w:r>
    </w:p>
  </w:footnote>
  <w:footnote w:id="163">
    <w:p w14:paraId="793DB324" w14:textId="3463280C" w:rsidR="006A50F4" w:rsidRDefault="006A50F4">
      <w:pPr>
        <w:pStyle w:val="Fotnotetekst"/>
      </w:pPr>
      <w:r w:rsidRPr="006A50F4">
        <w:rPr>
          <w:rStyle w:val="Fotnotereferanse"/>
        </w:rPr>
        <w:footnoteRef/>
      </w:r>
      <w:r w:rsidRPr="006D7319">
        <w:tab/>
        <w:t>Se sak C-216/15 (</w:t>
      </w:r>
      <w:proofErr w:type="spellStart"/>
      <w:r w:rsidRPr="006D7319">
        <w:t>Ruhrlandklinik</w:t>
      </w:r>
      <w:proofErr w:type="spellEnd"/>
      <w:r w:rsidRPr="006D7319">
        <w:t>).</w:t>
      </w:r>
    </w:p>
  </w:footnote>
  <w:footnote w:id="164">
    <w:p w14:paraId="43A0F282" w14:textId="5B042C40" w:rsidR="006A50F4" w:rsidRDefault="006A50F4">
      <w:pPr>
        <w:pStyle w:val="Fotnotetekst"/>
      </w:pPr>
      <w:r w:rsidRPr="006A50F4">
        <w:rPr>
          <w:rStyle w:val="Fotnotereferanse"/>
        </w:rPr>
        <w:footnoteRef/>
      </w:r>
      <w:r w:rsidRPr="006D7319">
        <w:tab/>
        <w:t xml:space="preserve">I NOU 2021: 9 s. 168 er det vist til at rekkevidden og betydningen av dommen ikke er helt åpenbar. Se omtaler av dommen i </w:t>
      </w:r>
      <w:proofErr w:type="spellStart"/>
      <w:r w:rsidRPr="006D7319">
        <w:t>Risak</w:t>
      </w:r>
      <w:proofErr w:type="spellEnd"/>
      <w:r w:rsidRPr="006D7319">
        <w:t xml:space="preserve"> og Dullinger (2018) s. 41, </w:t>
      </w:r>
      <w:proofErr w:type="spellStart"/>
      <w:r w:rsidRPr="006D7319">
        <w:t>Gellérné</w:t>
      </w:r>
      <w:proofErr w:type="spellEnd"/>
      <w:r w:rsidRPr="006D7319">
        <w:t xml:space="preserve"> og </w:t>
      </w:r>
      <w:proofErr w:type="spellStart"/>
      <w:r w:rsidRPr="006D7319">
        <w:t>Gyulavári</w:t>
      </w:r>
      <w:proofErr w:type="spellEnd"/>
      <w:r w:rsidRPr="006D7319">
        <w:t xml:space="preserve"> (2025) s. 55-70, </w:t>
      </w:r>
      <w:proofErr w:type="spellStart"/>
      <w:r w:rsidRPr="006D7319">
        <w:t>Menegatti</w:t>
      </w:r>
      <w:proofErr w:type="spellEnd"/>
      <w:r w:rsidRPr="006D7319">
        <w:t xml:space="preserve"> (2020) s. 167–174 og Hotvedt (2018) s. 87-90. </w:t>
      </w:r>
    </w:p>
  </w:footnote>
  <w:footnote w:id="165">
    <w:p w14:paraId="7B8B151A" w14:textId="4A226F90" w:rsidR="006A50F4" w:rsidRDefault="006A50F4">
      <w:pPr>
        <w:pStyle w:val="Fotnotetekst"/>
      </w:pPr>
      <w:r w:rsidRPr="006A50F4">
        <w:rPr>
          <w:rStyle w:val="Fotnotereferanse"/>
        </w:rPr>
        <w:footnoteRef/>
      </w:r>
      <w:r w:rsidRPr="006D7319">
        <w:tab/>
        <w:t xml:space="preserve">NOU 2021: 9 s. 167. Se også </w:t>
      </w:r>
      <w:proofErr w:type="spellStart"/>
      <w:r>
        <w:t>Prop</w:t>
      </w:r>
      <w:proofErr w:type="spellEnd"/>
      <w:r>
        <w:t xml:space="preserve">. </w:t>
      </w:r>
      <w:r w:rsidRPr="006D7319">
        <w:t>14</w:t>
      </w:r>
      <w:r>
        <w:t xml:space="preserve"> </w:t>
      </w:r>
      <w:r w:rsidRPr="006D7319">
        <w:t xml:space="preserve">L (2022–2023) s. 16 og 17. </w:t>
      </w:r>
    </w:p>
  </w:footnote>
  <w:footnote w:id="166">
    <w:p w14:paraId="14BF16DF" w14:textId="261EB8C3" w:rsidR="006A50F4" w:rsidRDefault="006A50F4">
      <w:pPr>
        <w:pStyle w:val="Fotnotetekst"/>
      </w:pPr>
      <w:r w:rsidRPr="006A50F4">
        <w:rPr>
          <w:rStyle w:val="Fotnotereferanse"/>
        </w:rPr>
        <w:footnoteRef/>
      </w:r>
      <w:r w:rsidRPr="006D7319">
        <w:tab/>
        <w:t xml:space="preserve">HR-2025-2516-A (Beredskapshjem II) avsnitt 107. </w:t>
      </w:r>
    </w:p>
  </w:footnote>
  <w:footnote w:id="167">
    <w:p w14:paraId="08E877CF" w14:textId="03A2D554" w:rsidR="006A50F4" w:rsidRDefault="006A50F4">
      <w:pPr>
        <w:pStyle w:val="Fotnotetekst"/>
      </w:pPr>
      <w:r w:rsidRPr="006A50F4">
        <w:rPr>
          <w:rStyle w:val="Fotnotereferanse"/>
        </w:rPr>
        <w:footnoteRef/>
      </w:r>
      <w:r w:rsidRPr="006D7319">
        <w:tab/>
        <w:t>C-216/15 (</w:t>
      </w:r>
      <w:proofErr w:type="spellStart"/>
      <w:r w:rsidRPr="006D7319">
        <w:t>Ruhrlandklinik</w:t>
      </w:r>
      <w:proofErr w:type="spellEnd"/>
      <w:r w:rsidRPr="006D7319">
        <w:t>) avsnitt 27.</w:t>
      </w:r>
    </w:p>
  </w:footnote>
  <w:footnote w:id="168">
    <w:p w14:paraId="256AA14C" w14:textId="18DEABBE" w:rsidR="006A50F4" w:rsidRDefault="006A50F4">
      <w:pPr>
        <w:pStyle w:val="Fotnotetekst"/>
      </w:pPr>
      <w:r w:rsidRPr="006A50F4">
        <w:rPr>
          <w:rStyle w:val="Fotnotereferanse"/>
        </w:rPr>
        <w:footnoteRef/>
      </w:r>
      <w:r w:rsidRPr="006D7319">
        <w:tab/>
        <w:t>Hotvedt (2018) s. 74.</w:t>
      </w:r>
    </w:p>
  </w:footnote>
  <w:footnote w:id="169">
    <w:p w14:paraId="0A551CF5" w14:textId="316F62A7" w:rsidR="006A50F4" w:rsidRDefault="006A50F4">
      <w:pPr>
        <w:pStyle w:val="Fotnotetekst"/>
      </w:pPr>
      <w:r w:rsidRPr="006A50F4">
        <w:rPr>
          <w:rStyle w:val="Fotnotereferanse"/>
        </w:rPr>
        <w:footnoteRef/>
      </w:r>
      <w:r w:rsidRPr="006D7319">
        <w:tab/>
        <w:t xml:space="preserve">Ibid. Se også NOU 2021: 9 s. 168 og </w:t>
      </w:r>
      <w:proofErr w:type="spellStart"/>
      <w:r>
        <w:t>Prop</w:t>
      </w:r>
      <w:proofErr w:type="spellEnd"/>
      <w:r>
        <w:t xml:space="preserve">. </w:t>
      </w:r>
      <w:r w:rsidRPr="006D7319">
        <w:t>14</w:t>
      </w:r>
      <w:r>
        <w:t xml:space="preserve"> </w:t>
      </w:r>
      <w:r w:rsidRPr="006D7319">
        <w:t>L (2022–2023) s. 16.</w:t>
      </w:r>
    </w:p>
  </w:footnote>
  <w:footnote w:id="170">
    <w:p w14:paraId="32618594" w14:textId="19287736" w:rsidR="006A50F4" w:rsidRDefault="006A50F4">
      <w:pPr>
        <w:pStyle w:val="Fotnotetekst"/>
      </w:pPr>
      <w:r w:rsidRPr="006A50F4">
        <w:rPr>
          <w:rStyle w:val="Fotnotereferanse"/>
        </w:rPr>
        <w:footnoteRef/>
      </w:r>
      <w:r w:rsidRPr="006D7319">
        <w:tab/>
        <w:t xml:space="preserve">Sak C-413/13 (FNV Kunsten </w:t>
      </w:r>
      <w:proofErr w:type="spellStart"/>
      <w:r w:rsidRPr="006D7319">
        <w:t>Informatie</w:t>
      </w:r>
      <w:proofErr w:type="spellEnd"/>
      <w:r w:rsidRPr="006D7319">
        <w:t xml:space="preserve"> en Media)</w:t>
      </w:r>
      <w:r w:rsidRPr="006A50F4">
        <w:rPr>
          <w:rStyle w:val="kursiv"/>
        </w:rPr>
        <w:t xml:space="preserve"> </w:t>
      </w:r>
      <w:r w:rsidRPr="006D7319">
        <w:t>avsnitt 31. Se omtale av dommen i Hotvedt (2018) s. 98-101.</w:t>
      </w:r>
    </w:p>
  </w:footnote>
  <w:footnote w:id="171">
    <w:p w14:paraId="0099DB85" w14:textId="40722497" w:rsidR="006A50F4" w:rsidRDefault="006A50F4">
      <w:pPr>
        <w:pStyle w:val="Fotnotetekst"/>
      </w:pPr>
      <w:r w:rsidRPr="006A50F4">
        <w:rPr>
          <w:rStyle w:val="Fotnotereferanse"/>
        </w:rPr>
        <w:footnoteRef/>
      </w:r>
      <w:r w:rsidRPr="006D7319">
        <w:tab/>
        <w:t xml:space="preserve">C-357/89 avsnitt 10 og C-413/13 FNV Kunsten avsnitt 36. </w:t>
      </w:r>
    </w:p>
  </w:footnote>
  <w:footnote w:id="172">
    <w:p w14:paraId="726CE26F" w14:textId="75F283C1" w:rsidR="006A50F4" w:rsidRDefault="006A50F4">
      <w:pPr>
        <w:pStyle w:val="Fotnotetekst"/>
      </w:pPr>
      <w:r w:rsidRPr="006A50F4">
        <w:rPr>
          <w:rStyle w:val="Fotnotereferanse"/>
        </w:rPr>
        <w:footnoteRef/>
      </w:r>
      <w:r w:rsidRPr="006D7319">
        <w:tab/>
        <w:t xml:space="preserve">Se for eksempel EU-domstolens sak i C-107/94 og C-603/17. </w:t>
      </w:r>
    </w:p>
  </w:footnote>
  <w:footnote w:id="173">
    <w:p w14:paraId="6725B3C9" w14:textId="73B56737" w:rsidR="006A50F4" w:rsidRDefault="006A50F4">
      <w:pPr>
        <w:pStyle w:val="Fotnotetekst"/>
      </w:pPr>
      <w:r w:rsidRPr="006A50F4">
        <w:rPr>
          <w:rStyle w:val="Fotnotereferanse"/>
        </w:rPr>
        <w:footnoteRef/>
      </w:r>
      <w:r w:rsidRPr="006D7319">
        <w:tab/>
        <w:t>Norge var ikke forpliktet etter EØS-avtalen til å gjennomføre Rådsdirektiv 2000/78/EF, men valgte likevel å gjøre det ved lov av 26. mars 2004 nr. 15 ved endringer i arbeidsmiljøloven av 1977.</w:t>
      </w:r>
    </w:p>
  </w:footnote>
  <w:footnote w:id="174">
    <w:p w14:paraId="6C2AADD9" w14:textId="11459C99" w:rsidR="006A50F4" w:rsidRDefault="006A50F4">
      <w:pPr>
        <w:pStyle w:val="Fotnotetekst"/>
      </w:pPr>
      <w:r w:rsidRPr="006A50F4">
        <w:rPr>
          <w:rStyle w:val="Fotnotereferanse"/>
        </w:rPr>
        <w:footnoteRef/>
      </w:r>
      <w:r w:rsidRPr="006D7319">
        <w:tab/>
        <w:t xml:space="preserve">Andre direktiver om helse-, miljø- og sikkerhet er Rådsdirektiv 98/24/EF (vern av arbeidstakere mot eksponering for kjemiske stoffer), Europaparlaments- og rådsdirektiv 2000/54/EF (vern av arbeidstakere mot fare ved å være utsatt for biologiske agenser på arbeidsplassen), Europaparlaments- og rådsdirektiv 2009/104/EF (arbeidsutstyrsdirektivet) og Kommisjonsdirektiv (EU) 2019/1832 (bruk av personlig verneutstyr). </w:t>
      </w:r>
    </w:p>
  </w:footnote>
  <w:footnote w:id="175">
    <w:p w14:paraId="3FF294D2" w14:textId="3695578C" w:rsidR="006A50F4" w:rsidRDefault="006A50F4">
      <w:pPr>
        <w:pStyle w:val="Fotnotetekst"/>
      </w:pPr>
      <w:r w:rsidRPr="006A50F4">
        <w:rPr>
          <w:rStyle w:val="Fotnotereferanse"/>
        </w:rPr>
        <w:footnoteRef/>
      </w:r>
      <w:r w:rsidRPr="006D7319">
        <w:tab/>
        <w:t xml:space="preserve">Dette </w:t>
      </w:r>
      <w:proofErr w:type="gramStart"/>
      <w:r w:rsidRPr="006D7319">
        <w:t>fremgår</w:t>
      </w:r>
      <w:proofErr w:type="gramEnd"/>
      <w:r w:rsidRPr="006D7319">
        <w:t xml:space="preserve"> av rammedirektivet artikkel 3 bokstav a og er lagt til grunn av EU-domstolen i dom 11. november 2010 i sak C-232/09 </w:t>
      </w:r>
      <w:proofErr w:type="spellStart"/>
      <w:r w:rsidRPr="006D7319">
        <w:t>Danosa</w:t>
      </w:r>
      <w:proofErr w:type="spellEnd"/>
      <w:r w:rsidRPr="006D7319">
        <w:t xml:space="preserve"> for svangerskapsdirektivet.</w:t>
      </w:r>
    </w:p>
  </w:footnote>
  <w:footnote w:id="176">
    <w:p w14:paraId="25870032" w14:textId="1A4C7805" w:rsidR="006A50F4" w:rsidRDefault="006A50F4">
      <w:pPr>
        <w:pStyle w:val="Fotnotetekst"/>
      </w:pPr>
      <w:r w:rsidRPr="006A50F4">
        <w:rPr>
          <w:rStyle w:val="Fotnotereferanse"/>
        </w:rPr>
        <w:footnoteRef/>
      </w:r>
      <w:r w:rsidRPr="006D7319">
        <w:tab/>
        <w:t xml:space="preserve">HR-2012-1280-A avsnitt 101. </w:t>
      </w:r>
    </w:p>
  </w:footnote>
  <w:footnote w:id="177">
    <w:p w14:paraId="2CAD4D1B" w14:textId="02A50959" w:rsidR="006A50F4" w:rsidRDefault="006A50F4">
      <w:pPr>
        <w:pStyle w:val="Fotnotetekst"/>
      </w:pPr>
      <w:r w:rsidRPr="006A50F4">
        <w:rPr>
          <w:rStyle w:val="Fotnotereferanse"/>
        </w:rPr>
        <w:footnoteRef/>
      </w:r>
      <w:r w:rsidRPr="006D7319">
        <w:tab/>
        <w:t xml:space="preserve">I JCD nr. 221/2024 er det tatt inn en tilpasningstekst til artikkel 1 som fastsetter at i artikkel 1 nr. 2 skal ordene </w:t>
      </w:r>
      <w:r>
        <w:t>‘</w:t>
      </w:r>
      <w:r w:rsidRPr="006D7319">
        <w:t>og til EFTA-domstolens rettspraksis, i samsvar med EØS-avtalen</w:t>
      </w:r>
      <w:r>
        <w:t>’</w:t>
      </w:r>
      <w:r w:rsidRPr="006D7319">
        <w:t xml:space="preserve"> tilføyes etter ordene </w:t>
      </w:r>
      <w:r>
        <w:t>‘</w:t>
      </w:r>
      <w:r w:rsidRPr="006D7319">
        <w:t>EU-domstolens rettspraksis</w:t>
      </w:r>
      <w:r>
        <w:t>’</w:t>
      </w:r>
      <w:r w:rsidRPr="006D7319">
        <w:t>.</w:t>
      </w:r>
    </w:p>
  </w:footnote>
  <w:footnote w:id="178">
    <w:p w14:paraId="758E83A1" w14:textId="10645149" w:rsidR="006A50F4" w:rsidRDefault="006A50F4">
      <w:pPr>
        <w:pStyle w:val="Fotnotetekst"/>
      </w:pPr>
      <w:r w:rsidRPr="006A50F4">
        <w:rPr>
          <w:rStyle w:val="Fotnotereferanse"/>
        </w:rPr>
        <w:footnoteRef/>
      </w:r>
      <w:r w:rsidRPr="006D7319">
        <w:tab/>
        <w:t xml:space="preserve">Se </w:t>
      </w:r>
      <w:proofErr w:type="spellStart"/>
      <w:r>
        <w:t>Prop</w:t>
      </w:r>
      <w:proofErr w:type="spellEnd"/>
      <w:r>
        <w:t xml:space="preserve">. </w:t>
      </w:r>
      <w:r w:rsidRPr="006D7319">
        <w:t>130</w:t>
      </w:r>
      <w:r>
        <w:t xml:space="preserve"> </w:t>
      </w:r>
      <w:r w:rsidRPr="006D7319">
        <w:t>L (2022–2023) s. 11.</w:t>
      </w:r>
    </w:p>
  </w:footnote>
  <w:footnote w:id="179">
    <w:p w14:paraId="772FE5F9" w14:textId="738F089A" w:rsidR="006A50F4" w:rsidRDefault="006A50F4">
      <w:pPr>
        <w:pStyle w:val="Fotnotetekst"/>
      </w:pPr>
      <w:r w:rsidRPr="006A50F4">
        <w:rPr>
          <w:rStyle w:val="Fotnotereferanse"/>
        </w:rPr>
        <w:footnoteRef/>
      </w:r>
      <w:r w:rsidRPr="006D7319">
        <w:tab/>
        <w:t xml:space="preserve">Se EU-domstolens sak i C-229/14 </w:t>
      </w:r>
      <w:proofErr w:type="spellStart"/>
      <w:r w:rsidRPr="006D7319">
        <w:t>Balkaya</w:t>
      </w:r>
      <w:proofErr w:type="spellEnd"/>
      <w:r w:rsidRPr="006D7319">
        <w:t xml:space="preserve"> hvor domstolen la til grunn at direktivet bygger på et EU/EØS-rettslig arbeidstakerbegrep. </w:t>
      </w:r>
    </w:p>
  </w:footnote>
  <w:footnote w:id="180">
    <w:p w14:paraId="0A076D0F" w14:textId="5149FDCC" w:rsidR="006A50F4" w:rsidRDefault="006A50F4">
      <w:pPr>
        <w:pStyle w:val="Fotnotetekst"/>
      </w:pPr>
      <w:r w:rsidRPr="006A50F4">
        <w:rPr>
          <w:rStyle w:val="Fotnotereferanse"/>
        </w:rPr>
        <w:footnoteRef/>
      </w:r>
      <w:r w:rsidRPr="006D7319">
        <w:tab/>
        <w:t>Se Menon (2025) s. 55.</w:t>
      </w:r>
    </w:p>
  </w:footnote>
  <w:footnote w:id="181">
    <w:p w14:paraId="63D57540" w14:textId="1E9A4CB5" w:rsidR="006A50F4" w:rsidRDefault="006A50F4">
      <w:pPr>
        <w:pStyle w:val="Fotnotetekst"/>
      </w:pPr>
      <w:r w:rsidRPr="006A50F4">
        <w:rPr>
          <w:rStyle w:val="Fotnotereferanse"/>
        </w:rPr>
        <w:footnoteRef/>
      </w:r>
      <w:r w:rsidRPr="006D7319">
        <w:tab/>
        <w:t xml:space="preserve">Se også analysen av dommen i </w:t>
      </w:r>
      <w:proofErr w:type="spellStart"/>
      <w:r w:rsidRPr="006D7319">
        <w:t>Schadewijk</w:t>
      </w:r>
      <w:proofErr w:type="spellEnd"/>
      <w:r w:rsidRPr="006D7319">
        <w:t xml:space="preserve"> (2025) s. 411-416. </w:t>
      </w:r>
    </w:p>
  </w:footnote>
  <w:footnote w:id="182">
    <w:p w14:paraId="78DB7124" w14:textId="207D8E2D" w:rsidR="006A50F4" w:rsidRDefault="006A50F4">
      <w:pPr>
        <w:pStyle w:val="Fotnotetekst"/>
      </w:pPr>
      <w:r w:rsidRPr="006A50F4">
        <w:rPr>
          <w:rStyle w:val="Fotnotereferanse"/>
        </w:rPr>
        <w:footnoteRef/>
      </w:r>
      <w:r w:rsidRPr="006D7319">
        <w:tab/>
        <w:t xml:space="preserve">Se Menon (2025) s. 55.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9"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5C91E50"/>
    <w:multiLevelType w:val="multilevel"/>
    <w:tmpl w:val="96E67026"/>
    <w:numStyleLink w:val="RomListeStil"/>
  </w:abstractNum>
  <w:abstractNum w:abstractNumId="1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1"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4"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26"/>
  </w:num>
  <w:num w:numId="2" w16cid:durableId="1691493727">
    <w:abstractNumId w:val="20"/>
  </w:num>
  <w:num w:numId="3" w16cid:durableId="701784177">
    <w:abstractNumId w:val="25"/>
  </w:num>
  <w:num w:numId="4" w16cid:durableId="212666145">
    <w:abstractNumId w:val="8"/>
  </w:num>
  <w:num w:numId="5" w16cid:durableId="239825732">
    <w:abstractNumId w:val="11"/>
  </w:num>
  <w:num w:numId="6" w16cid:durableId="1929076049">
    <w:abstractNumId w:val="2"/>
  </w:num>
  <w:num w:numId="7" w16cid:durableId="1302341828">
    <w:abstractNumId w:val="15"/>
  </w:num>
  <w:num w:numId="8" w16cid:durableId="695350705">
    <w:abstractNumId w:val="1"/>
  </w:num>
  <w:num w:numId="9" w16cid:durableId="2074424752">
    <w:abstractNumId w:val="6"/>
  </w:num>
  <w:num w:numId="10" w16cid:durableId="1093283793">
    <w:abstractNumId w:val="7"/>
  </w:num>
  <w:num w:numId="11" w16cid:durableId="1549367804">
    <w:abstractNumId w:val="19"/>
  </w:num>
  <w:num w:numId="12" w16cid:durableId="1789155614">
    <w:abstractNumId w:val="3"/>
  </w:num>
  <w:num w:numId="13" w16cid:durableId="1281376518">
    <w:abstractNumId w:val="10"/>
  </w:num>
  <w:num w:numId="14" w16cid:durableId="1377050693">
    <w:abstractNumId w:val="18"/>
  </w:num>
  <w:num w:numId="15" w16cid:durableId="1122991450">
    <w:abstractNumId w:val="23"/>
  </w:num>
  <w:num w:numId="16" w16cid:durableId="443623288">
    <w:abstractNumId w:val="14"/>
  </w:num>
  <w:num w:numId="17" w16cid:durableId="1958560054">
    <w:abstractNumId w:val="0"/>
  </w:num>
  <w:num w:numId="18" w16cid:durableId="1826507644">
    <w:abstractNumId w:val="13"/>
  </w:num>
  <w:num w:numId="19" w16cid:durableId="1000084717">
    <w:abstractNumId w:val="16"/>
  </w:num>
  <w:num w:numId="20" w16cid:durableId="1881743657">
    <w:abstractNumId w:val="21"/>
  </w:num>
  <w:num w:numId="21" w16cid:durableId="1086027685">
    <w:abstractNumId w:val="24"/>
  </w:num>
  <w:num w:numId="22" w16cid:durableId="1495024277">
    <w:abstractNumId w:val="4"/>
  </w:num>
  <w:num w:numId="23" w16cid:durableId="1004893802">
    <w:abstractNumId w:val="9"/>
  </w:num>
  <w:num w:numId="24" w16cid:durableId="146187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86828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6606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6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1A"/>
    <w:rsid w:val="00103D63"/>
    <w:rsid w:val="0016483D"/>
    <w:rsid w:val="001D7085"/>
    <w:rsid w:val="004411CF"/>
    <w:rsid w:val="006A50F4"/>
    <w:rsid w:val="006D7319"/>
    <w:rsid w:val="007173E8"/>
    <w:rsid w:val="00767F06"/>
    <w:rsid w:val="008541D2"/>
    <w:rsid w:val="00B64E1A"/>
    <w:rsid w:val="00CC6C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797FDD"/>
  <w14:defaultImageDpi w14:val="96"/>
  <w15:docId w15:val="{41986CA4-3007-4F8B-A3B7-17EF3103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319"/>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6D7319"/>
    <w:pPr>
      <w:keepNext/>
      <w:keepLines/>
      <w:numPr>
        <w:numId w:val="18"/>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6D7319"/>
    <w:pPr>
      <w:numPr>
        <w:ilvl w:val="1"/>
      </w:numPr>
      <w:spacing w:before="240"/>
      <w:ind w:left="709" w:hanging="709"/>
      <w:outlineLvl w:val="1"/>
    </w:pPr>
    <w:rPr>
      <w:spacing w:val="4"/>
      <w:sz w:val="28"/>
    </w:rPr>
  </w:style>
  <w:style w:type="paragraph" w:styleId="Overskrift3">
    <w:name w:val="heading 3"/>
    <w:basedOn w:val="Normal"/>
    <w:next w:val="Normal"/>
    <w:link w:val="Overskrift3Tegn"/>
    <w:qFormat/>
    <w:rsid w:val="006D7319"/>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6D731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6D7319"/>
    <w:pPr>
      <w:numPr>
        <w:ilvl w:val="4"/>
      </w:numPr>
      <w:spacing w:before="200"/>
      <w:outlineLvl w:val="4"/>
    </w:pPr>
    <w:rPr>
      <w:b w:val="0"/>
      <w:sz w:val="22"/>
    </w:rPr>
  </w:style>
  <w:style w:type="paragraph" w:styleId="Overskrift6">
    <w:name w:val="heading 6"/>
    <w:basedOn w:val="Normal"/>
    <w:next w:val="Normal"/>
    <w:link w:val="Overskrift6Tegn"/>
    <w:qFormat/>
    <w:rsid w:val="006D7319"/>
    <w:pPr>
      <w:numPr>
        <w:ilvl w:val="5"/>
        <w:numId w:val="1"/>
      </w:numPr>
      <w:spacing w:before="240" w:after="60"/>
      <w:outlineLvl w:val="5"/>
    </w:pPr>
    <w:rPr>
      <w:i/>
    </w:rPr>
  </w:style>
  <w:style w:type="paragraph" w:styleId="Overskrift7">
    <w:name w:val="heading 7"/>
    <w:basedOn w:val="Normal"/>
    <w:next w:val="Normal"/>
    <w:link w:val="Overskrift7Tegn"/>
    <w:qFormat/>
    <w:rsid w:val="006D7319"/>
    <w:pPr>
      <w:numPr>
        <w:ilvl w:val="6"/>
        <w:numId w:val="1"/>
      </w:numPr>
      <w:spacing w:before="240" w:after="60"/>
      <w:outlineLvl w:val="6"/>
    </w:pPr>
  </w:style>
  <w:style w:type="paragraph" w:styleId="Overskrift8">
    <w:name w:val="heading 8"/>
    <w:basedOn w:val="Normal"/>
    <w:next w:val="Normal"/>
    <w:link w:val="Overskrift8Tegn"/>
    <w:qFormat/>
    <w:rsid w:val="006D7319"/>
    <w:pPr>
      <w:numPr>
        <w:ilvl w:val="7"/>
        <w:numId w:val="1"/>
      </w:numPr>
      <w:spacing w:before="240" w:after="60"/>
      <w:outlineLvl w:val="7"/>
    </w:pPr>
    <w:rPr>
      <w:i/>
    </w:rPr>
  </w:style>
  <w:style w:type="paragraph" w:styleId="Overskrift9">
    <w:name w:val="heading 9"/>
    <w:basedOn w:val="Normal"/>
    <w:next w:val="Normal"/>
    <w:link w:val="Overskrift9Tegn"/>
    <w:qFormat/>
    <w:rsid w:val="006D7319"/>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6D731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D7319"/>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PublTittel">
    <w:name w:val="PublTittel"/>
    <w:basedOn w:val="Normal"/>
    <w:qFormat/>
    <w:rsid w:val="006D7319"/>
    <w:pPr>
      <w:spacing w:before="80"/>
    </w:pPr>
    <w:rPr>
      <w:sz w:val="48"/>
      <w:szCs w:val="48"/>
    </w:rPr>
  </w:style>
  <w:style w:type="paragraph" w:styleId="Undertittel">
    <w:name w:val="Subtitle"/>
    <w:basedOn w:val="Overskrift1"/>
    <w:next w:val="Normal"/>
    <w:link w:val="UndertittelTegn"/>
    <w:qFormat/>
    <w:rsid w:val="006D7319"/>
    <w:pPr>
      <w:numPr>
        <w:numId w:val="0"/>
      </w:numPr>
      <w:spacing w:before="240"/>
      <w:outlineLvl w:val="9"/>
    </w:pPr>
    <w:rPr>
      <w:spacing w:val="4"/>
      <w:sz w:val="28"/>
    </w:rPr>
  </w:style>
  <w:style w:type="character" w:customStyle="1" w:styleId="UndertittelTegn">
    <w:name w:val="Undertittel Tegn"/>
    <w:basedOn w:val="Standardskriftforavsnitt"/>
    <w:link w:val="Undertittel"/>
    <w:rsid w:val="006D7319"/>
    <w:rPr>
      <w:rFonts w:ascii="Open Sans" w:eastAsia="Times New Roman" w:hAnsi="Open Sans"/>
      <w:b/>
      <w:spacing w:val="4"/>
      <w:kern w:val="28"/>
      <w:sz w:val="28"/>
      <w:szCs w:val="22"/>
      <w14:ligatures w14:val="none"/>
    </w:rPr>
  </w:style>
  <w:style w:type="character" w:customStyle="1" w:styleId="Overskrift1Tegn">
    <w:name w:val="Overskrift 1 Tegn"/>
    <w:basedOn w:val="Standardskriftforavsnitt"/>
    <w:link w:val="Overskrift1"/>
    <w:rsid w:val="006D7319"/>
    <w:rPr>
      <w:rFonts w:ascii="Open Sans" w:eastAsia="Times New Roman" w:hAnsi="Open Sans"/>
      <w:b/>
      <w:kern w:val="28"/>
      <w:sz w:val="32"/>
      <w:szCs w:val="22"/>
      <w14:ligatures w14:val="none"/>
    </w:rPr>
  </w:style>
  <w:style w:type="character" w:customStyle="1" w:styleId="Overskrift2Tegn">
    <w:name w:val="Overskrift 2 Tegn"/>
    <w:basedOn w:val="Standardskriftforavsnitt"/>
    <w:link w:val="Overskrift2"/>
    <w:rsid w:val="006D7319"/>
    <w:rPr>
      <w:rFonts w:ascii="Open Sans" w:eastAsia="Times New Roman" w:hAnsi="Open Sans"/>
      <w:b/>
      <w:spacing w:val="4"/>
      <w:kern w:val="28"/>
      <w:sz w:val="28"/>
      <w:szCs w:val="22"/>
      <w14:ligatures w14:val="none"/>
    </w:rPr>
  </w:style>
  <w:style w:type="paragraph" w:customStyle="1" w:styleId="Normal--start">
    <w:name w:val="Normal--start"/>
    <w:basedOn w:val="Normal"/>
    <w:uiPriority w:val="99"/>
    <w:pPr>
      <w:spacing w:before="0"/>
    </w:pPr>
  </w:style>
  <w:style w:type="paragraph" w:customStyle="1" w:styleId="blokksit">
    <w:name w:val="blokksit"/>
    <w:basedOn w:val="Normal"/>
    <w:autoRedefine/>
    <w:qFormat/>
    <w:rsid w:val="006D7319"/>
    <w:pPr>
      <w:spacing w:line="240" w:lineRule="auto"/>
      <w:ind w:left="397"/>
    </w:pPr>
    <w:rPr>
      <w:spacing w:val="-2"/>
    </w:rPr>
  </w:style>
  <w:style w:type="paragraph" w:styleId="Liste">
    <w:name w:val="List"/>
    <w:basedOn w:val="Nummerertliste"/>
    <w:qFormat/>
    <w:rsid w:val="006D7319"/>
    <w:pPr>
      <w:numPr>
        <w:numId w:val="19"/>
      </w:numPr>
      <w:ind w:left="397" w:hanging="397"/>
      <w:contextualSpacing/>
    </w:pPr>
    <w:rPr>
      <w:spacing w:val="4"/>
    </w:rPr>
  </w:style>
  <w:style w:type="paragraph" w:customStyle="1" w:styleId="Listebombe">
    <w:name w:val="Liste bombe"/>
    <w:basedOn w:val="Liste"/>
    <w:qFormat/>
    <w:rsid w:val="006D7319"/>
    <w:pPr>
      <w:numPr>
        <w:numId w:val="12"/>
      </w:numPr>
      <w:ind w:left="397" w:hanging="397"/>
    </w:pPr>
  </w:style>
  <w:style w:type="character" w:customStyle="1" w:styleId="Overskrift3Tegn">
    <w:name w:val="Overskrift 3 Tegn"/>
    <w:basedOn w:val="Standardskriftforavsnitt"/>
    <w:link w:val="Overskrift3"/>
    <w:rsid w:val="006D7319"/>
    <w:rPr>
      <w:rFonts w:ascii="Open Sans" w:eastAsia="Times New Roman" w:hAnsi="Open Sans"/>
      <w:b/>
      <w:kern w:val="0"/>
      <w:sz w:val="22"/>
      <w:szCs w:val="22"/>
      <w14:ligatures w14:val="none"/>
    </w:rPr>
  </w:style>
  <w:style w:type="paragraph" w:customStyle="1" w:styleId="avsnitt-undertittel">
    <w:name w:val="avsnitt-undertittel"/>
    <w:basedOn w:val="Undertittel"/>
    <w:next w:val="Normal"/>
    <w:rsid w:val="006D7319"/>
    <w:pPr>
      <w:spacing w:line="240" w:lineRule="auto"/>
    </w:pPr>
    <w:rPr>
      <w:rFonts w:eastAsia="Batang"/>
      <w:b w:val="0"/>
      <w:i/>
      <w:sz w:val="24"/>
      <w:szCs w:val="20"/>
    </w:rPr>
  </w:style>
  <w:style w:type="paragraph" w:styleId="Nummerertliste">
    <w:name w:val="List Number"/>
    <w:qFormat/>
    <w:rsid w:val="006D7319"/>
    <w:pPr>
      <w:keepLines/>
      <w:numPr>
        <w:numId w:val="27"/>
      </w:numPr>
      <w:spacing w:after="0" w:line="288" w:lineRule="auto"/>
    </w:pPr>
    <w:rPr>
      <w:rFonts w:ascii="Open Sans" w:eastAsia="Batang" w:hAnsi="Open Sans"/>
      <w:kern w:val="0"/>
      <w:sz w:val="22"/>
      <w:szCs w:val="20"/>
      <w14:ligatures w14:val="none"/>
    </w:rPr>
  </w:style>
  <w:style w:type="paragraph" w:customStyle="1" w:styleId="alfaliste">
    <w:name w:val="alfaliste"/>
    <w:basedOn w:val="Nummerertliste"/>
    <w:rsid w:val="006D7319"/>
    <w:pPr>
      <w:numPr>
        <w:numId w:val="26"/>
      </w:numPr>
    </w:pPr>
    <w:rPr>
      <w:spacing w:val="4"/>
    </w:rPr>
  </w:style>
  <w:style w:type="character" w:customStyle="1" w:styleId="Overskrift4Tegn">
    <w:name w:val="Overskrift 4 Tegn"/>
    <w:basedOn w:val="Standardskriftforavsnitt"/>
    <w:link w:val="Overskrift4"/>
    <w:rsid w:val="006D7319"/>
    <w:rPr>
      <w:rFonts w:ascii="Open Sans" w:eastAsia="Times New Roman" w:hAnsi="Open Sans"/>
      <w:i/>
      <w:spacing w:val="4"/>
      <w:kern w:val="28"/>
      <w:sz w:val="22"/>
      <w:szCs w:val="22"/>
      <w14:ligatures w14:val="none"/>
    </w:rPr>
  </w:style>
  <w:style w:type="paragraph" w:customStyle="1" w:styleId="Kilde">
    <w:name w:val="Kilde"/>
    <w:basedOn w:val="Normal"/>
    <w:next w:val="Normal"/>
    <w:rsid w:val="006D7319"/>
    <w:pPr>
      <w:spacing w:after="240"/>
    </w:pPr>
    <w:rPr>
      <w:spacing w:val="4"/>
      <w:sz w:val="18"/>
    </w:rPr>
  </w:style>
  <w:style w:type="paragraph" w:customStyle="1" w:styleId="figur-noter">
    <w:name w:val="figur-noter"/>
    <w:basedOn w:val="Kilde"/>
    <w:next w:val="Normal"/>
    <w:uiPriority w:val="99"/>
    <w:pPr>
      <w:tabs>
        <w:tab w:val="left" w:pos="170"/>
      </w:tabs>
    </w:pPr>
  </w:style>
  <w:style w:type="paragraph" w:customStyle="1" w:styleId="tabell-tittel">
    <w:name w:val="tabell-tittel"/>
    <w:basedOn w:val="Normal"/>
    <w:next w:val="Normal"/>
    <w:rsid w:val="006D7319"/>
    <w:pPr>
      <w:keepNext/>
      <w:keepLines/>
      <w:numPr>
        <w:ilvl w:val="6"/>
        <w:numId w:val="18"/>
      </w:numPr>
      <w:spacing w:before="240"/>
    </w:pPr>
    <w:rPr>
      <w:spacing w:val="4"/>
      <w:sz w:val="28"/>
    </w:rPr>
  </w:style>
  <w:style w:type="paragraph" w:customStyle="1" w:styleId="figur-tittel">
    <w:name w:val="figur-tittel"/>
    <w:basedOn w:val="Normal"/>
    <w:next w:val="Normal"/>
    <w:rsid w:val="006D7319"/>
    <w:pPr>
      <w:numPr>
        <w:ilvl w:val="5"/>
        <w:numId w:val="18"/>
      </w:numPr>
    </w:pPr>
    <w:rPr>
      <w:spacing w:val="4"/>
      <w:sz w:val="28"/>
    </w:rPr>
  </w:style>
  <w:style w:type="paragraph" w:customStyle="1" w:styleId="opplisting">
    <w:name w:val="opplisting"/>
    <w:basedOn w:val="Liste"/>
    <w:qFormat/>
    <w:rsid w:val="006D7319"/>
    <w:pPr>
      <w:numPr>
        <w:numId w:val="0"/>
      </w:numPr>
      <w:tabs>
        <w:tab w:val="left" w:pos="397"/>
      </w:tabs>
    </w:pPr>
    <w:rPr>
      <w:rFonts w:cs="Times New Roman"/>
    </w:rPr>
  </w:style>
  <w:style w:type="paragraph" w:customStyle="1" w:styleId="opplisting2">
    <w:name w:val="opplisting 2"/>
    <w:basedOn w:val="opplisting"/>
    <w:qFormat/>
    <w:rsid w:val="006D7319"/>
    <w:pPr>
      <w:ind w:left="397"/>
    </w:pPr>
    <w:rPr>
      <w:lang w:val="en-US"/>
    </w:rPr>
  </w:style>
  <w:style w:type="paragraph" w:styleId="Fotnotetekst">
    <w:name w:val="footnote text"/>
    <w:basedOn w:val="Normal"/>
    <w:link w:val="FotnotetekstTegn"/>
    <w:rsid w:val="006D7319"/>
    <w:rPr>
      <w:spacing w:val="4"/>
    </w:rPr>
  </w:style>
  <w:style w:type="character" w:customStyle="1" w:styleId="FotnotetekstTegn">
    <w:name w:val="Fotnotetekst Tegn"/>
    <w:basedOn w:val="Standardskriftforavsnitt"/>
    <w:link w:val="Fotnotetekst"/>
    <w:rsid w:val="006D7319"/>
    <w:rPr>
      <w:rFonts w:ascii="Open Sans" w:eastAsia="Times New Roman" w:hAnsi="Open Sans"/>
      <w:spacing w:val="4"/>
      <w:kern w:val="0"/>
      <w:sz w:val="22"/>
      <w:szCs w:val="22"/>
      <w14:ligatures w14:val="none"/>
    </w:rPr>
  </w:style>
  <w:style w:type="paragraph" w:customStyle="1" w:styleId="BasicParagraph">
    <w:name w:val="[Basic Paragraph]"/>
    <w:basedOn w:val="NoParagraphStyle"/>
    <w:uiPriority w:val="99"/>
  </w:style>
  <w:style w:type="character" w:customStyle="1" w:styleId="skrift-hevet">
    <w:name w:val="skrift-hevet"/>
    <w:basedOn w:val="Standardskriftforavsnitt"/>
    <w:rsid w:val="006D7319"/>
    <w:rPr>
      <w:sz w:val="20"/>
      <w:vertAlign w:val="superscript"/>
    </w:rPr>
  </w:style>
  <w:style w:type="character" w:customStyle="1" w:styleId="kursiv">
    <w:name w:val="kursiv"/>
    <w:basedOn w:val="Standardskriftforavsnitt"/>
    <w:rsid w:val="006D7319"/>
    <w:rPr>
      <w:i/>
    </w:rPr>
  </w:style>
  <w:style w:type="character" w:customStyle="1" w:styleId="halvfet">
    <w:name w:val="halvfet"/>
    <w:basedOn w:val="Standardskriftforavsnitt"/>
    <w:rsid w:val="006D7319"/>
    <w:rPr>
      <w:b/>
    </w:rPr>
  </w:style>
  <w:style w:type="character" w:styleId="Hyperkobling">
    <w:name w:val="Hyperlink"/>
    <w:basedOn w:val="Standardskriftforavsnitt"/>
    <w:uiPriority w:val="99"/>
    <w:unhideWhenUsed/>
    <w:rsid w:val="006D7319"/>
    <w:rPr>
      <w:color w:val="467886" w:themeColor="hyperlink"/>
      <w:u w:val="single"/>
    </w:rPr>
  </w:style>
  <w:style w:type="character" w:customStyle="1" w:styleId="halvfettall">
    <w:name w:val="halvfet tall"/>
    <w:uiPriority w:val="99"/>
    <w:rPr>
      <w:b/>
      <w:bCs/>
      <w:color w:val="0084A9"/>
    </w:rPr>
  </w:style>
  <w:style w:type="character" w:styleId="Fotnotereferanse">
    <w:name w:val="footnote reference"/>
    <w:basedOn w:val="Standardskriftforavsnitt"/>
    <w:semiHidden/>
    <w:rsid w:val="006D7319"/>
    <w:rPr>
      <w:vertAlign w:val="superscript"/>
    </w:rPr>
  </w:style>
  <w:style w:type="character" w:customStyle="1" w:styleId="Overskrift5Tegn">
    <w:name w:val="Overskrift 5 Tegn"/>
    <w:basedOn w:val="Standardskriftforavsnitt"/>
    <w:link w:val="Overskrift5"/>
    <w:rsid w:val="006D7319"/>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6D7319"/>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6D7319"/>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6D7319"/>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6D7319"/>
    <w:rPr>
      <w:rFonts w:ascii="Open Sans" w:eastAsia="Times New Roman" w:hAnsi="Open Sans"/>
      <w:b/>
      <w:i/>
      <w:kern w:val="0"/>
      <w:sz w:val="18"/>
      <w:szCs w:val="22"/>
      <w14:ligatures w14:val="none"/>
    </w:rPr>
  </w:style>
  <w:style w:type="paragraph" w:customStyle="1" w:styleId="alfaliste2">
    <w:name w:val="alfaliste 2"/>
    <w:basedOn w:val="alfaliste"/>
    <w:rsid w:val="006D7319"/>
    <w:pPr>
      <w:numPr>
        <w:ilvl w:val="1"/>
      </w:numPr>
    </w:pPr>
  </w:style>
  <w:style w:type="paragraph" w:customStyle="1" w:styleId="alfaliste3">
    <w:name w:val="alfaliste 3"/>
    <w:basedOn w:val="alfaliste"/>
    <w:autoRedefine/>
    <w:qFormat/>
    <w:rsid w:val="006D7319"/>
    <w:pPr>
      <w:numPr>
        <w:ilvl w:val="2"/>
      </w:numPr>
    </w:pPr>
  </w:style>
  <w:style w:type="paragraph" w:customStyle="1" w:styleId="alfaliste4">
    <w:name w:val="alfaliste 4"/>
    <w:basedOn w:val="alfaliste"/>
    <w:qFormat/>
    <w:rsid w:val="006D7319"/>
    <w:pPr>
      <w:numPr>
        <w:ilvl w:val="3"/>
      </w:numPr>
    </w:pPr>
  </w:style>
  <w:style w:type="paragraph" w:customStyle="1" w:styleId="alfaliste5">
    <w:name w:val="alfaliste 5"/>
    <w:basedOn w:val="alfaliste"/>
    <w:qFormat/>
    <w:rsid w:val="006D7319"/>
    <w:pPr>
      <w:numPr>
        <w:ilvl w:val="4"/>
      </w:numPr>
    </w:pPr>
  </w:style>
  <w:style w:type="paragraph" w:customStyle="1" w:styleId="avsnitt-tittel">
    <w:name w:val="avsnitt-tittel"/>
    <w:basedOn w:val="Undertittel"/>
    <w:next w:val="Normal"/>
    <w:rsid w:val="006D7319"/>
    <w:rPr>
      <w:b w:val="0"/>
    </w:rPr>
  </w:style>
  <w:style w:type="paragraph" w:customStyle="1" w:styleId="avsnitt-under-undertittel">
    <w:name w:val="avsnitt-under-undertittel"/>
    <w:basedOn w:val="Undertittel"/>
    <w:next w:val="Normal"/>
    <w:rsid w:val="006D7319"/>
    <w:pPr>
      <w:spacing w:line="240" w:lineRule="auto"/>
    </w:pPr>
    <w:rPr>
      <w:rFonts w:eastAsia="Batang"/>
      <w:b w:val="0"/>
      <w:i/>
      <w:sz w:val="22"/>
      <w:szCs w:val="20"/>
    </w:rPr>
  </w:style>
  <w:style w:type="paragraph" w:customStyle="1" w:styleId="Def">
    <w:name w:val="Def"/>
    <w:basedOn w:val="Normal"/>
    <w:qFormat/>
    <w:rsid w:val="006D7319"/>
  </w:style>
  <w:style w:type="paragraph" w:customStyle="1" w:styleId="figur-beskr">
    <w:name w:val="figur-beskr"/>
    <w:basedOn w:val="Normal"/>
    <w:next w:val="Normal"/>
    <w:rsid w:val="006D7319"/>
    <w:rPr>
      <w:spacing w:val="4"/>
    </w:rPr>
  </w:style>
  <w:style w:type="paragraph" w:customStyle="1" w:styleId="hengende-innrykk">
    <w:name w:val="hengende-innrykk"/>
    <w:basedOn w:val="Normal"/>
    <w:next w:val="Normal"/>
    <w:rsid w:val="006D7319"/>
    <w:pPr>
      <w:ind w:left="1418" w:hanging="1418"/>
    </w:pPr>
    <w:rPr>
      <w:spacing w:val="4"/>
    </w:rPr>
  </w:style>
  <w:style w:type="character" w:customStyle="1" w:styleId="l-endring">
    <w:name w:val="l-endring"/>
    <w:basedOn w:val="Standardskriftforavsnitt"/>
    <w:rsid w:val="006D7319"/>
    <w:rPr>
      <w:i/>
    </w:rPr>
  </w:style>
  <w:style w:type="paragraph" w:customStyle="1" w:styleId="l-lovdeltit">
    <w:name w:val="l-lovdeltit"/>
    <w:basedOn w:val="Normal"/>
    <w:next w:val="Normal"/>
    <w:rsid w:val="006D7319"/>
    <w:pPr>
      <w:keepNext/>
      <w:spacing w:before="120" w:after="60"/>
    </w:pPr>
    <w:rPr>
      <w:b/>
    </w:rPr>
  </w:style>
  <w:style w:type="paragraph" w:customStyle="1" w:styleId="l-lovkap">
    <w:name w:val="l-lovkap"/>
    <w:basedOn w:val="Normal"/>
    <w:next w:val="Normal"/>
    <w:rsid w:val="006D7319"/>
    <w:pPr>
      <w:keepNext/>
      <w:spacing w:before="240" w:after="40"/>
    </w:pPr>
    <w:rPr>
      <w:b/>
      <w:spacing w:val="4"/>
    </w:rPr>
  </w:style>
  <w:style w:type="paragraph" w:customStyle="1" w:styleId="l-lovtit">
    <w:name w:val="l-lovtit"/>
    <w:basedOn w:val="Normal"/>
    <w:next w:val="Normal"/>
    <w:rsid w:val="006D7319"/>
    <w:pPr>
      <w:keepNext/>
      <w:spacing w:before="120" w:after="60"/>
    </w:pPr>
    <w:rPr>
      <w:b/>
      <w:spacing w:val="4"/>
    </w:rPr>
  </w:style>
  <w:style w:type="paragraph" w:customStyle="1" w:styleId="l-paragraf">
    <w:name w:val="l-paragraf"/>
    <w:basedOn w:val="Normal"/>
    <w:next w:val="Normal"/>
    <w:rsid w:val="006D7319"/>
    <w:pPr>
      <w:spacing w:before="180" w:after="0"/>
    </w:pPr>
    <w:rPr>
      <w:rFonts w:ascii="Times New Roman" w:hAnsi="Times New Roman"/>
      <w:i/>
      <w:spacing w:val="4"/>
    </w:rPr>
  </w:style>
  <w:style w:type="paragraph" w:customStyle="1" w:styleId="Ramme-slutt">
    <w:name w:val="Ramme-slutt"/>
    <w:basedOn w:val="Normal"/>
    <w:qFormat/>
    <w:rsid w:val="006D7319"/>
    <w:rPr>
      <w:b/>
      <w:color w:val="C00000"/>
    </w:rPr>
  </w:style>
  <w:style w:type="paragraph" w:customStyle="1" w:styleId="romertallliste">
    <w:name w:val="romertall liste"/>
    <w:basedOn w:val="Normal"/>
    <w:qFormat/>
    <w:rsid w:val="006D7319"/>
    <w:pPr>
      <w:numPr>
        <w:numId w:val="25"/>
      </w:numPr>
      <w:spacing w:before="0" w:after="0"/>
    </w:pPr>
    <w:rPr>
      <w:rFonts w:eastAsia="Batang"/>
      <w:spacing w:val="4"/>
      <w:szCs w:val="20"/>
    </w:rPr>
  </w:style>
  <w:style w:type="paragraph" w:customStyle="1" w:styleId="romertallliste2">
    <w:name w:val="romertall liste 2"/>
    <w:basedOn w:val="romertallliste"/>
    <w:qFormat/>
    <w:rsid w:val="006D7319"/>
    <w:pPr>
      <w:numPr>
        <w:ilvl w:val="1"/>
      </w:numPr>
    </w:pPr>
  </w:style>
  <w:style w:type="paragraph" w:customStyle="1" w:styleId="romertallliste3">
    <w:name w:val="romertall liste 3"/>
    <w:basedOn w:val="romertallliste"/>
    <w:qFormat/>
    <w:rsid w:val="006D7319"/>
    <w:pPr>
      <w:numPr>
        <w:ilvl w:val="2"/>
      </w:numPr>
    </w:pPr>
  </w:style>
  <w:style w:type="paragraph" w:customStyle="1" w:styleId="romertallliste4">
    <w:name w:val="romertall liste 4"/>
    <w:basedOn w:val="romertallliste"/>
    <w:qFormat/>
    <w:rsid w:val="006D7319"/>
    <w:pPr>
      <w:numPr>
        <w:ilvl w:val="3"/>
      </w:numPr>
    </w:pPr>
  </w:style>
  <w:style w:type="character" w:customStyle="1" w:styleId="skrift-senket">
    <w:name w:val="skrift-senket"/>
    <w:basedOn w:val="Standardskriftforavsnitt"/>
    <w:rsid w:val="006D7319"/>
    <w:rPr>
      <w:sz w:val="20"/>
      <w:vertAlign w:val="subscript"/>
    </w:rPr>
  </w:style>
  <w:style w:type="character" w:customStyle="1" w:styleId="sperret">
    <w:name w:val="sperret"/>
    <w:basedOn w:val="Standardskriftforavsnitt"/>
    <w:rsid w:val="006D7319"/>
    <w:rPr>
      <w:spacing w:val="30"/>
    </w:rPr>
  </w:style>
  <w:style w:type="character" w:customStyle="1" w:styleId="Stikkord">
    <w:name w:val="Stikkord"/>
    <w:basedOn w:val="Standardskriftforavsnitt"/>
    <w:rsid w:val="006D7319"/>
  </w:style>
  <w:style w:type="paragraph" w:customStyle="1" w:styleId="Tabellnavn">
    <w:name w:val="Tabellnavn"/>
    <w:basedOn w:val="Normal"/>
    <w:qFormat/>
    <w:rsid w:val="006D7319"/>
    <w:rPr>
      <w:rFonts w:ascii="Times New Roman" w:hAnsi="Times New Roman"/>
      <w:vanish/>
      <w:color w:val="00B050"/>
    </w:rPr>
  </w:style>
  <w:style w:type="paragraph" w:customStyle="1" w:styleId="Term">
    <w:name w:val="Term"/>
    <w:basedOn w:val="Normal"/>
    <w:qFormat/>
    <w:rsid w:val="006D7319"/>
  </w:style>
  <w:style w:type="paragraph" w:customStyle="1" w:styleId="tittel-ramme">
    <w:name w:val="tittel-ramme"/>
    <w:basedOn w:val="Normal"/>
    <w:next w:val="Normal"/>
    <w:rsid w:val="006D7319"/>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6D7319"/>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6D731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D7319"/>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D731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D7319"/>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6D7319"/>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D7319"/>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6D7319"/>
    <w:pPr>
      <w:numPr>
        <w:numId w:val="17"/>
      </w:numPr>
    </w:pPr>
  </w:style>
  <w:style w:type="paragraph" w:customStyle="1" w:styleId="Figur">
    <w:name w:val="Figur"/>
    <w:basedOn w:val="Normal"/>
    <w:rsid w:val="006D7319"/>
    <w:pPr>
      <w:suppressAutoHyphens/>
      <w:spacing w:before="400" w:line="240" w:lineRule="auto"/>
      <w:jc w:val="center"/>
    </w:pPr>
    <w:rPr>
      <w:b/>
      <w:color w:val="FF0000"/>
    </w:rPr>
  </w:style>
  <w:style w:type="paragraph" w:customStyle="1" w:styleId="l-ledd">
    <w:name w:val="l-ledd"/>
    <w:basedOn w:val="Normal"/>
    <w:qFormat/>
    <w:rsid w:val="006D7319"/>
    <w:pPr>
      <w:spacing w:after="0"/>
      <w:ind w:firstLine="397"/>
    </w:pPr>
    <w:rPr>
      <w:rFonts w:ascii="Times New Roman" w:hAnsi="Times New Roman"/>
      <w:spacing w:val="4"/>
    </w:rPr>
  </w:style>
  <w:style w:type="paragraph" w:customStyle="1" w:styleId="l-punktum">
    <w:name w:val="l-punktum"/>
    <w:basedOn w:val="Normal"/>
    <w:qFormat/>
    <w:rsid w:val="006D7319"/>
    <w:pPr>
      <w:spacing w:after="0"/>
    </w:pPr>
    <w:rPr>
      <w:spacing w:val="4"/>
    </w:rPr>
  </w:style>
  <w:style w:type="paragraph" w:customStyle="1" w:styleId="l-tit-endr-lovkap">
    <w:name w:val="l-tit-endr-lovkap"/>
    <w:basedOn w:val="Normal"/>
    <w:qFormat/>
    <w:rsid w:val="006D7319"/>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6D7319"/>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6D7319"/>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6D7319"/>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6D7319"/>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6D7319"/>
  </w:style>
  <w:style w:type="paragraph" w:customStyle="1" w:styleId="l-alfaliste">
    <w:name w:val="l-alfaliste"/>
    <w:basedOn w:val="alfaliste"/>
    <w:qFormat/>
    <w:rsid w:val="006D7319"/>
    <w:pPr>
      <w:numPr>
        <w:numId w:val="0"/>
      </w:numPr>
    </w:pPr>
    <w:rPr>
      <w:rFonts w:eastAsiaTheme="minorEastAsia"/>
    </w:rPr>
  </w:style>
  <w:style w:type="numbering" w:customStyle="1" w:styleId="AlfaListeStil">
    <w:name w:val="AlfaListeStil"/>
    <w:uiPriority w:val="99"/>
    <w:rsid w:val="006D7319"/>
    <w:pPr>
      <w:numPr>
        <w:numId w:val="26"/>
      </w:numPr>
    </w:pPr>
  </w:style>
  <w:style w:type="paragraph" w:customStyle="1" w:styleId="l-alfaliste2">
    <w:name w:val="l-alfaliste 2"/>
    <w:basedOn w:val="alfaliste2"/>
    <w:qFormat/>
    <w:rsid w:val="006D7319"/>
    <w:pPr>
      <w:numPr>
        <w:numId w:val="0"/>
      </w:numPr>
    </w:pPr>
  </w:style>
  <w:style w:type="paragraph" w:customStyle="1" w:styleId="l-alfaliste3">
    <w:name w:val="l-alfaliste 3"/>
    <w:basedOn w:val="alfaliste3"/>
    <w:qFormat/>
    <w:rsid w:val="006D7319"/>
    <w:pPr>
      <w:numPr>
        <w:numId w:val="0"/>
      </w:numPr>
    </w:pPr>
  </w:style>
  <w:style w:type="paragraph" w:customStyle="1" w:styleId="l-alfaliste4">
    <w:name w:val="l-alfaliste 4"/>
    <w:basedOn w:val="alfaliste4"/>
    <w:qFormat/>
    <w:rsid w:val="006D7319"/>
    <w:pPr>
      <w:numPr>
        <w:numId w:val="0"/>
      </w:numPr>
    </w:pPr>
  </w:style>
  <w:style w:type="paragraph" w:customStyle="1" w:styleId="l-alfaliste5">
    <w:name w:val="l-alfaliste 5"/>
    <w:basedOn w:val="alfaliste5"/>
    <w:qFormat/>
    <w:rsid w:val="006D7319"/>
    <w:pPr>
      <w:numPr>
        <w:numId w:val="0"/>
      </w:numPr>
    </w:pPr>
  </w:style>
  <w:style w:type="numbering" w:customStyle="1" w:styleId="l-AlfaListeStil">
    <w:name w:val="l-AlfaListeStil"/>
    <w:uiPriority w:val="99"/>
    <w:rsid w:val="006D7319"/>
  </w:style>
  <w:style w:type="numbering" w:customStyle="1" w:styleId="l-NummerertListeStil">
    <w:name w:val="l-NummerertListeStil"/>
    <w:uiPriority w:val="99"/>
    <w:rsid w:val="006D7319"/>
    <w:pPr>
      <w:numPr>
        <w:numId w:val="7"/>
      </w:numPr>
    </w:pPr>
  </w:style>
  <w:style w:type="numbering" w:customStyle="1" w:styleId="NrListeStil">
    <w:name w:val="NrListeStil"/>
    <w:uiPriority w:val="99"/>
    <w:rsid w:val="006D7319"/>
    <w:pPr>
      <w:numPr>
        <w:numId w:val="8"/>
      </w:numPr>
    </w:pPr>
  </w:style>
  <w:style w:type="numbering" w:customStyle="1" w:styleId="OpplistingListeStil">
    <w:name w:val="OpplistingListeStil"/>
    <w:uiPriority w:val="99"/>
    <w:rsid w:val="006D7319"/>
    <w:pPr>
      <w:numPr>
        <w:numId w:val="24"/>
      </w:numPr>
    </w:pPr>
  </w:style>
  <w:style w:type="numbering" w:customStyle="1" w:styleId="OverskrifterListeStil">
    <w:name w:val="OverskrifterListeStil"/>
    <w:uiPriority w:val="99"/>
    <w:rsid w:val="006D7319"/>
    <w:pPr>
      <w:numPr>
        <w:numId w:val="9"/>
      </w:numPr>
    </w:pPr>
  </w:style>
  <w:style w:type="numbering" w:customStyle="1" w:styleId="RomListeStil">
    <w:name w:val="RomListeStil"/>
    <w:uiPriority w:val="99"/>
    <w:rsid w:val="006D7319"/>
    <w:pPr>
      <w:numPr>
        <w:numId w:val="10"/>
      </w:numPr>
    </w:pPr>
  </w:style>
  <w:style w:type="numbering" w:customStyle="1" w:styleId="StrekListeStil">
    <w:name w:val="StrekListeStil"/>
    <w:uiPriority w:val="99"/>
    <w:rsid w:val="006D7319"/>
    <w:pPr>
      <w:numPr>
        <w:numId w:val="11"/>
      </w:numPr>
    </w:pPr>
  </w:style>
  <w:style w:type="paragraph" w:customStyle="1" w:styleId="romertallliste5">
    <w:name w:val="romertall liste 5"/>
    <w:basedOn w:val="romertallliste"/>
    <w:qFormat/>
    <w:rsid w:val="006D7319"/>
    <w:pPr>
      <w:numPr>
        <w:ilvl w:val="4"/>
      </w:numPr>
    </w:pPr>
  </w:style>
  <w:style w:type="paragraph" w:customStyle="1" w:styleId="opplisting3">
    <w:name w:val="opplisting 3"/>
    <w:basedOn w:val="opplisting"/>
    <w:qFormat/>
    <w:rsid w:val="006D7319"/>
    <w:pPr>
      <w:ind w:left="794"/>
    </w:pPr>
  </w:style>
  <w:style w:type="paragraph" w:customStyle="1" w:styleId="opplisting4">
    <w:name w:val="opplisting 4"/>
    <w:basedOn w:val="opplisting"/>
    <w:qFormat/>
    <w:rsid w:val="006D7319"/>
    <w:pPr>
      <w:ind w:left="1191"/>
    </w:pPr>
  </w:style>
  <w:style w:type="paragraph" w:customStyle="1" w:styleId="opplisting5">
    <w:name w:val="opplisting 5"/>
    <w:basedOn w:val="opplisting"/>
    <w:qFormat/>
    <w:rsid w:val="006D7319"/>
    <w:pPr>
      <w:ind w:left="1588"/>
    </w:pPr>
  </w:style>
  <w:style w:type="paragraph" w:customStyle="1" w:styleId="friliste">
    <w:name w:val="friliste"/>
    <w:basedOn w:val="Normal"/>
    <w:qFormat/>
    <w:rsid w:val="006D7319"/>
    <w:pPr>
      <w:tabs>
        <w:tab w:val="left" w:pos="397"/>
      </w:tabs>
      <w:spacing w:after="0"/>
      <w:ind w:left="397" w:hanging="397"/>
    </w:pPr>
  </w:style>
  <w:style w:type="paragraph" w:customStyle="1" w:styleId="friliste2">
    <w:name w:val="friliste 2"/>
    <w:basedOn w:val="friliste"/>
    <w:qFormat/>
    <w:rsid w:val="006D7319"/>
    <w:pPr>
      <w:tabs>
        <w:tab w:val="left" w:pos="794"/>
      </w:tabs>
      <w:spacing w:before="0"/>
      <w:ind w:left="794"/>
    </w:pPr>
  </w:style>
  <w:style w:type="paragraph" w:customStyle="1" w:styleId="friliste3">
    <w:name w:val="friliste 3"/>
    <w:basedOn w:val="friliste"/>
    <w:qFormat/>
    <w:rsid w:val="006D7319"/>
    <w:pPr>
      <w:tabs>
        <w:tab w:val="left" w:pos="1191"/>
      </w:tabs>
      <w:spacing w:before="0"/>
      <w:ind w:left="1191"/>
    </w:pPr>
  </w:style>
  <w:style w:type="paragraph" w:customStyle="1" w:styleId="friliste4">
    <w:name w:val="friliste 4"/>
    <w:basedOn w:val="friliste"/>
    <w:qFormat/>
    <w:rsid w:val="006D7319"/>
    <w:pPr>
      <w:tabs>
        <w:tab w:val="left" w:pos="1588"/>
      </w:tabs>
      <w:spacing w:before="0"/>
      <w:ind w:left="1588"/>
    </w:pPr>
  </w:style>
  <w:style w:type="paragraph" w:customStyle="1" w:styleId="friliste5">
    <w:name w:val="friliste 5"/>
    <w:basedOn w:val="friliste"/>
    <w:qFormat/>
    <w:rsid w:val="006D7319"/>
    <w:pPr>
      <w:tabs>
        <w:tab w:val="left" w:pos="1985"/>
      </w:tabs>
      <w:spacing w:before="0"/>
      <w:ind w:left="1985"/>
    </w:pPr>
  </w:style>
  <w:style w:type="character" w:customStyle="1" w:styleId="regular">
    <w:name w:val="regular"/>
    <w:basedOn w:val="Standardskriftforavsnitt"/>
    <w:uiPriority w:val="1"/>
    <w:qFormat/>
    <w:rsid w:val="006D7319"/>
    <w:rPr>
      <w:i/>
    </w:rPr>
  </w:style>
  <w:style w:type="character" w:customStyle="1" w:styleId="gjennomstreket">
    <w:name w:val="gjennomstreket"/>
    <w:uiPriority w:val="1"/>
    <w:rsid w:val="006D7319"/>
    <w:rPr>
      <w:strike/>
      <w:dstrike w:val="0"/>
    </w:rPr>
  </w:style>
  <w:style w:type="paragraph" w:customStyle="1" w:styleId="l-avsnitt">
    <w:name w:val="l-avsnitt"/>
    <w:basedOn w:val="l-lovkap"/>
    <w:qFormat/>
    <w:rsid w:val="006D7319"/>
    <w:rPr>
      <w:lang w:val="nn-NO"/>
    </w:rPr>
  </w:style>
  <w:style w:type="paragraph" w:customStyle="1" w:styleId="l-tit-endr-avsnitt">
    <w:name w:val="l-tit-endr-avsnitt"/>
    <w:basedOn w:val="l-tit-endr-lovkap"/>
    <w:qFormat/>
    <w:rsid w:val="006D7319"/>
  </w:style>
  <w:style w:type="paragraph" w:customStyle="1" w:styleId="Listebombe2">
    <w:name w:val="Liste bombe 2"/>
    <w:basedOn w:val="Liste2"/>
    <w:qFormat/>
    <w:rsid w:val="006D7319"/>
    <w:pPr>
      <w:numPr>
        <w:numId w:val="13"/>
      </w:numPr>
      <w:ind w:left="794" w:hanging="397"/>
    </w:pPr>
  </w:style>
  <w:style w:type="paragraph" w:styleId="Liste2">
    <w:name w:val="List 2"/>
    <w:basedOn w:val="Liste"/>
    <w:qFormat/>
    <w:rsid w:val="006D7319"/>
    <w:pPr>
      <w:numPr>
        <w:numId w:val="20"/>
      </w:numPr>
      <w:ind w:left="794" w:hanging="397"/>
    </w:pPr>
  </w:style>
  <w:style w:type="paragraph" w:customStyle="1" w:styleId="Listebombe3">
    <w:name w:val="Liste bombe 3"/>
    <w:basedOn w:val="Liste3"/>
    <w:qFormat/>
    <w:rsid w:val="006D7319"/>
    <w:pPr>
      <w:numPr>
        <w:numId w:val="14"/>
      </w:numPr>
      <w:ind w:left="1191" w:hanging="397"/>
    </w:pPr>
  </w:style>
  <w:style w:type="paragraph" w:styleId="Liste3">
    <w:name w:val="List 3"/>
    <w:basedOn w:val="Liste"/>
    <w:qFormat/>
    <w:rsid w:val="006D7319"/>
    <w:pPr>
      <w:numPr>
        <w:numId w:val="21"/>
      </w:numPr>
      <w:ind w:left="1191" w:hanging="397"/>
    </w:pPr>
  </w:style>
  <w:style w:type="paragraph" w:customStyle="1" w:styleId="Listebombe4">
    <w:name w:val="Liste bombe 4"/>
    <w:basedOn w:val="Liste4"/>
    <w:qFormat/>
    <w:rsid w:val="006D7319"/>
    <w:pPr>
      <w:numPr>
        <w:numId w:val="15"/>
      </w:numPr>
      <w:ind w:left="1588" w:hanging="397"/>
    </w:pPr>
  </w:style>
  <w:style w:type="paragraph" w:styleId="Liste4">
    <w:name w:val="List 4"/>
    <w:basedOn w:val="Liste"/>
    <w:qFormat/>
    <w:rsid w:val="006D7319"/>
    <w:pPr>
      <w:numPr>
        <w:numId w:val="22"/>
      </w:numPr>
      <w:ind w:left="1588" w:hanging="397"/>
    </w:pPr>
  </w:style>
  <w:style w:type="paragraph" w:customStyle="1" w:styleId="Listebombe5">
    <w:name w:val="Liste bombe 5"/>
    <w:basedOn w:val="Liste5"/>
    <w:qFormat/>
    <w:rsid w:val="006D7319"/>
    <w:pPr>
      <w:numPr>
        <w:numId w:val="16"/>
      </w:numPr>
      <w:ind w:left="1985" w:hanging="397"/>
    </w:pPr>
  </w:style>
  <w:style w:type="paragraph" w:styleId="Liste5">
    <w:name w:val="List 5"/>
    <w:basedOn w:val="Liste"/>
    <w:qFormat/>
    <w:rsid w:val="006D7319"/>
    <w:pPr>
      <w:numPr>
        <w:numId w:val="23"/>
      </w:numPr>
      <w:ind w:left="1985" w:hanging="397"/>
    </w:pPr>
  </w:style>
  <w:style w:type="paragraph" w:customStyle="1" w:styleId="Listeavsnitt2">
    <w:name w:val="Listeavsnitt 2"/>
    <w:basedOn w:val="Listeavsnitt"/>
    <w:qFormat/>
    <w:rsid w:val="006D7319"/>
    <w:pPr>
      <w:ind w:left="794"/>
    </w:pPr>
  </w:style>
  <w:style w:type="paragraph" w:customStyle="1" w:styleId="Listeavsnitt3">
    <w:name w:val="Listeavsnitt 3"/>
    <w:basedOn w:val="Listeavsnitt"/>
    <w:qFormat/>
    <w:rsid w:val="006D7319"/>
    <w:pPr>
      <w:ind w:left="1191"/>
    </w:pPr>
  </w:style>
  <w:style w:type="paragraph" w:customStyle="1" w:styleId="Listeavsnitt4">
    <w:name w:val="Listeavsnitt 4"/>
    <w:basedOn w:val="Listeavsnitt"/>
    <w:qFormat/>
    <w:rsid w:val="006D7319"/>
    <w:pPr>
      <w:ind w:left="1588"/>
    </w:pPr>
  </w:style>
  <w:style w:type="paragraph" w:customStyle="1" w:styleId="Listeavsnitt5">
    <w:name w:val="Listeavsnitt 5"/>
    <w:basedOn w:val="Listeavsnitt"/>
    <w:qFormat/>
    <w:rsid w:val="006D7319"/>
    <w:pPr>
      <w:ind w:left="1985"/>
    </w:pPr>
  </w:style>
  <w:style w:type="paragraph" w:customStyle="1" w:styleId="Petit">
    <w:name w:val="Petit"/>
    <w:basedOn w:val="Normal"/>
    <w:next w:val="Normal"/>
    <w:qFormat/>
    <w:rsid w:val="006D7319"/>
    <w:rPr>
      <w:spacing w:val="6"/>
      <w:sz w:val="19"/>
    </w:rPr>
  </w:style>
  <w:style w:type="paragraph" w:customStyle="1" w:styleId="TrykkeriMerknad">
    <w:name w:val="TrykkeriMerknad"/>
    <w:basedOn w:val="Normal"/>
    <w:qFormat/>
    <w:rsid w:val="006D7319"/>
    <w:pPr>
      <w:spacing w:before="60"/>
    </w:pPr>
    <w:rPr>
      <w:color w:val="BF4E14" w:themeColor="accent2" w:themeShade="BF"/>
      <w:spacing w:val="4"/>
      <w:sz w:val="26"/>
    </w:rPr>
  </w:style>
  <w:style w:type="paragraph" w:customStyle="1" w:styleId="ForfatterMerknad">
    <w:name w:val="ForfatterMerknad"/>
    <w:basedOn w:val="TrykkeriMerknad"/>
    <w:qFormat/>
    <w:rsid w:val="006D7319"/>
    <w:pPr>
      <w:shd w:val="clear" w:color="auto" w:fill="FFFF99"/>
      <w:spacing w:line="240" w:lineRule="auto"/>
    </w:pPr>
    <w:rPr>
      <w:color w:val="80340D" w:themeColor="accent2" w:themeShade="80"/>
    </w:rPr>
  </w:style>
  <w:style w:type="paragraph" w:customStyle="1" w:styleId="UnOverskrift1">
    <w:name w:val="UnOverskrift 1"/>
    <w:basedOn w:val="Overskrift1"/>
    <w:next w:val="Normal"/>
    <w:qFormat/>
    <w:rsid w:val="006D7319"/>
    <w:pPr>
      <w:numPr>
        <w:numId w:val="0"/>
      </w:numPr>
    </w:pPr>
  </w:style>
  <w:style w:type="paragraph" w:customStyle="1" w:styleId="UnOverskrift2">
    <w:name w:val="UnOverskrift 2"/>
    <w:basedOn w:val="Overskrift2"/>
    <w:next w:val="Normal"/>
    <w:qFormat/>
    <w:rsid w:val="006D7319"/>
    <w:pPr>
      <w:numPr>
        <w:ilvl w:val="0"/>
        <w:numId w:val="0"/>
      </w:numPr>
    </w:pPr>
  </w:style>
  <w:style w:type="paragraph" w:customStyle="1" w:styleId="UnOverskrift3">
    <w:name w:val="UnOverskrift 3"/>
    <w:basedOn w:val="Overskrift3"/>
    <w:next w:val="Normal"/>
    <w:qFormat/>
    <w:rsid w:val="006D7319"/>
    <w:pPr>
      <w:numPr>
        <w:ilvl w:val="0"/>
        <w:numId w:val="0"/>
      </w:numPr>
    </w:pPr>
  </w:style>
  <w:style w:type="paragraph" w:customStyle="1" w:styleId="UnOverskrift4">
    <w:name w:val="UnOverskrift 4"/>
    <w:basedOn w:val="Overskrift4"/>
    <w:next w:val="Normal"/>
    <w:qFormat/>
    <w:rsid w:val="006D7319"/>
    <w:pPr>
      <w:numPr>
        <w:ilvl w:val="0"/>
        <w:numId w:val="0"/>
      </w:numPr>
    </w:pPr>
  </w:style>
  <w:style w:type="paragraph" w:customStyle="1" w:styleId="UnOverskrift5">
    <w:name w:val="UnOverskrift 5"/>
    <w:basedOn w:val="Overskrift5"/>
    <w:next w:val="Normal"/>
    <w:qFormat/>
    <w:rsid w:val="006D7319"/>
    <w:pPr>
      <w:numPr>
        <w:ilvl w:val="0"/>
        <w:numId w:val="0"/>
      </w:numPr>
    </w:pPr>
  </w:style>
  <w:style w:type="paragraph" w:customStyle="1" w:styleId="Ingress">
    <w:name w:val="Ingress"/>
    <w:basedOn w:val="Normal"/>
    <w:qFormat/>
    <w:rsid w:val="006D7319"/>
    <w:rPr>
      <w:i/>
    </w:rPr>
  </w:style>
  <w:style w:type="paragraph" w:customStyle="1" w:styleId="Note">
    <w:name w:val="Note"/>
    <w:basedOn w:val="Normal"/>
    <w:qFormat/>
    <w:rsid w:val="006D7319"/>
    <w:rPr>
      <w:sz w:val="18"/>
    </w:rPr>
  </w:style>
  <w:style w:type="paragraph" w:customStyle="1" w:styleId="FigurAltTekst">
    <w:name w:val="FigurAltTekst"/>
    <w:basedOn w:val="Note"/>
    <w:qFormat/>
    <w:rsid w:val="006D7319"/>
    <w:rPr>
      <w:color w:val="7030A0"/>
    </w:rPr>
  </w:style>
  <w:style w:type="paragraph" w:customStyle="1" w:styleId="meta-dep">
    <w:name w:val="meta-dep"/>
    <w:basedOn w:val="Normal"/>
    <w:next w:val="Normal"/>
    <w:qFormat/>
    <w:rsid w:val="006D7319"/>
    <w:rPr>
      <w:rFonts w:ascii="Courier New" w:hAnsi="Courier New"/>
      <w:vanish/>
      <w:color w:val="C00000"/>
      <w:sz w:val="28"/>
    </w:rPr>
  </w:style>
  <w:style w:type="paragraph" w:customStyle="1" w:styleId="meta-depavd">
    <w:name w:val="meta-depavd"/>
    <w:basedOn w:val="meta-dep"/>
    <w:next w:val="Normal"/>
    <w:qFormat/>
    <w:rsid w:val="006D7319"/>
  </w:style>
  <w:style w:type="paragraph" w:customStyle="1" w:styleId="meta-forf">
    <w:name w:val="meta-forf"/>
    <w:basedOn w:val="meta-dep"/>
    <w:next w:val="Normal"/>
    <w:qFormat/>
    <w:rsid w:val="006D7319"/>
  </w:style>
  <w:style w:type="paragraph" w:customStyle="1" w:styleId="meta-spr">
    <w:name w:val="meta-spr"/>
    <w:basedOn w:val="meta-dep"/>
    <w:next w:val="Normal"/>
    <w:qFormat/>
    <w:rsid w:val="006D7319"/>
  </w:style>
  <w:style w:type="paragraph" w:customStyle="1" w:styleId="meta-ingress">
    <w:name w:val="meta-ingress"/>
    <w:basedOn w:val="meta-dep"/>
    <w:next w:val="Normal"/>
    <w:qFormat/>
    <w:rsid w:val="006D7319"/>
    <w:rPr>
      <w:color w:val="0A2F41" w:themeColor="accent1" w:themeShade="80"/>
      <w:sz w:val="24"/>
    </w:rPr>
  </w:style>
  <w:style w:type="paragraph" w:customStyle="1" w:styleId="meta-sperrefrist">
    <w:name w:val="meta-sperrefrist"/>
    <w:basedOn w:val="meta-dep"/>
    <w:next w:val="Normal"/>
    <w:qFormat/>
    <w:rsid w:val="006D7319"/>
  </w:style>
  <w:style w:type="paragraph" w:customStyle="1" w:styleId="meta-objUrl">
    <w:name w:val="meta-objUrl"/>
    <w:basedOn w:val="meta-dep"/>
    <w:next w:val="Normal"/>
    <w:qFormat/>
    <w:rsid w:val="006D7319"/>
    <w:rPr>
      <w:color w:val="7030A0"/>
    </w:rPr>
  </w:style>
  <w:style w:type="paragraph" w:customStyle="1" w:styleId="meta-dokFormat">
    <w:name w:val="meta-dokFormat"/>
    <w:basedOn w:val="meta-dep"/>
    <w:next w:val="Normal"/>
    <w:qFormat/>
    <w:rsid w:val="006D7319"/>
    <w:rPr>
      <w:color w:val="7030A0"/>
    </w:rPr>
  </w:style>
  <w:style w:type="paragraph" w:customStyle="1" w:styleId="TabellHode-rad">
    <w:name w:val="TabellHode-rad"/>
    <w:basedOn w:val="Normal"/>
    <w:qFormat/>
    <w:rsid w:val="006D7319"/>
    <w:pPr>
      <w:shd w:val="clear" w:color="auto" w:fill="D9F2D0" w:themeFill="accent6" w:themeFillTint="33"/>
    </w:pPr>
  </w:style>
  <w:style w:type="paragraph" w:customStyle="1" w:styleId="TabellHode-kolonne">
    <w:name w:val="TabellHode-kolonne"/>
    <w:basedOn w:val="TabellHode-rad"/>
    <w:qFormat/>
    <w:rsid w:val="006D7319"/>
    <w:pPr>
      <w:shd w:val="clear" w:color="auto" w:fill="C1E4F5" w:themeFill="accent1" w:themeFillTint="33"/>
    </w:pPr>
  </w:style>
  <w:style w:type="paragraph" w:styleId="Indeks1">
    <w:name w:val="index 1"/>
    <w:basedOn w:val="Normal"/>
    <w:next w:val="Normal"/>
    <w:autoRedefine/>
    <w:uiPriority w:val="99"/>
    <w:semiHidden/>
    <w:unhideWhenUsed/>
    <w:rsid w:val="006D7319"/>
    <w:pPr>
      <w:spacing w:after="0" w:line="240" w:lineRule="auto"/>
      <w:ind w:left="240" w:hanging="240"/>
    </w:pPr>
  </w:style>
  <w:style w:type="paragraph" w:styleId="Indeks2">
    <w:name w:val="index 2"/>
    <w:basedOn w:val="Normal"/>
    <w:next w:val="Normal"/>
    <w:autoRedefine/>
    <w:uiPriority w:val="99"/>
    <w:semiHidden/>
    <w:unhideWhenUsed/>
    <w:rsid w:val="006D7319"/>
    <w:pPr>
      <w:spacing w:after="0" w:line="240" w:lineRule="auto"/>
      <w:ind w:left="480" w:hanging="240"/>
    </w:pPr>
  </w:style>
  <w:style w:type="paragraph" w:styleId="Indeks3">
    <w:name w:val="index 3"/>
    <w:basedOn w:val="Normal"/>
    <w:next w:val="Normal"/>
    <w:autoRedefine/>
    <w:uiPriority w:val="99"/>
    <w:semiHidden/>
    <w:unhideWhenUsed/>
    <w:rsid w:val="006D7319"/>
    <w:pPr>
      <w:spacing w:after="0" w:line="240" w:lineRule="auto"/>
      <w:ind w:left="720" w:hanging="240"/>
    </w:pPr>
  </w:style>
  <w:style w:type="paragraph" w:styleId="Indeks4">
    <w:name w:val="index 4"/>
    <w:basedOn w:val="Normal"/>
    <w:next w:val="Normal"/>
    <w:autoRedefine/>
    <w:uiPriority w:val="99"/>
    <w:semiHidden/>
    <w:unhideWhenUsed/>
    <w:rsid w:val="006D7319"/>
    <w:pPr>
      <w:spacing w:after="0" w:line="240" w:lineRule="auto"/>
      <w:ind w:left="960" w:hanging="240"/>
    </w:pPr>
  </w:style>
  <w:style w:type="paragraph" w:styleId="Indeks5">
    <w:name w:val="index 5"/>
    <w:basedOn w:val="Normal"/>
    <w:next w:val="Normal"/>
    <w:autoRedefine/>
    <w:uiPriority w:val="99"/>
    <w:semiHidden/>
    <w:unhideWhenUsed/>
    <w:rsid w:val="006D7319"/>
    <w:pPr>
      <w:spacing w:after="0" w:line="240" w:lineRule="auto"/>
      <w:ind w:left="1200" w:hanging="240"/>
    </w:pPr>
  </w:style>
  <w:style w:type="paragraph" w:styleId="Indeks6">
    <w:name w:val="index 6"/>
    <w:basedOn w:val="Normal"/>
    <w:next w:val="Normal"/>
    <w:autoRedefine/>
    <w:uiPriority w:val="99"/>
    <w:semiHidden/>
    <w:unhideWhenUsed/>
    <w:rsid w:val="006D7319"/>
    <w:pPr>
      <w:spacing w:after="0" w:line="240" w:lineRule="auto"/>
      <w:ind w:left="1440" w:hanging="240"/>
    </w:pPr>
  </w:style>
  <w:style w:type="paragraph" w:styleId="Indeks7">
    <w:name w:val="index 7"/>
    <w:basedOn w:val="Normal"/>
    <w:next w:val="Normal"/>
    <w:autoRedefine/>
    <w:uiPriority w:val="99"/>
    <w:semiHidden/>
    <w:unhideWhenUsed/>
    <w:rsid w:val="006D7319"/>
    <w:pPr>
      <w:spacing w:after="0" w:line="240" w:lineRule="auto"/>
      <w:ind w:left="1680" w:hanging="240"/>
    </w:pPr>
  </w:style>
  <w:style w:type="paragraph" w:styleId="Indeks8">
    <w:name w:val="index 8"/>
    <w:basedOn w:val="Normal"/>
    <w:next w:val="Normal"/>
    <w:autoRedefine/>
    <w:uiPriority w:val="99"/>
    <w:semiHidden/>
    <w:unhideWhenUsed/>
    <w:rsid w:val="006D7319"/>
    <w:pPr>
      <w:spacing w:after="0" w:line="240" w:lineRule="auto"/>
      <w:ind w:left="1920" w:hanging="240"/>
    </w:pPr>
  </w:style>
  <w:style w:type="paragraph" w:styleId="Indeks9">
    <w:name w:val="index 9"/>
    <w:basedOn w:val="Normal"/>
    <w:next w:val="Normal"/>
    <w:autoRedefine/>
    <w:uiPriority w:val="99"/>
    <w:semiHidden/>
    <w:unhideWhenUsed/>
    <w:rsid w:val="006D7319"/>
    <w:pPr>
      <w:spacing w:after="0" w:line="240" w:lineRule="auto"/>
      <w:ind w:left="2160" w:hanging="240"/>
    </w:pPr>
  </w:style>
  <w:style w:type="paragraph" w:styleId="INNH1">
    <w:name w:val="toc 1"/>
    <w:basedOn w:val="Normal"/>
    <w:next w:val="Normal"/>
    <w:uiPriority w:val="39"/>
    <w:rsid w:val="006D7319"/>
    <w:pPr>
      <w:tabs>
        <w:tab w:val="right" w:leader="dot" w:pos="8306"/>
      </w:tabs>
      <w:ind w:right="1134"/>
    </w:pPr>
  </w:style>
  <w:style w:type="paragraph" w:styleId="INNH2">
    <w:name w:val="toc 2"/>
    <w:basedOn w:val="Normal"/>
    <w:next w:val="Normal"/>
    <w:uiPriority w:val="39"/>
    <w:rsid w:val="006D7319"/>
    <w:pPr>
      <w:tabs>
        <w:tab w:val="right" w:leader="dot" w:pos="8306"/>
      </w:tabs>
      <w:ind w:left="199" w:right="1134"/>
    </w:pPr>
  </w:style>
  <w:style w:type="paragraph" w:styleId="INNH3">
    <w:name w:val="toc 3"/>
    <w:basedOn w:val="Normal"/>
    <w:next w:val="Normal"/>
    <w:uiPriority w:val="39"/>
    <w:rsid w:val="006D7319"/>
    <w:pPr>
      <w:tabs>
        <w:tab w:val="right" w:leader="dot" w:pos="8306"/>
      </w:tabs>
      <w:ind w:left="403" w:right="1134"/>
    </w:pPr>
  </w:style>
  <w:style w:type="paragraph" w:styleId="INNH4">
    <w:name w:val="toc 4"/>
    <w:basedOn w:val="Normal"/>
    <w:next w:val="Normal"/>
    <w:semiHidden/>
    <w:rsid w:val="006D7319"/>
    <w:pPr>
      <w:tabs>
        <w:tab w:val="right" w:leader="dot" w:pos="8306"/>
      </w:tabs>
      <w:ind w:left="600"/>
    </w:pPr>
  </w:style>
  <w:style w:type="paragraph" w:styleId="INNH5">
    <w:name w:val="toc 5"/>
    <w:basedOn w:val="Normal"/>
    <w:next w:val="Normal"/>
    <w:semiHidden/>
    <w:rsid w:val="006D7319"/>
    <w:pPr>
      <w:tabs>
        <w:tab w:val="right" w:leader="dot" w:pos="8306"/>
      </w:tabs>
      <w:ind w:left="800"/>
    </w:pPr>
  </w:style>
  <w:style w:type="paragraph" w:styleId="INNH6">
    <w:name w:val="toc 6"/>
    <w:basedOn w:val="Normal"/>
    <w:next w:val="Normal"/>
    <w:autoRedefine/>
    <w:uiPriority w:val="39"/>
    <w:semiHidden/>
    <w:unhideWhenUsed/>
    <w:rsid w:val="006D7319"/>
    <w:pPr>
      <w:spacing w:after="100"/>
      <w:ind w:left="1200"/>
    </w:pPr>
  </w:style>
  <w:style w:type="paragraph" w:styleId="INNH7">
    <w:name w:val="toc 7"/>
    <w:basedOn w:val="Normal"/>
    <w:next w:val="Normal"/>
    <w:autoRedefine/>
    <w:uiPriority w:val="39"/>
    <w:semiHidden/>
    <w:unhideWhenUsed/>
    <w:rsid w:val="006D7319"/>
    <w:pPr>
      <w:spacing w:after="100"/>
      <w:ind w:left="1440"/>
    </w:pPr>
  </w:style>
  <w:style w:type="paragraph" w:styleId="INNH8">
    <w:name w:val="toc 8"/>
    <w:basedOn w:val="Normal"/>
    <w:next w:val="Normal"/>
    <w:autoRedefine/>
    <w:uiPriority w:val="39"/>
    <w:semiHidden/>
    <w:unhideWhenUsed/>
    <w:rsid w:val="006D7319"/>
    <w:pPr>
      <w:spacing w:after="100"/>
      <w:ind w:left="1680"/>
    </w:pPr>
  </w:style>
  <w:style w:type="paragraph" w:styleId="INNH9">
    <w:name w:val="toc 9"/>
    <w:basedOn w:val="Normal"/>
    <w:next w:val="Normal"/>
    <w:autoRedefine/>
    <w:uiPriority w:val="39"/>
    <w:semiHidden/>
    <w:unhideWhenUsed/>
    <w:rsid w:val="006D7319"/>
    <w:pPr>
      <w:spacing w:after="100"/>
      <w:ind w:left="1920"/>
    </w:pPr>
  </w:style>
  <w:style w:type="paragraph" w:styleId="Vanliginnrykk">
    <w:name w:val="Normal Indent"/>
    <w:basedOn w:val="Normal"/>
    <w:uiPriority w:val="99"/>
    <w:semiHidden/>
    <w:unhideWhenUsed/>
    <w:rsid w:val="006D7319"/>
    <w:pPr>
      <w:ind w:left="708"/>
    </w:pPr>
  </w:style>
  <w:style w:type="paragraph" w:styleId="Merknadstekst">
    <w:name w:val="annotation text"/>
    <w:basedOn w:val="Normal"/>
    <w:link w:val="MerknadstekstTegn"/>
    <w:semiHidden/>
    <w:rsid w:val="006D7319"/>
  </w:style>
  <w:style w:type="character" w:customStyle="1" w:styleId="MerknadstekstTegn">
    <w:name w:val="Merknadstekst Tegn"/>
    <w:basedOn w:val="Standardskriftforavsnitt"/>
    <w:link w:val="Merknadstekst"/>
    <w:semiHidden/>
    <w:rsid w:val="006D7319"/>
    <w:rPr>
      <w:rFonts w:ascii="Open Sans" w:eastAsia="Times New Roman" w:hAnsi="Open Sans"/>
      <w:kern w:val="0"/>
      <w:sz w:val="22"/>
      <w:szCs w:val="22"/>
      <w14:ligatures w14:val="none"/>
    </w:rPr>
  </w:style>
  <w:style w:type="paragraph" w:styleId="Topptekst">
    <w:name w:val="header"/>
    <w:basedOn w:val="Normal"/>
    <w:link w:val="TopptekstTegn"/>
    <w:rsid w:val="006D7319"/>
    <w:pPr>
      <w:tabs>
        <w:tab w:val="center" w:pos="4536"/>
        <w:tab w:val="right" w:pos="9072"/>
      </w:tabs>
    </w:pPr>
  </w:style>
  <w:style w:type="character" w:customStyle="1" w:styleId="TopptekstTegn">
    <w:name w:val="Topptekst Tegn"/>
    <w:basedOn w:val="Standardskriftforavsnitt"/>
    <w:link w:val="Topptekst"/>
    <w:rsid w:val="006D7319"/>
    <w:rPr>
      <w:rFonts w:ascii="Open Sans" w:eastAsia="Times New Roman" w:hAnsi="Open Sans"/>
      <w:kern w:val="0"/>
      <w:sz w:val="22"/>
      <w:szCs w:val="22"/>
      <w14:ligatures w14:val="none"/>
    </w:rPr>
  </w:style>
  <w:style w:type="paragraph" w:styleId="Bunntekst">
    <w:name w:val="footer"/>
    <w:basedOn w:val="Normal"/>
    <w:link w:val="BunntekstTegn"/>
    <w:uiPriority w:val="99"/>
    <w:rsid w:val="006D7319"/>
    <w:pPr>
      <w:tabs>
        <w:tab w:val="center" w:pos="4153"/>
        <w:tab w:val="right" w:pos="8306"/>
      </w:tabs>
    </w:pPr>
    <w:rPr>
      <w:spacing w:val="4"/>
    </w:rPr>
  </w:style>
  <w:style w:type="character" w:customStyle="1" w:styleId="BunntekstTegn">
    <w:name w:val="Bunntekst Tegn"/>
    <w:basedOn w:val="Standardskriftforavsnitt"/>
    <w:link w:val="Bunntekst"/>
    <w:uiPriority w:val="99"/>
    <w:rsid w:val="006D7319"/>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6D7319"/>
    <w:rPr>
      <w:rFonts w:asciiTheme="majorHAnsi" w:eastAsiaTheme="majorEastAsia" w:hAnsiTheme="majorHAnsi" w:cstheme="majorBidi"/>
      <w:b/>
      <w:bCs/>
    </w:rPr>
  </w:style>
  <w:style w:type="paragraph" w:styleId="Bildetekst">
    <w:name w:val="caption"/>
    <w:basedOn w:val="Normal"/>
    <w:next w:val="Normal"/>
    <w:uiPriority w:val="35"/>
    <w:unhideWhenUsed/>
    <w:qFormat/>
    <w:rsid w:val="006D7319"/>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D7319"/>
    <w:pPr>
      <w:spacing w:after="0"/>
    </w:pPr>
  </w:style>
  <w:style w:type="paragraph" w:styleId="Konvoluttadresse">
    <w:name w:val="envelope address"/>
    <w:basedOn w:val="Normal"/>
    <w:uiPriority w:val="99"/>
    <w:semiHidden/>
    <w:unhideWhenUsed/>
    <w:rsid w:val="006D731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6D7319"/>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6D7319"/>
    <w:rPr>
      <w:sz w:val="16"/>
    </w:rPr>
  </w:style>
  <w:style w:type="character" w:styleId="Linjenummer">
    <w:name w:val="line number"/>
    <w:basedOn w:val="Standardskriftforavsnitt"/>
    <w:uiPriority w:val="99"/>
    <w:semiHidden/>
    <w:unhideWhenUsed/>
    <w:rsid w:val="006D7319"/>
  </w:style>
  <w:style w:type="character" w:styleId="Sidetall">
    <w:name w:val="page number"/>
    <w:basedOn w:val="Standardskriftforavsnitt"/>
    <w:rsid w:val="006D7319"/>
  </w:style>
  <w:style w:type="character" w:styleId="Sluttnotereferanse">
    <w:name w:val="endnote reference"/>
    <w:basedOn w:val="Standardskriftforavsnitt"/>
    <w:uiPriority w:val="99"/>
    <w:semiHidden/>
    <w:unhideWhenUsed/>
    <w:rsid w:val="006D7319"/>
    <w:rPr>
      <w:vertAlign w:val="superscript"/>
    </w:rPr>
  </w:style>
  <w:style w:type="paragraph" w:styleId="Sluttnotetekst">
    <w:name w:val="endnote text"/>
    <w:basedOn w:val="Normal"/>
    <w:link w:val="SluttnotetekstTegn"/>
    <w:uiPriority w:val="99"/>
    <w:semiHidden/>
    <w:unhideWhenUsed/>
    <w:rsid w:val="006D731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6D7319"/>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6D7319"/>
    <w:pPr>
      <w:spacing w:after="0"/>
      <w:ind w:left="240" w:hanging="240"/>
    </w:pPr>
  </w:style>
  <w:style w:type="paragraph" w:styleId="Makrotekst">
    <w:name w:val="macro"/>
    <w:link w:val="MakrotekstTegn"/>
    <w:uiPriority w:val="99"/>
    <w:semiHidden/>
    <w:unhideWhenUsed/>
    <w:rsid w:val="006D731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6D7319"/>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6D7319"/>
    <w:pPr>
      <w:spacing w:before="120"/>
    </w:pPr>
    <w:rPr>
      <w:rFonts w:asciiTheme="majorHAnsi" w:eastAsiaTheme="majorEastAsia" w:hAnsiTheme="majorHAnsi" w:cstheme="majorBidi"/>
      <w:b/>
      <w:bCs/>
      <w:szCs w:val="24"/>
    </w:rPr>
  </w:style>
  <w:style w:type="paragraph" w:styleId="Punktliste">
    <w:name w:val="List Bullet"/>
    <w:basedOn w:val="Normal"/>
    <w:rsid w:val="006D7319"/>
    <w:pPr>
      <w:numPr>
        <w:numId w:val="2"/>
      </w:numPr>
      <w:spacing w:after="0"/>
    </w:pPr>
    <w:rPr>
      <w:spacing w:val="4"/>
    </w:rPr>
  </w:style>
  <w:style w:type="paragraph" w:styleId="Punktliste2">
    <w:name w:val="List Bullet 2"/>
    <w:basedOn w:val="Normal"/>
    <w:rsid w:val="006D7319"/>
    <w:pPr>
      <w:numPr>
        <w:numId w:val="3"/>
      </w:numPr>
      <w:spacing w:after="0"/>
    </w:pPr>
    <w:rPr>
      <w:spacing w:val="4"/>
    </w:rPr>
  </w:style>
  <w:style w:type="paragraph" w:styleId="Punktliste3">
    <w:name w:val="List Bullet 3"/>
    <w:basedOn w:val="Normal"/>
    <w:rsid w:val="006D7319"/>
    <w:pPr>
      <w:numPr>
        <w:numId w:val="4"/>
      </w:numPr>
      <w:spacing w:after="0"/>
    </w:pPr>
    <w:rPr>
      <w:spacing w:val="4"/>
    </w:rPr>
  </w:style>
  <w:style w:type="paragraph" w:styleId="Punktliste4">
    <w:name w:val="List Bullet 4"/>
    <w:basedOn w:val="Normal"/>
    <w:rsid w:val="006D7319"/>
    <w:pPr>
      <w:numPr>
        <w:numId w:val="5"/>
      </w:numPr>
      <w:spacing w:after="0"/>
    </w:pPr>
  </w:style>
  <w:style w:type="paragraph" w:styleId="Punktliste5">
    <w:name w:val="List Bullet 5"/>
    <w:basedOn w:val="Normal"/>
    <w:rsid w:val="006D7319"/>
    <w:pPr>
      <w:numPr>
        <w:numId w:val="6"/>
      </w:numPr>
      <w:spacing w:after="0"/>
    </w:pPr>
  </w:style>
  <w:style w:type="paragraph" w:styleId="Nummerertliste2">
    <w:name w:val="List Number 2"/>
    <w:basedOn w:val="Nummerertliste"/>
    <w:qFormat/>
    <w:rsid w:val="006D7319"/>
    <w:pPr>
      <w:numPr>
        <w:ilvl w:val="1"/>
      </w:numPr>
    </w:pPr>
  </w:style>
  <w:style w:type="paragraph" w:styleId="Nummerertliste3">
    <w:name w:val="List Number 3"/>
    <w:basedOn w:val="Nummerertliste"/>
    <w:qFormat/>
    <w:rsid w:val="006D7319"/>
    <w:pPr>
      <w:numPr>
        <w:ilvl w:val="2"/>
      </w:numPr>
    </w:pPr>
  </w:style>
  <w:style w:type="paragraph" w:styleId="Nummerertliste4">
    <w:name w:val="List Number 4"/>
    <w:basedOn w:val="Nummerertliste"/>
    <w:rsid w:val="006D7319"/>
    <w:pPr>
      <w:numPr>
        <w:ilvl w:val="3"/>
      </w:numPr>
    </w:pPr>
  </w:style>
  <w:style w:type="paragraph" w:styleId="Nummerertliste5">
    <w:name w:val="List Number 5"/>
    <w:basedOn w:val="Nummerertliste"/>
    <w:qFormat/>
    <w:rsid w:val="006D7319"/>
    <w:pPr>
      <w:numPr>
        <w:ilvl w:val="4"/>
      </w:numPr>
    </w:pPr>
  </w:style>
  <w:style w:type="paragraph" w:styleId="Tittel">
    <w:name w:val="Title"/>
    <w:basedOn w:val="Normal"/>
    <w:next w:val="Normal"/>
    <w:link w:val="TittelTegn"/>
    <w:uiPriority w:val="10"/>
    <w:qFormat/>
    <w:rsid w:val="006D731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D7319"/>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6D7319"/>
    <w:pPr>
      <w:spacing w:after="0" w:line="240" w:lineRule="auto"/>
      <w:ind w:left="4252"/>
    </w:pPr>
  </w:style>
  <w:style w:type="character" w:customStyle="1" w:styleId="HilsenTegn">
    <w:name w:val="Hilsen Tegn"/>
    <w:basedOn w:val="Standardskriftforavsnitt"/>
    <w:link w:val="Hilsen"/>
    <w:uiPriority w:val="99"/>
    <w:semiHidden/>
    <w:rsid w:val="006D7319"/>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6D7319"/>
    <w:pPr>
      <w:spacing w:after="0" w:line="240" w:lineRule="auto"/>
      <w:ind w:left="4252"/>
    </w:pPr>
  </w:style>
  <w:style w:type="character" w:customStyle="1" w:styleId="UnderskriftTegn">
    <w:name w:val="Underskrift Tegn"/>
    <w:basedOn w:val="Standardskriftforavsnitt"/>
    <w:link w:val="Underskrift"/>
    <w:uiPriority w:val="99"/>
    <w:semiHidden/>
    <w:rsid w:val="006D7319"/>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6D7319"/>
  </w:style>
  <w:style w:type="character" w:customStyle="1" w:styleId="BrdtekstTegn">
    <w:name w:val="Brødtekst Tegn"/>
    <w:basedOn w:val="Standardskriftforavsnitt"/>
    <w:link w:val="Brdtekst"/>
    <w:uiPriority w:val="99"/>
    <w:semiHidden/>
    <w:rsid w:val="006D7319"/>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6D7319"/>
    <w:pPr>
      <w:ind w:left="283"/>
    </w:pPr>
  </w:style>
  <w:style w:type="character" w:customStyle="1" w:styleId="BrdtekstinnrykkTegn">
    <w:name w:val="Brødtekstinnrykk Tegn"/>
    <w:basedOn w:val="Standardskriftforavsnitt"/>
    <w:link w:val="Brdtekstinnrykk"/>
    <w:uiPriority w:val="99"/>
    <w:semiHidden/>
    <w:rsid w:val="006D7319"/>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6D7319"/>
    <w:pPr>
      <w:ind w:left="283"/>
      <w:contextualSpacing/>
    </w:pPr>
  </w:style>
  <w:style w:type="paragraph" w:styleId="Liste-forts2">
    <w:name w:val="List Continue 2"/>
    <w:basedOn w:val="Normal"/>
    <w:uiPriority w:val="99"/>
    <w:semiHidden/>
    <w:unhideWhenUsed/>
    <w:rsid w:val="006D7319"/>
    <w:pPr>
      <w:ind w:left="566"/>
      <w:contextualSpacing/>
    </w:pPr>
  </w:style>
  <w:style w:type="paragraph" w:styleId="Liste-forts3">
    <w:name w:val="List Continue 3"/>
    <w:basedOn w:val="Normal"/>
    <w:uiPriority w:val="99"/>
    <w:semiHidden/>
    <w:unhideWhenUsed/>
    <w:rsid w:val="006D7319"/>
    <w:pPr>
      <w:ind w:left="849"/>
      <w:contextualSpacing/>
    </w:pPr>
  </w:style>
  <w:style w:type="paragraph" w:styleId="Liste-forts4">
    <w:name w:val="List Continue 4"/>
    <w:basedOn w:val="Normal"/>
    <w:uiPriority w:val="99"/>
    <w:semiHidden/>
    <w:unhideWhenUsed/>
    <w:rsid w:val="006D7319"/>
    <w:pPr>
      <w:ind w:left="1132"/>
      <w:contextualSpacing/>
    </w:pPr>
  </w:style>
  <w:style w:type="paragraph" w:styleId="Liste-forts5">
    <w:name w:val="List Continue 5"/>
    <w:basedOn w:val="Normal"/>
    <w:uiPriority w:val="99"/>
    <w:semiHidden/>
    <w:unhideWhenUsed/>
    <w:rsid w:val="006D7319"/>
    <w:pPr>
      <w:ind w:left="1415"/>
      <w:contextualSpacing/>
    </w:pPr>
  </w:style>
  <w:style w:type="paragraph" w:styleId="Meldingshode">
    <w:name w:val="Message Header"/>
    <w:basedOn w:val="Normal"/>
    <w:link w:val="MeldingshodeTegn"/>
    <w:uiPriority w:val="99"/>
    <w:semiHidden/>
    <w:unhideWhenUsed/>
    <w:rsid w:val="006D73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D7319"/>
    <w:rPr>
      <w:rFonts w:asciiTheme="majorHAnsi" w:eastAsiaTheme="majorEastAsia" w:hAnsiTheme="majorHAnsi" w:cstheme="majorBidi"/>
      <w:kern w:val="0"/>
      <w:sz w:val="22"/>
      <w:shd w:val="pct20" w:color="auto" w:fill="auto"/>
      <w14:ligatures w14:val="none"/>
    </w:rPr>
  </w:style>
  <w:style w:type="paragraph" w:styleId="Innledendehilsen">
    <w:name w:val="Salutation"/>
    <w:basedOn w:val="Normal"/>
    <w:next w:val="Normal"/>
    <w:link w:val="InnledendehilsenTegn"/>
    <w:uiPriority w:val="99"/>
    <w:semiHidden/>
    <w:unhideWhenUsed/>
    <w:rsid w:val="006D7319"/>
  </w:style>
  <w:style w:type="character" w:customStyle="1" w:styleId="InnledendehilsenTegn">
    <w:name w:val="Innledende hilsen Tegn"/>
    <w:basedOn w:val="Standardskriftforavsnitt"/>
    <w:link w:val="Innledendehilsen"/>
    <w:uiPriority w:val="99"/>
    <w:semiHidden/>
    <w:rsid w:val="006D7319"/>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6D7319"/>
    <w:pPr>
      <w:ind w:firstLine="360"/>
    </w:pPr>
  </w:style>
  <w:style w:type="character" w:customStyle="1" w:styleId="Brdtekst-frsteinnrykkTegn">
    <w:name w:val="Brødtekst - første innrykk Tegn"/>
    <w:basedOn w:val="BrdtekstTegn"/>
    <w:link w:val="Brdtekst-frsteinnrykk"/>
    <w:uiPriority w:val="99"/>
    <w:semiHidden/>
    <w:rsid w:val="006D7319"/>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6D7319"/>
    <w:pPr>
      <w:ind w:left="360" w:firstLine="360"/>
    </w:pPr>
  </w:style>
  <w:style w:type="character" w:customStyle="1" w:styleId="Brdtekst-frsteinnrykk2Tegn">
    <w:name w:val="Brødtekst - første innrykk 2 Tegn"/>
    <w:basedOn w:val="BrdtekstinnrykkTegn"/>
    <w:link w:val="Brdtekst-frsteinnrykk2"/>
    <w:uiPriority w:val="99"/>
    <w:semiHidden/>
    <w:rsid w:val="006D7319"/>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6D7319"/>
    <w:pPr>
      <w:spacing w:after="0" w:line="240" w:lineRule="auto"/>
    </w:pPr>
  </w:style>
  <w:style w:type="character" w:customStyle="1" w:styleId="NotatoverskriftTegn">
    <w:name w:val="Notatoverskrift Tegn"/>
    <w:basedOn w:val="Standardskriftforavsnitt"/>
    <w:link w:val="Notatoverskrift"/>
    <w:uiPriority w:val="99"/>
    <w:semiHidden/>
    <w:rsid w:val="006D7319"/>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6D7319"/>
    <w:pPr>
      <w:spacing w:line="480" w:lineRule="auto"/>
    </w:pPr>
  </w:style>
  <w:style w:type="character" w:customStyle="1" w:styleId="Brdtekst2Tegn">
    <w:name w:val="Brødtekst 2 Tegn"/>
    <w:basedOn w:val="Standardskriftforavsnitt"/>
    <w:link w:val="Brdtekst2"/>
    <w:uiPriority w:val="99"/>
    <w:semiHidden/>
    <w:rsid w:val="006D7319"/>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6D7319"/>
    <w:rPr>
      <w:sz w:val="16"/>
      <w:szCs w:val="16"/>
    </w:rPr>
  </w:style>
  <w:style w:type="character" w:customStyle="1" w:styleId="Brdtekst3Tegn">
    <w:name w:val="Brødtekst 3 Tegn"/>
    <w:basedOn w:val="Standardskriftforavsnitt"/>
    <w:link w:val="Brdtekst3"/>
    <w:uiPriority w:val="99"/>
    <w:semiHidden/>
    <w:rsid w:val="006D7319"/>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6D7319"/>
    <w:pPr>
      <w:spacing w:line="480" w:lineRule="auto"/>
      <w:ind w:left="283"/>
    </w:pPr>
  </w:style>
  <w:style w:type="character" w:customStyle="1" w:styleId="Brdtekstinnrykk2Tegn">
    <w:name w:val="Brødtekstinnrykk 2 Tegn"/>
    <w:basedOn w:val="Standardskriftforavsnitt"/>
    <w:link w:val="Brdtekstinnrykk2"/>
    <w:uiPriority w:val="99"/>
    <w:semiHidden/>
    <w:rsid w:val="006D7319"/>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6D7319"/>
    <w:pPr>
      <w:ind w:left="283"/>
    </w:pPr>
    <w:rPr>
      <w:sz w:val="16"/>
      <w:szCs w:val="16"/>
    </w:rPr>
  </w:style>
  <w:style w:type="character" w:customStyle="1" w:styleId="Brdtekstinnrykk3Tegn">
    <w:name w:val="Brødtekstinnrykk 3 Tegn"/>
    <w:basedOn w:val="Standardskriftforavsnitt"/>
    <w:link w:val="Brdtekstinnrykk3"/>
    <w:uiPriority w:val="99"/>
    <w:semiHidden/>
    <w:rsid w:val="006D7319"/>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6D7319"/>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D7319"/>
    <w:rPr>
      <w:color w:val="96607D" w:themeColor="followedHyperlink"/>
      <w:u w:val="single"/>
    </w:rPr>
  </w:style>
  <w:style w:type="character" w:styleId="Sterk">
    <w:name w:val="Strong"/>
    <w:basedOn w:val="Standardskriftforavsnitt"/>
    <w:uiPriority w:val="22"/>
    <w:qFormat/>
    <w:rsid w:val="006D7319"/>
    <w:rPr>
      <w:b/>
      <w:bCs/>
    </w:rPr>
  </w:style>
  <w:style w:type="character" w:styleId="Utheving">
    <w:name w:val="Emphasis"/>
    <w:basedOn w:val="Standardskriftforavsnitt"/>
    <w:uiPriority w:val="20"/>
    <w:qFormat/>
    <w:rsid w:val="006D7319"/>
    <w:rPr>
      <w:i/>
      <w:iCs/>
    </w:rPr>
  </w:style>
  <w:style w:type="paragraph" w:styleId="Dokumentkart">
    <w:name w:val="Document Map"/>
    <w:basedOn w:val="Normal"/>
    <w:link w:val="DokumentkartTegn"/>
    <w:uiPriority w:val="99"/>
    <w:semiHidden/>
    <w:unhideWhenUsed/>
    <w:rsid w:val="006D731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6D7319"/>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6D731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6D7319"/>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6D7319"/>
    <w:pPr>
      <w:spacing w:after="0" w:line="240" w:lineRule="auto"/>
    </w:pPr>
  </w:style>
  <w:style w:type="character" w:customStyle="1" w:styleId="E-postsignaturTegn">
    <w:name w:val="E-postsignatur Tegn"/>
    <w:basedOn w:val="Standardskriftforavsnitt"/>
    <w:link w:val="E-postsignatur"/>
    <w:uiPriority w:val="99"/>
    <w:semiHidden/>
    <w:rsid w:val="006D7319"/>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6D7319"/>
    <w:rPr>
      <w:rFonts w:cs="Times New Roman"/>
      <w:szCs w:val="24"/>
    </w:rPr>
  </w:style>
  <w:style w:type="character" w:styleId="HTML-akronym">
    <w:name w:val="HTML Acronym"/>
    <w:basedOn w:val="Standardskriftforavsnitt"/>
    <w:uiPriority w:val="99"/>
    <w:semiHidden/>
    <w:unhideWhenUsed/>
    <w:rsid w:val="006D7319"/>
  </w:style>
  <w:style w:type="paragraph" w:styleId="HTML-adresse">
    <w:name w:val="HTML Address"/>
    <w:basedOn w:val="Normal"/>
    <w:link w:val="HTML-adresseTegn"/>
    <w:uiPriority w:val="99"/>
    <w:semiHidden/>
    <w:unhideWhenUsed/>
    <w:rsid w:val="006D7319"/>
    <w:pPr>
      <w:spacing w:after="0" w:line="240" w:lineRule="auto"/>
    </w:pPr>
    <w:rPr>
      <w:i/>
      <w:iCs/>
    </w:rPr>
  </w:style>
  <w:style w:type="character" w:customStyle="1" w:styleId="HTML-adresseTegn">
    <w:name w:val="HTML-adresse Tegn"/>
    <w:basedOn w:val="Standardskriftforavsnitt"/>
    <w:link w:val="HTML-adresse"/>
    <w:uiPriority w:val="99"/>
    <w:semiHidden/>
    <w:rsid w:val="006D7319"/>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6D7319"/>
    <w:rPr>
      <w:i/>
      <w:iCs/>
    </w:rPr>
  </w:style>
  <w:style w:type="character" w:styleId="HTML-kode">
    <w:name w:val="HTML Code"/>
    <w:basedOn w:val="Standardskriftforavsnitt"/>
    <w:uiPriority w:val="99"/>
    <w:semiHidden/>
    <w:unhideWhenUsed/>
    <w:rsid w:val="006D7319"/>
    <w:rPr>
      <w:rFonts w:ascii="Consolas" w:hAnsi="Consolas"/>
      <w:sz w:val="20"/>
      <w:szCs w:val="20"/>
    </w:rPr>
  </w:style>
  <w:style w:type="character" w:styleId="HTML-definisjon">
    <w:name w:val="HTML Definition"/>
    <w:basedOn w:val="Standardskriftforavsnitt"/>
    <w:uiPriority w:val="99"/>
    <w:semiHidden/>
    <w:unhideWhenUsed/>
    <w:rsid w:val="006D7319"/>
    <w:rPr>
      <w:i/>
      <w:iCs/>
    </w:rPr>
  </w:style>
  <w:style w:type="character" w:styleId="HTML-tastatur">
    <w:name w:val="HTML Keyboard"/>
    <w:basedOn w:val="Standardskriftforavsnitt"/>
    <w:uiPriority w:val="99"/>
    <w:semiHidden/>
    <w:unhideWhenUsed/>
    <w:rsid w:val="006D7319"/>
    <w:rPr>
      <w:rFonts w:ascii="Consolas" w:hAnsi="Consolas"/>
      <w:sz w:val="20"/>
      <w:szCs w:val="20"/>
    </w:rPr>
  </w:style>
  <w:style w:type="paragraph" w:styleId="HTML-forhndsformatert">
    <w:name w:val="HTML Preformatted"/>
    <w:basedOn w:val="Normal"/>
    <w:link w:val="HTML-forhndsformatertTegn"/>
    <w:uiPriority w:val="99"/>
    <w:semiHidden/>
    <w:unhideWhenUsed/>
    <w:rsid w:val="006D731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6D7319"/>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6D7319"/>
    <w:rPr>
      <w:rFonts w:ascii="Consolas" w:hAnsi="Consolas"/>
      <w:sz w:val="24"/>
      <w:szCs w:val="24"/>
    </w:rPr>
  </w:style>
  <w:style w:type="character" w:styleId="HTML-skrivemaskin">
    <w:name w:val="HTML Typewriter"/>
    <w:basedOn w:val="Standardskriftforavsnitt"/>
    <w:uiPriority w:val="99"/>
    <w:semiHidden/>
    <w:unhideWhenUsed/>
    <w:rsid w:val="006D7319"/>
    <w:rPr>
      <w:rFonts w:ascii="Consolas" w:hAnsi="Consolas"/>
      <w:sz w:val="20"/>
      <w:szCs w:val="20"/>
    </w:rPr>
  </w:style>
  <w:style w:type="character" w:styleId="HTML-variabel">
    <w:name w:val="HTML Variable"/>
    <w:basedOn w:val="Standardskriftforavsnitt"/>
    <w:uiPriority w:val="99"/>
    <w:semiHidden/>
    <w:unhideWhenUsed/>
    <w:rsid w:val="006D7319"/>
    <w:rPr>
      <w:i/>
      <w:iCs/>
    </w:rPr>
  </w:style>
  <w:style w:type="paragraph" w:styleId="Kommentaremne">
    <w:name w:val="annotation subject"/>
    <w:basedOn w:val="Merknadstekst"/>
    <w:next w:val="Merknadstekst"/>
    <w:link w:val="KommentaremneTegn"/>
    <w:uiPriority w:val="99"/>
    <w:semiHidden/>
    <w:unhideWhenUsed/>
    <w:rsid w:val="006D7319"/>
    <w:pPr>
      <w:spacing w:line="240" w:lineRule="auto"/>
    </w:pPr>
    <w:rPr>
      <w:b/>
      <w:bCs/>
      <w:szCs w:val="20"/>
    </w:rPr>
  </w:style>
  <w:style w:type="character" w:customStyle="1" w:styleId="KommentaremneTegn">
    <w:name w:val="Kommentaremne Tegn"/>
    <w:basedOn w:val="MerknadstekstTegn"/>
    <w:link w:val="Kommentaremne"/>
    <w:uiPriority w:val="99"/>
    <w:semiHidden/>
    <w:rsid w:val="006D7319"/>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6D731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D7319"/>
    <w:rPr>
      <w:rFonts w:ascii="Tahoma" w:eastAsia="Times New Roman" w:hAnsi="Tahoma" w:cs="Tahoma"/>
      <w:kern w:val="0"/>
      <w:sz w:val="16"/>
      <w:szCs w:val="16"/>
      <w14:ligatures w14:val="none"/>
    </w:rPr>
  </w:style>
  <w:style w:type="table" w:styleId="Tabellrutenett">
    <w:name w:val="Table Grid"/>
    <w:basedOn w:val="Vanligtabell"/>
    <w:uiPriority w:val="59"/>
    <w:rsid w:val="006D7319"/>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6D7319"/>
    <w:rPr>
      <w:color w:val="808080"/>
    </w:rPr>
  </w:style>
  <w:style w:type="paragraph" w:styleId="Ingenmellomrom">
    <w:name w:val="No Spacing"/>
    <w:uiPriority w:val="1"/>
    <w:qFormat/>
    <w:rsid w:val="006D7319"/>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6D7319"/>
    <w:pPr>
      <w:spacing w:before="0"/>
      <w:ind w:firstLine="0"/>
    </w:pPr>
  </w:style>
  <w:style w:type="paragraph" w:styleId="Sitat">
    <w:name w:val="Quote"/>
    <w:basedOn w:val="Normal"/>
    <w:next w:val="Normal"/>
    <w:link w:val="SitatTegn"/>
    <w:uiPriority w:val="29"/>
    <w:qFormat/>
    <w:rsid w:val="006D731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6D7319"/>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6D7319"/>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6D7319"/>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6D7319"/>
    <w:rPr>
      <w:i/>
      <w:iCs/>
      <w:color w:val="808080" w:themeColor="text1" w:themeTint="7F"/>
    </w:rPr>
  </w:style>
  <w:style w:type="character" w:styleId="Sterkutheving">
    <w:name w:val="Intense Emphasis"/>
    <w:basedOn w:val="Standardskriftforavsnitt"/>
    <w:uiPriority w:val="21"/>
    <w:qFormat/>
    <w:rsid w:val="006D7319"/>
    <w:rPr>
      <w:b/>
      <w:bCs/>
      <w:i/>
      <w:iCs/>
      <w:color w:val="156082" w:themeColor="accent1"/>
    </w:rPr>
  </w:style>
  <w:style w:type="character" w:styleId="Svakreferanse">
    <w:name w:val="Subtle Reference"/>
    <w:basedOn w:val="Standardskriftforavsnitt"/>
    <w:uiPriority w:val="31"/>
    <w:qFormat/>
    <w:rsid w:val="006D7319"/>
    <w:rPr>
      <w:smallCaps/>
      <w:color w:val="E97132" w:themeColor="accent2"/>
      <w:u w:val="single"/>
    </w:rPr>
  </w:style>
  <w:style w:type="character" w:styleId="Sterkreferanse">
    <w:name w:val="Intense Reference"/>
    <w:basedOn w:val="Standardskriftforavsnitt"/>
    <w:uiPriority w:val="32"/>
    <w:qFormat/>
    <w:rsid w:val="006D7319"/>
    <w:rPr>
      <w:b/>
      <w:bCs/>
      <w:smallCaps/>
      <w:color w:val="E97132" w:themeColor="accent2"/>
      <w:spacing w:val="5"/>
      <w:u w:val="single"/>
    </w:rPr>
  </w:style>
  <w:style w:type="character" w:styleId="Boktittel">
    <w:name w:val="Book Title"/>
    <w:basedOn w:val="Standardskriftforavsnitt"/>
    <w:uiPriority w:val="33"/>
    <w:qFormat/>
    <w:rsid w:val="006D7319"/>
    <w:rPr>
      <w:b/>
      <w:bCs/>
      <w:smallCaps/>
      <w:spacing w:val="5"/>
    </w:rPr>
  </w:style>
  <w:style w:type="paragraph" w:styleId="Bibliografi">
    <w:name w:val="Bibliography"/>
    <w:basedOn w:val="Normal"/>
    <w:next w:val="Normal"/>
    <w:uiPriority w:val="37"/>
    <w:semiHidden/>
    <w:unhideWhenUsed/>
    <w:rsid w:val="006D7319"/>
  </w:style>
  <w:style w:type="paragraph" w:styleId="Overskriftforinnholdsfortegnelse">
    <w:name w:val="TOC Heading"/>
    <w:basedOn w:val="Overskrift1"/>
    <w:next w:val="Normal"/>
    <w:uiPriority w:val="39"/>
    <w:unhideWhenUsed/>
    <w:qFormat/>
    <w:rsid w:val="006D7319"/>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6D7319"/>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6D7319"/>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6D7319"/>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6D7319"/>
    <w:tblPr/>
    <w:tcPr>
      <w:shd w:val="clear" w:color="auto" w:fill="83CAEB" w:themeFill="accent1" w:themeFillTint="66"/>
    </w:tcPr>
  </w:style>
  <w:style w:type="table" w:customStyle="1" w:styleId="GronnBoks">
    <w:name w:val="GronnBoks"/>
    <w:basedOn w:val="StandardBoks"/>
    <w:uiPriority w:val="99"/>
    <w:rsid w:val="006D7319"/>
    <w:tblPr/>
    <w:tcPr>
      <w:shd w:val="clear" w:color="auto" w:fill="B3E5A1" w:themeFill="accent6" w:themeFillTint="66"/>
    </w:tcPr>
  </w:style>
  <w:style w:type="table" w:customStyle="1" w:styleId="RodBoks">
    <w:name w:val="RodBoks"/>
    <w:basedOn w:val="StandardBoks"/>
    <w:uiPriority w:val="99"/>
    <w:rsid w:val="006D7319"/>
    <w:tblPr/>
    <w:tcPr>
      <w:shd w:val="clear" w:color="auto" w:fill="FFB3B3"/>
    </w:tcPr>
  </w:style>
  <w:style w:type="paragraph" w:customStyle="1" w:styleId="BoksGraaTittel">
    <w:name w:val="BoksGraaTittel"/>
    <w:basedOn w:val="Normal"/>
    <w:next w:val="Normal"/>
    <w:qFormat/>
    <w:rsid w:val="006D7319"/>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6D7319"/>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6D731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6D7319"/>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6D7319"/>
    <w:rPr>
      <w:u w:val="single"/>
    </w:rPr>
  </w:style>
  <w:style w:type="paragraph" w:customStyle="1" w:styleId="del-nr">
    <w:name w:val="del-nr"/>
    <w:basedOn w:val="Normal"/>
    <w:qFormat/>
    <w:rsid w:val="006D7319"/>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6D7319"/>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6D731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D7319"/>
  </w:style>
  <w:style w:type="paragraph" w:customStyle="1" w:styleId="tbl2LinjeSumBold">
    <w:name w:val="tbl2LinjeSumBold"/>
    <w:basedOn w:val="tblRad"/>
    <w:rsid w:val="006D7319"/>
    <w:rPr>
      <w:b/>
    </w:rPr>
  </w:style>
  <w:style w:type="paragraph" w:customStyle="1" w:styleId="tblDelsum1">
    <w:name w:val="tblDelsum1"/>
    <w:basedOn w:val="tblRad"/>
    <w:rsid w:val="006D7319"/>
    <w:rPr>
      <w:i/>
    </w:rPr>
  </w:style>
  <w:style w:type="paragraph" w:customStyle="1" w:styleId="tblDelsum1-Kapittel">
    <w:name w:val="tblDelsum1 - Kapittel"/>
    <w:basedOn w:val="tblDelsum1"/>
    <w:rsid w:val="006D7319"/>
    <w:pPr>
      <w:keepNext w:val="0"/>
    </w:pPr>
  </w:style>
  <w:style w:type="paragraph" w:customStyle="1" w:styleId="tblDelsum2">
    <w:name w:val="tblDelsum2"/>
    <w:basedOn w:val="tblRad"/>
    <w:rsid w:val="006D7319"/>
    <w:rPr>
      <w:b/>
      <w:i/>
    </w:rPr>
  </w:style>
  <w:style w:type="paragraph" w:customStyle="1" w:styleId="tblDelsum2-Kapittel">
    <w:name w:val="tblDelsum2 - Kapittel"/>
    <w:basedOn w:val="tblDelsum2"/>
    <w:rsid w:val="006D7319"/>
    <w:pPr>
      <w:keepNext w:val="0"/>
    </w:pPr>
  </w:style>
  <w:style w:type="paragraph" w:customStyle="1" w:styleId="tblTabelloverskrift">
    <w:name w:val="tblTabelloverskrift"/>
    <w:rsid w:val="006D731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D7319"/>
    <w:pPr>
      <w:spacing w:after="0"/>
      <w:jc w:val="right"/>
    </w:pPr>
    <w:rPr>
      <w:b w:val="0"/>
      <w:caps w:val="0"/>
      <w:sz w:val="16"/>
    </w:rPr>
  </w:style>
  <w:style w:type="paragraph" w:customStyle="1" w:styleId="tblKategoriOverskrift">
    <w:name w:val="tblKategoriOverskrift"/>
    <w:basedOn w:val="tblRad"/>
    <w:rsid w:val="006D7319"/>
    <w:pPr>
      <w:spacing w:before="120"/>
    </w:pPr>
    <w:rPr>
      <w:b/>
    </w:rPr>
  </w:style>
  <w:style w:type="paragraph" w:customStyle="1" w:styleId="tblKolonneoverskrift">
    <w:name w:val="tblKolonneoverskrift"/>
    <w:basedOn w:val="Normal"/>
    <w:rsid w:val="006D731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6D7319"/>
    <w:pPr>
      <w:spacing w:after="360"/>
      <w:jc w:val="center"/>
    </w:pPr>
    <w:rPr>
      <w:b w:val="0"/>
      <w:caps w:val="0"/>
    </w:rPr>
  </w:style>
  <w:style w:type="paragraph" w:customStyle="1" w:styleId="tblKolonneoverskrift-Vedtak">
    <w:name w:val="tblKolonneoverskrift - Vedtak"/>
    <w:basedOn w:val="tblTabelloverskrift-Vedtak"/>
    <w:rsid w:val="006D7319"/>
    <w:pPr>
      <w:spacing w:after="0"/>
    </w:pPr>
  </w:style>
  <w:style w:type="paragraph" w:customStyle="1" w:styleId="tblOverskrift-Vedtak">
    <w:name w:val="tblOverskrift - Vedtak"/>
    <w:basedOn w:val="tblRad"/>
    <w:rsid w:val="006D7319"/>
    <w:pPr>
      <w:spacing w:before="360"/>
      <w:jc w:val="center"/>
    </w:pPr>
  </w:style>
  <w:style w:type="paragraph" w:customStyle="1" w:styleId="tblRadBold">
    <w:name w:val="tblRadBold"/>
    <w:basedOn w:val="tblRad"/>
    <w:rsid w:val="006D7319"/>
    <w:rPr>
      <w:b/>
    </w:rPr>
  </w:style>
  <w:style w:type="paragraph" w:customStyle="1" w:styleId="tblRadItalic">
    <w:name w:val="tblRadItalic"/>
    <w:basedOn w:val="tblRad"/>
    <w:rsid w:val="006D7319"/>
    <w:rPr>
      <w:i/>
    </w:rPr>
  </w:style>
  <w:style w:type="paragraph" w:customStyle="1" w:styleId="tblRadItalicSiste">
    <w:name w:val="tblRadItalicSiste"/>
    <w:basedOn w:val="tblRadItalic"/>
    <w:rsid w:val="006D7319"/>
  </w:style>
  <w:style w:type="paragraph" w:customStyle="1" w:styleId="tblRadMedLuft">
    <w:name w:val="tblRadMedLuft"/>
    <w:basedOn w:val="tblRad"/>
    <w:rsid w:val="006D7319"/>
    <w:pPr>
      <w:spacing w:before="120"/>
    </w:pPr>
  </w:style>
  <w:style w:type="paragraph" w:customStyle="1" w:styleId="tblRadMedLuftSiste">
    <w:name w:val="tblRadMedLuftSiste"/>
    <w:basedOn w:val="tblRadMedLuft"/>
    <w:rsid w:val="006D7319"/>
    <w:pPr>
      <w:spacing w:after="120"/>
    </w:pPr>
  </w:style>
  <w:style w:type="paragraph" w:customStyle="1" w:styleId="tblRadMedLuftSiste-Vedtak">
    <w:name w:val="tblRadMedLuftSiste - Vedtak"/>
    <w:basedOn w:val="tblRadMedLuftSiste"/>
    <w:rsid w:val="006D7319"/>
    <w:pPr>
      <w:keepNext w:val="0"/>
    </w:pPr>
  </w:style>
  <w:style w:type="paragraph" w:customStyle="1" w:styleId="tblRadSiste">
    <w:name w:val="tblRadSiste"/>
    <w:basedOn w:val="tblRad"/>
    <w:rsid w:val="006D7319"/>
  </w:style>
  <w:style w:type="paragraph" w:customStyle="1" w:styleId="tblSluttsum">
    <w:name w:val="tblSluttsum"/>
    <w:basedOn w:val="tblRad"/>
    <w:rsid w:val="006D7319"/>
    <w:pPr>
      <w:spacing w:before="120"/>
    </w:pPr>
    <w:rPr>
      <w:b/>
      <w:i/>
    </w:rPr>
  </w:style>
  <w:style w:type="paragraph" w:customStyle="1" w:styleId="Stil1">
    <w:name w:val="Stil1"/>
    <w:basedOn w:val="Normal"/>
    <w:qFormat/>
    <w:rsid w:val="006D7319"/>
    <w:pPr>
      <w:spacing w:after="100"/>
    </w:pPr>
  </w:style>
  <w:style w:type="paragraph" w:customStyle="1" w:styleId="Stil2">
    <w:name w:val="Stil2"/>
    <w:basedOn w:val="Normal"/>
    <w:autoRedefine/>
    <w:qFormat/>
    <w:rsid w:val="006D7319"/>
    <w:pPr>
      <w:spacing w:after="100"/>
    </w:pPr>
  </w:style>
  <w:style w:type="paragraph" w:customStyle="1" w:styleId="Forside-departement">
    <w:name w:val="Forside-departement"/>
    <w:qFormat/>
    <w:rsid w:val="006D7319"/>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6D7319"/>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6D7319"/>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6D7319"/>
    <w:rPr>
      <w:color w:val="2B579A"/>
      <w:shd w:val="clear" w:color="auto" w:fill="E1DFDD"/>
    </w:rPr>
  </w:style>
  <w:style w:type="character" w:styleId="Omtale">
    <w:name w:val="Mention"/>
    <w:basedOn w:val="Standardskriftforavsnitt"/>
    <w:uiPriority w:val="99"/>
    <w:semiHidden/>
    <w:unhideWhenUsed/>
    <w:rsid w:val="006D7319"/>
    <w:rPr>
      <w:color w:val="2B579A"/>
      <w:shd w:val="clear" w:color="auto" w:fill="E1DFDD"/>
    </w:rPr>
  </w:style>
  <w:style w:type="character" w:styleId="Smarthyperkobling">
    <w:name w:val="Smart Hyperlink"/>
    <w:basedOn w:val="Standardskriftforavsnitt"/>
    <w:uiPriority w:val="99"/>
    <w:semiHidden/>
    <w:unhideWhenUsed/>
    <w:rsid w:val="006D7319"/>
    <w:rPr>
      <w:u w:val="dotted"/>
    </w:rPr>
  </w:style>
  <w:style w:type="character" w:styleId="Smartkobling">
    <w:name w:val="Smart Link"/>
    <w:basedOn w:val="Standardskriftforavsnitt"/>
    <w:uiPriority w:val="99"/>
    <w:semiHidden/>
    <w:unhideWhenUsed/>
    <w:rsid w:val="006D7319"/>
    <w:rPr>
      <w:color w:val="0000FF"/>
      <w:u w:val="single"/>
      <w:shd w:val="clear" w:color="auto" w:fill="F3F2F1"/>
    </w:rPr>
  </w:style>
  <w:style w:type="character" w:styleId="Ulstomtale">
    <w:name w:val="Unresolved Mention"/>
    <w:basedOn w:val="Standardskriftforavsnitt"/>
    <w:uiPriority w:val="99"/>
    <w:semiHidden/>
    <w:unhideWhenUsed/>
    <w:rsid w:val="006D7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vdata.no/pro/#reference/eu/32008l0104" TargetMode="External"/><Relationship Id="rId18" Type="http://schemas.openxmlformats.org/officeDocument/2006/relationships/hyperlink" Target="https://www.nav.no/arbeidsgiver/eneste-ansatte?utm_source=chatgpt.com" TargetMode="External"/><Relationship Id="rId3" Type="http://schemas.openxmlformats.org/officeDocument/2006/relationships/styles" Target="styles.xml"/><Relationship Id="rId21" Type="http://schemas.openxmlformats.org/officeDocument/2006/relationships/hyperlink" Target="https://www.skatteetaten.no/bedrift-og-organisasjon/starte-og-drive/ny-som-naringsdrivende/nytt-en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brreg.no/hvordan-kan-vi-hjelpe-deg/gebyr-for-registrering-og-tinglysing/#enkeltpersonforetak" TargetMode="External"/><Relationship Id="rId2" Type="http://schemas.openxmlformats.org/officeDocument/2006/relationships/numbering" Target="numbering.xml"/><Relationship Id="rId16" Type="http://schemas.openxmlformats.org/officeDocument/2006/relationships/hyperlink" Target="https://www.ssb.no/arbeid-og-lonn/sysselsetting/statistikk/antall-arbeidsforhold-og-lonn/artikler/hvor-mange-jobber-er-det-i-norge" TargetMode="External"/><Relationship Id="rId20" Type="http://schemas.openxmlformats.org/officeDocument/2006/relationships/hyperlink" Target="https://www.skatteetaten.no/bedrift-og-organisasjon/starte-og-drive/er-jeg-naringsdrive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nfo.altinn.no/starte-og-drive/skatt-og-avgift/avgift/merverdiavgift/"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lovdata.no/nav/rundskriv/r04-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altinn.no/starte-og-drive/starte/valg-av-organisasjonsform/enkeltpersonforetak/#:~:text=for privat%C3%B8konomien din.-,Ansatte,penger til skatt og avgifte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rreg.no/hvordan-kan-vi-hjelpe-deg/gebyr-for-registrering-og-tinglysing/#enkeltpersonforetak" TargetMode="External"/><Relationship Id="rId3" Type="http://schemas.openxmlformats.org/officeDocument/2006/relationships/hyperlink" Target="https://www.skatteetaten.no/bedrift-og-organisasjon/starte-og-drive/ny-som-naringsdrivende/nytt-enk/" TargetMode="External"/><Relationship Id="rId7" Type="http://schemas.openxmlformats.org/officeDocument/2006/relationships/hyperlink" Target="https://www.dfo.no/dfo-notat-20241-statlige-virksomheters-bruk-av-konsulenter-i-2023/3-hva-driver-konsulentbruk-i-staten#section-3-2-utgifter-til-ikt-utvikling-driver-konsulentbruken-3" TargetMode="External"/><Relationship Id="rId12" Type="http://schemas.openxmlformats.org/officeDocument/2006/relationships/hyperlink" Target="https://info.altinn.no/starte-og-drive/starte/valg-av-organisasjonsform/aksjeselskap/" TargetMode="External"/><Relationship Id="rId2" Type="http://schemas.openxmlformats.org/officeDocument/2006/relationships/hyperlink" Target="https://info.altinn.no/starte-og-drive/starte/valg-av-organisasjonsform/enkeltpersonforetak/#:~:text=for privat%C3%B8konomien din.-,Ansatte,penger til skatt og avgifter." TargetMode="External"/><Relationship Id="rId1" Type="http://schemas.openxmlformats.org/officeDocument/2006/relationships/hyperlink" Target="https://www.skatteetaten.no/bedrift-og-organisasjon/starte-og-drive/er-jeg-naringsdrivende/" TargetMode="External"/><Relationship Id="rId6" Type="http://schemas.openxmlformats.org/officeDocument/2006/relationships/hyperlink" Target="https://lovdata.no/nav/rundskriv/r04-00" TargetMode="External"/><Relationship Id="rId11" Type="http://schemas.openxmlformats.org/officeDocument/2006/relationships/hyperlink" Target="https://www.ssb.no/arbeid-og-lonn/sysselsetting/statistikk/antall-arbeidsforhold-og-lonn/artikler/hvor-mange-jobber-er-det-i-norge" TargetMode="External"/><Relationship Id="rId5" Type="http://schemas.openxmlformats.org/officeDocument/2006/relationships/hyperlink" Target="https://www.nav.no/arbeidsgiver/eneste-ansatte?utm_source=chatgpt.com" TargetMode="External"/><Relationship Id="rId10" Type="http://schemas.openxmlformats.org/officeDocument/2006/relationships/hyperlink" Target="https://www.ssb.no/arbeid-og-lonn/sysselsetting/statistikk/sysselsetting-registerbasert" TargetMode="External"/><Relationship Id="rId4" Type="http://schemas.openxmlformats.org/officeDocument/2006/relationships/hyperlink" Target="https://www.altinn.no/starte-og-drive/starte/valg-av-organisasjonsform/aksjeselskap" TargetMode="External"/><Relationship Id="rId9" Type="http://schemas.openxmlformats.org/officeDocument/2006/relationships/hyperlink" Target="https://info.altinn.no/starte-og-drive/skatt-og-avgift/avgift/merverdiavgi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AA3D4-8E28-4CA5-853A-583FB485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57</TotalTime>
  <Pages>96</Pages>
  <Words>35173</Words>
  <Characters>215005</Characters>
  <Application>Microsoft Office Word</Application>
  <DocSecurity>0</DocSecurity>
  <Lines>2756</Lines>
  <Paragraphs>1069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4</cp:revision>
  <dcterms:created xsi:type="dcterms:W3CDTF">2026-03-24T07:48:00Z</dcterms:created>
  <dcterms:modified xsi:type="dcterms:W3CDTF">2026-03-24T08:44:00Z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2026-03-24T08:09:56Z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83ab1658-8385-4ad4-90d6-faaef65cc168</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