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D43C6" w14:textId="77777777" w:rsidR="00C46C03" w:rsidRPr="00896A50" w:rsidRDefault="00C46C03" w:rsidP="00C46C03">
      <w:pPr>
        <w:keepNext/>
        <w:keepLines/>
        <w:spacing w:before="360" w:after="80" w:line="276" w:lineRule="auto"/>
        <w:outlineLvl w:val="0"/>
        <w:rPr>
          <w:rFonts w:eastAsia="Times New Roman" w:cs="Times New Roman"/>
          <w:b/>
          <w:kern w:val="2"/>
          <w:sz w:val="28"/>
          <w:szCs w:val="40"/>
          <w14:ligatures w14:val="standardContextual"/>
        </w:rPr>
      </w:pPr>
      <w:r w:rsidRPr="00896A50">
        <w:rPr>
          <w:rFonts w:eastAsia="Times New Roman" w:cs="Times New Roman"/>
          <w:b/>
          <w:kern w:val="2"/>
          <w:sz w:val="28"/>
          <w:szCs w:val="40"/>
          <w14:ligatures w14:val="standardContextual"/>
        </w:rPr>
        <w:t>Mandat for NOU om arealnøytralitet</w:t>
      </w:r>
    </w:p>
    <w:p w14:paraId="5FADE653" w14:textId="77777777" w:rsidR="00C46C03" w:rsidRPr="00896A50" w:rsidRDefault="00C46C03" w:rsidP="00C46C03">
      <w:pPr>
        <w:spacing w:after="160" w:line="276" w:lineRule="auto"/>
        <w:rPr>
          <w:rFonts w:eastAsia="Aptos" w:cs="Times New Roman"/>
          <w:kern w:val="2"/>
          <w:szCs w:val="24"/>
          <w14:ligatures w14:val="standardContextual"/>
        </w:rPr>
      </w:pPr>
      <w:bookmarkStart w:id="0" w:name="_Hlk230349144"/>
      <w:bookmarkStart w:id="1" w:name="_Hlk233194416"/>
      <w:r w:rsidRPr="00896A50">
        <w:rPr>
          <w:rFonts w:eastAsia="Aptos" w:cs="Times New Roman"/>
          <w:kern w:val="2"/>
          <w:szCs w:val="24"/>
          <w14:ligatures w14:val="standardContextual"/>
        </w:rPr>
        <w:t xml:space="preserve">Hvert år bygges det ned om lag 35–40 km² natur i Norge. Ifølge Artsdatabanken og Miljødirektoratet utgjør denne nedbyggingen, sammen med andre former for arealendringer, den største negative påvirkningen på norsk natur. Samtidig fører nedbygging av natur til utslipp av klimagasser. </w:t>
      </w:r>
    </w:p>
    <w:p w14:paraId="2D69D9CB" w14:textId="77777777" w:rsidR="00C46C03" w:rsidRPr="00896A50" w:rsidRDefault="00C46C03" w:rsidP="00C46C03">
      <w:pPr>
        <w:spacing w:after="160" w:line="276" w:lineRule="auto"/>
        <w:rPr>
          <w:rFonts w:eastAsia="Aptos" w:cs="Times New Roman"/>
          <w:kern w:val="2"/>
          <w:szCs w:val="24"/>
          <w14:ligatures w14:val="standardContextual"/>
        </w:rPr>
      </w:pPr>
      <w:r w:rsidRPr="00896A50">
        <w:rPr>
          <w:rFonts w:eastAsia="Aptos" w:cs="Times New Roman"/>
          <w:kern w:val="2"/>
          <w:szCs w:val="24"/>
          <w14:ligatures w14:val="standardContextual"/>
        </w:rPr>
        <w:t>Nedbygging av natur besluttes i hovedsak av kommunene, og kjennetegnes av et høyt antall enkeltsaker. Når hver enkelt nedbygging vurderes isolert, er det risiko for at den samlede belastningen på naturen ikke hensyntas.</w:t>
      </w:r>
      <w:r w:rsidRPr="00896A50">
        <w:rPr>
          <w:rFonts w:ascii="Aptos" w:eastAsia="Aptos" w:hAnsi="Aptos" w:cs="Times New Roman"/>
          <w:kern w:val="2"/>
          <w:szCs w:val="24"/>
          <w14:ligatures w14:val="standardContextual"/>
        </w:rPr>
        <w:t xml:space="preserve"> </w:t>
      </w:r>
    </w:p>
    <w:p w14:paraId="50D4F9D7" w14:textId="77777777" w:rsidR="00C46C03" w:rsidRPr="00896A50" w:rsidRDefault="00C46C03" w:rsidP="00C46C03">
      <w:pPr>
        <w:spacing w:after="160" w:line="276" w:lineRule="auto"/>
        <w:rPr>
          <w:rFonts w:eastAsia="Aptos" w:cs="Times New Roman"/>
          <w:kern w:val="2"/>
          <w:szCs w:val="24"/>
          <w14:ligatures w14:val="standardContextual"/>
        </w:rPr>
      </w:pPr>
      <w:r w:rsidRPr="00896A50">
        <w:rPr>
          <w:rFonts w:eastAsia="Aptos" w:cs="Times New Roman"/>
          <w:kern w:val="2"/>
          <w:szCs w:val="24"/>
          <w14:ligatures w14:val="standardContextual"/>
        </w:rPr>
        <w:t>Arealnøytralitet innebærer å se tap av natur og naturpositive tiltak i sammenheng. Formålet med utredningen er å gi kunnskap om hvordan arealnøytralitet kan operasjonaliseres på et nasjonalt nivå for å bidra til å ta bedre vare på naturen og redusere klimagassutslipp, samtidig som andre viktige samfunnsformål, som fornybar kraftproduksjon og kraftledninger, ivaretas</w:t>
      </w:r>
      <w:bookmarkEnd w:id="0"/>
      <w:r w:rsidRPr="00896A50">
        <w:rPr>
          <w:rFonts w:eastAsia="Aptos" w:cs="Times New Roman"/>
          <w:kern w:val="2"/>
          <w:szCs w:val="24"/>
          <w14:ligatures w14:val="standardContextual"/>
        </w:rPr>
        <w:t xml:space="preserve">. </w:t>
      </w:r>
    </w:p>
    <w:p w14:paraId="158196AF" w14:textId="77777777" w:rsidR="00C46C03" w:rsidRPr="00896A50" w:rsidRDefault="00C46C03" w:rsidP="00C46C03">
      <w:pPr>
        <w:spacing w:after="160" w:line="276" w:lineRule="auto"/>
        <w:rPr>
          <w:rFonts w:eastAsia="Aptos" w:cs="Times New Roman"/>
          <w:kern w:val="2"/>
          <w:szCs w:val="24"/>
          <w14:ligatures w14:val="standardContextual"/>
        </w:rPr>
      </w:pPr>
      <w:r w:rsidRPr="00896A50">
        <w:rPr>
          <w:rFonts w:eastAsia="Aptos" w:cs="Times New Roman"/>
          <w:kern w:val="2"/>
          <w:szCs w:val="24"/>
          <w14:ligatures w14:val="standardContextual"/>
        </w:rPr>
        <w:t xml:space="preserve">Operasjonalisering av arealnøytralitet vil være noe nytt i Norge, og konsekvensene for samfunnet er ikke klare. En faglig utredning, som også klargjør insentivstrukturer og målkonflikter i arealpolitikken er derfor nødvendig før regjeringen kan vurdere operasjonalisering av arealnøytralitet på nasjonalt nivå. </w:t>
      </w:r>
    </w:p>
    <w:bookmarkEnd w:id="1"/>
    <w:p w14:paraId="277E686E" w14:textId="77777777" w:rsidR="00C46C03" w:rsidRPr="00896A50" w:rsidRDefault="00C46C03" w:rsidP="00C46C03">
      <w:pPr>
        <w:spacing w:before="240" w:after="0" w:line="276" w:lineRule="auto"/>
        <w:rPr>
          <w:rFonts w:eastAsia="Aptos" w:cs="Times New Roman"/>
          <w:kern w:val="2"/>
          <w:szCs w:val="24"/>
          <w:u w:val="single"/>
          <w14:ligatures w14:val="standardContextual"/>
        </w:rPr>
      </w:pPr>
      <w:r w:rsidRPr="00896A50">
        <w:rPr>
          <w:rFonts w:eastAsia="Aptos" w:cs="Times New Roman"/>
          <w:b/>
          <w:bCs/>
          <w:kern w:val="2"/>
          <w:szCs w:val="24"/>
          <w14:ligatures w14:val="standardContextual"/>
        </w:rPr>
        <w:t>Utvalget bes vurdere:</w:t>
      </w:r>
    </w:p>
    <w:p w14:paraId="377907EC" w14:textId="77777777" w:rsidR="00C46C03" w:rsidRPr="00896A50" w:rsidRDefault="00C46C03" w:rsidP="00C46C03">
      <w:pPr>
        <w:spacing w:before="240" w:after="0" w:line="276" w:lineRule="auto"/>
        <w:rPr>
          <w:rFonts w:eastAsia="Aptos" w:cs="Times New Roman"/>
          <w:i/>
          <w:iCs/>
          <w:kern w:val="2"/>
          <w:szCs w:val="24"/>
          <w14:ligatures w14:val="standardContextual"/>
        </w:rPr>
      </w:pPr>
      <w:r w:rsidRPr="00896A50">
        <w:rPr>
          <w:rFonts w:eastAsia="Aptos" w:cs="Times New Roman"/>
          <w:i/>
          <w:iCs/>
          <w:kern w:val="2"/>
          <w:szCs w:val="24"/>
          <w14:ligatures w14:val="standardContextual"/>
        </w:rPr>
        <w:t>Dagens utfordringsbilde</w:t>
      </w:r>
    </w:p>
    <w:p w14:paraId="3931B8E9" w14:textId="77777777" w:rsidR="00C46C03" w:rsidRPr="00896A50" w:rsidRDefault="00C46C03" w:rsidP="00C46C03">
      <w:pPr>
        <w:numPr>
          <w:ilvl w:val="0"/>
          <w:numId w:val="3"/>
        </w:numPr>
        <w:spacing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dagens omfang av nedbygging av natur opp mot verdien av ulike utbyggingsformål fra et samfunnsøkonomisk perspektiv, og hvilke insentivstrukturer og målkonflikter samt eventuelle strukturelle problemer som bidrar til utviklingen. </w:t>
      </w:r>
    </w:p>
    <w:p w14:paraId="438F83C2" w14:textId="77777777" w:rsidR="00C46C03" w:rsidRPr="00896A50" w:rsidRDefault="00C46C03" w:rsidP="00C46C03">
      <w:pPr>
        <w:numPr>
          <w:ilvl w:val="0"/>
          <w:numId w:val="3"/>
        </w:numPr>
        <w:spacing w:before="240"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eksisterende insentiver til naturrestaurering og i hvor stor grad omfanget av nedbygging av natur veies opp av restaurering. </w:t>
      </w:r>
    </w:p>
    <w:p w14:paraId="73BE7D65" w14:textId="77777777" w:rsidR="00C46C03" w:rsidRPr="00896A50" w:rsidRDefault="00C46C03" w:rsidP="00C46C03">
      <w:pPr>
        <w:spacing w:before="240" w:after="0" w:line="276" w:lineRule="auto"/>
        <w:rPr>
          <w:rFonts w:eastAsia="Aptos" w:cs="Times New Roman"/>
          <w:i/>
          <w:iCs/>
          <w:kern w:val="2"/>
          <w:szCs w:val="24"/>
          <w14:ligatures w14:val="standardContextual"/>
        </w:rPr>
      </w:pPr>
      <w:r w:rsidRPr="00896A50">
        <w:rPr>
          <w:rFonts w:eastAsia="Aptos" w:cs="Times New Roman"/>
          <w:i/>
          <w:iCs/>
          <w:kern w:val="2"/>
          <w:szCs w:val="24"/>
          <w14:ligatures w14:val="standardContextual"/>
        </w:rPr>
        <w:t>Definisjoner og operasjonalisering av arealnøytralitet</w:t>
      </w:r>
    </w:p>
    <w:p w14:paraId="6DDD7650" w14:textId="77777777" w:rsidR="00C46C03" w:rsidRPr="00896A50" w:rsidRDefault="00C46C03" w:rsidP="00C46C03">
      <w:pPr>
        <w:numPr>
          <w:ilvl w:val="0"/>
          <w:numId w:val="3"/>
        </w:numPr>
        <w:spacing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ulike definisjoner av nasjonal arealnøytralitet, herunder hvilke arealer som kan inngå i begrepet, hvordan nedbygget areal kan veksles mot restaurert eller tilbakeført areal og hvilke planer og tiltak, aktører og formål som kan omfattes.</w:t>
      </w:r>
    </w:p>
    <w:p w14:paraId="6410C72F" w14:textId="77777777" w:rsidR="00C46C03" w:rsidRPr="00896A50" w:rsidRDefault="00C46C03" w:rsidP="00C46C03">
      <w:pPr>
        <w:numPr>
          <w:ilvl w:val="0"/>
          <w:numId w:val="3"/>
        </w:numPr>
        <w:spacing w:before="240"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ulike måter å operasjonalisere nasjonal arealnøytralitet på, herunder vurderinger av et </w:t>
      </w:r>
      <w:r w:rsidRPr="00896A50">
        <w:rPr>
          <w:rFonts w:eastAsia="Aptos" w:cs="Times New Roman"/>
          <w:i/>
          <w:iCs/>
          <w:kern w:val="2"/>
          <w:szCs w:val="24"/>
          <w14:ligatures w14:val="standardContextual"/>
        </w:rPr>
        <w:t>mål</w:t>
      </w:r>
      <w:r w:rsidRPr="00896A50">
        <w:rPr>
          <w:rFonts w:eastAsia="Aptos" w:cs="Times New Roman"/>
          <w:kern w:val="2"/>
          <w:szCs w:val="24"/>
          <w14:ligatures w14:val="standardContextual"/>
        </w:rPr>
        <w:t xml:space="preserve"> </w:t>
      </w:r>
      <w:r w:rsidRPr="00896A50">
        <w:rPr>
          <w:rFonts w:eastAsia="Aptos" w:cs="Times New Roman"/>
          <w:i/>
          <w:iCs/>
          <w:kern w:val="2"/>
          <w:szCs w:val="24"/>
          <w14:ligatures w14:val="standardContextual"/>
        </w:rPr>
        <w:t>om</w:t>
      </w:r>
      <w:r w:rsidRPr="00896A50">
        <w:rPr>
          <w:rFonts w:eastAsia="Aptos" w:cs="Times New Roman"/>
          <w:kern w:val="2"/>
          <w:szCs w:val="24"/>
          <w14:ligatures w14:val="standardContextual"/>
        </w:rPr>
        <w:t xml:space="preserve"> arealnøytralitet opp mot et </w:t>
      </w:r>
      <w:r w:rsidRPr="00896A50">
        <w:rPr>
          <w:rFonts w:eastAsia="Aptos" w:cs="Times New Roman"/>
          <w:i/>
          <w:iCs/>
          <w:kern w:val="2"/>
          <w:szCs w:val="24"/>
          <w14:ligatures w14:val="standardContextual"/>
        </w:rPr>
        <w:t>krav til</w:t>
      </w:r>
      <w:r w:rsidRPr="00896A50">
        <w:rPr>
          <w:rFonts w:eastAsia="Aptos" w:cs="Times New Roman"/>
          <w:kern w:val="2"/>
          <w:szCs w:val="24"/>
          <w14:ligatures w14:val="standardContextual"/>
        </w:rPr>
        <w:t xml:space="preserve"> arealnøytralitet samt relevant tidsperspektiv.</w:t>
      </w:r>
    </w:p>
    <w:p w14:paraId="72B6341B" w14:textId="77777777" w:rsidR="00C46C03" w:rsidRPr="00896A50" w:rsidRDefault="00C46C03" w:rsidP="00C46C03">
      <w:pPr>
        <w:numPr>
          <w:ilvl w:val="0"/>
          <w:numId w:val="3"/>
        </w:numPr>
        <w:spacing w:before="240"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eksisterende og nye virkemidler som kan bidra til oppfyllelsen av en eventuell nasjonal operasjonalisering av arealnøytralitet.</w:t>
      </w:r>
    </w:p>
    <w:p w14:paraId="52F9EE70" w14:textId="77777777" w:rsidR="00C46C03" w:rsidRPr="003B0F11" w:rsidRDefault="00C46C03" w:rsidP="00C46C03">
      <w:pPr>
        <w:numPr>
          <w:ilvl w:val="0"/>
          <w:numId w:val="3"/>
        </w:numPr>
        <w:spacing w:before="240" w:after="200" w:line="276" w:lineRule="auto"/>
        <w:ind w:left="426" w:hanging="285"/>
        <w:contextualSpacing/>
        <w:rPr>
          <w:rFonts w:eastAsia="Aptos" w:cs="Times New Roman"/>
          <w:i/>
          <w:iCs/>
          <w:kern w:val="2"/>
          <w:szCs w:val="24"/>
          <w14:ligatures w14:val="standardContextual"/>
        </w:rPr>
      </w:pPr>
      <w:r w:rsidRPr="003B0F11">
        <w:rPr>
          <w:rFonts w:eastAsia="Aptos" w:cs="Times New Roman"/>
          <w:kern w:val="2"/>
          <w:szCs w:val="24"/>
          <w14:ligatures w14:val="standardContextual"/>
        </w:rPr>
        <w:t xml:space="preserve">hvordan arealnøytralitet og nedbygging av natur kan måles over tid, herunder andre målformuleringer og innretninger for å begrense nedbygging av natur. </w:t>
      </w:r>
      <w:r w:rsidRPr="003B0F11">
        <w:rPr>
          <w:rFonts w:eastAsia="Aptos" w:cs="Times New Roman"/>
          <w:i/>
          <w:iCs/>
          <w:kern w:val="2"/>
          <w:szCs w:val="24"/>
          <w14:ligatures w14:val="standardContextual"/>
        </w:rPr>
        <w:br w:type="page"/>
      </w:r>
    </w:p>
    <w:p w14:paraId="593D17A0" w14:textId="77777777" w:rsidR="00C46C03" w:rsidRPr="00896A50" w:rsidRDefault="00C46C03" w:rsidP="00C46C03">
      <w:pPr>
        <w:spacing w:before="240" w:after="0" w:line="276" w:lineRule="auto"/>
        <w:rPr>
          <w:rFonts w:eastAsia="Aptos" w:cs="Times New Roman"/>
          <w:i/>
          <w:iCs/>
          <w:kern w:val="2"/>
          <w:szCs w:val="24"/>
          <w14:ligatures w14:val="standardContextual"/>
        </w:rPr>
      </w:pPr>
      <w:r w:rsidRPr="00896A50">
        <w:rPr>
          <w:rFonts w:eastAsia="Aptos" w:cs="Times New Roman"/>
          <w:i/>
          <w:iCs/>
          <w:kern w:val="2"/>
          <w:szCs w:val="24"/>
          <w14:ligatures w14:val="standardContextual"/>
        </w:rPr>
        <w:lastRenderedPageBreak/>
        <w:t>Virkninger av arealnøytralitet for andre samfunnsmål</w:t>
      </w:r>
    </w:p>
    <w:p w14:paraId="17C04645" w14:textId="77777777" w:rsidR="00C46C03" w:rsidRPr="00896A50" w:rsidRDefault="00C46C03" w:rsidP="00C46C03">
      <w:pPr>
        <w:numPr>
          <w:ilvl w:val="0"/>
          <w:numId w:val="3"/>
        </w:numPr>
        <w:spacing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hvordan ulike operasjonaliseringer av arealnøytralitet vil påvirke viktige samfunnsmål og verdiskaping, og vurdere om det er hensiktsmessig med tilpasninger for enkelte utbyggingsformål.</w:t>
      </w:r>
    </w:p>
    <w:p w14:paraId="4654832F" w14:textId="77777777" w:rsidR="00C46C03" w:rsidRPr="00896A50" w:rsidRDefault="00C46C03" w:rsidP="00C46C03">
      <w:pPr>
        <w:numPr>
          <w:ilvl w:val="0"/>
          <w:numId w:val="3"/>
        </w:numPr>
        <w:spacing w:after="16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hvordan et mål om arealnøytralitet vil påvirke det kommunale handlingsrommet generelt, og det kommunale ansvaret for planlegging etter plan- og bygningsloven.</w:t>
      </w:r>
    </w:p>
    <w:p w14:paraId="33396BCE" w14:textId="77777777" w:rsidR="00C46C03" w:rsidRPr="00896A50" w:rsidRDefault="00C46C03" w:rsidP="00C46C03">
      <w:pPr>
        <w:numPr>
          <w:ilvl w:val="0"/>
          <w:numId w:val="3"/>
        </w:numPr>
        <w:spacing w:before="240" w:after="0" w:line="276" w:lineRule="auto"/>
        <w:ind w:left="426" w:hanging="285"/>
        <w:contextualSpacing/>
        <w:rPr>
          <w:rFonts w:eastAsia="Aptos" w:cs="Times New Roman"/>
          <w:kern w:val="2"/>
          <w:szCs w:val="24"/>
          <w14:ligatures w14:val="standardContextual"/>
        </w:rPr>
      </w:pPr>
      <w:r w:rsidRPr="00896A50">
        <w:rPr>
          <w:rFonts w:eastAsia="Aptos" w:cs="Times New Roman"/>
          <w:kern w:val="2"/>
          <w:szCs w:val="24"/>
          <w14:ligatures w14:val="standardContextual"/>
        </w:rPr>
        <w:t>hvordan ulik operasjonalisering av nasjonal arealnøytralitet vil kunne påvirke oppnåelsen av jordvernmålet, og øvrige produksjonsarealer i landbruket, herunder arealer for skogbruk, reindrift og beitebruk.</w:t>
      </w:r>
    </w:p>
    <w:p w14:paraId="3CE98D7C" w14:textId="77777777" w:rsidR="00C46C03" w:rsidRPr="00896A50" w:rsidRDefault="00C46C03" w:rsidP="00C46C03">
      <w:pPr>
        <w:spacing w:after="0" w:line="276" w:lineRule="auto"/>
        <w:rPr>
          <w:rFonts w:eastAsia="Aptos" w:cs="Times New Roman"/>
          <w:b/>
          <w:bCs/>
          <w:kern w:val="2"/>
          <w:szCs w:val="24"/>
          <w14:ligatures w14:val="standardContextual"/>
        </w:rPr>
      </w:pPr>
    </w:p>
    <w:p w14:paraId="66E5AB1B" w14:textId="77777777" w:rsidR="00C46C03" w:rsidRPr="00896A50" w:rsidRDefault="00C46C03" w:rsidP="00C46C03">
      <w:pPr>
        <w:spacing w:after="0" w:line="276" w:lineRule="auto"/>
        <w:rPr>
          <w:rFonts w:eastAsia="Aptos" w:cs="Times New Roman"/>
          <w:b/>
          <w:bCs/>
          <w:kern w:val="2"/>
          <w:szCs w:val="24"/>
          <w14:ligatures w14:val="standardContextual"/>
        </w:rPr>
      </w:pPr>
      <w:r w:rsidRPr="00896A50">
        <w:rPr>
          <w:rFonts w:eastAsia="Aptos" w:cs="Times New Roman"/>
          <w:b/>
          <w:bCs/>
          <w:kern w:val="2"/>
          <w:szCs w:val="24"/>
          <w14:ligatures w14:val="standardContextual"/>
        </w:rPr>
        <w:t xml:space="preserve">Forutsetninger: </w:t>
      </w:r>
    </w:p>
    <w:p w14:paraId="13E21B94" w14:textId="77777777" w:rsidR="00C46C03" w:rsidRPr="00896A50" w:rsidRDefault="00C46C03" w:rsidP="00C46C03">
      <w:pPr>
        <w:numPr>
          <w:ilvl w:val="0"/>
          <w:numId w:val="4"/>
        </w:numPr>
        <w:spacing w:before="240" w:after="160" w:line="276" w:lineRule="auto"/>
        <w:contextualSpacing/>
        <w:rPr>
          <w:rFonts w:eastAsia="Aptos" w:cs="Times New Roman"/>
          <w:i/>
          <w:iCs/>
          <w:kern w:val="2"/>
          <w:szCs w:val="24"/>
          <w14:ligatures w14:val="standardContextual"/>
        </w:rPr>
      </w:pPr>
      <w:r w:rsidRPr="00896A50">
        <w:rPr>
          <w:rFonts w:eastAsia="Aptos" w:cs="Times New Roman"/>
          <w:kern w:val="2"/>
          <w:szCs w:val="24"/>
          <w14:ligatures w14:val="standardContextual"/>
        </w:rPr>
        <w:t xml:space="preserve">Utredningen skal gjennomføres i samsvar med utredningsinstruksen, med bl.a. oppstilling av nytte- og kostnadsvirkninger av ulike måter å operasjonalisere nasjonal arealnøytralitet på. </w:t>
      </w:r>
    </w:p>
    <w:p w14:paraId="6448BE67" w14:textId="77777777" w:rsidR="00C46C03" w:rsidRPr="00896A50" w:rsidRDefault="00C46C03" w:rsidP="00C46C03">
      <w:pPr>
        <w:numPr>
          <w:ilvl w:val="0"/>
          <w:numId w:val="4"/>
        </w:numPr>
        <w:spacing w:before="240" w:after="160" w:line="276" w:lineRule="auto"/>
        <w:contextualSpacing/>
        <w:rPr>
          <w:rFonts w:eastAsia="Aptos" w:cs="Times New Roman"/>
          <w:i/>
          <w:iCs/>
          <w:kern w:val="2"/>
          <w:szCs w:val="24"/>
          <w14:ligatures w14:val="standardContextual"/>
        </w:rPr>
      </w:pPr>
      <w:r w:rsidRPr="00896A50">
        <w:rPr>
          <w:rFonts w:eastAsia="Aptos" w:cs="Times New Roman"/>
          <w:kern w:val="2"/>
          <w:szCs w:val="24"/>
          <w14:ligatures w14:val="standardContextual"/>
        </w:rPr>
        <w:t xml:space="preserve">Utvalget skal vurdere </w:t>
      </w:r>
      <w:r w:rsidRPr="00896A50">
        <w:rPr>
          <w:rFonts w:eastAsia="Aptos" w:cs="Times New Roman"/>
          <w:i/>
          <w:iCs/>
          <w:kern w:val="2"/>
          <w:szCs w:val="24"/>
          <w14:ligatures w14:val="standardContextual"/>
        </w:rPr>
        <w:t>om</w:t>
      </w:r>
      <w:r w:rsidRPr="00896A50">
        <w:rPr>
          <w:rFonts w:eastAsia="Aptos" w:cs="Times New Roman"/>
          <w:kern w:val="2"/>
          <w:szCs w:val="24"/>
          <w14:ligatures w14:val="standardContextual"/>
        </w:rPr>
        <w:t xml:space="preserve"> det er hensiktsmessig med et mål om arealnøytralitet, ikke bare hvordan et mål eventuelt bør utformes.  </w:t>
      </w:r>
    </w:p>
    <w:p w14:paraId="55BD53C0"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Utredningen skal legge til grunn at et mål om area</w:t>
      </w:r>
      <w:r>
        <w:rPr>
          <w:rFonts w:eastAsia="Aptos" w:cs="Times New Roman"/>
          <w:kern w:val="2"/>
          <w:szCs w:val="24"/>
          <w14:ligatures w14:val="standardContextual"/>
        </w:rPr>
        <w:t>l</w:t>
      </w:r>
      <w:r w:rsidRPr="00896A50">
        <w:rPr>
          <w:rFonts w:eastAsia="Aptos" w:cs="Times New Roman"/>
          <w:kern w:val="2"/>
          <w:szCs w:val="24"/>
          <w14:ligatures w14:val="standardContextual"/>
        </w:rPr>
        <w:t>nøytralitet ikke skal begrense utbygging av fornybar kraftproduksjon, kraftledninger, forsvarsformål og samfunnskritisk digital infrastruktur, jf. prinsippet om prioriterte utbyggingsformål i Meld. St. 35 (2023–2024).</w:t>
      </w:r>
    </w:p>
    <w:p w14:paraId="5B42E0E3"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Utvalget skal se på samlet virkemiddelbruk for å redusere nedbyggingstakten av natur, herunder avgifter, bruk av eksisterende virkemidler i plansystemet og ved behandling av konsesjoner etter sektorlover. </w:t>
      </w:r>
    </w:p>
    <w:p w14:paraId="2FBA5323"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bookmarkStart w:id="2" w:name="_Hlk230349659"/>
      <w:r w:rsidRPr="00896A50">
        <w:rPr>
          <w:rFonts w:eastAsia="Aptos" w:cs="Times New Roman"/>
          <w:kern w:val="2"/>
          <w:szCs w:val="24"/>
          <w14:ligatures w14:val="standardContextual"/>
        </w:rPr>
        <w:t xml:space="preserve">Utvalgets arbeid er begrenset til plan- og bygningslovens geografiske virkeområde; ikke Svalbard. </w:t>
      </w:r>
    </w:p>
    <w:p w14:paraId="1A14240F"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Utvalget skal ha som utgangspunkt operasjonalisering av arealnøytralitet på nasjonalt nivå. </w:t>
      </w:r>
    </w:p>
    <w:bookmarkEnd w:id="2"/>
    <w:p w14:paraId="11B80BB9" w14:textId="77777777" w:rsidR="00C46C03" w:rsidRPr="00896A50" w:rsidRDefault="00C46C03" w:rsidP="00C46C03">
      <w:pPr>
        <w:numPr>
          <w:ilvl w:val="0"/>
          <w:numId w:val="4"/>
        </w:numPr>
        <w:spacing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Utvalget skal vurdere hvilke konsekvenser forslag til ulike modeller for arealnøytralitet vil ha for kommunene, både som arealmyndighet og for kommunenes lokalpolitiske handlingsrom. Vurderingen må ta hensyn til ulike regionale forutsetninger. </w:t>
      </w:r>
    </w:p>
    <w:p w14:paraId="5CA67B7E"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Utredningen skal ta utgangspunkt i eksisterende eller lett tilgjengelig data og kunnskap, og legge vekt på relevante koblinger til naturregnskap.    </w:t>
      </w:r>
    </w:p>
    <w:p w14:paraId="79DC6EF5"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Utvalget skal legge til rette for innspill fra relevante kompetansemiljøer og private og offentlige aktører, herunder kommuner og statsforvalterne. </w:t>
      </w:r>
    </w:p>
    <w:p w14:paraId="18999335"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 xml:space="preserve">Utvalget skal legge prinsippene for statlig styring av kommunesektoren til grunn for sitt arbeid, jf. veilederen </w:t>
      </w:r>
      <w:r w:rsidRPr="00896A50">
        <w:rPr>
          <w:rFonts w:eastAsia="Aptos" w:cs="Times New Roman"/>
          <w:i/>
          <w:iCs/>
          <w:kern w:val="2"/>
          <w:szCs w:val="24"/>
          <w14:ligatures w14:val="standardContextual"/>
        </w:rPr>
        <w:t xml:space="preserve">Statlig styring av kommuner og fylkeskommuner </w:t>
      </w:r>
      <w:r w:rsidRPr="00896A50">
        <w:rPr>
          <w:rFonts w:eastAsia="Aptos" w:cs="Times New Roman"/>
          <w:kern w:val="2"/>
          <w:szCs w:val="24"/>
          <w14:ligatures w14:val="standardContextual"/>
        </w:rPr>
        <w:t xml:space="preserve">fra Kommunal- og </w:t>
      </w:r>
      <w:proofErr w:type="spellStart"/>
      <w:r w:rsidRPr="00896A50">
        <w:rPr>
          <w:rFonts w:eastAsia="Aptos" w:cs="Times New Roman"/>
          <w:kern w:val="2"/>
          <w:szCs w:val="24"/>
          <w14:ligatures w14:val="standardContextual"/>
        </w:rPr>
        <w:t>distriktsdepartementet</w:t>
      </w:r>
      <w:proofErr w:type="spellEnd"/>
      <w:r w:rsidRPr="00896A50">
        <w:rPr>
          <w:rFonts w:eastAsia="Aptos" w:cs="Times New Roman"/>
          <w:kern w:val="2"/>
          <w:szCs w:val="24"/>
          <w14:ligatures w14:val="standardContextual"/>
        </w:rPr>
        <w:t xml:space="preserve">. </w:t>
      </w:r>
    </w:p>
    <w:p w14:paraId="56B128CD" w14:textId="77777777" w:rsidR="00C46C03" w:rsidRPr="00896A50" w:rsidRDefault="00C46C03" w:rsidP="00C46C03">
      <w:pPr>
        <w:numPr>
          <w:ilvl w:val="0"/>
          <w:numId w:val="4"/>
        </w:numPr>
        <w:spacing w:before="240" w:after="160" w:line="276" w:lineRule="auto"/>
        <w:contextualSpacing/>
        <w:rPr>
          <w:rFonts w:eastAsia="Aptos" w:cs="Times New Roman"/>
          <w:kern w:val="2"/>
          <w:szCs w:val="24"/>
          <w14:ligatures w14:val="standardContextual"/>
        </w:rPr>
      </w:pPr>
      <w:r w:rsidRPr="00896A50">
        <w:rPr>
          <w:rFonts w:eastAsia="Aptos" w:cs="Times New Roman"/>
          <w:kern w:val="2"/>
          <w:szCs w:val="24"/>
          <w14:ligatures w14:val="standardContextual"/>
        </w:rPr>
        <w:t>Utredningen skal bygge på relevant kunnskap fra andre land.</w:t>
      </w:r>
    </w:p>
    <w:p w14:paraId="6577246D" w14:textId="77777777" w:rsidR="00C46C03" w:rsidRPr="00896A50" w:rsidRDefault="00C46C03" w:rsidP="00C46C03">
      <w:pPr>
        <w:spacing w:after="160" w:line="276" w:lineRule="auto"/>
        <w:rPr>
          <w:rFonts w:eastAsia="Aptos" w:cs="Times New Roman"/>
          <w:kern w:val="2"/>
          <w:szCs w:val="24"/>
          <w14:ligatures w14:val="standardContextual"/>
        </w:rPr>
      </w:pPr>
    </w:p>
    <w:p w14:paraId="26BD4F47" w14:textId="77777777" w:rsidR="00C46C03" w:rsidRDefault="00C46C03" w:rsidP="00C46C03">
      <w:pPr>
        <w:rPr>
          <w:b/>
          <w:bCs/>
        </w:rPr>
      </w:pPr>
      <w:r w:rsidRPr="00896A50">
        <w:rPr>
          <w:rFonts w:eastAsia="Aptos" w:cs="Times New Roman"/>
          <w:kern w:val="2"/>
          <w:szCs w:val="24"/>
          <w14:ligatures w14:val="standardContextual"/>
        </w:rPr>
        <w:t>Utvalget skal levere sin NOU innen utgangen av 2027.</w:t>
      </w:r>
    </w:p>
    <w:p w14:paraId="5E664392" w14:textId="77777777" w:rsidR="001D6512" w:rsidRDefault="001D6512" w:rsidP="001D6512"/>
    <w:sectPr w:rsidR="001D65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FB4B" w14:textId="77777777" w:rsidR="005C3E7C" w:rsidRDefault="005C3E7C" w:rsidP="009B113F">
      <w:pPr>
        <w:spacing w:line="240" w:lineRule="auto"/>
      </w:pPr>
      <w:r>
        <w:separator/>
      </w:r>
    </w:p>
  </w:endnote>
  <w:endnote w:type="continuationSeparator" w:id="0">
    <w:p w14:paraId="3382B51B" w14:textId="77777777" w:rsidR="005C3E7C" w:rsidRDefault="005C3E7C"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DADA" w14:textId="77777777" w:rsidR="005C3E7C" w:rsidRDefault="005C3E7C" w:rsidP="009B113F">
      <w:pPr>
        <w:spacing w:line="240" w:lineRule="auto"/>
      </w:pPr>
      <w:r>
        <w:separator/>
      </w:r>
    </w:p>
  </w:footnote>
  <w:footnote w:type="continuationSeparator" w:id="0">
    <w:p w14:paraId="7EB22471" w14:textId="77777777" w:rsidR="005C3E7C" w:rsidRDefault="005C3E7C"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C5CAC"/>
    <w:multiLevelType w:val="hybridMultilevel"/>
    <w:tmpl w:val="9DA09B36"/>
    <w:lvl w:ilvl="0" w:tplc="289C58D4">
      <w:start w:val="1"/>
      <w:numFmt w:val="bullet"/>
      <w:lvlText w:val=""/>
      <w:lvlJc w:val="left"/>
      <w:pPr>
        <w:ind w:left="1070" w:hanging="71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658263B"/>
    <w:multiLevelType w:val="hybridMultilevel"/>
    <w:tmpl w:val="1018EC22"/>
    <w:lvl w:ilvl="0" w:tplc="04140001">
      <w:start w:val="1"/>
      <w:numFmt w:val="bullet"/>
      <w:lvlText w:val=""/>
      <w:lvlJc w:val="left"/>
      <w:pPr>
        <w:ind w:left="1070" w:hanging="71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72961521">
    <w:abstractNumId w:val="1"/>
  </w:num>
  <w:num w:numId="2" w16cid:durableId="712198843">
    <w:abstractNumId w:val="3"/>
  </w:num>
  <w:num w:numId="3" w16cid:durableId="1243180087">
    <w:abstractNumId w:val="0"/>
  </w:num>
  <w:num w:numId="4" w16cid:durableId="1225723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03"/>
    <w:rsid w:val="00080BFD"/>
    <w:rsid w:val="001A206D"/>
    <w:rsid w:val="001D6512"/>
    <w:rsid w:val="00247C16"/>
    <w:rsid w:val="0028070C"/>
    <w:rsid w:val="005C3E7C"/>
    <w:rsid w:val="00604331"/>
    <w:rsid w:val="006920E3"/>
    <w:rsid w:val="009B113F"/>
    <w:rsid w:val="009E3B57"/>
    <w:rsid w:val="00A91875"/>
    <w:rsid w:val="00B24048"/>
    <w:rsid w:val="00B60103"/>
    <w:rsid w:val="00C46C03"/>
    <w:rsid w:val="00D875E8"/>
    <w:rsid w:val="00EE12D9"/>
    <w:rsid w:val="00FE21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5F4F"/>
  <w15:chartTrackingRefBased/>
  <w15:docId w15:val="{A90FDC06-D317-408B-AADA-E28DB9D4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03"/>
    <w:pPr>
      <w:spacing w:after="60" w:line="300" w:lineRule="atLeast"/>
    </w:pPr>
    <w:rPr>
      <w:rFonts w:ascii="Times New Roman" w:hAnsi="Times New Roman"/>
      <w:sz w:val="24"/>
    </w:rPr>
  </w:style>
  <w:style w:type="paragraph" w:styleId="Overskrift1">
    <w:name w:val="heading 1"/>
    <w:basedOn w:val="Normal"/>
    <w:next w:val="Normal"/>
    <w:link w:val="Overskrift1Tegn"/>
    <w:uiPriority w:val="9"/>
    <w:qFormat/>
    <w:rsid w:val="00EE12D9"/>
    <w:pPr>
      <w:keepNext/>
      <w:keepLines/>
      <w:spacing w:before="24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outlineLvl w:val="5"/>
    </w:pPr>
    <w:rPr>
      <w:rFonts w:eastAsiaTheme="majorEastAsia" w:cstheme="majorBidi"/>
      <w:i/>
    </w:rPr>
  </w:style>
  <w:style w:type="paragraph" w:styleId="Overskrift7">
    <w:name w:val="heading 7"/>
    <w:basedOn w:val="Normal"/>
    <w:next w:val="Normal"/>
    <w:link w:val="Overskrift7Tegn"/>
    <w:uiPriority w:val="9"/>
    <w:semiHidden/>
    <w:unhideWhenUsed/>
    <w:qFormat/>
    <w:rsid w:val="00C46C03"/>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C46C03"/>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46C03"/>
    <w:pPr>
      <w:keepNext/>
      <w:keepLines/>
      <w:outlineLvl w:val="8"/>
    </w:pPr>
    <w:rPr>
      <w:rFonts w:asciiTheme="minorHAnsi" w:eastAsiaTheme="majorEastAsia" w:hAnsiTheme="minorHAnsi"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customStyle="1" w:styleId="Overskrift7Tegn">
    <w:name w:val="Overskrift 7 Tegn"/>
    <w:basedOn w:val="Standardskriftforavsnitt"/>
    <w:link w:val="Overskrift7"/>
    <w:uiPriority w:val="9"/>
    <w:semiHidden/>
    <w:rsid w:val="00C46C0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46C0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46C03"/>
    <w:rPr>
      <w:rFonts w:eastAsiaTheme="majorEastAsia" w:cstheme="majorBidi"/>
      <w:color w:val="272727" w:themeColor="text1" w:themeTint="D8"/>
    </w:rPr>
  </w:style>
  <w:style w:type="paragraph" w:styleId="Tittel">
    <w:name w:val="Title"/>
    <w:basedOn w:val="Normal"/>
    <w:next w:val="Normal"/>
    <w:link w:val="TittelTegn"/>
    <w:uiPriority w:val="10"/>
    <w:qFormat/>
    <w:rsid w:val="00C46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46C0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46C0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46C0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46C03"/>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C46C03"/>
    <w:rPr>
      <w:rFonts w:ascii="Arial" w:hAnsi="Arial"/>
      <w:i/>
      <w:iCs/>
      <w:color w:val="404040" w:themeColor="text1" w:themeTint="BF"/>
    </w:rPr>
  </w:style>
  <w:style w:type="paragraph" w:styleId="Listeavsnitt">
    <w:name w:val="List Paragraph"/>
    <w:basedOn w:val="Normal"/>
    <w:uiPriority w:val="34"/>
    <w:qFormat/>
    <w:rsid w:val="00C46C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4194</Characters>
  <Application>Microsoft Office Word</Application>
  <DocSecurity>0</DocSecurity>
  <Lines>85</Lines>
  <Paragraphs>40</Paragraphs>
  <ScaleCrop>false</ScaleCrop>
  <Company>DSS</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André Hansen</dc:creator>
  <cp:keywords/>
  <dc:description/>
  <cp:lastModifiedBy>Kristoffer André Hansen</cp:lastModifiedBy>
  <cp:revision>1</cp:revision>
  <dcterms:created xsi:type="dcterms:W3CDTF">2026-08-07T10:14:00Z</dcterms:created>
  <dcterms:modified xsi:type="dcterms:W3CDTF">2026-08-07T10:14:00Z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df319-7d2e-4b9a-b236-a4013e1138e2_Enabled">
    <vt:lpwstr>true</vt:lpwstr>
  </property>
  <property fmtid="{D5CDD505-2E9C-101B-9397-08002B2CF9AE}" pid="3" name="MSIP_Label_a4ddf319-7d2e-4b9a-b236-a4013e1138e2_SetDate">
    <vt:lpwstr>2026-08-07T10:14:32Z</vt:lpwstr>
  </property>
  <property fmtid="{D5CDD505-2E9C-101B-9397-08002B2CF9AE}" pid="4" name="MSIP_Label_a4ddf319-7d2e-4b9a-b236-a4013e1138e2_Method">
    <vt:lpwstr>Standard</vt:lpwstr>
  </property>
  <property fmtid="{D5CDD505-2E9C-101B-9397-08002B2CF9AE}" pid="5" name="MSIP_Label_a4ddf319-7d2e-4b9a-b236-a4013e1138e2_Name">
    <vt:lpwstr>Intern (KLD)</vt:lpwstr>
  </property>
  <property fmtid="{D5CDD505-2E9C-101B-9397-08002B2CF9AE}" pid="6" name="MSIP_Label_a4ddf319-7d2e-4b9a-b236-a4013e1138e2_SiteId">
    <vt:lpwstr>f696e186-1c3b-44cd-bf76-5ace0e7007bd</vt:lpwstr>
  </property>
  <property fmtid="{D5CDD505-2E9C-101B-9397-08002B2CF9AE}" pid="7" name="MSIP_Label_a4ddf319-7d2e-4b9a-b236-a4013e1138e2_ActionId">
    <vt:lpwstr>a3803cd3-f0f5-4b26-993a-1d0c7f138316</vt:lpwstr>
  </property>
  <property fmtid="{D5CDD505-2E9C-101B-9397-08002B2CF9AE}" pid="8" name="MSIP_Label_a4ddf319-7d2e-4b9a-b236-a4013e1138e2_ContentBits">
    <vt:lpwstr>0</vt:lpwstr>
  </property>
  <property fmtid="{D5CDD505-2E9C-101B-9397-08002B2CF9AE}" pid="9" name="MSIP_Label_a4ddf319-7d2e-4b9a-b236-a4013e1138e2_Tag">
    <vt:lpwstr>10, 3, 0, 1</vt:lpwstr>
  </property>
</Properties>
</file>