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0E43" w:rsidP="00960E43">
      <w:pPr>
        <w:pStyle w:val="i-dep"/>
        <w:rPr>
          <w:lang w:val="nn-NO"/>
        </w:rPr>
      </w:pPr>
      <w:bookmarkStart w:id="0" w:name="_GoBack"/>
      <w:bookmarkEnd w:id="0"/>
      <w:r>
        <w:rPr>
          <w:lang w:val="nn-NO"/>
        </w:rPr>
        <w:t>Barne- og familiedepartementet</w:t>
      </w:r>
    </w:p>
    <w:p w:rsidR="00000000" w:rsidRPr="00960E43" w:rsidRDefault="00705540" w:rsidP="00960E43">
      <w:pPr>
        <w:pStyle w:val="i-budkap-over"/>
        <w:rPr>
          <w:rFonts w:ascii="Times New Roman" w:hAnsi="Times New Roman" w:cs="Times New Roman"/>
          <w:bCs/>
          <w:szCs w:val="24"/>
        </w:rPr>
      </w:pPr>
      <w:r>
        <w:rPr>
          <w:lang w:val="nn-NO"/>
        </w:rPr>
        <w:t xml:space="preserve">Kap. 800, 841, 843, 845, 854, 856, 858, 880, 882, 2530, 3855, 3856 </w:t>
      </w:r>
    </w:p>
    <w:p w:rsidR="00000000" w:rsidRDefault="00705540" w:rsidP="00960E43">
      <w:pPr>
        <w:pStyle w:val="i-hode"/>
      </w:pPr>
      <w:r>
        <w:t>Prop. 15 S</w:t>
      </w:r>
    </w:p>
    <w:p w:rsidR="00000000" w:rsidRDefault="00705540" w:rsidP="00960E43">
      <w:pPr>
        <w:pStyle w:val="i-sesjon"/>
        <w:rPr>
          <w:lang w:val="nn-NO"/>
        </w:rPr>
      </w:pPr>
      <w:r>
        <w:rPr>
          <w:lang w:val="nn-NO"/>
        </w:rPr>
        <w:t>(2019–2020)</w:t>
      </w:r>
    </w:p>
    <w:p w:rsidR="00000000" w:rsidRDefault="00705540" w:rsidP="00960E43">
      <w:pPr>
        <w:pStyle w:val="i-hode-tit"/>
        <w:rPr>
          <w:lang w:val="nn-NO"/>
        </w:rPr>
      </w:pPr>
      <w:r>
        <w:rPr>
          <w:lang w:val="nn-NO"/>
        </w:rPr>
        <w:t>Proposisjon til Stortinget (forslag til stortingsvedtak)</w:t>
      </w:r>
    </w:p>
    <w:p w:rsidR="00000000" w:rsidRDefault="00705540" w:rsidP="00960E43">
      <w:pPr>
        <w:pStyle w:val="i-tit"/>
        <w:rPr>
          <w:lang w:val="nn-NO"/>
        </w:rPr>
      </w:pPr>
      <w:r>
        <w:rPr>
          <w:lang w:val="nn-NO"/>
        </w:rPr>
        <w:t xml:space="preserve">Endringar i statsbudsjettet 2019 under </w:t>
      </w:r>
      <w:r>
        <w:rPr>
          <w:lang w:val="nn-NO"/>
        </w:rPr>
        <w:br/>
      </w:r>
      <w:r>
        <w:rPr>
          <w:lang w:val="nn-NO"/>
        </w:rPr>
        <w:t>Barne- og familiedepartementet</w:t>
      </w:r>
    </w:p>
    <w:p w:rsidR="00000000" w:rsidRDefault="00705540" w:rsidP="00960E43">
      <w:pPr>
        <w:pStyle w:val="i-statsrdato"/>
        <w:rPr>
          <w:lang w:val="nn-NO"/>
        </w:rPr>
      </w:pPr>
      <w:r>
        <w:rPr>
          <w:lang w:val="nn-NO"/>
        </w:rPr>
        <w:t xml:space="preserve">Tilråding frå Barne- og familiedepartementet 22. november 2019, </w:t>
      </w:r>
      <w:r>
        <w:rPr>
          <w:lang w:val="nn-NO"/>
        </w:rPr>
        <w:br/>
        <w:t>godkjend i statsråd same dagen.</w:t>
      </w:r>
      <w:r>
        <w:rPr>
          <w:lang w:val="nn-NO"/>
        </w:rPr>
        <w:br/>
        <w:t>(Regjeringa Solberg)</w:t>
      </w:r>
    </w:p>
    <w:p w:rsidR="00000000" w:rsidRDefault="00705540" w:rsidP="00960E43">
      <w:pPr>
        <w:pStyle w:val="Overskrift1"/>
        <w:rPr>
          <w:lang w:val="nn-NO"/>
        </w:rPr>
      </w:pPr>
      <w:r>
        <w:rPr>
          <w:lang w:val="nn-NO"/>
        </w:rPr>
        <w:t>Innleiing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I denne proposisjonen legg Barne- og familiedepartementet (BFD) fram endringsforslag til statsbudsjettet for 2019 i samsvar med punkt 2 nedanfor.</w:t>
      </w:r>
    </w:p>
    <w:p w:rsidR="00000000" w:rsidRDefault="00705540" w:rsidP="00960E43">
      <w:pPr>
        <w:pStyle w:val="Overskrift1"/>
        <w:rPr>
          <w:lang w:val="nn-NO"/>
        </w:rPr>
      </w:pPr>
      <w:r>
        <w:rPr>
          <w:lang w:val="nn-NO"/>
        </w:rPr>
        <w:t>Endringsforslag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800 Barne- og familiedepartementet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21 Spesielle driftsutgifter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Løyvinga på poste</w:t>
      </w:r>
      <w:r>
        <w:rPr>
          <w:lang w:val="nn-NO"/>
        </w:rPr>
        <w:t>n skal mellom anna dekkje utgifter til utgreiingsprosjekt i departementet og andre tiltak innanfor ansvarsområda til departementet. BFD føreslår å redusere løyvinga på posten med 148 000 kroner, mot tilsvarande auke på kap. 325, post 21 under Kulturdeparte</w:t>
      </w:r>
      <w:r>
        <w:rPr>
          <w:lang w:val="nn-NO"/>
        </w:rPr>
        <w:t xml:space="preserve">mentet, som følgje av endringa i departementsstrukturen som tok til å gjelde frå mai 2019, jf. Prop. 57 S (2018–2019) og Innst. 236 S (2018–2019). 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841 Samliv og konfliktløysing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23 Refusjon av utgifter til DNA-analysar, 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Prognosen</w:t>
      </w:r>
      <w:r>
        <w:rPr>
          <w:lang w:val="nn-NO"/>
        </w:rPr>
        <w:t xml:space="preserve"> for talet på DNA-analysar til fastsetjing av farskap er lågare enn lagt til grunn i gjeldande budsjett. BFD føreslår derfor å redusere løyvinga under kap. 841, post 23 med 1,1</w:t>
      </w:r>
      <w:r>
        <w:rPr>
          <w:rFonts w:ascii="Cambria" w:hAnsi="Cambria" w:cs="Cambria"/>
          <w:lang w:val="nn-NO"/>
        </w:rPr>
        <w:t> </w:t>
      </w:r>
      <w:r>
        <w:rPr>
          <w:lang w:val="nn-NO"/>
        </w:rPr>
        <w:t>mill.</w:t>
      </w:r>
      <w:r>
        <w:rPr>
          <w:rFonts w:ascii="Cambria" w:hAnsi="Cambria" w:cs="Cambria"/>
          <w:lang w:val="nn-NO"/>
        </w:rPr>
        <w:t> </w:t>
      </w:r>
      <w:r>
        <w:rPr>
          <w:lang w:val="nn-NO"/>
        </w:rPr>
        <w:t>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843 Adopsjonsstønad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70 Tilskot til foreldre som adopter</w:t>
      </w:r>
      <w:r>
        <w:rPr>
          <w:lang w:val="nn-NO"/>
        </w:rPr>
        <w:t>er barn frå utlandet, 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Prognosen for talet på utanlandsadopsjonar er lågare enn lagt til grunn i gjeldande budsjett. BFD føreslår derfor å redusere løyvinga under kap. 843, post 70 med 0,9 mill. 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lastRenderedPageBreak/>
        <w:t>Kap. 845 Barnetrygd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 xml:space="preserve">Post 70 Tilskot, </w:t>
      </w:r>
      <w:r>
        <w:rPr>
          <w:lang w:val="nn-NO"/>
        </w:rPr>
        <w:t>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Utbetalingane til barnetrygd har til no i år vore noko lågare enn tidlegare lagt til grunn. Utgiftene i 2019 blir no rekna til 15 750 mill. kroner. BFD føreslår derfor å redusere løyvinga under kap. 845, post 70 med 40 mill. 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</w:t>
      </w:r>
      <w:r>
        <w:rPr>
          <w:lang w:val="nn-NO"/>
        </w:rPr>
        <w:t>54 Tiltak i barne- og ungdomsvernet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21 Spesielle driftsutgifter, kan nyttast under post 71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Det er sett av 15 mill. kroner på posten til eit prøveprosjekt med hurtigbusetjing av einslege, mindreårige asylsøk</w:t>
      </w:r>
      <w:r>
        <w:rPr>
          <w:lang w:val="nn-NO"/>
        </w:rPr>
        <w:t xml:space="preserve">jarar. Prosjektet er forseinka og berre ein liten del av løyvinga blir nytta i 2019. BFD føreslår å redusere løyvinga under kap. 854, post 21 med 14,6 mill. kroner. 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22 Barnesakkunnig kommisjon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Det har komme inn færre rapportar til Barnesakkunnig komm</w:t>
      </w:r>
      <w:r>
        <w:rPr>
          <w:lang w:val="nn-NO"/>
        </w:rPr>
        <w:t>isjon i 2019 enn tidlegare lagt til grunn. BFD føreslår derfor å redusere løyvinga på kap. 854, post 22 med 1 mill. kroner.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45 Større utstyrsanskaffingar og vedlikehald, kan overførast</w:t>
      </w:r>
      <w:r>
        <w:rPr>
          <w:lang w:val="nn-NO"/>
        </w:rPr>
        <w:tab/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Løyvinga på posten blir nytta til Bufdir sitt arbeid med digitali</w:t>
      </w:r>
      <w:r>
        <w:rPr>
          <w:lang w:val="nn-NO"/>
        </w:rPr>
        <w:t xml:space="preserve">seringstiltak. Midlane skal mellom anna nyttast til kjøp av tenester frå eksterne til systemutvikling i samband med prosjektet </w:t>
      </w:r>
      <w:r>
        <w:rPr>
          <w:rStyle w:val="kursiv"/>
          <w:sz w:val="21"/>
          <w:szCs w:val="21"/>
        </w:rPr>
        <w:t>DigiBarnevern</w:t>
      </w:r>
      <w:r>
        <w:rPr>
          <w:lang w:val="nn-NO"/>
        </w:rPr>
        <w:t xml:space="preserve">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Delar av utviklingsoppgåvene i</w:t>
      </w:r>
      <w:r>
        <w:rPr>
          <w:rStyle w:val="kursiv"/>
          <w:sz w:val="21"/>
          <w:szCs w:val="21"/>
        </w:rPr>
        <w:t xml:space="preserve"> DigiBarnevern</w:t>
      </w:r>
      <w:r>
        <w:rPr>
          <w:lang w:val="nn-NO"/>
        </w:rPr>
        <w:t xml:space="preserve"> blir óg løyst av interne ressursar i Bufdir. For å sikre korrekt pos</w:t>
      </w:r>
      <w:r>
        <w:rPr>
          <w:lang w:val="nn-NO"/>
        </w:rPr>
        <w:t xml:space="preserve">tbruk, føreslår BFD å redusere kap. 854, post 45 med 6,2 mill. kroner, mot ein tilsvarande auke på kap. 858, post 01. 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 3855 Statleg forvalting av barnevernet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60 Kommunale eigendelar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Løyvinga på posten dekkjer inntekter frå kommunale eigendelar fo</w:t>
      </w:r>
      <w:r>
        <w:rPr>
          <w:lang w:val="nn-NO"/>
        </w:rPr>
        <w:t>r tiltak i det statlege barnevernet. Aktivitetsveksten i det statlege barnevernet har i 2019 vore lågare enn tidlegare lagt til grunn. Eit lågare tal på opphaldsdagar gir reduserte inntekter.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BFD føreslår å redusere kap. 3855, post 60 med 47 mill. 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856 Barnevernets omsorgssenter for einslege, mindreårige asylsøkjarar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01 Driftsutgifter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Løyvinga dekkjer utgifter til drift av statlege omsorgssenter for einslege, mindreårige asylsøkjarar under 15 år og forvaltingsoppgåver knytte til omsorgssent</w:t>
      </w:r>
      <w:r>
        <w:rPr>
          <w:lang w:val="nn-NO"/>
        </w:rPr>
        <w:t xml:space="preserve">era. Det blei sett i gang ein prosess med å redusere talet på plassar i omsorgssentera til 50 plassar i 2018. Utgifter til omstillinga i 2019 er lågare enn tidlegare lagt til grunn.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 xml:space="preserve">BFD føreslår å redusere kap. 856, post 01 med 4 mill. kroner. 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 xml:space="preserve">Kap. 3856 </w:t>
      </w:r>
      <w:r>
        <w:rPr>
          <w:lang w:val="nn-NO"/>
        </w:rPr>
        <w:t>Barnevernets omsorgssenter for einslege, mindreårige asylsøkjarar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04 Refusjon av ODA-godkjende utgifter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Innanlandske utgifter knytte til mottak av asylsøkjarar og flyktningar kan, ifølgje statistikkdirektivet til OECD/DAC, godkjennast som offisiell ut</w:t>
      </w:r>
      <w:r>
        <w:rPr>
          <w:lang w:val="nn-NO"/>
        </w:rPr>
        <w:t xml:space="preserve">viklingshjelp. Ifølgje retningslinjene frå OECD/DAC er det berre utgifter det fyrste året som kan godkjennast. Det er i gjeldande budsjett lagt til grunn at 100 prosent av </w:t>
      </w:r>
      <w:r>
        <w:rPr>
          <w:lang w:val="nn-NO"/>
        </w:rPr>
        <w:lastRenderedPageBreak/>
        <w:t>barna i omsorgssentera har butid under eitt år i 2019. Oppdatert informasjon viser a</w:t>
      </w:r>
      <w:r>
        <w:rPr>
          <w:lang w:val="nn-NO"/>
        </w:rPr>
        <w:t>t denne delen er no på 96 prosent.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BFD føreslår å redusere kap. 3856, post 04 med 4,4 mill. 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 858 Barne-, ungdoms- og familiedirektoratet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01 Driftsutgifter, kan nyttast under kap. 855, post 01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Løyvinga dekkjer lønn og andre driftsutgifter i</w:t>
      </w:r>
      <w:r>
        <w:rPr>
          <w:lang w:val="nn-NO"/>
        </w:rPr>
        <w:t xml:space="preserve"> Bufdir. Grunna auka bruk av interne ressursar i Bufdir i samband med prosjektet </w:t>
      </w:r>
      <w:r>
        <w:rPr>
          <w:rStyle w:val="kursiv"/>
          <w:sz w:val="21"/>
          <w:szCs w:val="21"/>
        </w:rPr>
        <w:t>DigiBarnevern</w:t>
      </w:r>
      <w:r>
        <w:rPr>
          <w:lang w:val="nn-NO"/>
        </w:rPr>
        <w:t xml:space="preserve">, føreslår BFD å auke posten med 6,2 mill. kroner mot ein tilsvarande reduksjon på kap. 854, post 45. Sjå òg omtale under kap. 854, post 45. 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 xml:space="preserve">Kap. 880 Den norske </w:t>
      </w:r>
      <w:r>
        <w:rPr>
          <w:lang w:val="nn-NO"/>
        </w:rPr>
        <w:t xml:space="preserve">kyrkja 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 xml:space="preserve">Post 70 Rammetilskot til Den norske kyrkja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Då Den norske kyrkja vart etablert som eige rettssubjekt 1. januar 2017, blei det fastsett ein opningsbalanse med fiktive pensjonsmiddel på 1,7 mrd. kroner som svara til dei framtidige pensjonsforplikting</w:t>
      </w:r>
      <w:r>
        <w:rPr>
          <w:lang w:val="nn-NO"/>
        </w:rPr>
        <w:t xml:space="preserve">ane. Avkastninga på kyrkja sine pensjonsmiddel har ikkje vore så høg som Statens pensjonskasse sitt krav til renteavkastning. Dette avviket må kyrkja dekkje gjennom solvenspremien.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I utgangspunktet bør Den norske kyrkja sjølv dekkje utgiftene til solvensp</w:t>
      </w:r>
      <w:r>
        <w:rPr>
          <w:lang w:val="nn-NO"/>
        </w:rPr>
        <w:t>remien. BFD føreslår likevel at staten medverkar til å dekkje desse utgiftene for 2017–2019, på bakgrunn av tidspunktet for etablering av rettssubjektet og den korte levetida til rettssubjektet. Frå og med statsbudsjettet for 2020 må Den norske kyrkja sjøl</w:t>
      </w:r>
      <w:r>
        <w:rPr>
          <w:lang w:val="nn-NO"/>
        </w:rPr>
        <w:t xml:space="preserve">v dekkje eventuell solvenspremie til SPK.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 xml:space="preserve">På denne bakgrunn føreslår BFD å auke løyvinga på kap. 880, post 70 med 70 mill. kroner i 2019. 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 xml:space="preserve">Kap. 882 Kyrkjebygg og gravplassar 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61 Tilskot til fredete og verneverdige kyrkjebygg, kan overførast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I tråd</w:t>
      </w:r>
      <w:r>
        <w:rPr>
          <w:lang w:val="nn-NO"/>
        </w:rPr>
        <w:t xml:space="preserve"> med Innst. 14 S (2018–2019) blei det løyvt 20 mill. kroner på dåverande kap. 342 </w:t>
      </w:r>
      <w:r>
        <w:rPr>
          <w:rStyle w:val="kursiv"/>
          <w:sz w:val="21"/>
          <w:szCs w:val="21"/>
        </w:rPr>
        <w:t>Kirkebygg og gravplasser</w:t>
      </w:r>
      <w:r>
        <w:rPr>
          <w:lang w:val="nn-NO"/>
        </w:rPr>
        <w:t xml:space="preserve">, post 70 </w:t>
      </w:r>
      <w:r>
        <w:rPr>
          <w:rStyle w:val="kursiv"/>
          <w:sz w:val="21"/>
          <w:szCs w:val="21"/>
        </w:rPr>
        <w:t>Tilskudd til sentrale tiltak for kirkebygg og gravplasser</w:t>
      </w:r>
      <w:r>
        <w:rPr>
          <w:lang w:val="nn-NO"/>
        </w:rPr>
        <w:t>. 10 mill. kroner skulle nyttast til «klimasikring av utsatte og verneverdige kirke</w:t>
      </w:r>
      <w:r>
        <w:rPr>
          <w:lang w:val="nn-NO"/>
        </w:rPr>
        <w:t>bygg» og 10 mill. kroner til «prosjektmidler for å utvikle bevaringsprogram for steinkirkene». Etter endringar i departementsstrukturen er midlane no plasserte på kap. 882, post 70.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Det er i høg grad kommunane som vil motta tilskotet til sikring av kyrkjeb</w:t>
      </w:r>
      <w:r>
        <w:rPr>
          <w:lang w:val="nn-NO"/>
        </w:rPr>
        <w:t>ygg, jf. omtalen nedanfor under post 70. Dette er ein følgje av kommunane sitt lovfesta økonomiske ansvar for kyrkjene. For å sikre korrekt postbruk føreslår BFD å auke løyvinga på kap. 882, post 61 med 13,8 mill. kroner mot ein tilsvarande reduksjon på ka</w:t>
      </w:r>
      <w:r>
        <w:rPr>
          <w:lang w:val="nn-NO"/>
        </w:rPr>
        <w:t>p. 882, post 70, jf. omtale under post 70.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 xml:space="preserve">Post 70 Tilskot til sentrale tiltak for kyrkjebygg og gravplassar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Under kap. 882, er det for 2019 løyvd i alt 40 mill. kroner til istandsetting og sikring av freda og verneverdige kyrkjer, medrekna 20 mill. krone</w:t>
      </w:r>
      <w:r>
        <w:rPr>
          <w:lang w:val="nn-NO"/>
        </w:rPr>
        <w:t xml:space="preserve">r på kap. 882, post 70 </w:t>
      </w:r>
      <w:r>
        <w:rPr>
          <w:rStyle w:val="kursiv"/>
          <w:sz w:val="21"/>
          <w:szCs w:val="21"/>
        </w:rPr>
        <w:t>Tilskot til sentrale tiltak for kyrkjebygg og gravplassar</w:t>
      </w:r>
      <w:r>
        <w:rPr>
          <w:lang w:val="nn-NO"/>
        </w:rPr>
        <w:t>. Riksantikvaren er gitt i oppgåve å vere tilskotsforvaltar og i samråd med kyrkjelege instansar treffe avgjerd om kva for kyrkjebygg og istandsettings- og sikringstiltak som s</w:t>
      </w:r>
      <w:r>
        <w:rPr>
          <w:lang w:val="nn-NO"/>
        </w:rPr>
        <w:t xml:space="preserve">kal prioriterast for tildeling. Som følgje av meirutgiftene Riksantikvaren har som tilskotsforvaltar i 2019, føreslår BFD å redusere kap. 882, post 70 med 0,4 mill. kroner mot ein tilsvarande auke på kap. 1429, post 01 under Klima- og miljødepartementet.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Ein del av løyvinga under post 70, i alt 5,8 mill. kroner, vil bli tildelt KA (arbeidsgivarorganisasjon for kyrkjelege verksemder), for å få fram auka kunnskap om kyrkjer som er særleg utsette for ras og flaum og gi råd til eigarane av kyrkjene. KA, som ha</w:t>
      </w:r>
      <w:r>
        <w:rPr>
          <w:lang w:val="nn-NO"/>
        </w:rPr>
        <w:t xml:space="preserve">r stor kunnskap på kyrkjebyggfeltet, vil også gjere ein tilstandsregistrering av eit utval kyrkjebygg. Auka kunnskap om tilstanden er nødvendig for ein målretta </w:t>
      </w:r>
      <w:r>
        <w:rPr>
          <w:lang w:val="nn-NO"/>
        </w:rPr>
        <w:lastRenderedPageBreak/>
        <w:t>innsats for sikring av dei kulturhistorisk viktige kyrkjene. Spørsmålet om eit bevaringsprogram</w:t>
      </w:r>
      <w:r>
        <w:rPr>
          <w:lang w:val="nn-NO"/>
        </w:rPr>
        <w:t xml:space="preserve"> for kyrkjebygg, jf. Innst. 14 S (2018–2019), vil departementet komme tilbake til i samanheng med oppfølginga av meldinga til Stortinget om Opplysningsvesenets fond, jf. Meld. St. 29 (2018–2019).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Riksantikvaren tildeler tilskot til einskilde kyrkjebygg, m</w:t>
      </w:r>
      <w:r>
        <w:rPr>
          <w:lang w:val="nn-NO"/>
        </w:rPr>
        <w:t>ellom anna til brann- og klimasikring, etter søknad. Midlane vil i hovudsak komme til utbetaling til dei aktuelle kommunane i 2020. For å sikre korrekt postbruk og ta omsyn til tidspunkt for utbetaling, føreslår BFD å redusere løyvinga på kap. 882, post 70</w:t>
      </w:r>
      <w:r>
        <w:rPr>
          <w:lang w:val="nn-NO"/>
        </w:rPr>
        <w:t xml:space="preserve"> med 13,8 mill. kroner mot ein tilsvarande auke på kap. 882, post 61, jf. omtale under post 61.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Overføringa av ansvaret for trus- og livssynssaker frå KUD til BFD omfatta ikkje ansvaret for oppfølginga av utanlandske krigsgraver i Norge. Som følgje av dett</w:t>
      </w:r>
      <w:r>
        <w:rPr>
          <w:lang w:val="nn-NO"/>
        </w:rPr>
        <w:t xml:space="preserve">e blei løyvinga for 2019 på kap. 342 </w:t>
      </w:r>
      <w:r>
        <w:rPr>
          <w:rStyle w:val="kursiv"/>
          <w:sz w:val="21"/>
          <w:szCs w:val="21"/>
        </w:rPr>
        <w:t>Kirkebygg og gravplasser</w:t>
      </w:r>
      <w:r>
        <w:rPr>
          <w:lang w:val="nn-NO"/>
        </w:rPr>
        <w:t xml:space="preserve">, post 70 </w:t>
      </w:r>
      <w:r>
        <w:rPr>
          <w:rStyle w:val="kursiv"/>
          <w:sz w:val="21"/>
          <w:szCs w:val="21"/>
        </w:rPr>
        <w:t>Tilskudd til sentrale tiltak for kirkebygg og gravplasser</w:t>
      </w:r>
      <w:r>
        <w:rPr>
          <w:lang w:val="nn-NO"/>
        </w:rPr>
        <w:t xml:space="preserve"> på 40,5 mill. kroner fordelt på nytt kap. 327 </w:t>
      </w:r>
      <w:r>
        <w:rPr>
          <w:rStyle w:val="kursiv"/>
          <w:sz w:val="21"/>
          <w:szCs w:val="21"/>
        </w:rPr>
        <w:t>Nidaros domkirkes restaureringsarbeider mv.</w:t>
      </w:r>
      <w:r>
        <w:rPr>
          <w:lang w:val="nn-NO"/>
        </w:rPr>
        <w:t xml:space="preserve">, post 70 </w:t>
      </w:r>
      <w:r>
        <w:rPr>
          <w:rStyle w:val="kursiv"/>
          <w:sz w:val="21"/>
          <w:szCs w:val="21"/>
        </w:rPr>
        <w:t>Utenlandske krigsgraver i No</w:t>
      </w:r>
      <w:r>
        <w:rPr>
          <w:rStyle w:val="kursiv"/>
          <w:sz w:val="21"/>
          <w:szCs w:val="21"/>
        </w:rPr>
        <w:t>rge</w:t>
      </w:r>
      <w:r>
        <w:rPr>
          <w:lang w:val="nn-NO"/>
        </w:rPr>
        <w:t xml:space="preserve"> med 3,2 mill. kroner og nytt kap. 882 </w:t>
      </w:r>
      <w:r>
        <w:rPr>
          <w:rStyle w:val="kursiv"/>
          <w:sz w:val="21"/>
          <w:szCs w:val="21"/>
        </w:rPr>
        <w:t>Kyrkjebygg og gravplassar</w:t>
      </w:r>
      <w:r>
        <w:rPr>
          <w:lang w:val="nn-NO"/>
        </w:rPr>
        <w:t xml:space="preserve">, post 70 </w:t>
      </w:r>
      <w:r>
        <w:rPr>
          <w:rStyle w:val="kursiv"/>
          <w:sz w:val="21"/>
          <w:szCs w:val="21"/>
        </w:rPr>
        <w:t>Tilskot til sentrale tiltak for kyrkjebygg og gravplassar</w:t>
      </w:r>
      <w:r>
        <w:rPr>
          <w:lang w:val="nn-NO"/>
        </w:rPr>
        <w:t xml:space="preserve"> med 37,3 mill. kroner, jf. Prop. 57 S (2018–2019) og Innst. 236 S (2018–2019). Nye anslag for behovet for midlar til krig</w:t>
      </w:r>
      <w:r>
        <w:rPr>
          <w:lang w:val="nn-NO"/>
        </w:rPr>
        <w:t xml:space="preserve">sgravtenesta i 2019 tilseier at ein større del av desse midlane blir fordelte til kap. 327, post 70. BFD føreslår derfor å redusere kap. 882, post 70 med 0,4 mill. kroner mot ein tilsvarande auke på kap. 327, post 70 under Kulturdepartementet. 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Samla føres</w:t>
      </w:r>
      <w:r>
        <w:rPr>
          <w:lang w:val="nn-NO"/>
        </w:rPr>
        <w:t>lår BFD å redusere kap. 882, post 70 med 14,6 mill. kroner.</w:t>
      </w:r>
    </w:p>
    <w:p w:rsidR="00000000" w:rsidRDefault="00705540" w:rsidP="00960E43">
      <w:pPr>
        <w:pStyle w:val="b-budkaptit"/>
        <w:rPr>
          <w:lang w:val="nn-NO"/>
        </w:rPr>
      </w:pPr>
      <w:r>
        <w:rPr>
          <w:lang w:val="nn-NO"/>
        </w:rPr>
        <w:t>Kap. 2530 Foreldrepengar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70 Foreldrepengar ved fødsel, 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 xml:space="preserve">Utgiftene til foreldrepengar ved fødsel i 2019 blir no rekna til 18 860 mill. kroner. Dette er 380 mill. kroner høgare </w:t>
      </w:r>
      <w:r>
        <w:rPr>
          <w:lang w:val="nn-NO"/>
        </w:rPr>
        <w:t>enn gjeldande budsjett. Auken skuldast at fleire foreldre enn tidlegare er venta å få foreldrepengar i 2019. BFD føreslår derfor å auke løyvinga under kap. 2530, post 70 med 380 mill. kroner.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71 Eingongsstønad ved fødsel og adopsjon, 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Utbetalingane til eingongsstønad ved fødsel og adopsjon har til no i år vore noko lågare enn tidlegare lagt til grunn. Utgiftene i 2019 blir no rekna til 810 mill. kroner. BFD føreslår derfor å redusere løyvinga under kap. 2530, post 71 med 50 mill. kroner</w:t>
      </w:r>
      <w:r>
        <w:rPr>
          <w:lang w:val="nn-NO"/>
        </w:rPr>
        <w:t>.</w:t>
      </w:r>
    </w:p>
    <w:p w:rsidR="00000000" w:rsidRDefault="00705540" w:rsidP="00960E43">
      <w:pPr>
        <w:pStyle w:val="b-post"/>
        <w:rPr>
          <w:lang w:val="nn-NO"/>
        </w:rPr>
      </w:pPr>
      <w:r>
        <w:rPr>
          <w:lang w:val="nn-NO"/>
        </w:rPr>
        <w:t>Post 73 Foreldrepengar ved adopsjon, overslagsløyving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 xml:space="preserve">Utbetalingane av foreldrepengar ved adopsjon har til no i år vore noko lågare enn tidlegare lagt til grunn. Utgiftene i 2019 blir no rekna til 49 mill. kroner. BFD føreslår derfor å redusere løyvinga </w:t>
      </w:r>
      <w:r>
        <w:rPr>
          <w:lang w:val="nn-NO"/>
        </w:rPr>
        <w:t>under kap. 2530, post 73 med 7 mill. kroner.</w:t>
      </w:r>
    </w:p>
    <w:p w:rsidR="00000000" w:rsidRDefault="00705540" w:rsidP="00960E43">
      <w:pPr>
        <w:pStyle w:val="a-tilraar-dep"/>
        <w:rPr>
          <w:lang w:val="nn-NO"/>
        </w:rPr>
      </w:pPr>
      <w:r>
        <w:rPr>
          <w:lang w:val="nn-NO"/>
        </w:rPr>
        <w:t>Barne- og familiedepartementet</w:t>
      </w:r>
    </w:p>
    <w:p w:rsidR="00000000" w:rsidRDefault="00705540" w:rsidP="00960E43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At Dykkar Majestet godkjenner og skriv under eit framlagt forslag til proposisjon til Stortinget om endringar i statsbudsjettet 2019 under Barne- og familiedepartementet.</w:t>
      </w:r>
    </w:p>
    <w:p w:rsidR="00000000" w:rsidRDefault="00705540" w:rsidP="00960E43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</w:t>
      </w:r>
      <w:r>
        <w:rPr>
          <w:rStyle w:val="halvfet0"/>
          <w:sz w:val="21"/>
          <w:szCs w:val="21"/>
        </w:rPr>
        <w:t xml:space="preserve">i HARALD, </w:t>
      </w:r>
      <w:r>
        <w:rPr>
          <w:lang w:val="nn-NO"/>
        </w:rPr>
        <w:t>Noregs Konge,</w:t>
      </w:r>
    </w:p>
    <w:p w:rsidR="00000000" w:rsidRDefault="00705540" w:rsidP="00960E43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00000" w:rsidRDefault="00705540" w:rsidP="00960E43">
      <w:pPr>
        <w:rPr>
          <w:lang w:val="nn-NO"/>
        </w:rPr>
      </w:pPr>
      <w:r>
        <w:rPr>
          <w:lang w:val="nn-NO"/>
        </w:rPr>
        <w:t>Stortinget blir bedt om å gjere vedtak om endringar i statsbudsjettet 2019 under Barne- og familiedepartementet i samsvar med eit vedlagt forslag.</w:t>
      </w:r>
    </w:p>
    <w:p w:rsidR="00000000" w:rsidRDefault="00705540" w:rsidP="00960E43">
      <w:pPr>
        <w:pStyle w:val="a-vedtak-tit"/>
      </w:pPr>
      <w:r>
        <w:lastRenderedPageBreak/>
        <w:t xml:space="preserve">Forslag </w:t>
      </w:r>
    </w:p>
    <w:p w:rsidR="00000000" w:rsidRDefault="00705540" w:rsidP="00960E43">
      <w:pPr>
        <w:pStyle w:val="a-vedtak-tit"/>
      </w:pPr>
      <w:r>
        <w:t xml:space="preserve">til vedtak om endringar i statsbudsjettet 2019 under </w:t>
      </w:r>
      <w:r>
        <w:br/>
        <w:t xml:space="preserve">Barne- og </w:t>
      </w:r>
      <w:r>
        <w:t>familiedepartementet</w:t>
      </w:r>
    </w:p>
    <w:p w:rsidR="00000000" w:rsidRDefault="00705540" w:rsidP="00960E43">
      <w:pPr>
        <w:pStyle w:val="a-vedtak-del"/>
        <w:rPr>
          <w:lang w:val="nn-NO"/>
        </w:rPr>
      </w:pPr>
      <w:r>
        <w:rPr>
          <w:lang w:val="nn-NO"/>
        </w:rPr>
        <w:t>I</w:t>
      </w:r>
    </w:p>
    <w:p w:rsidR="00000000" w:rsidRDefault="00705540" w:rsidP="00960E43">
      <w:r>
        <w:t>I statsbudsjettet for 2019 blir det gjort følgjande endringar:</w:t>
      </w:r>
    </w:p>
    <w:p w:rsidR="00000000" w:rsidRDefault="00705540" w:rsidP="00960E43">
      <w:pPr>
        <w:pStyle w:val="a-vedtak-tekst"/>
      </w:pPr>
      <w:r>
        <w:t>Utgifter:</w:t>
      </w:r>
    </w:p>
    <w:p w:rsidR="00000000" w:rsidRDefault="00705540" w:rsidP="00960E43">
      <w:pPr>
        <w:pStyle w:val="Tabellnavn"/>
      </w:pPr>
      <w:r>
        <w:t>04N1xx2</w:t>
      </w:r>
    </w:p>
    <w:tbl>
      <w:tblPr>
        <w:tblStyle w:val="StandardTabell"/>
        <w:tblW w:w="9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6379"/>
        <w:gridCol w:w="1403"/>
      </w:tblGrid>
      <w:tr w:rsidR="00000000" w:rsidTr="00960E43">
        <w:trPr>
          <w:trHeight w:val="360"/>
        </w:trPr>
        <w:tc>
          <w:tcPr>
            <w:tcW w:w="709" w:type="dxa"/>
            <w:shd w:val="clear" w:color="auto" w:fill="FFFFFF"/>
          </w:tcPr>
          <w:p w:rsidR="00000000" w:rsidRDefault="00705540" w:rsidP="00960E43">
            <w:r>
              <w:t>Kap.</w:t>
            </w:r>
          </w:p>
        </w:tc>
        <w:tc>
          <w:tcPr>
            <w:tcW w:w="709" w:type="dxa"/>
          </w:tcPr>
          <w:p w:rsidR="00000000" w:rsidRDefault="00705540" w:rsidP="00960E43">
            <w:r>
              <w:t>Post</w:t>
            </w:r>
          </w:p>
        </w:tc>
        <w:tc>
          <w:tcPr>
            <w:tcW w:w="6379" w:type="dxa"/>
          </w:tcPr>
          <w:p w:rsidR="00000000" w:rsidRDefault="00705540" w:rsidP="00960E43">
            <w:r>
              <w:t>Formål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Kroner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800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Barne- og familiedepartementet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21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Spesielle driftsutgifter,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148 000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9 410 000 til kr 9 262 </w:t>
            </w:r>
            <w:r>
              <w:t>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841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Samliv og konfliktløysing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23</w:t>
            </w:r>
          </w:p>
        </w:tc>
        <w:tc>
          <w:tcPr>
            <w:tcW w:w="6379" w:type="dxa"/>
          </w:tcPr>
          <w:p w:rsidR="00000000" w:rsidRDefault="00705540" w:rsidP="00960E43">
            <w:r>
              <w:t>Refusjon av utgifter til DNA-analysar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 xml:space="preserve">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1 113 000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5 813 000 til kr 4 700 000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843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Adopsjonsstønad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70</w:t>
            </w:r>
          </w:p>
        </w:tc>
        <w:tc>
          <w:tcPr>
            <w:tcW w:w="6379" w:type="dxa"/>
          </w:tcPr>
          <w:p w:rsidR="00000000" w:rsidRDefault="00705540" w:rsidP="00960E43">
            <w:r>
              <w:t>Tilskot til foreldre som adopterer barn frå utlandet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900 000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12 525 000 til kr 11 625 000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845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Barnetrygd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70</w:t>
            </w:r>
          </w:p>
        </w:tc>
        <w:tc>
          <w:tcPr>
            <w:tcW w:w="6379" w:type="dxa"/>
          </w:tcPr>
          <w:p w:rsidR="00000000" w:rsidRDefault="00705540" w:rsidP="00960E43">
            <w:r>
              <w:t>Tilskot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40 000 000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15 790 000 000 til kr 15 750 000 000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854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Tiltak i barne- og ungdomsvernet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21</w:t>
            </w:r>
          </w:p>
        </w:tc>
        <w:tc>
          <w:tcPr>
            <w:tcW w:w="6379" w:type="dxa"/>
          </w:tcPr>
          <w:p w:rsidR="00000000" w:rsidRDefault="00705540" w:rsidP="00960E43">
            <w:r>
              <w:t>Spesielle driftsutgifter</w:t>
            </w:r>
            <w:r>
              <w:rPr>
                <w:rStyle w:val="kursiv"/>
                <w:sz w:val="21"/>
                <w:szCs w:val="21"/>
              </w:rPr>
              <w:t>, kan nyttast under post 71</w:t>
            </w:r>
            <w:r>
              <w:t xml:space="preserve">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14 600 000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87 271 000 til kr 72 671 000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22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Barnesakkunnig kommisjon,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8 194 000 til kr 7 194 000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45</w:t>
            </w:r>
          </w:p>
        </w:tc>
        <w:tc>
          <w:tcPr>
            <w:tcW w:w="6379" w:type="dxa"/>
          </w:tcPr>
          <w:p w:rsidR="00000000" w:rsidRDefault="00705540" w:rsidP="00960E43">
            <w:r>
              <w:t>Stør</w:t>
            </w:r>
            <w:r>
              <w:t>re utstyrsanskaffingar og vedlikehald</w:t>
            </w:r>
            <w:r>
              <w:rPr>
                <w:rStyle w:val="kursiv"/>
                <w:sz w:val="21"/>
                <w:szCs w:val="21"/>
              </w:rPr>
              <w:t>, kan overførast</w:t>
            </w:r>
            <w:r>
              <w:t xml:space="preserve">, </w:t>
            </w:r>
            <w:r>
              <w:br/>
              <w:t xml:space="preserve">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6 200 000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25 500 000 til kr 19 300 000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856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Barnevernets omsorgssenter for einslege, mindreårige asylsøkjarar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01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Driftsutgifter,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4 000 000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 </w:t>
            </w:r>
            <w:r>
              <w:t>143 391 000 til kr 139 391 000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858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Barne-, ungdoms- og familiedirektoratet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01</w:t>
            </w:r>
          </w:p>
        </w:tc>
        <w:tc>
          <w:tcPr>
            <w:tcW w:w="6379" w:type="dxa"/>
          </w:tcPr>
          <w:p w:rsidR="00000000" w:rsidRDefault="00705540" w:rsidP="00960E43">
            <w:r>
              <w:t>Driftsutgifter</w:t>
            </w:r>
            <w:r>
              <w:rPr>
                <w:rStyle w:val="kursiv"/>
                <w:sz w:val="21"/>
                <w:szCs w:val="21"/>
              </w:rPr>
              <w:t>, kan nyttast under kap. 855 post 01</w:t>
            </w:r>
            <w:r>
              <w:t xml:space="preserve">, forhøyes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6 200 000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 283 389 000 til kr 289 589 000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880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Den norske kyrkja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70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Rammetilskot til Den norske kyrkja, forhøyes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70 000 000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2 184 900 000 til kr 2 254 900 000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882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Kyrkjebygg og gravplassar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61</w:t>
            </w:r>
          </w:p>
        </w:tc>
        <w:tc>
          <w:tcPr>
            <w:tcW w:w="6379" w:type="dxa"/>
          </w:tcPr>
          <w:p w:rsidR="00000000" w:rsidRDefault="00705540" w:rsidP="00960E43">
            <w:r>
              <w:t>Tilskot til fredete og verneverdige kyrkjebygg</w:t>
            </w:r>
            <w:r>
              <w:rPr>
                <w:rStyle w:val="kursiv"/>
                <w:sz w:val="21"/>
                <w:szCs w:val="21"/>
              </w:rPr>
              <w:t>, kan overførast</w:t>
            </w:r>
            <w:r>
              <w:t xml:space="preserve">, </w:t>
            </w:r>
            <w:r>
              <w:br/>
              <w:t xml:space="preserve">forhøyes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13 800 000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20 000 </w:t>
            </w:r>
            <w:r>
              <w:t>000 til kr 33 800 000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70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Tilskot til sentrale tiltak for kyrkjebygg og gravplassar, </w:t>
            </w:r>
            <w:r>
              <w:br/>
              <w:t xml:space="preserve">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14 600 000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37 300 000 til kr 22 700 000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2530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Foreldrepengar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70</w:t>
            </w:r>
          </w:p>
        </w:tc>
        <w:tc>
          <w:tcPr>
            <w:tcW w:w="6379" w:type="dxa"/>
          </w:tcPr>
          <w:p w:rsidR="00000000" w:rsidRDefault="00705540" w:rsidP="00960E43">
            <w:r>
              <w:t>Foreldrepengar ved fødsel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forhøyes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380 000 000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18 480 000 000 til kr 18 860 000 000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62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71</w:t>
            </w:r>
          </w:p>
        </w:tc>
        <w:tc>
          <w:tcPr>
            <w:tcW w:w="6379" w:type="dxa"/>
          </w:tcPr>
          <w:p w:rsidR="00000000" w:rsidRDefault="00705540" w:rsidP="00960E43">
            <w:r>
              <w:t>Eingongsstønad ved fødsel og adopsjon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 xml:space="preserve">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50 000 000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 860 000 000 til kr 810 000 000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73</w:t>
            </w:r>
          </w:p>
        </w:tc>
        <w:tc>
          <w:tcPr>
            <w:tcW w:w="6379" w:type="dxa"/>
          </w:tcPr>
          <w:p w:rsidR="00000000" w:rsidRDefault="00705540" w:rsidP="00960E43">
            <w:r>
              <w:t>Foreldrepengar ved adopsjon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7 000 000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56 000 000 til kr 49 000 000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</w:tbl>
    <w:p w:rsidR="00000000" w:rsidRDefault="00705540" w:rsidP="00960E43">
      <w:pPr>
        <w:pStyle w:val="a-vedtak-tekst"/>
        <w:rPr>
          <w:lang w:val="nn-NO"/>
        </w:rPr>
      </w:pPr>
      <w:r>
        <w:rPr>
          <w:lang w:val="nn-NO"/>
        </w:rPr>
        <w:t>Inntekter:</w:t>
      </w:r>
    </w:p>
    <w:p w:rsidR="00000000" w:rsidRDefault="00705540" w:rsidP="00960E43">
      <w:pPr>
        <w:pStyle w:val="Tabellnavn"/>
      </w:pPr>
      <w:r>
        <w:t>04N1xx2</w:t>
      </w:r>
    </w:p>
    <w:tbl>
      <w:tblPr>
        <w:tblStyle w:val="StandardTabell"/>
        <w:tblW w:w="9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6379"/>
        <w:gridCol w:w="1403"/>
      </w:tblGrid>
      <w:tr w:rsidR="00000000" w:rsidTr="00960E43">
        <w:trPr>
          <w:trHeight w:val="360"/>
        </w:trPr>
        <w:tc>
          <w:tcPr>
            <w:tcW w:w="709" w:type="dxa"/>
            <w:shd w:val="clear" w:color="auto" w:fill="FFFFFF"/>
          </w:tcPr>
          <w:p w:rsidR="00000000" w:rsidRDefault="00705540" w:rsidP="00960E43">
            <w:r>
              <w:lastRenderedPageBreak/>
              <w:t>Kap.</w:t>
            </w:r>
          </w:p>
        </w:tc>
        <w:tc>
          <w:tcPr>
            <w:tcW w:w="709" w:type="dxa"/>
          </w:tcPr>
          <w:p w:rsidR="00000000" w:rsidRDefault="00705540" w:rsidP="00960E43">
            <w:r>
              <w:t>Post</w:t>
            </w:r>
          </w:p>
        </w:tc>
        <w:tc>
          <w:tcPr>
            <w:tcW w:w="6379" w:type="dxa"/>
          </w:tcPr>
          <w:p w:rsidR="00000000" w:rsidRDefault="00705540" w:rsidP="00960E43">
            <w:r>
              <w:t>Formål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Kroner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3855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Statleg forvalting av barnevernet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60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Kommunale eigendelar,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47 000 000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 1 487 256 000 til kr 1 440 256 000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>
            <w:r>
              <w:t>3856</w:t>
            </w:r>
          </w:p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Barnevernets omsorgssenter for einslege, mindreårige asylsøkjarar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>
            <w:r>
              <w:t>04</w:t>
            </w:r>
          </w:p>
        </w:tc>
        <w:tc>
          <w:tcPr>
            <w:tcW w:w="6379" w:type="dxa"/>
          </w:tcPr>
          <w:p w:rsidR="00000000" w:rsidRDefault="00705540" w:rsidP="00960E43">
            <w:r>
              <w:t xml:space="preserve">Refusjon av ODA-godkjende utgifter, nedsettes med </w:t>
            </w:r>
            <w:r>
              <w:tab/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  <w:r>
              <w:t>4 405 000</w:t>
            </w:r>
          </w:p>
        </w:tc>
      </w:tr>
      <w:tr w:rsidR="00000000" w:rsidTr="00960E43">
        <w:trPr>
          <w:trHeight w:val="380"/>
        </w:trPr>
        <w:tc>
          <w:tcPr>
            <w:tcW w:w="709" w:type="dxa"/>
          </w:tcPr>
          <w:p w:rsidR="00000000" w:rsidRDefault="00705540" w:rsidP="00960E43"/>
        </w:tc>
        <w:tc>
          <w:tcPr>
            <w:tcW w:w="709" w:type="dxa"/>
          </w:tcPr>
          <w:p w:rsidR="00000000" w:rsidRDefault="00705540" w:rsidP="00960E43"/>
        </w:tc>
        <w:tc>
          <w:tcPr>
            <w:tcW w:w="6379" w:type="dxa"/>
          </w:tcPr>
          <w:p w:rsidR="00000000" w:rsidRDefault="00705540" w:rsidP="00960E43">
            <w:r>
              <w:t>fra kr 110 127 000 til kr 105 722 000</w:t>
            </w:r>
          </w:p>
        </w:tc>
        <w:tc>
          <w:tcPr>
            <w:tcW w:w="1403" w:type="dxa"/>
          </w:tcPr>
          <w:p w:rsidR="00000000" w:rsidRDefault="00705540" w:rsidP="00960E43">
            <w:pPr>
              <w:jc w:val="right"/>
            </w:pPr>
          </w:p>
        </w:tc>
      </w:tr>
    </w:tbl>
    <w:p w:rsidR="00000000" w:rsidRDefault="00705540" w:rsidP="00960E43">
      <w:pPr>
        <w:rPr>
          <w:lang w:val="nn-NO"/>
        </w:rPr>
      </w:pP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5540">
      <w:pPr>
        <w:spacing w:after="0" w:line="240" w:lineRule="auto"/>
      </w:pPr>
      <w:r>
        <w:separator/>
      </w:r>
    </w:p>
  </w:endnote>
  <w:endnote w:type="continuationSeparator" w:id="0">
    <w:p w:rsidR="00000000" w:rsidRDefault="0070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 w:rsidP="00960E43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705540">
      <w:rPr>
        <w:noProof/>
      </w:rPr>
      <w:t>1</w:t>
    </w:r>
    <w:r>
      <w:fldChar w:fldCharType="end"/>
    </w:r>
    <w:r>
      <w:t xml:space="preserve"> av </w:t>
    </w:r>
    <w:fldSimple w:instr=" NUMPAGES  ">
      <w:r w:rsidR="00705540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5540">
      <w:pPr>
        <w:spacing w:after="0" w:line="240" w:lineRule="auto"/>
      </w:pPr>
      <w:r>
        <w:separator/>
      </w:r>
    </w:p>
  </w:footnote>
  <w:footnote w:type="continuationSeparator" w:id="0">
    <w:p w:rsidR="00000000" w:rsidRDefault="0070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43" w:rsidRDefault="00960E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DA3BD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BAB3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CA565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7AD72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A2D4382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15D83EA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embedSystemFonts/>
  <w:bordersDoNotSurroundHeader/>
  <w:bordersDoNotSurroundFooter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960E43"/>
    <w:rsid w:val="00705540"/>
    <w:rsid w:val="009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AA068C"/>
  <w14:defaultImageDpi w14:val="0"/>
  <w15:docId w15:val="{C833043C-B932-4936-9E83-5F261DA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43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960E43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960E43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960E43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960E43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960E43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960E43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960E43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960E43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960E43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960E4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960E43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960E43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960E43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960E43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960E43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960E43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960E43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960E43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960E4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960E43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960E43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960E43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960E43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960E43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960E43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960E43"/>
  </w:style>
  <w:style w:type="paragraph" w:customStyle="1" w:styleId="Def">
    <w:name w:val="Def"/>
    <w:basedOn w:val="hengende-innrykk"/>
    <w:rsid w:val="00960E4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960E43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960E43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960E43"/>
  </w:style>
  <w:style w:type="paragraph" w:customStyle="1" w:styleId="figur-noter">
    <w:name w:val="figur-noter"/>
    <w:basedOn w:val="Normal"/>
    <w:next w:val="Normal"/>
    <w:rsid w:val="00960E4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960E43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960E43"/>
    <w:rPr>
      <w:sz w:val="20"/>
    </w:rPr>
  </w:style>
  <w:style w:type="character" w:customStyle="1" w:styleId="FotnotetekstTegn">
    <w:name w:val="Fotnotetekst Tegn"/>
    <w:link w:val="Fotnotetekst"/>
    <w:rsid w:val="00960E43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960E43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960E43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960E43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960E43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960E43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960E43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960E43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960E43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960E43"/>
  </w:style>
  <w:style w:type="paragraph" w:customStyle="1" w:styleId="Kilde">
    <w:name w:val="Kilde"/>
    <w:basedOn w:val="Normal"/>
    <w:next w:val="Normal"/>
    <w:rsid w:val="00960E43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960E43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960E43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960E43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960E43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960E43"/>
    <w:pPr>
      <w:spacing w:after="0"/>
    </w:pPr>
  </w:style>
  <w:style w:type="paragraph" w:customStyle="1" w:styleId="l-tit-endr-avsnitt">
    <w:name w:val="l-tit-endr-avsnitt"/>
    <w:basedOn w:val="l-tit-endr-lovkap"/>
    <w:qFormat/>
    <w:rsid w:val="00960E43"/>
  </w:style>
  <w:style w:type="paragraph" w:customStyle="1" w:styleId="l-tit-endr-ledd">
    <w:name w:val="l-tit-endr-ledd"/>
    <w:basedOn w:val="Normal"/>
    <w:qFormat/>
    <w:rsid w:val="00960E4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960E4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960E4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960E4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960E43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960E43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960E43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960E43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960E43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960E43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960E43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960E43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960E43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960E43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960E43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960E43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960E43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960E43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960E4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960E43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960E4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960E43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960E4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960E4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960E43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960E43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960E43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960E43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960E43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960E43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960E43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960E43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960E43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960E43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960E43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960E43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960E43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960E43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960E43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960E43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960E43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960E43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960E43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960E43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960E43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960E43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960E43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960E43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960E43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960E43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960E43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960E43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960E43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960E43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960E43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960E43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960E43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960E43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960E43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960E43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960E43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960E43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960E43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960E43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960E43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960E43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960E43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960E43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960E43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960E43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960E43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960E43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960E43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960E43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960E43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960E43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960E43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960E43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960E43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960E43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960E43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960E43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960E43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960E43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960E4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960E43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960E43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960E43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960E43"/>
    <w:rPr>
      <w:vertAlign w:val="superscript"/>
    </w:rPr>
  </w:style>
  <w:style w:type="character" w:customStyle="1" w:styleId="gjennomstreket">
    <w:name w:val="gjennomstreket"/>
    <w:uiPriority w:val="1"/>
    <w:rsid w:val="00960E43"/>
    <w:rPr>
      <w:strike/>
      <w:dstrike w:val="0"/>
    </w:rPr>
  </w:style>
  <w:style w:type="character" w:customStyle="1" w:styleId="halvfet0">
    <w:name w:val="halvfet"/>
    <w:rsid w:val="00960E43"/>
    <w:rPr>
      <w:b/>
    </w:rPr>
  </w:style>
  <w:style w:type="character" w:styleId="Hyperkobling">
    <w:name w:val="Hyperlink"/>
    <w:uiPriority w:val="99"/>
    <w:unhideWhenUsed/>
    <w:rsid w:val="00960E43"/>
    <w:rPr>
      <w:color w:val="0000FF"/>
      <w:u w:val="single"/>
    </w:rPr>
  </w:style>
  <w:style w:type="character" w:customStyle="1" w:styleId="kursiv">
    <w:name w:val="kursiv"/>
    <w:rsid w:val="00960E43"/>
    <w:rPr>
      <w:i/>
    </w:rPr>
  </w:style>
  <w:style w:type="character" w:customStyle="1" w:styleId="l-endring">
    <w:name w:val="l-endring"/>
    <w:rsid w:val="00960E43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960E43"/>
  </w:style>
  <w:style w:type="character" w:styleId="Plassholdertekst">
    <w:name w:val="Placeholder Text"/>
    <w:uiPriority w:val="99"/>
    <w:rsid w:val="00960E43"/>
    <w:rPr>
      <w:color w:val="808080"/>
    </w:rPr>
  </w:style>
  <w:style w:type="character" w:customStyle="1" w:styleId="regular">
    <w:name w:val="regular"/>
    <w:uiPriority w:val="1"/>
    <w:qFormat/>
    <w:rsid w:val="00960E43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960E43"/>
    <w:rPr>
      <w:vertAlign w:val="superscript"/>
    </w:rPr>
  </w:style>
  <w:style w:type="character" w:customStyle="1" w:styleId="skrift-senket">
    <w:name w:val="skrift-senket"/>
    <w:rsid w:val="00960E43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960E43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960E43"/>
    <w:rPr>
      <w:spacing w:val="30"/>
    </w:rPr>
  </w:style>
  <w:style w:type="character" w:customStyle="1" w:styleId="SterktsitatTegn">
    <w:name w:val="Sterkt sitat Tegn"/>
    <w:link w:val="Sterktsitat"/>
    <w:uiPriority w:val="30"/>
    <w:rsid w:val="00960E43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960E43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960E43"/>
    <w:rPr>
      <w:b/>
      <w:bCs/>
    </w:rPr>
  </w:style>
  <w:style w:type="character" w:customStyle="1" w:styleId="TopptekstTegn">
    <w:name w:val="Topptekst Tegn"/>
    <w:link w:val="Topptekst"/>
    <w:rsid w:val="00960E43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960E43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960E43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960E43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960E43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960E43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960E43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960E43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960E43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960E43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960E4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960E4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960E4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960E4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960E43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960E43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960E43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960E43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960E43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960E43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960E43"/>
    <w:rPr>
      <w:sz w:val="16"/>
    </w:rPr>
  </w:style>
  <w:style w:type="paragraph" w:styleId="Merknadstekst">
    <w:name w:val="annotation text"/>
    <w:basedOn w:val="Normal"/>
    <w:link w:val="MerknadstekstTegn"/>
    <w:rsid w:val="00960E43"/>
    <w:rPr>
      <w:spacing w:val="0"/>
      <w:sz w:val="20"/>
    </w:rPr>
  </w:style>
  <w:style w:type="character" w:customStyle="1" w:styleId="MerknadstekstTegn">
    <w:name w:val="Merknadstekst Tegn"/>
    <w:link w:val="Merknadstekst"/>
    <w:rsid w:val="00960E43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960E43"/>
    <w:pPr>
      <w:spacing w:after="0"/>
      <w:ind w:left="284" w:hanging="284"/>
    </w:pPr>
  </w:style>
  <w:style w:type="paragraph" w:styleId="Punktliste2">
    <w:name w:val="List Bullet 2"/>
    <w:basedOn w:val="Normal"/>
    <w:rsid w:val="00960E43"/>
    <w:pPr>
      <w:spacing w:after="0"/>
      <w:ind w:left="568" w:hanging="284"/>
    </w:pPr>
  </w:style>
  <w:style w:type="paragraph" w:styleId="Punktliste3">
    <w:name w:val="List Bullet 3"/>
    <w:basedOn w:val="Normal"/>
    <w:rsid w:val="00960E43"/>
    <w:pPr>
      <w:spacing w:after="0"/>
      <w:ind w:left="851" w:hanging="284"/>
    </w:pPr>
  </w:style>
  <w:style w:type="paragraph" w:styleId="Punktliste4">
    <w:name w:val="List Bullet 4"/>
    <w:basedOn w:val="Normal"/>
    <w:rsid w:val="00960E43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960E43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960E4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960E43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960E43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60E43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60E4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60E4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60E4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60E4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960E43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60E43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60E43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60E4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960E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960E43"/>
  </w:style>
  <w:style w:type="character" w:styleId="Sluttnotereferanse">
    <w:name w:val="endnote reference"/>
    <w:uiPriority w:val="99"/>
    <w:semiHidden/>
    <w:unhideWhenUsed/>
    <w:rsid w:val="00960E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60E43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60E43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60E4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960E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960E43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960E43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960E4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960E4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960E43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960E43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960E4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60E4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60E4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60E4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60E4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960E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960E43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60E43"/>
  </w:style>
  <w:style w:type="character" w:customStyle="1" w:styleId="InnledendehilsenTegn">
    <w:name w:val="Innledende hilsen Tegn"/>
    <w:link w:val="Innledendehilsen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960E43"/>
  </w:style>
  <w:style w:type="character" w:customStyle="1" w:styleId="DatoTegn1">
    <w:name w:val="Dato Tegn1"/>
    <w:basedOn w:val="Standardskriftforavsnitt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60E43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960E43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960E43"/>
    <w:rPr>
      <w:color w:val="800080"/>
      <w:u w:val="single"/>
    </w:rPr>
  </w:style>
  <w:style w:type="character" w:styleId="Utheving">
    <w:name w:val="Emphasis"/>
    <w:uiPriority w:val="20"/>
    <w:qFormat/>
    <w:rsid w:val="00960E43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960E4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960E43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60E43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960E43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60E43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960E43"/>
    <w:rPr>
      <w:szCs w:val="24"/>
    </w:rPr>
  </w:style>
  <w:style w:type="character" w:styleId="HTML-akronym">
    <w:name w:val="HTML Acronym"/>
    <w:uiPriority w:val="99"/>
    <w:semiHidden/>
    <w:unhideWhenUsed/>
    <w:rsid w:val="00960E43"/>
  </w:style>
  <w:style w:type="paragraph" w:styleId="HTML-adresse">
    <w:name w:val="HTML Address"/>
    <w:basedOn w:val="Normal"/>
    <w:link w:val="HTML-adresseTegn"/>
    <w:uiPriority w:val="99"/>
    <w:semiHidden/>
    <w:unhideWhenUsed/>
    <w:rsid w:val="00960E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960E43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960E43"/>
    <w:rPr>
      <w:i/>
      <w:iCs/>
    </w:rPr>
  </w:style>
  <w:style w:type="character" w:styleId="HTML-kode">
    <w:name w:val="HTML Code"/>
    <w:uiPriority w:val="99"/>
    <w:semiHidden/>
    <w:unhideWhenUsed/>
    <w:rsid w:val="00960E43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960E43"/>
    <w:rPr>
      <w:i/>
      <w:iCs/>
    </w:rPr>
  </w:style>
  <w:style w:type="character" w:styleId="HTML-tastatur">
    <w:name w:val="HTML Keyboard"/>
    <w:uiPriority w:val="99"/>
    <w:semiHidden/>
    <w:unhideWhenUsed/>
    <w:rsid w:val="00960E4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60E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960E43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960E43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960E43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960E4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60E43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960E43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60E43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960E43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960E43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0E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960E43"/>
    <w:rPr>
      <w:rFonts w:ascii="Times New Roman" w:eastAsia="Times New Roman" w:hAnsi="Times New Roman"/>
      <w:i/>
      <w:iCs/>
      <w:color w:val="5B9BD5" w:themeColor="accent1"/>
      <w:spacing w:val="4"/>
      <w:sz w:val="24"/>
    </w:rPr>
  </w:style>
  <w:style w:type="character" w:styleId="Svakutheving">
    <w:name w:val="Subtle Emphasis"/>
    <w:uiPriority w:val="19"/>
    <w:qFormat/>
    <w:rsid w:val="00960E43"/>
    <w:rPr>
      <w:i/>
      <w:iCs/>
      <w:color w:val="808080"/>
    </w:rPr>
  </w:style>
  <w:style w:type="character" w:styleId="Sterkutheving">
    <w:name w:val="Intense Emphasis"/>
    <w:uiPriority w:val="21"/>
    <w:qFormat/>
    <w:rsid w:val="00960E43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960E43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960E43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960E4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960E43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60E43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960E43"/>
    <w:pPr>
      <w:numPr>
        <w:numId w:val="10"/>
      </w:numPr>
    </w:pPr>
  </w:style>
  <w:style w:type="numbering" w:customStyle="1" w:styleId="NrListeStil">
    <w:name w:val="NrListeStil"/>
    <w:uiPriority w:val="99"/>
    <w:rsid w:val="00960E43"/>
    <w:pPr>
      <w:numPr>
        <w:numId w:val="11"/>
      </w:numPr>
    </w:pPr>
  </w:style>
  <w:style w:type="numbering" w:customStyle="1" w:styleId="RomListeStil">
    <w:name w:val="RomListeStil"/>
    <w:uiPriority w:val="99"/>
    <w:rsid w:val="00960E43"/>
    <w:pPr>
      <w:numPr>
        <w:numId w:val="12"/>
      </w:numPr>
    </w:pPr>
  </w:style>
  <w:style w:type="numbering" w:customStyle="1" w:styleId="StrekListeStil">
    <w:name w:val="StrekListeStil"/>
    <w:uiPriority w:val="99"/>
    <w:rsid w:val="00960E43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960E43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960E43"/>
    <w:pPr>
      <w:numPr>
        <w:numId w:val="15"/>
      </w:numPr>
    </w:pPr>
  </w:style>
  <w:style w:type="numbering" w:customStyle="1" w:styleId="l-AlfaListeStil">
    <w:name w:val="l-AlfaListeStil"/>
    <w:uiPriority w:val="99"/>
    <w:rsid w:val="00960E43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960E43"/>
    <w:pPr>
      <w:numPr>
        <w:numId w:val="17"/>
      </w:numPr>
    </w:pPr>
  </w:style>
  <w:style w:type="numbering" w:customStyle="1" w:styleId="l-ListeStilMal">
    <w:name w:val="l-ListeStilMal"/>
    <w:uiPriority w:val="99"/>
    <w:rsid w:val="00960E43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960E43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960E43"/>
  </w:style>
  <w:style w:type="character" w:customStyle="1" w:styleId="BrdtekstTegn">
    <w:name w:val="Brødtekst Tegn"/>
    <w:link w:val="Brdtekst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60E43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60E43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60E43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60E43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60E43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960E43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60E43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960E43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60E4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960E43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960E43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960E43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960E43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960E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960E43"/>
  </w:style>
  <w:style w:type="paragraph" w:customStyle="1" w:styleId="tbl2LinjeSumBold">
    <w:name w:val="tbl2LinjeSumBold"/>
    <w:basedOn w:val="tblRad"/>
    <w:rsid w:val="00960E43"/>
    <w:rPr>
      <w:b/>
    </w:rPr>
  </w:style>
  <w:style w:type="paragraph" w:customStyle="1" w:styleId="tblDelsum1">
    <w:name w:val="tblDelsum1"/>
    <w:basedOn w:val="tblRad"/>
    <w:rsid w:val="00960E43"/>
    <w:rPr>
      <w:i/>
    </w:rPr>
  </w:style>
  <w:style w:type="paragraph" w:customStyle="1" w:styleId="tblDelsum1-Kapittel">
    <w:name w:val="tblDelsum1 - Kapittel"/>
    <w:basedOn w:val="tblDelsum1"/>
    <w:rsid w:val="00960E43"/>
    <w:pPr>
      <w:keepNext w:val="0"/>
    </w:pPr>
  </w:style>
  <w:style w:type="paragraph" w:customStyle="1" w:styleId="tblDelsum2">
    <w:name w:val="tblDelsum2"/>
    <w:basedOn w:val="tblRad"/>
    <w:rsid w:val="00960E43"/>
    <w:rPr>
      <w:b/>
      <w:i/>
    </w:rPr>
  </w:style>
  <w:style w:type="paragraph" w:customStyle="1" w:styleId="tblDelsum2-Kapittel">
    <w:name w:val="tblDelsum2 - Kapittel"/>
    <w:basedOn w:val="tblDelsum2"/>
    <w:rsid w:val="00960E43"/>
    <w:pPr>
      <w:keepNext w:val="0"/>
    </w:pPr>
  </w:style>
  <w:style w:type="paragraph" w:customStyle="1" w:styleId="tblTabelloverskrift">
    <w:name w:val="tblTabelloverskrift"/>
    <w:rsid w:val="00960E43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960E43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960E43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960E43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960E43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960E43"/>
    <w:pPr>
      <w:spacing w:after="0"/>
    </w:pPr>
  </w:style>
  <w:style w:type="paragraph" w:customStyle="1" w:styleId="tblOverskrift-Vedtak">
    <w:name w:val="tblOverskrift - Vedtak"/>
    <w:basedOn w:val="tblRad"/>
    <w:rsid w:val="00960E43"/>
    <w:pPr>
      <w:spacing w:before="360"/>
      <w:jc w:val="center"/>
    </w:pPr>
  </w:style>
  <w:style w:type="paragraph" w:customStyle="1" w:styleId="tblRadBold">
    <w:name w:val="tblRadBold"/>
    <w:basedOn w:val="tblRad"/>
    <w:rsid w:val="00960E43"/>
    <w:rPr>
      <w:b/>
    </w:rPr>
  </w:style>
  <w:style w:type="paragraph" w:customStyle="1" w:styleId="tblRadItalic">
    <w:name w:val="tblRadItalic"/>
    <w:basedOn w:val="tblRad"/>
    <w:rsid w:val="00960E43"/>
    <w:rPr>
      <w:i/>
    </w:rPr>
  </w:style>
  <w:style w:type="paragraph" w:customStyle="1" w:styleId="tblRadItalicSiste">
    <w:name w:val="tblRadItalicSiste"/>
    <w:basedOn w:val="tblRadItalic"/>
    <w:rsid w:val="00960E43"/>
  </w:style>
  <w:style w:type="paragraph" w:customStyle="1" w:styleId="tblRadMedLuft">
    <w:name w:val="tblRadMedLuft"/>
    <w:basedOn w:val="tblRad"/>
    <w:rsid w:val="00960E43"/>
    <w:pPr>
      <w:spacing w:before="120"/>
    </w:pPr>
  </w:style>
  <w:style w:type="paragraph" w:customStyle="1" w:styleId="tblRadMedLuftSiste">
    <w:name w:val="tblRadMedLuftSiste"/>
    <w:basedOn w:val="tblRadMedLuft"/>
    <w:rsid w:val="00960E43"/>
    <w:pPr>
      <w:spacing w:after="120"/>
    </w:pPr>
  </w:style>
  <w:style w:type="paragraph" w:customStyle="1" w:styleId="tblRadMedLuftSiste-Vedtak">
    <w:name w:val="tblRadMedLuftSiste - Vedtak"/>
    <w:basedOn w:val="tblRadMedLuftSiste"/>
    <w:rsid w:val="00960E43"/>
    <w:pPr>
      <w:keepNext w:val="0"/>
    </w:pPr>
  </w:style>
  <w:style w:type="paragraph" w:customStyle="1" w:styleId="tblRadSiste">
    <w:name w:val="tblRadSiste"/>
    <w:basedOn w:val="tblRad"/>
    <w:rsid w:val="00960E43"/>
  </w:style>
  <w:style w:type="paragraph" w:customStyle="1" w:styleId="tblSluttsum">
    <w:name w:val="tblSluttsum"/>
    <w:basedOn w:val="tblRad"/>
    <w:rsid w:val="00960E43"/>
    <w:pPr>
      <w:spacing w:before="120"/>
    </w:pPr>
    <w:rPr>
      <w:b/>
      <w:i/>
    </w:rPr>
  </w:style>
  <w:style w:type="paragraph" w:styleId="Sitat0">
    <w:name w:val="Quote"/>
    <w:basedOn w:val="Normal"/>
    <w:next w:val="Normal"/>
    <w:link w:val="SitatTegn1"/>
    <w:uiPriority w:val="29"/>
    <w:qFormat/>
    <w:rsid w:val="00960E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960E43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FF2B-C720-4374-8FB0-85640EFB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7</Pages>
  <Words>2177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2019-11-20T16:33:00Z</dcterms:created>
  <dcterms:modified xsi:type="dcterms:W3CDTF">2019-11-20T16:33:00Z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2019-11-20T16:33:21.2260218Z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aa86c975-a2a4-42bb-a3bb-86eb23d927a5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