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0002" w14:textId="5C8A272B" w:rsidR="00575AC3" w:rsidRPr="006D40F0" w:rsidRDefault="00DB1359" w:rsidP="00D74A52">
      <w:pPr>
        <w:pStyle w:val="is-dep"/>
      </w:pPr>
      <w:r w:rsidRPr="006D40F0">
        <w:t>Finansdepartementet</w:t>
      </w:r>
    </w:p>
    <w:p w14:paraId="67CD1149" w14:textId="77777777" w:rsidR="00575AC3" w:rsidRPr="006D40F0" w:rsidRDefault="00575AC3" w:rsidP="006D40F0">
      <w:pPr>
        <w:pStyle w:val="i-hode"/>
      </w:pPr>
      <w:r w:rsidRPr="006D40F0">
        <w:t>Prop. 104 S</w:t>
      </w:r>
    </w:p>
    <w:p w14:paraId="411CFF14" w14:textId="77777777" w:rsidR="00575AC3" w:rsidRPr="006D40F0" w:rsidRDefault="00575AC3" w:rsidP="006D40F0">
      <w:pPr>
        <w:pStyle w:val="i-sesjon"/>
      </w:pPr>
      <w:r w:rsidRPr="006D40F0">
        <w:t>(2023–2024)</w:t>
      </w:r>
    </w:p>
    <w:p w14:paraId="107268C7" w14:textId="77777777" w:rsidR="00575AC3" w:rsidRPr="006D40F0" w:rsidRDefault="00575AC3" w:rsidP="006D40F0">
      <w:pPr>
        <w:pStyle w:val="i-hode-tit"/>
      </w:pPr>
      <w:r w:rsidRPr="006D40F0">
        <w:t>Proposisjon til Stortinget (forslag til stortingsvedtak)</w:t>
      </w:r>
    </w:p>
    <w:p w14:paraId="102A4ADA" w14:textId="0381C847" w:rsidR="00575AC3" w:rsidRPr="006D40F0" w:rsidRDefault="00575AC3" w:rsidP="006D40F0">
      <w:pPr>
        <w:pStyle w:val="i-tit"/>
      </w:pPr>
      <w:r w:rsidRPr="006D40F0">
        <w:t xml:space="preserve">Tilleggsbevilgninger og omprioriteringer </w:t>
      </w:r>
      <w:r w:rsidR="006F5198">
        <w:br/>
      </w:r>
      <w:r w:rsidRPr="006D40F0">
        <w:t>i statsbudsjettet 2024</w:t>
      </w:r>
    </w:p>
    <w:p w14:paraId="41863548" w14:textId="4E7F5C1E" w:rsidR="00575AC3" w:rsidRPr="006D40F0" w:rsidRDefault="00DB1359" w:rsidP="006D40F0">
      <w:pPr>
        <w:pStyle w:val="i-dep"/>
      </w:pPr>
      <w:r w:rsidRPr="006D40F0">
        <w:t>Finansdepartementet</w:t>
      </w:r>
    </w:p>
    <w:p w14:paraId="54B6EBD0" w14:textId="77777777" w:rsidR="00575AC3" w:rsidRPr="006D40F0" w:rsidRDefault="00575AC3" w:rsidP="006D40F0">
      <w:pPr>
        <w:pStyle w:val="i-hode"/>
      </w:pPr>
      <w:r w:rsidRPr="006D40F0">
        <w:t>Prop. 104 S</w:t>
      </w:r>
    </w:p>
    <w:p w14:paraId="0881708B" w14:textId="77777777" w:rsidR="00575AC3" w:rsidRPr="006D40F0" w:rsidRDefault="00575AC3" w:rsidP="006D40F0">
      <w:pPr>
        <w:pStyle w:val="i-sesjon"/>
      </w:pPr>
      <w:r w:rsidRPr="006D40F0">
        <w:t>(2023–2024)</w:t>
      </w:r>
    </w:p>
    <w:p w14:paraId="68C74023" w14:textId="77777777" w:rsidR="00575AC3" w:rsidRPr="006D40F0" w:rsidRDefault="00575AC3" w:rsidP="006D40F0">
      <w:pPr>
        <w:pStyle w:val="i-hode-tit"/>
      </w:pPr>
      <w:r w:rsidRPr="006D40F0">
        <w:t>Proposisjon til Stortinget (forslag til stortingsvedtak)</w:t>
      </w:r>
    </w:p>
    <w:p w14:paraId="3EF46F08" w14:textId="24ED00D8" w:rsidR="00575AC3" w:rsidRPr="006D40F0" w:rsidRDefault="00575AC3" w:rsidP="006D40F0">
      <w:pPr>
        <w:pStyle w:val="i-tit"/>
      </w:pPr>
      <w:r w:rsidRPr="006D40F0">
        <w:t xml:space="preserve">Tilleggsbevilgninger og omprioriteringer </w:t>
      </w:r>
      <w:r w:rsidR="006F5198">
        <w:br/>
      </w:r>
      <w:r w:rsidRPr="006D40F0">
        <w:t>i statsbudsjettet 2024</w:t>
      </w:r>
    </w:p>
    <w:p w14:paraId="42546A76" w14:textId="2A58DE19" w:rsidR="00575AC3" w:rsidRPr="006D40F0" w:rsidRDefault="00575AC3" w:rsidP="006D40F0">
      <w:pPr>
        <w:pStyle w:val="i-statsrdato"/>
      </w:pPr>
      <w:r w:rsidRPr="006D40F0">
        <w:t xml:space="preserve">Tilråding fra Finansdepartementet 14. mai 2024, </w:t>
      </w:r>
      <w:r w:rsidR="00D74A52">
        <w:br/>
      </w:r>
      <w:r w:rsidRPr="006D40F0">
        <w:t xml:space="preserve">godkjent i statsråd samme dag. </w:t>
      </w:r>
      <w:r w:rsidR="00D74A52">
        <w:br/>
      </w:r>
      <w:r w:rsidRPr="006D40F0">
        <w:t>(Regjeringen Støre)</w:t>
      </w:r>
    </w:p>
    <w:p w14:paraId="3B850191" w14:textId="77777777" w:rsidR="00575AC3" w:rsidRPr="006D40F0" w:rsidRDefault="00575AC3" w:rsidP="006D40F0">
      <w:pPr>
        <w:pStyle w:val="Overskrift1"/>
      </w:pPr>
      <w:r w:rsidRPr="006D40F0">
        <w:t>Hovedinnholdet i proposisjonen</w:t>
      </w:r>
    </w:p>
    <w:p w14:paraId="7899E333" w14:textId="77777777" w:rsidR="00575AC3" w:rsidRPr="006D40F0" w:rsidRDefault="00575AC3" w:rsidP="006D40F0">
      <w:pPr>
        <w:pStyle w:val="Overskrift2"/>
      </w:pPr>
      <w:r w:rsidRPr="006D40F0">
        <w:t>Rammer for finanspolitikken</w:t>
      </w:r>
    </w:p>
    <w:p w14:paraId="42AE1F54" w14:textId="77777777" w:rsidR="00575AC3" w:rsidRPr="006D40F0" w:rsidRDefault="00575AC3" w:rsidP="006D40F0">
      <w:r w:rsidRPr="006D40F0">
        <w:t>Regjeringens mest grunnleggende oppgave er å sikre trygghet for folk som bor i Norge. I det reviderte budsjettet for 2024 styrker vi forsvar, sikkerhet, politi og beredskap betydelig. Det er nødvendig i en urolig tid.</w:t>
      </w:r>
    </w:p>
    <w:p w14:paraId="2CF4A079" w14:textId="77777777" w:rsidR="00575AC3" w:rsidRPr="006D40F0" w:rsidRDefault="00575AC3" w:rsidP="006D40F0">
      <w:r w:rsidRPr="006D40F0">
        <w:t>Regjeringens mål er at folk skal få bedre råd. Vi styrer ansvarlig og tar tydelige valg for å ta oss trygt gjennom en tid med høy prisvekst og høye renter. Samtidig styrker vi vår felles velferd i hele landet, og fører en politikk for å få flere i arbeid og færre på trygd.</w:t>
      </w:r>
    </w:p>
    <w:p w14:paraId="3FBD1C52" w14:textId="77777777" w:rsidR="00575AC3" w:rsidRPr="006D40F0" w:rsidRDefault="00575AC3" w:rsidP="006D40F0">
      <w:r w:rsidRPr="006D40F0">
        <w:lastRenderedPageBreak/>
        <w:t>De nødvendige utgiftene er håndtert innenfor en ansvarlig økonomisk ramme. Bruken av fondsmidler holdes innenfor handlingsregelen, og tilsvarer 2,7 pst. av fondsverdien ved inngangen til året. Innenfor denne pengebruken finansieres nå vel 60 mrd. kroner knyttet til krigen i Ukrainia og konsekvensene av den.</w:t>
      </w:r>
    </w:p>
    <w:p w14:paraId="54F451E0" w14:textId="77777777" w:rsidR="00575AC3" w:rsidRPr="006D40F0" w:rsidRDefault="00575AC3" w:rsidP="006D40F0">
      <w:r w:rsidRPr="006D40F0">
        <w:t xml:space="preserve">De siste årene har Norge blitt utfordret av internasjonale kriser og uro – med pandemi, krig i Europa, prisvekst, energikrise og klimaendringer. Uroen slår inn i folks hverdagsliv og privatøkonomi, og skaper usikkerhet i næringslivet og arbeidslivet. Norsk økonomi har likevel klart seg godt gjennom en usikker periode. Etter en sterk </w:t>
      </w:r>
      <w:proofErr w:type="spellStart"/>
      <w:r w:rsidRPr="006D40F0">
        <w:t>gjeninnhenting</w:t>
      </w:r>
      <w:proofErr w:type="spellEnd"/>
      <w:r w:rsidRPr="006D40F0">
        <w:t xml:space="preserve"> ut av pandemien er veksten i økonomien svakere, men vi har ikke opplevd nedgang i verdiskapingen i fastlandsøkonomien, i motsetning til flere andre land i Europa. Prisveksten er på vei ned igjen, og arbeidsledigheten er fortsatt lav. Det er utsikter til at husholdningene får reallønnsvekst i år. Norge er nå på vei mot et vendepunkt der folk kan få økt kjøpekraft og bedre hverdagsøkonomi.</w:t>
      </w:r>
    </w:p>
    <w:p w14:paraId="3BF5E148" w14:textId="77777777" w:rsidR="00575AC3" w:rsidRPr="006D40F0" w:rsidRDefault="00575AC3" w:rsidP="006D40F0">
      <w:r w:rsidRPr="006D40F0">
        <w:t>Regjeringen vil gjennom revidert nasjonalbudsjett 2024 bidra til trygg styring i en urolig tid, og samtidig dekke utgifter som er nødvendige og som bidrar til trygghet for landet og befolkningen. Regjeringen legger handlingsregelen til grunn for budsjettpolitikken. I tråd med denne skal finanspolitikken bidra til en stabil økonomisk utvikling, både på kort og lang sikt, og brukes til å jevne ut svingninger i økonomien.</w:t>
      </w:r>
    </w:p>
    <w:p w14:paraId="62D05801" w14:textId="77777777" w:rsidR="00575AC3" w:rsidRPr="006D40F0" w:rsidRDefault="00575AC3" w:rsidP="006D40F0">
      <w:r w:rsidRPr="006D40F0">
        <w:t>En ny sikkerhetspolitisk situasjon gjør at Norge må prioritere trygghet hjemme og ute høyere enn tidligere. Innenfor ansvarlige rammer foreslår regjeringen nå derfor å øke bevilgningene til forsvar, sikkerhet, politi og beredskap betydelig. Det er nødvendig i en urolig tid. De foreslåtte endringene fra budsjettet Stortinget vedtok i fjor høst, har i stor grad sammenheng med konsekvenser av krigen i Ukraina.</w:t>
      </w:r>
    </w:p>
    <w:p w14:paraId="6DCCF7D3" w14:textId="77777777" w:rsidR="00575AC3" w:rsidRPr="006D40F0" w:rsidRDefault="00575AC3" w:rsidP="006D40F0">
      <w:r w:rsidRPr="006D40F0">
        <w:t>Regjeringen foreslår 7 mrd. kroner til økt militær og sivil støtte til Ukraina i 2024, ved å fremskynde midler innenfor Nansen-programmets rammer. Den militære støtten foreslås økt med 6 mrd. kroner og skal blant annet gå til luftvern til Ukraina, mens den sivile støtten økes med 1 mrd. kroner. Med regjeringens forslag økes årets ramme for Nansen-programmet til 22 mrd. kroner.</w:t>
      </w:r>
    </w:p>
    <w:p w14:paraId="6B4C5535" w14:textId="77777777" w:rsidR="00575AC3" w:rsidRPr="006D40F0" w:rsidRDefault="00575AC3" w:rsidP="006D40F0">
      <w:r w:rsidRPr="006D40F0">
        <w:t>Regjeringen foreslår videre 7 mrd. kroner til å øke norsk forsvarsevne. Dette inkluderer 5 mrd. kroner for å forsere oppfølgingen av langtidsplanen for forsvarssektoren som regjeringen la frem tidligere i vår, og 2 mrd. kroner for å muliggjøre økt operativ evne og aktivitet raskt.</w:t>
      </w:r>
    </w:p>
    <w:p w14:paraId="6A6DC052" w14:textId="77777777" w:rsidR="00575AC3" w:rsidRPr="006D40F0" w:rsidRDefault="00575AC3" w:rsidP="006D40F0">
      <w:r w:rsidRPr="006D40F0">
        <w:t>Regjeringens samlede forslag til økt forsvarsbudsjett innebærer at Norge vil oppnå ambisjonen om å benytte 2 pst. av BNP til forsvarsformål i 2024.</w:t>
      </w:r>
    </w:p>
    <w:p w14:paraId="0F78038D" w14:textId="77777777" w:rsidR="00575AC3" w:rsidRPr="006D40F0" w:rsidRDefault="00575AC3" w:rsidP="006D40F0">
      <w:r w:rsidRPr="006D40F0">
        <w:t>De samlede budsjettmessige konsekvensene av krigen i Ukraina anslås til vel 60 mrd. kroner i 2024, mot anslåtte om lag 44 mrd. kroner i Saldert budsjett 2024. Anslaget er usikkert og omfatter ikke nødvendigvis alle utgifter i offentlig sektor knyttet til krigen i Ukraina og konsekvensene av denne.</w:t>
      </w:r>
    </w:p>
    <w:p w14:paraId="0A2CF212" w14:textId="77777777" w:rsidR="00575AC3" w:rsidRPr="006D40F0" w:rsidRDefault="00575AC3" w:rsidP="006D40F0">
      <w:r w:rsidRPr="006D40F0">
        <w:t>Ifølge politiets trusselvurdering for 2024 har trusselen fra organisert kriminalitet i Europa aldri vært større. Regjeringen er i gang med å styrke innsatsen mot gjengkriminalitet og narkotikasmugling. Regjeringen foreslår 1,9 mrd. kroner til politiet og Politiets sikkerhetstjeneste. Regjeringen foreslår også å styrke Tolletaten gjennom flere tollere på vakt og nytt kontrollutstyr.</w:t>
      </w:r>
    </w:p>
    <w:p w14:paraId="794F58B4" w14:textId="77777777" w:rsidR="00575AC3" w:rsidRPr="006D40F0" w:rsidRDefault="00575AC3" w:rsidP="006D40F0">
      <w:r w:rsidRPr="006D40F0">
        <w:lastRenderedPageBreak/>
        <w:t>Ventetidene i norske sykehus har økt siden 2017, og stort etterslep etter pandemien og økte kostnader har hatt konsekvenser for sykehusene. Regjeringen foreslår økt bevilgning til sykehusene for å bedre sykehusøkonomien og for å bidra til å redusere ventetidene.</w:t>
      </w:r>
    </w:p>
    <w:p w14:paraId="740AEC1F" w14:textId="77777777" w:rsidR="00575AC3" w:rsidRPr="006D40F0" w:rsidRDefault="00575AC3" w:rsidP="006D40F0">
      <w:r w:rsidRPr="006D40F0">
        <w:t>Andre endringer siden i høst har isolert sett styrket budsjettet, og svekkelsen av budsjettbalansen er derfor mindre enn summen av de nevnte utgiftsøkningene skulle tilsi. Det må blant annet ses i sammenheng med en oppjustering av anslaget for strukturelle skatter og avgifter mv. på 10,2 mrd. kroner siden i høst. Oppjusteringen skyldes at skatteinngangen anslås høyere enn tidligere og at dette delvis vurderes som en varig styrking. Den største inntektsøkningen utenom skatter og avgifter, gjelder tilbakeføring av 7 mrd. kroner av tapsavsetningen til lånegarantiordningen for små og mellomstore bedrifter som ble bevilget i forbindelse med pandemien. Den gjenstående avsetningen på 2,5 mrd. kroner vil dekke forventede tap i tråd med Eksportfinansiering Norge (Eksfin) sine faglige vurderinger. Det foreslås i tillegg å tilbakeføre den gjenværende tapsavsetningen til Alminnelig garantiordning under Eksfin basert på oppdaterte vurderinger av behov. I motsatt retning trekker knapt 5 mrd. kroner i reduserte utbytter fra selskaper under Nærings- og fiskeridepartementets forvaltning.</w:t>
      </w:r>
    </w:p>
    <w:p w14:paraId="62114F7B" w14:textId="77777777" w:rsidR="00575AC3" w:rsidRPr="006D40F0" w:rsidRDefault="00575AC3" w:rsidP="006D40F0">
      <w:r w:rsidRPr="006D40F0">
        <w:t>Anslagsendringer på utgiftssiden omfatter blant annet 6,5 mrd. kroner i økte utgifter under folketrygden. Det er særlig utgiftene til sykepenger og arbeidsavklaringspenger som øker. Veksten i utgiftene til sykepenger skyldes i hovedsak at det trygdefinansierte sykefraværet har vært høyere enn anslått. I motsatt retning trekker en nedjustering av anslaget for strømstønadsordningen for husholdninger på om lag 5 mrd. kroner.</w:t>
      </w:r>
    </w:p>
    <w:p w14:paraId="4D230304" w14:textId="77777777" w:rsidR="00575AC3" w:rsidRPr="006D40F0" w:rsidRDefault="00575AC3" w:rsidP="006D40F0">
      <w:r w:rsidRPr="006D40F0">
        <w:t xml:space="preserve">Det vises til Meld. St. 2 (2023–2024) </w:t>
      </w:r>
      <w:r w:rsidRPr="00575AC3">
        <w:rPr>
          <w:rStyle w:val="kursiv"/>
        </w:rPr>
        <w:t>Revidert nasjonalbudsjett 2024</w:t>
      </w:r>
      <w:r w:rsidRPr="006D40F0">
        <w:t xml:space="preserve"> for nærmere omtale av den økonomiske politikken og utsiktene for norsk økonomi. Skatte- og avgiftspolitikken er nærmere omtalt i Prop. 103 LS (2023–2024) </w:t>
      </w:r>
      <w:proofErr w:type="spellStart"/>
      <w:r w:rsidRPr="00575AC3">
        <w:rPr>
          <w:rStyle w:val="kursiv"/>
        </w:rPr>
        <w:t>Endringar</w:t>
      </w:r>
      <w:proofErr w:type="spellEnd"/>
      <w:r w:rsidRPr="00575AC3">
        <w:rPr>
          <w:rStyle w:val="kursiv"/>
        </w:rPr>
        <w:t xml:space="preserve"> i skatte- og avgiftslovgivinga.</w:t>
      </w:r>
    </w:p>
    <w:p w14:paraId="5337886B" w14:textId="77777777" w:rsidR="00575AC3" w:rsidRPr="006D40F0" w:rsidRDefault="00575AC3" w:rsidP="006D40F0">
      <w:pPr>
        <w:pStyle w:val="avsnitt-tittel"/>
      </w:pPr>
      <w:r w:rsidRPr="006D40F0">
        <w:t>Det strukturelle oljekorrigerte budsjettunderskuddet</w:t>
      </w:r>
    </w:p>
    <w:p w14:paraId="14795427" w14:textId="77777777" w:rsidR="00575AC3" w:rsidRPr="006D40F0" w:rsidRDefault="00575AC3" w:rsidP="006D40F0">
      <w:r w:rsidRPr="006D40F0">
        <w:t xml:space="preserve">Bruken av oljeinntekter over statsbudsjettet måles ved </w:t>
      </w:r>
      <w:r w:rsidRPr="00575AC3">
        <w:rPr>
          <w:rStyle w:val="kursiv"/>
        </w:rPr>
        <w:t>det strukturelle oljekorrigerte budsjettunderskuddet</w:t>
      </w:r>
      <w:r w:rsidRPr="006D40F0">
        <w:t>. I beregningen korrigeres det blant annet for virkningene av økonomiske svingninger på skatter, avgifter, renter og dagpenger til arbeidsledige.</w:t>
      </w:r>
    </w:p>
    <w:p w14:paraId="0D9E297F" w14:textId="77777777" w:rsidR="00575AC3" w:rsidRPr="006D40F0" w:rsidRDefault="00575AC3" w:rsidP="006D40F0">
      <w:r w:rsidRPr="006D40F0">
        <w:t>I Saldert budsjett 2024 utgjorde det strukturelle oljekorrigerte underskuddet 409,8 mrd. kroner. I regjeringens forslag til revisjon av 2024-budsjettet utgjør det strukturelle oljekorrigerte underskuddet 418,7 mrd. kroner. Det er 8,9 mrd. kroner høyere enn lagt til grunn i fjor høst.</w:t>
      </w:r>
    </w:p>
    <w:p w14:paraId="07AAB200" w14:textId="77777777" w:rsidR="00575AC3" w:rsidRPr="00575AC3" w:rsidRDefault="00575AC3" w:rsidP="006D40F0">
      <w:pPr>
        <w:rPr>
          <w:rStyle w:val="kursiv"/>
        </w:rPr>
      </w:pPr>
      <w:r w:rsidRPr="00575AC3">
        <w:rPr>
          <w:rStyle w:val="kursiv"/>
        </w:rPr>
        <w:t>Budsjettimpulsen</w:t>
      </w:r>
      <w:r w:rsidRPr="006D40F0">
        <w:t>, som måler endringen i det strukturelle oljekorrigerte underskuddet som andel av verdiskapingen i fastlandsøkonomien, anslås til 0,7 prosentenheter mot 0,4 pst. i saldert budsjett.</w:t>
      </w:r>
    </w:p>
    <w:p w14:paraId="3A7B5AB4" w14:textId="77777777" w:rsidR="00575AC3" w:rsidRPr="006D40F0" w:rsidRDefault="00575AC3" w:rsidP="006D40F0">
      <w:r w:rsidRPr="006D40F0">
        <w:t>Bruken av fondsmidler utgjør 2,7 pst. av kapitalen i Statens pensjonsfond utland ved inngangen til 2024, tilsvarende som i saldert budsjett.</w:t>
      </w:r>
    </w:p>
    <w:p w14:paraId="295387C7" w14:textId="77777777" w:rsidR="00575AC3" w:rsidRPr="006D40F0" w:rsidRDefault="00575AC3" w:rsidP="006D40F0">
      <w:pPr>
        <w:pStyle w:val="avsnitt-tittel"/>
      </w:pPr>
      <w:r w:rsidRPr="006D40F0">
        <w:lastRenderedPageBreak/>
        <w:t>Det oljekorrigerte budsjettunderskuddet</w:t>
      </w:r>
    </w:p>
    <w:p w14:paraId="048CB5B6" w14:textId="77777777" w:rsidR="00575AC3" w:rsidRPr="006D40F0" w:rsidRDefault="00575AC3" w:rsidP="006D40F0">
      <w:r w:rsidRPr="006D40F0">
        <w:t xml:space="preserve">Det </w:t>
      </w:r>
      <w:r w:rsidRPr="00575AC3">
        <w:rPr>
          <w:rStyle w:val="kursiv"/>
        </w:rPr>
        <w:t xml:space="preserve">oljekorrigerte budsjettunderskuddet </w:t>
      </w:r>
      <w:r w:rsidRPr="006D40F0">
        <w:t>i 2024 øker med 1,3 mrd. kroner fra 336,5 mrd. kroner i saldert budsjett til 337,8 mrd. kroner nå. Dette underskuddet motsvares av en overføring fra Statens pensjonsfond utland, slik at statsbudsjettet er i balanse.</w:t>
      </w:r>
      <w:r w:rsidRPr="006D40F0">
        <w:rPr>
          <w:rStyle w:val="Fotnotereferanse"/>
        </w:rPr>
        <w:footnoteReference w:id="1"/>
      </w:r>
    </w:p>
    <w:p w14:paraId="2523C77C" w14:textId="77777777" w:rsidR="00575AC3" w:rsidRPr="006D40F0" w:rsidRDefault="00575AC3" w:rsidP="006D40F0">
      <w:r w:rsidRPr="006D40F0">
        <w:t>Sammenlignet med saldert budsjett øker utgiftene med til sammen 25,8 mrd. kroner. Samtidig øker inntektene med 24,5 mrd. kroner. Av dette skyldes 11,6 mrd. kroner høyere anslag for faktiske skatte- og avgiftsinntekter, mens inntektene utenom skatter og avgifter samlet sett anslås å øke med 12,9 mrd. kroner. Overføringen fra Statens pensjonsfond utland for å dekke det oljekorrigerte budsjettunderskuddet anslås dermed 1,3 mrd. kroner høyere enn i høst.</w:t>
      </w:r>
    </w:p>
    <w:p w14:paraId="68A894A5" w14:textId="77777777" w:rsidR="00575AC3" w:rsidRPr="006D40F0" w:rsidRDefault="00575AC3" w:rsidP="006D40F0">
      <w:r w:rsidRPr="006D40F0">
        <w:t>I anslaget for det oljekorrigerte budsjettunderskuddet inngår nye anslag for rentene på statens innskudd i Norges Bank mv. og statsgjelden. For disse størrelsene og overføringene til og fra Statens pensjonsfond utland vil det eventuelt bli fremmet forslag om endrede bevilgninger i nysalderingen.</w:t>
      </w:r>
    </w:p>
    <w:p w14:paraId="265B6B6A" w14:textId="77777777" w:rsidR="00575AC3" w:rsidRPr="006D40F0" w:rsidRDefault="00575AC3" w:rsidP="006D40F0">
      <w:pPr>
        <w:pStyle w:val="avsnitt-tittel"/>
      </w:pPr>
      <w:r w:rsidRPr="006D40F0">
        <w:t>Veksten i statsbudsjettets utgifter</w:t>
      </w:r>
    </w:p>
    <w:p w14:paraId="1C348372" w14:textId="77777777" w:rsidR="00575AC3" w:rsidRPr="006D40F0" w:rsidRDefault="00575AC3" w:rsidP="006D40F0">
      <w:r w:rsidRPr="006D40F0">
        <w:t>Den reelle, underliggende veksten i statsbudsjettets utgifter fra 2023 til 2024 anslås til 2,5 pst., mot 1,3 pst. i saldert budsjett og 0,7 pst. i Nasjonalbudsjettet 2024.</w:t>
      </w:r>
    </w:p>
    <w:p w14:paraId="25A38043" w14:textId="77777777" w:rsidR="00575AC3" w:rsidRPr="006D40F0" w:rsidRDefault="00575AC3" w:rsidP="006D40F0">
      <w:pPr>
        <w:pStyle w:val="Overskrift2"/>
      </w:pPr>
      <w:r w:rsidRPr="006D40F0">
        <w:t>Endringer på statsbudsjettet siden saldert budsjett</w:t>
      </w:r>
    </w:p>
    <w:p w14:paraId="0C7C47A2" w14:textId="77777777" w:rsidR="00575AC3" w:rsidRDefault="00575AC3" w:rsidP="006D40F0">
      <w:r w:rsidRPr="006D40F0">
        <w:t>Det fremmes i denne proposisjonen forslag som øker utgiftene med 24,8 mrd. kroner og øker inntektene med 5,8 mrd. kroner. Da er petroleumsvirksomheten, lånetransaksjoner og enkelte endringer som inngår i korreksjonene ved beregningen av det strukturelle oljekorrigerte budsjettunderskuddet, holdt utenom. Medregnet oppdaterte anslag for strukturelle skatte- og avgiftsinntekter mv. øker dette det strukturelle oljekorrigerte underskuddet med 8,9 mrd. kroner fra saldert budsjett.</w:t>
      </w:r>
    </w:p>
    <w:p w14:paraId="6D6E48E0" w14:textId="3AEEA32D" w:rsidR="00265CE1" w:rsidRPr="006D40F0" w:rsidRDefault="00265CE1" w:rsidP="00265CE1">
      <w:pPr>
        <w:pStyle w:val="tabell-tittel"/>
      </w:pPr>
      <w:r w:rsidRPr="006D40F0">
        <w:t>Bevilgningsendringer</w:t>
      </w:r>
      <w:r w:rsidRPr="006D40F0">
        <w:rPr>
          <w:rStyle w:val="skrift-hevet"/>
        </w:rPr>
        <w:t>1</w:t>
      </w:r>
      <w:r w:rsidRPr="006D40F0">
        <w:t xml:space="preserve"> fremmet og vedtatt etter salderingen av statsbudsjettet for 2024 og anslagsendringer som inngår i den strukturelle oljekorrigerte budsjettbalansen</w:t>
      </w:r>
    </w:p>
    <w:p w14:paraId="16D4DBA9" w14:textId="77777777" w:rsidR="00575AC3" w:rsidRPr="006D40F0" w:rsidRDefault="00575AC3" w:rsidP="006D40F0">
      <w:pPr>
        <w:pStyle w:val="Tabellnavn"/>
      </w:pPr>
      <w:r w:rsidRPr="006D40F0">
        <w:t>04J1xt2</w:t>
      </w:r>
    </w:p>
    <w:tbl>
      <w:tblPr>
        <w:tblW w:w="9540" w:type="dxa"/>
        <w:tblInd w:w="43" w:type="dxa"/>
        <w:tblLayout w:type="fixed"/>
        <w:tblCellMar>
          <w:top w:w="120" w:type="dxa"/>
          <w:left w:w="43" w:type="dxa"/>
          <w:bottom w:w="43" w:type="dxa"/>
          <w:right w:w="43" w:type="dxa"/>
        </w:tblCellMar>
        <w:tblLook w:val="0000" w:firstRow="0" w:lastRow="0" w:firstColumn="0" w:lastColumn="0" w:noHBand="0" w:noVBand="0"/>
      </w:tblPr>
      <w:tblGrid>
        <w:gridCol w:w="320"/>
        <w:gridCol w:w="7300"/>
        <w:gridCol w:w="960"/>
        <w:gridCol w:w="960"/>
      </w:tblGrid>
      <w:tr w:rsidR="00DD49A7" w:rsidRPr="006D40F0" w14:paraId="050C4B6D" w14:textId="77777777" w:rsidTr="00265CE1">
        <w:trPr>
          <w:trHeight w:val="340"/>
        </w:trPr>
        <w:tc>
          <w:tcPr>
            <w:tcW w:w="320" w:type="dxa"/>
            <w:tcBorders>
              <w:top w:val="nil"/>
              <w:left w:val="nil"/>
              <w:bottom w:val="single" w:sz="4" w:space="0" w:color="000000"/>
              <w:right w:val="nil"/>
            </w:tcBorders>
            <w:tcMar>
              <w:top w:w="120" w:type="dxa"/>
              <w:left w:w="43" w:type="dxa"/>
              <w:bottom w:w="43" w:type="dxa"/>
              <w:right w:w="43" w:type="dxa"/>
            </w:tcMar>
            <w:vAlign w:val="bottom"/>
          </w:tcPr>
          <w:p w14:paraId="6D9012BD" w14:textId="77777777" w:rsidR="00575AC3" w:rsidRPr="006D40F0" w:rsidRDefault="00575AC3" w:rsidP="006D40F0"/>
        </w:tc>
        <w:tc>
          <w:tcPr>
            <w:tcW w:w="7300" w:type="dxa"/>
            <w:tcBorders>
              <w:top w:val="nil"/>
              <w:left w:val="nil"/>
              <w:bottom w:val="single" w:sz="4" w:space="0" w:color="000000"/>
              <w:right w:val="nil"/>
            </w:tcBorders>
            <w:tcMar>
              <w:top w:w="120" w:type="dxa"/>
              <w:left w:w="43" w:type="dxa"/>
              <w:bottom w:w="43" w:type="dxa"/>
              <w:right w:w="43" w:type="dxa"/>
            </w:tcMar>
            <w:vAlign w:val="bottom"/>
          </w:tcPr>
          <w:p w14:paraId="4B2BC81B" w14:textId="77777777" w:rsidR="00575AC3" w:rsidRPr="006D40F0" w:rsidRDefault="00575AC3" w:rsidP="006D40F0"/>
        </w:tc>
        <w:tc>
          <w:tcPr>
            <w:tcW w:w="1920" w:type="dxa"/>
            <w:gridSpan w:val="2"/>
            <w:tcBorders>
              <w:top w:val="nil"/>
              <w:left w:val="nil"/>
              <w:bottom w:val="single" w:sz="4" w:space="0" w:color="000000"/>
              <w:right w:val="nil"/>
            </w:tcBorders>
            <w:tcMar>
              <w:top w:w="120" w:type="dxa"/>
              <w:left w:w="43" w:type="dxa"/>
              <w:bottom w:w="43" w:type="dxa"/>
              <w:right w:w="43" w:type="dxa"/>
            </w:tcMar>
            <w:vAlign w:val="bottom"/>
          </w:tcPr>
          <w:p w14:paraId="69A89FEE" w14:textId="77777777" w:rsidR="00575AC3" w:rsidRPr="006D40F0" w:rsidRDefault="00575AC3" w:rsidP="006D40F0">
            <w:r w:rsidRPr="006D40F0">
              <w:t>Mill. kroner</w:t>
            </w:r>
          </w:p>
        </w:tc>
      </w:tr>
      <w:tr w:rsidR="00DD49A7" w:rsidRPr="006D40F0" w14:paraId="1F64E325" w14:textId="77777777" w:rsidTr="00265CE1">
        <w:trPr>
          <w:trHeight w:val="620"/>
        </w:trPr>
        <w:tc>
          <w:tcPr>
            <w:tcW w:w="320" w:type="dxa"/>
            <w:tcBorders>
              <w:top w:val="single" w:sz="4" w:space="0" w:color="000000"/>
              <w:left w:val="nil"/>
              <w:bottom w:val="nil"/>
              <w:right w:val="nil"/>
            </w:tcBorders>
            <w:tcMar>
              <w:top w:w="120" w:type="dxa"/>
              <w:left w:w="43" w:type="dxa"/>
              <w:bottom w:w="43" w:type="dxa"/>
              <w:right w:w="43" w:type="dxa"/>
            </w:tcMar>
          </w:tcPr>
          <w:p w14:paraId="43B63F88" w14:textId="77777777" w:rsidR="00575AC3" w:rsidRPr="006D40F0" w:rsidRDefault="00575AC3" w:rsidP="006D40F0"/>
        </w:tc>
        <w:tc>
          <w:tcPr>
            <w:tcW w:w="7300" w:type="dxa"/>
            <w:tcBorders>
              <w:top w:val="single" w:sz="4" w:space="0" w:color="000000"/>
              <w:left w:val="nil"/>
              <w:bottom w:val="nil"/>
              <w:right w:val="nil"/>
            </w:tcBorders>
            <w:tcMar>
              <w:top w:w="120" w:type="dxa"/>
              <w:left w:w="43" w:type="dxa"/>
              <w:bottom w:w="43" w:type="dxa"/>
              <w:right w:w="43" w:type="dxa"/>
            </w:tcMar>
            <w:vAlign w:val="bottom"/>
          </w:tcPr>
          <w:p w14:paraId="41B02151" w14:textId="77777777" w:rsidR="00575AC3" w:rsidRPr="006D40F0" w:rsidRDefault="00575AC3" w:rsidP="006D40F0">
            <w:r w:rsidRPr="00575AC3">
              <w:rPr>
                <w:rStyle w:val="kursiv"/>
              </w:rPr>
              <w:t xml:space="preserve">Endrede utgifter og inntekter utenom skatt mv. fremmet og vedtatt siden Saldert budsjett 2024 </w:t>
            </w:r>
          </w:p>
        </w:tc>
        <w:tc>
          <w:tcPr>
            <w:tcW w:w="960" w:type="dxa"/>
            <w:tcBorders>
              <w:top w:val="single" w:sz="4" w:space="0" w:color="000000"/>
              <w:left w:val="nil"/>
              <w:bottom w:val="nil"/>
              <w:right w:val="nil"/>
            </w:tcBorders>
            <w:tcMar>
              <w:top w:w="120" w:type="dxa"/>
              <w:left w:w="43" w:type="dxa"/>
              <w:bottom w:w="43" w:type="dxa"/>
              <w:right w:w="43" w:type="dxa"/>
            </w:tcMar>
            <w:vAlign w:val="bottom"/>
          </w:tcPr>
          <w:p w14:paraId="1CFB0342" w14:textId="77777777" w:rsidR="00575AC3" w:rsidRPr="006D40F0" w:rsidRDefault="00575AC3" w:rsidP="006D40F0"/>
        </w:tc>
        <w:tc>
          <w:tcPr>
            <w:tcW w:w="960" w:type="dxa"/>
            <w:tcBorders>
              <w:top w:val="single" w:sz="4" w:space="0" w:color="000000"/>
              <w:left w:val="nil"/>
              <w:bottom w:val="nil"/>
              <w:right w:val="nil"/>
            </w:tcBorders>
            <w:tcMar>
              <w:top w:w="120" w:type="dxa"/>
              <w:left w:w="43" w:type="dxa"/>
              <w:bottom w:w="43" w:type="dxa"/>
              <w:right w:w="43" w:type="dxa"/>
            </w:tcMar>
            <w:vAlign w:val="bottom"/>
          </w:tcPr>
          <w:p w14:paraId="64B8C4DB" w14:textId="77777777" w:rsidR="00575AC3" w:rsidRPr="006D40F0" w:rsidRDefault="00575AC3" w:rsidP="006D40F0">
            <w:r w:rsidRPr="00575AC3">
              <w:rPr>
                <w:rStyle w:val="kursiv"/>
              </w:rPr>
              <w:t>2</w:t>
            </w:r>
          </w:p>
        </w:tc>
      </w:tr>
      <w:tr w:rsidR="00DD49A7" w:rsidRPr="006D40F0" w14:paraId="516129A5"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7C6AD742"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29D0F07F" w14:textId="77777777" w:rsidR="00575AC3" w:rsidRPr="006D40F0" w:rsidRDefault="00575AC3" w:rsidP="006D40F0">
            <w:r w:rsidRPr="006D40F0">
              <w:t>Reindriftsavtalen 2024/2025 (Prop. 98 S)</w:t>
            </w:r>
          </w:p>
        </w:tc>
        <w:tc>
          <w:tcPr>
            <w:tcW w:w="960" w:type="dxa"/>
            <w:tcBorders>
              <w:top w:val="nil"/>
              <w:left w:val="nil"/>
              <w:bottom w:val="nil"/>
              <w:right w:val="nil"/>
            </w:tcBorders>
            <w:tcMar>
              <w:top w:w="120" w:type="dxa"/>
              <w:left w:w="43" w:type="dxa"/>
              <w:bottom w:w="43" w:type="dxa"/>
              <w:right w:w="43" w:type="dxa"/>
            </w:tcMar>
            <w:vAlign w:val="bottom"/>
          </w:tcPr>
          <w:p w14:paraId="4FA6F2CE" w14:textId="77777777" w:rsidR="00575AC3" w:rsidRPr="006D40F0" w:rsidRDefault="00575AC3" w:rsidP="006D40F0">
            <w:r w:rsidRPr="006D40F0">
              <w:t>2</w:t>
            </w:r>
          </w:p>
        </w:tc>
        <w:tc>
          <w:tcPr>
            <w:tcW w:w="960" w:type="dxa"/>
            <w:tcBorders>
              <w:top w:val="nil"/>
              <w:left w:val="nil"/>
              <w:bottom w:val="nil"/>
              <w:right w:val="nil"/>
            </w:tcBorders>
            <w:tcMar>
              <w:top w:w="120" w:type="dxa"/>
              <w:left w:w="43" w:type="dxa"/>
              <w:bottom w:w="43" w:type="dxa"/>
              <w:right w:w="43" w:type="dxa"/>
            </w:tcMar>
            <w:vAlign w:val="bottom"/>
          </w:tcPr>
          <w:p w14:paraId="52BDAB4A" w14:textId="77777777" w:rsidR="00575AC3" w:rsidRPr="006D40F0" w:rsidRDefault="00575AC3" w:rsidP="006D40F0"/>
        </w:tc>
      </w:tr>
      <w:tr w:rsidR="00DD49A7" w:rsidRPr="006D40F0" w14:paraId="7EB7CCE6"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17879123" w14:textId="77777777" w:rsidR="00575AC3" w:rsidRPr="006D40F0" w:rsidRDefault="00575AC3" w:rsidP="006D40F0">
            <w:r w:rsidRPr="006D40F0">
              <w:t>+</w:t>
            </w:r>
          </w:p>
        </w:tc>
        <w:tc>
          <w:tcPr>
            <w:tcW w:w="7300" w:type="dxa"/>
            <w:tcBorders>
              <w:top w:val="nil"/>
              <w:left w:val="nil"/>
              <w:bottom w:val="nil"/>
              <w:right w:val="nil"/>
            </w:tcBorders>
            <w:tcMar>
              <w:top w:w="120" w:type="dxa"/>
              <w:left w:w="43" w:type="dxa"/>
              <w:bottom w:w="43" w:type="dxa"/>
              <w:right w:w="43" w:type="dxa"/>
            </w:tcMar>
            <w:vAlign w:val="bottom"/>
          </w:tcPr>
          <w:p w14:paraId="46D7984C" w14:textId="77777777" w:rsidR="00575AC3" w:rsidRPr="006D40F0" w:rsidRDefault="00575AC3" w:rsidP="006D40F0">
            <w:r w:rsidRPr="00575AC3">
              <w:rPr>
                <w:rStyle w:val="kursiv"/>
              </w:rPr>
              <w:t>Utgiftsforslag som fremmes i denne proposisjonen</w:t>
            </w:r>
          </w:p>
        </w:tc>
        <w:tc>
          <w:tcPr>
            <w:tcW w:w="960" w:type="dxa"/>
            <w:tcBorders>
              <w:top w:val="nil"/>
              <w:left w:val="nil"/>
              <w:bottom w:val="nil"/>
              <w:right w:val="nil"/>
            </w:tcBorders>
            <w:tcMar>
              <w:top w:w="120" w:type="dxa"/>
              <w:left w:w="43" w:type="dxa"/>
              <w:bottom w:w="43" w:type="dxa"/>
              <w:right w:w="43" w:type="dxa"/>
            </w:tcMar>
            <w:vAlign w:val="bottom"/>
          </w:tcPr>
          <w:p w14:paraId="57FA785F" w14:textId="77777777" w:rsidR="00575AC3" w:rsidRPr="006D40F0" w:rsidRDefault="00575AC3" w:rsidP="006D40F0"/>
        </w:tc>
        <w:tc>
          <w:tcPr>
            <w:tcW w:w="960" w:type="dxa"/>
            <w:tcBorders>
              <w:top w:val="nil"/>
              <w:left w:val="nil"/>
              <w:bottom w:val="nil"/>
              <w:right w:val="nil"/>
            </w:tcBorders>
            <w:tcMar>
              <w:top w:w="120" w:type="dxa"/>
              <w:left w:w="43" w:type="dxa"/>
              <w:bottom w:w="43" w:type="dxa"/>
              <w:right w:w="43" w:type="dxa"/>
            </w:tcMar>
            <w:vAlign w:val="bottom"/>
          </w:tcPr>
          <w:p w14:paraId="3EE8A968" w14:textId="77777777" w:rsidR="00575AC3" w:rsidRPr="006D40F0" w:rsidRDefault="00575AC3" w:rsidP="006D40F0">
            <w:r w:rsidRPr="00575AC3">
              <w:rPr>
                <w:rStyle w:val="kursiv"/>
              </w:rPr>
              <w:t xml:space="preserve"> 24 784</w:t>
            </w:r>
          </w:p>
        </w:tc>
      </w:tr>
      <w:tr w:rsidR="00DD49A7" w:rsidRPr="006D40F0" w14:paraId="61333ECE"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6C3C96C0"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B70460C" w14:textId="77777777" w:rsidR="00575AC3" w:rsidRPr="006D40F0" w:rsidRDefault="00575AC3" w:rsidP="006D40F0">
            <w:r w:rsidRPr="006D40F0">
              <w:t>Økt militær og sivil støtte til Ukraina</w:t>
            </w:r>
          </w:p>
        </w:tc>
        <w:tc>
          <w:tcPr>
            <w:tcW w:w="960" w:type="dxa"/>
            <w:tcBorders>
              <w:top w:val="nil"/>
              <w:left w:val="nil"/>
              <w:bottom w:val="nil"/>
              <w:right w:val="nil"/>
            </w:tcBorders>
            <w:tcMar>
              <w:top w:w="120" w:type="dxa"/>
              <w:left w:w="43" w:type="dxa"/>
              <w:bottom w:w="43" w:type="dxa"/>
              <w:right w:w="43" w:type="dxa"/>
            </w:tcMar>
            <w:vAlign w:val="bottom"/>
          </w:tcPr>
          <w:p w14:paraId="4D3C35C4" w14:textId="77777777" w:rsidR="00575AC3" w:rsidRPr="006D40F0" w:rsidRDefault="00575AC3" w:rsidP="006D40F0">
            <w:r w:rsidRPr="006D40F0">
              <w:t>7 000</w:t>
            </w:r>
          </w:p>
        </w:tc>
        <w:tc>
          <w:tcPr>
            <w:tcW w:w="960" w:type="dxa"/>
            <w:tcBorders>
              <w:top w:val="nil"/>
              <w:left w:val="nil"/>
              <w:bottom w:val="nil"/>
              <w:right w:val="nil"/>
            </w:tcBorders>
            <w:tcMar>
              <w:top w:w="120" w:type="dxa"/>
              <w:left w:w="43" w:type="dxa"/>
              <w:bottom w:w="43" w:type="dxa"/>
              <w:right w:w="43" w:type="dxa"/>
            </w:tcMar>
            <w:vAlign w:val="bottom"/>
          </w:tcPr>
          <w:p w14:paraId="19E78057" w14:textId="77777777" w:rsidR="00575AC3" w:rsidRPr="006D40F0" w:rsidRDefault="00575AC3" w:rsidP="006D40F0"/>
        </w:tc>
      </w:tr>
      <w:tr w:rsidR="00DD49A7" w:rsidRPr="006D40F0" w14:paraId="551CF04B"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05FD3D55"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F2686D9" w14:textId="77777777" w:rsidR="00575AC3" w:rsidRPr="006D40F0" w:rsidRDefault="00575AC3" w:rsidP="006D40F0">
            <w:r w:rsidRPr="006D40F0">
              <w:t>Tiltak for økt operativ evne og for å forsere ny langtidsplan for forsvarssektoren</w:t>
            </w:r>
          </w:p>
        </w:tc>
        <w:tc>
          <w:tcPr>
            <w:tcW w:w="960" w:type="dxa"/>
            <w:tcBorders>
              <w:top w:val="nil"/>
              <w:left w:val="nil"/>
              <w:bottom w:val="nil"/>
              <w:right w:val="nil"/>
            </w:tcBorders>
            <w:tcMar>
              <w:top w:w="120" w:type="dxa"/>
              <w:left w:w="43" w:type="dxa"/>
              <w:bottom w:w="43" w:type="dxa"/>
              <w:right w:w="43" w:type="dxa"/>
            </w:tcMar>
            <w:vAlign w:val="bottom"/>
          </w:tcPr>
          <w:p w14:paraId="641009AC" w14:textId="77777777" w:rsidR="00575AC3" w:rsidRPr="006D40F0" w:rsidRDefault="00575AC3" w:rsidP="006D40F0">
            <w:r w:rsidRPr="006D40F0">
              <w:t>7 000</w:t>
            </w:r>
          </w:p>
        </w:tc>
        <w:tc>
          <w:tcPr>
            <w:tcW w:w="960" w:type="dxa"/>
            <w:tcBorders>
              <w:top w:val="nil"/>
              <w:left w:val="nil"/>
              <w:bottom w:val="nil"/>
              <w:right w:val="nil"/>
            </w:tcBorders>
            <w:tcMar>
              <w:top w:w="120" w:type="dxa"/>
              <w:left w:w="43" w:type="dxa"/>
              <w:bottom w:w="43" w:type="dxa"/>
              <w:right w:w="43" w:type="dxa"/>
            </w:tcMar>
            <w:vAlign w:val="bottom"/>
          </w:tcPr>
          <w:p w14:paraId="564FF954" w14:textId="77777777" w:rsidR="00575AC3" w:rsidRPr="006D40F0" w:rsidRDefault="00575AC3" w:rsidP="006D40F0"/>
        </w:tc>
      </w:tr>
      <w:tr w:rsidR="00DD49A7" w:rsidRPr="006D40F0" w14:paraId="2AB74698"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523B52D9"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48E6345C" w14:textId="77777777" w:rsidR="00575AC3" w:rsidRPr="006D40F0" w:rsidRDefault="00575AC3" w:rsidP="006D40F0">
            <w:r w:rsidRPr="006D40F0">
              <w:t>Anslagsendringer i folketrygden, ekskl. dagpenger mv.</w:t>
            </w:r>
          </w:p>
        </w:tc>
        <w:tc>
          <w:tcPr>
            <w:tcW w:w="960" w:type="dxa"/>
            <w:tcBorders>
              <w:top w:val="nil"/>
              <w:left w:val="nil"/>
              <w:bottom w:val="nil"/>
              <w:right w:val="nil"/>
            </w:tcBorders>
            <w:tcMar>
              <w:top w:w="120" w:type="dxa"/>
              <w:left w:w="43" w:type="dxa"/>
              <w:bottom w:w="43" w:type="dxa"/>
              <w:right w:w="43" w:type="dxa"/>
            </w:tcMar>
            <w:vAlign w:val="bottom"/>
          </w:tcPr>
          <w:p w14:paraId="42738BFB" w14:textId="77777777" w:rsidR="00575AC3" w:rsidRPr="006D40F0" w:rsidRDefault="00575AC3" w:rsidP="006D40F0">
            <w:r w:rsidRPr="006D40F0">
              <w:t>6 539</w:t>
            </w:r>
          </w:p>
        </w:tc>
        <w:tc>
          <w:tcPr>
            <w:tcW w:w="960" w:type="dxa"/>
            <w:tcBorders>
              <w:top w:val="nil"/>
              <w:left w:val="nil"/>
              <w:bottom w:val="nil"/>
              <w:right w:val="nil"/>
            </w:tcBorders>
            <w:tcMar>
              <w:top w:w="120" w:type="dxa"/>
              <w:left w:w="43" w:type="dxa"/>
              <w:bottom w:w="43" w:type="dxa"/>
              <w:right w:w="43" w:type="dxa"/>
            </w:tcMar>
            <w:vAlign w:val="bottom"/>
          </w:tcPr>
          <w:p w14:paraId="65CDFEDD" w14:textId="77777777" w:rsidR="00575AC3" w:rsidRPr="006D40F0" w:rsidRDefault="00575AC3" w:rsidP="006D40F0"/>
        </w:tc>
      </w:tr>
      <w:tr w:rsidR="00DD49A7" w:rsidRPr="006D40F0" w14:paraId="4983810F"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541BF4AF"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4F86B1A5" w14:textId="77777777" w:rsidR="00575AC3" w:rsidRPr="006D40F0" w:rsidRDefault="00575AC3" w:rsidP="006D40F0">
            <w:r w:rsidRPr="006D40F0">
              <w:t>Økt bevilgning til sykehusene</w:t>
            </w:r>
          </w:p>
        </w:tc>
        <w:tc>
          <w:tcPr>
            <w:tcW w:w="960" w:type="dxa"/>
            <w:tcBorders>
              <w:top w:val="nil"/>
              <w:left w:val="nil"/>
              <w:bottom w:val="nil"/>
              <w:right w:val="nil"/>
            </w:tcBorders>
            <w:tcMar>
              <w:top w:w="120" w:type="dxa"/>
              <w:left w:w="43" w:type="dxa"/>
              <w:bottom w:w="43" w:type="dxa"/>
              <w:right w:w="43" w:type="dxa"/>
            </w:tcMar>
            <w:vAlign w:val="bottom"/>
          </w:tcPr>
          <w:p w14:paraId="7D59D922" w14:textId="77777777" w:rsidR="00575AC3" w:rsidRPr="006D40F0" w:rsidRDefault="00575AC3" w:rsidP="006D40F0">
            <w:r w:rsidRPr="006D40F0">
              <w:t>2 000</w:t>
            </w:r>
          </w:p>
        </w:tc>
        <w:tc>
          <w:tcPr>
            <w:tcW w:w="960" w:type="dxa"/>
            <w:tcBorders>
              <w:top w:val="nil"/>
              <w:left w:val="nil"/>
              <w:bottom w:val="nil"/>
              <w:right w:val="nil"/>
            </w:tcBorders>
            <w:tcMar>
              <w:top w:w="120" w:type="dxa"/>
              <w:left w:w="43" w:type="dxa"/>
              <w:bottom w:w="43" w:type="dxa"/>
              <w:right w:w="43" w:type="dxa"/>
            </w:tcMar>
            <w:vAlign w:val="bottom"/>
          </w:tcPr>
          <w:p w14:paraId="7AEBF784" w14:textId="77777777" w:rsidR="00575AC3" w:rsidRPr="006D40F0" w:rsidRDefault="00575AC3" w:rsidP="006D40F0"/>
        </w:tc>
      </w:tr>
      <w:tr w:rsidR="00DD49A7" w:rsidRPr="006D40F0" w14:paraId="690F4706" w14:textId="77777777" w:rsidTr="00265CE1">
        <w:trPr>
          <w:trHeight w:val="620"/>
        </w:trPr>
        <w:tc>
          <w:tcPr>
            <w:tcW w:w="320" w:type="dxa"/>
            <w:tcBorders>
              <w:top w:val="nil"/>
              <w:left w:val="nil"/>
              <w:bottom w:val="nil"/>
              <w:right w:val="nil"/>
            </w:tcBorders>
            <w:tcMar>
              <w:top w:w="120" w:type="dxa"/>
              <w:left w:w="43" w:type="dxa"/>
              <w:bottom w:w="43" w:type="dxa"/>
              <w:right w:w="43" w:type="dxa"/>
            </w:tcMar>
          </w:tcPr>
          <w:p w14:paraId="54FAEAE6"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39125A37" w14:textId="77777777" w:rsidR="00575AC3" w:rsidRPr="006D40F0" w:rsidRDefault="00575AC3" w:rsidP="006D40F0">
            <w:r w:rsidRPr="006D40F0">
              <w:t>Kommunesektorens andel av beregningsteknisk inntektsanslag fra salg av nye oppdrettstillateleser</w:t>
            </w:r>
          </w:p>
        </w:tc>
        <w:tc>
          <w:tcPr>
            <w:tcW w:w="960" w:type="dxa"/>
            <w:tcBorders>
              <w:top w:val="nil"/>
              <w:left w:val="nil"/>
              <w:bottom w:val="nil"/>
              <w:right w:val="nil"/>
            </w:tcBorders>
            <w:tcMar>
              <w:top w:w="120" w:type="dxa"/>
              <w:left w:w="43" w:type="dxa"/>
              <w:bottom w:w="43" w:type="dxa"/>
              <w:right w:w="43" w:type="dxa"/>
            </w:tcMar>
            <w:vAlign w:val="bottom"/>
          </w:tcPr>
          <w:p w14:paraId="101BAF99" w14:textId="77777777" w:rsidR="00575AC3" w:rsidRPr="006D40F0" w:rsidRDefault="00575AC3" w:rsidP="006D40F0">
            <w:r w:rsidRPr="006D40F0">
              <w:t>1 955</w:t>
            </w:r>
          </w:p>
        </w:tc>
        <w:tc>
          <w:tcPr>
            <w:tcW w:w="960" w:type="dxa"/>
            <w:tcBorders>
              <w:top w:val="nil"/>
              <w:left w:val="nil"/>
              <w:bottom w:val="nil"/>
              <w:right w:val="nil"/>
            </w:tcBorders>
            <w:tcMar>
              <w:top w:w="120" w:type="dxa"/>
              <w:left w:w="43" w:type="dxa"/>
              <w:bottom w:w="43" w:type="dxa"/>
              <w:right w:w="43" w:type="dxa"/>
            </w:tcMar>
            <w:vAlign w:val="bottom"/>
          </w:tcPr>
          <w:p w14:paraId="112C3C3A" w14:textId="77777777" w:rsidR="00575AC3" w:rsidRPr="006D40F0" w:rsidRDefault="00575AC3" w:rsidP="006D40F0"/>
        </w:tc>
      </w:tr>
      <w:tr w:rsidR="00DD49A7" w:rsidRPr="006D40F0" w14:paraId="2B111E8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0A2495BD"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38911DFF" w14:textId="77777777" w:rsidR="00575AC3" w:rsidRPr="006D40F0" w:rsidRDefault="00575AC3" w:rsidP="006D40F0">
            <w:r w:rsidRPr="006D40F0">
              <w:t>Merbehov i politiet og PST og økt innsats mot gjengkriminalitet</w:t>
            </w:r>
          </w:p>
        </w:tc>
        <w:tc>
          <w:tcPr>
            <w:tcW w:w="960" w:type="dxa"/>
            <w:tcBorders>
              <w:top w:val="nil"/>
              <w:left w:val="nil"/>
              <w:bottom w:val="nil"/>
              <w:right w:val="nil"/>
            </w:tcBorders>
            <w:tcMar>
              <w:top w:w="120" w:type="dxa"/>
              <w:left w:w="43" w:type="dxa"/>
              <w:bottom w:w="43" w:type="dxa"/>
              <w:right w:w="43" w:type="dxa"/>
            </w:tcMar>
            <w:vAlign w:val="bottom"/>
          </w:tcPr>
          <w:p w14:paraId="32388B2A" w14:textId="77777777" w:rsidR="00575AC3" w:rsidRPr="006D40F0" w:rsidRDefault="00575AC3" w:rsidP="006D40F0">
            <w:r w:rsidRPr="006D40F0">
              <w:t>1 900</w:t>
            </w:r>
          </w:p>
        </w:tc>
        <w:tc>
          <w:tcPr>
            <w:tcW w:w="960" w:type="dxa"/>
            <w:tcBorders>
              <w:top w:val="nil"/>
              <w:left w:val="nil"/>
              <w:bottom w:val="nil"/>
              <w:right w:val="nil"/>
            </w:tcBorders>
            <w:tcMar>
              <w:top w:w="120" w:type="dxa"/>
              <w:left w:w="43" w:type="dxa"/>
              <w:bottom w:w="43" w:type="dxa"/>
              <w:right w:w="43" w:type="dxa"/>
            </w:tcMar>
            <w:vAlign w:val="bottom"/>
          </w:tcPr>
          <w:p w14:paraId="3E3FA7B2" w14:textId="77777777" w:rsidR="00575AC3" w:rsidRPr="006D40F0" w:rsidRDefault="00575AC3" w:rsidP="006D40F0"/>
        </w:tc>
      </w:tr>
      <w:tr w:rsidR="00DD49A7" w:rsidRPr="006D40F0" w14:paraId="363F661A"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4ACDB441"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08901D2" w14:textId="77777777" w:rsidR="00575AC3" w:rsidRPr="006D40F0" w:rsidRDefault="00575AC3" w:rsidP="006D40F0">
            <w:r w:rsidRPr="006D40F0">
              <w:t>EØS-finansieringsordningene – anslagsendringer</w:t>
            </w:r>
          </w:p>
        </w:tc>
        <w:tc>
          <w:tcPr>
            <w:tcW w:w="960" w:type="dxa"/>
            <w:tcBorders>
              <w:top w:val="nil"/>
              <w:left w:val="nil"/>
              <w:bottom w:val="nil"/>
              <w:right w:val="nil"/>
            </w:tcBorders>
            <w:tcMar>
              <w:top w:w="120" w:type="dxa"/>
              <w:left w:w="43" w:type="dxa"/>
              <w:bottom w:w="43" w:type="dxa"/>
              <w:right w:w="43" w:type="dxa"/>
            </w:tcMar>
            <w:vAlign w:val="bottom"/>
          </w:tcPr>
          <w:p w14:paraId="3317B7D2" w14:textId="77777777" w:rsidR="00575AC3" w:rsidRPr="006D40F0" w:rsidRDefault="00575AC3" w:rsidP="006D40F0">
            <w:r w:rsidRPr="006D40F0">
              <w:t>1 329</w:t>
            </w:r>
          </w:p>
        </w:tc>
        <w:tc>
          <w:tcPr>
            <w:tcW w:w="960" w:type="dxa"/>
            <w:tcBorders>
              <w:top w:val="nil"/>
              <w:left w:val="nil"/>
              <w:bottom w:val="nil"/>
              <w:right w:val="nil"/>
            </w:tcBorders>
            <w:tcMar>
              <w:top w:w="120" w:type="dxa"/>
              <w:left w:w="43" w:type="dxa"/>
              <w:bottom w:w="43" w:type="dxa"/>
              <w:right w:w="43" w:type="dxa"/>
            </w:tcMar>
            <w:vAlign w:val="bottom"/>
          </w:tcPr>
          <w:p w14:paraId="2FF3C7A9" w14:textId="77777777" w:rsidR="00575AC3" w:rsidRPr="006D40F0" w:rsidRDefault="00575AC3" w:rsidP="006D40F0"/>
        </w:tc>
      </w:tr>
      <w:tr w:rsidR="00DD49A7" w:rsidRPr="006D40F0" w14:paraId="368CD4EF"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393CC6C4"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BA22671" w14:textId="77777777" w:rsidR="00575AC3" w:rsidRPr="006D40F0" w:rsidRDefault="00575AC3" w:rsidP="006D40F0">
            <w:r w:rsidRPr="006D40F0">
              <w:t>Økte forsvarsutgifter mot tilsvarende økte inntekter</w:t>
            </w:r>
          </w:p>
        </w:tc>
        <w:tc>
          <w:tcPr>
            <w:tcW w:w="960" w:type="dxa"/>
            <w:tcBorders>
              <w:top w:val="nil"/>
              <w:left w:val="nil"/>
              <w:bottom w:val="nil"/>
              <w:right w:val="nil"/>
            </w:tcBorders>
            <w:tcMar>
              <w:top w:w="120" w:type="dxa"/>
              <w:left w:w="43" w:type="dxa"/>
              <w:bottom w:w="43" w:type="dxa"/>
              <w:right w:w="43" w:type="dxa"/>
            </w:tcMar>
            <w:vAlign w:val="bottom"/>
          </w:tcPr>
          <w:p w14:paraId="46A9A3B4" w14:textId="77777777" w:rsidR="00575AC3" w:rsidRPr="006D40F0" w:rsidRDefault="00575AC3" w:rsidP="006D40F0">
            <w:r w:rsidRPr="006D40F0">
              <w:t>1 116</w:t>
            </w:r>
          </w:p>
        </w:tc>
        <w:tc>
          <w:tcPr>
            <w:tcW w:w="960" w:type="dxa"/>
            <w:tcBorders>
              <w:top w:val="nil"/>
              <w:left w:val="nil"/>
              <w:bottom w:val="nil"/>
              <w:right w:val="nil"/>
            </w:tcBorders>
            <w:tcMar>
              <w:top w:w="120" w:type="dxa"/>
              <w:left w:w="43" w:type="dxa"/>
              <w:bottom w:w="43" w:type="dxa"/>
              <w:right w:w="43" w:type="dxa"/>
            </w:tcMar>
            <w:vAlign w:val="bottom"/>
          </w:tcPr>
          <w:p w14:paraId="74FA0488" w14:textId="77777777" w:rsidR="00575AC3" w:rsidRPr="006D40F0" w:rsidRDefault="00575AC3" w:rsidP="006D40F0"/>
        </w:tc>
      </w:tr>
      <w:tr w:rsidR="00DD49A7" w:rsidRPr="006D40F0" w14:paraId="184D9B02"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53D1B4A8"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2F0C7716" w14:textId="77777777" w:rsidR="00575AC3" w:rsidRPr="006D40F0" w:rsidRDefault="00575AC3" w:rsidP="006D40F0">
            <w:r w:rsidRPr="006D40F0">
              <w:t>Mottak og integrering av flyktninger – volumjusterte utgifter</w:t>
            </w:r>
          </w:p>
        </w:tc>
        <w:tc>
          <w:tcPr>
            <w:tcW w:w="960" w:type="dxa"/>
            <w:tcBorders>
              <w:top w:val="nil"/>
              <w:left w:val="nil"/>
              <w:bottom w:val="nil"/>
              <w:right w:val="nil"/>
            </w:tcBorders>
            <w:tcMar>
              <w:top w:w="120" w:type="dxa"/>
              <w:left w:w="43" w:type="dxa"/>
              <w:bottom w:w="43" w:type="dxa"/>
              <w:right w:w="43" w:type="dxa"/>
            </w:tcMar>
            <w:vAlign w:val="bottom"/>
          </w:tcPr>
          <w:p w14:paraId="0C41499B" w14:textId="77777777" w:rsidR="00575AC3" w:rsidRPr="006D40F0" w:rsidRDefault="00575AC3" w:rsidP="006D40F0">
            <w:r w:rsidRPr="006D40F0">
              <w:t>801</w:t>
            </w:r>
          </w:p>
        </w:tc>
        <w:tc>
          <w:tcPr>
            <w:tcW w:w="960" w:type="dxa"/>
            <w:tcBorders>
              <w:top w:val="nil"/>
              <w:left w:val="nil"/>
              <w:bottom w:val="nil"/>
              <w:right w:val="nil"/>
            </w:tcBorders>
            <w:tcMar>
              <w:top w:w="120" w:type="dxa"/>
              <w:left w:w="43" w:type="dxa"/>
              <w:bottom w:w="43" w:type="dxa"/>
              <w:right w:w="43" w:type="dxa"/>
            </w:tcMar>
            <w:vAlign w:val="bottom"/>
          </w:tcPr>
          <w:p w14:paraId="3FB18524" w14:textId="77777777" w:rsidR="00575AC3" w:rsidRPr="006D40F0" w:rsidRDefault="00575AC3" w:rsidP="006D40F0"/>
        </w:tc>
      </w:tr>
      <w:tr w:rsidR="00DD49A7" w:rsidRPr="006D40F0" w14:paraId="18F9DD9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744068E6"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6054334" w14:textId="77777777" w:rsidR="00575AC3" w:rsidRPr="006D40F0" w:rsidRDefault="00575AC3" w:rsidP="006D40F0">
            <w:r w:rsidRPr="006D40F0">
              <w:t>Tilskudd ved produksjonssvikt – anslagsendringer</w:t>
            </w:r>
          </w:p>
        </w:tc>
        <w:tc>
          <w:tcPr>
            <w:tcW w:w="960" w:type="dxa"/>
            <w:tcBorders>
              <w:top w:val="nil"/>
              <w:left w:val="nil"/>
              <w:bottom w:val="nil"/>
              <w:right w:val="nil"/>
            </w:tcBorders>
            <w:tcMar>
              <w:top w:w="120" w:type="dxa"/>
              <w:left w:w="43" w:type="dxa"/>
              <w:bottom w:w="43" w:type="dxa"/>
              <w:right w:w="43" w:type="dxa"/>
            </w:tcMar>
            <w:vAlign w:val="bottom"/>
          </w:tcPr>
          <w:p w14:paraId="72F00146" w14:textId="77777777" w:rsidR="00575AC3" w:rsidRPr="006D40F0" w:rsidRDefault="00575AC3" w:rsidP="006D40F0">
            <w:r w:rsidRPr="006D40F0">
              <w:t>698</w:t>
            </w:r>
          </w:p>
        </w:tc>
        <w:tc>
          <w:tcPr>
            <w:tcW w:w="960" w:type="dxa"/>
            <w:tcBorders>
              <w:top w:val="nil"/>
              <w:left w:val="nil"/>
              <w:bottom w:val="nil"/>
              <w:right w:val="nil"/>
            </w:tcBorders>
            <w:tcMar>
              <w:top w:w="120" w:type="dxa"/>
              <w:left w:w="43" w:type="dxa"/>
              <w:bottom w:w="43" w:type="dxa"/>
              <w:right w:w="43" w:type="dxa"/>
            </w:tcMar>
            <w:vAlign w:val="bottom"/>
          </w:tcPr>
          <w:p w14:paraId="7C6DBD08" w14:textId="77777777" w:rsidR="00575AC3" w:rsidRPr="006D40F0" w:rsidRDefault="00575AC3" w:rsidP="006D40F0"/>
        </w:tc>
      </w:tr>
      <w:tr w:rsidR="00DD49A7" w:rsidRPr="006D40F0" w14:paraId="5FF75C6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44B76D55"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4BEA308B" w14:textId="77777777" w:rsidR="00575AC3" w:rsidRPr="006D40F0" w:rsidRDefault="00575AC3" w:rsidP="006D40F0">
            <w:r w:rsidRPr="006D40F0">
              <w:t>Økt vedlikehold av riksveier</w:t>
            </w:r>
          </w:p>
        </w:tc>
        <w:tc>
          <w:tcPr>
            <w:tcW w:w="960" w:type="dxa"/>
            <w:tcBorders>
              <w:top w:val="nil"/>
              <w:left w:val="nil"/>
              <w:bottom w:val="nil"/>
              <w:right w:val="nil"/>
            </w:tcBorders>
            <w:tcMar>
              <w:top w:w="120" w:type="dxa"/>
              <w:left w:w="43" w:type="dxa"/>
              <w:bottom w:w="43" w:type="dxa"/>
              <w:right w:w="43" w:type="dxa"/>
            </w:tcMar>
            <w:vAlign w:val="bottom"/>
          </w:tcPr>
          <w:p w14:paraId="72551617" w14:textId="77777777" w:rsidR="00575AC3" w:rsidRPr="006D40F0" w:rsidRDefault="00575AC3" w:rsidP="006D40F0">
            <w:r w:rsidRPr="006D40F0">
              <w:t>641</w:t>
            </w:r>
          </w:p>
        </w:tc>
        <w:tc>
          <w:tcPr>
            <w:tcW w:w="960" w:type="dxa"/>
            <w:tcBorders>
              <w:top w:val="nil"/>
              <w:left w:val="nil"/>
              <w:bottom w:val="nil"/>
              <w:right w:val="nil"/>
            </w:tcBorders>
            <w:tcMar>
              <w:top w:w="120" w:type="dxa"/>
              <w:left w:w="43" w:type="dxa"/>
              <w:bottom w:w="43" w:type="dxa"/>
              <w:right w:w="43" w:type="dxa"/>
            </w:tcMar>
            <w:vAlign w:val="bottom"/>
          </w:tcPr>
          <w:p w14:paraId="453D6924" w14:textId="77777777" w:rsidR="00575AC3" w:rsidRPr="006D40F0" w:rsidRDefault="00575AC3" w:rsidP="006D40F0"/>
        </w:tc>
      </w:tr>
      <w:tr w:rsidR="00DD49A7" w:rsidRPr="006D40F0" w14:paraId="2F8BE6E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FA18CFA"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3AA2251" w14:textId="77777777" w:rsidR="00575AC3" w:rsidRPr="006D40F0" w:rsidRDefault="00575AC3" w:rsidP="006D40F0">
            <w:r w:rsidRPr="006D40F0">
              <w:t>CO</w:t>
            </w:r>
            <w:r w:rsidRPr="00575AC3">
              <w:rPr>
                <w:rStyle w:val="skrift-senket"/>
              </w:rPr>
              <w:t>2</w:t>
            </w:r>
            <w:r w:rsidRPr="006D40F0">
              <w:t>-kompensasjonsordningen for industrien</w:t>
            </w:r>
          </w:p>
        </w:tc>
        <w:tc>
          <w:tcPr>
            <w:tcW w:w="960" w:type="dxa"/>
            <w:tcBorders>
              <w:top w:val="nil"/>
              <w:left w:val="nil"/>
              <w:bottom w:val="nil"/>
              <w:right w:val="nil"/>
            </w:tcBorders>
            <w:tcMar>
              <w:top w:w="120" w:type="dxa"/>
              <w:left w:w="43" w:type="dxa"/>
              <w:bottom w:w="43" w:type="dxa"/>
              <w:right w:w="43" w:type="dxa"/>
            </w:tcMar>
            <w:vAlign w:val="bottom"/>
          </w:tcPr>
          <w:p w14:paraId="10F372EB" w14:textId="77777777" w:rsidR="00575AC3" w:rsidRPr="006D40F0" w:rsidRDefault="00575AC3" w:rsidP="006D40F0">
            <w:r w:rsidRPr="006D40F0">
              <w:t>500</w:t>
            </w:r>
          </w:p>
        </w:tc>
        <w:tc>
          <w:tcPr>
            <w:tcW w:w="960" w:type="dxa"/>
            <w:tcBorders>
              <w:top w:val="nil"/>
              <w:left w:val="nil"/>
              <w:bottom w:val="nil"/>
              <w:right w:val="nil"/>
            </w:tcBorders>
            <w:tcMar>
              <w:top w:w="120" w:type="dxa"/>
              <w:left w:w="43" w:type="dxa"/>
              <w:bottom w:w="43" w:type="dxa"/>
              <w:right w:w="43" w:type="dxa"/>
            </w:tcMar>
            <w:vAlign w:val="bottom"/>
          </w:tcPr>
          <w:p w14:paraId="668C4DA7" w14:textId="77777777" w:rsidR="00575AC3" w:rsidRPr="006D40F0" w:rsidRDefault="00575AC3" w:rsidP="006D40F0"/>
        </w:tc>
      </w:tr>
      <w:tr w:rsidR="00DD49A7" w:rsidRPr="006D40F0" w14:paraId="0D6C929D"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526AAC0"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771585F" w14:textId="77777777" w:rsidR="00575AC3" w:rsidRPr="006D40F0" w:rsidRDefault="00575AC3" w:rsidP="006D40F0">
            <w:r w:rsidRPr="006D40F0">
              <w:t>Tilskudd til innkjøp av trykte læremidler</w:t>
            </w:r>
          </w:p>
        </w:tc>
        <w:tc>
          <w:tcPr>
            <w:tcW w:w="960" w:type="dxa"/>
            <w:tcBorders>
              <w:top w:val="nil"/>
              <w:left w:val="nil"/>
              <w:bottom w:val="nil"/>
              <w:right w:val="nil"/>
            </w:tcBorders>
            <w:tcMar>
              <w:top w:w="120" w:type="dxa"/>
              <w:left w:w="43" w:type="dxa"/>
              <w:bottom w:w="43" w:type="dxa"/>
              <w:right w:w="43" w:type="dxa"/>
            </w:tcMar>
            <w:vAlign w:val="bottom"/>
          </w:tcPr>
          <w:p w14:paraId="32581F70" w14:textId="77777777" w:rsidR="00575AC3" w:rsidRPr="006D40F0" w:rsidRDefault="00575AC3" w:rsidP="006D40F0">
            <w:r w:rsidRPr="006D40F0">
              <w:t>300</w:t>
            </w:r>
          </w:p>
        </w:tc>
        <w:tc>
          <w:tcPr>
            <w:tcW w:w="960" w:type="dxa"/>
            <w:tcBorders>
              <w:top w:val="nil"/>
              <w:left w:val="nil"/>
              <w:bottom w:val="nil"/>
              <w:right w:val="nil"/>
            </w:tcBorders>
            <w:tcMar>
              <w:top w:w="120" w:type="dxa"/>
              <w:left w:w="43" w:type="dxa"/>
              <w:bottom w:w="43" w:type="dxa"/>
              <w:right w:w="43" w:type="dxa"/>
            </w:tcMar>
            <w:vAlign w:val="bottom"/>
          </w:tcPr>
          <w:p w14:paraId="79BAC6E1" w14:textId="77777777" w:rsidR="00575AC3" w:rsidRPr="006D40F0" w:rsidRDefault="00575AC3" w:rsidP="006D40F0"/>
        </w:tc>
      </w:tr>
      <w:tr w:rsidR="00DD49A7" w:rsidRPr="006D40F0" w14:paraId="1F30DA80"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194141AB"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7780EC2C" w14:textId="77777777" w:rsidR="00575AC3" w:rsidRPr="006D40F0" w:rsidRDefault="00575AC3" w:rsidP="006D40F0">
            <w:r w:rsidRPr="006D40F0">
              <w:t>Studenthybler ved Fagskolen for brann- og redningspersonell</w:t>
            </w:r>
          </w:p>
        </w:tc>
        <w:tc>
          <w:tcPr>
            <w:tcW w:w="960" w:type="dxa"/>
            <w:tcBorders>
              <w:top w:val="nil"/>
              <w:left w:val="nil"/>
              <w:bottom w:val="nil"/>
              <w:right w:val="nil"/>
            </w:tcBorders>
            <w:tcMar>
              <w:top w:w="120" w:type="dxa"/>
              <w:left w:w="43" w:type="dxa"/>
              <w:bottom w:w="43" w:type="dxa"/>
              <w:right w:w="43" w:type="dxa"/>
            </w:tcMar>
            <w:vAlign w:val="bottom"/>
          </w:tcPr>
          <w:p w14:paraId="27F156E3" w14:textId="77777777" w:rsidR="00575AC3" w:rsidRPr="006D40F0" w:rsidRDefault="00575AC3" w:rsidP="006D40F0">
            <w:r w:rsidRPr="006D40F0">
              <w:t>280</w:t>
            </w:r>
          </w:p>
        </w:tc>
        <w:tc>
          <w:tcPr>
            <w:tcW w:w="960" w:type="dxa"/>
            <w:tcBorders>
              <w:top w:val="nil"/>
              <w:left w:val="nil"/>
              <w:bottom w:val="nil"/>
              <w:right w:val="nil"/>
            </w:tcBorders>
            <w:tcMar>
              <w:top w:w="120" w:type="dxa"/>
              <w:left w:w="43" w:type="dxa"/>
              <w:bottom w:w="43" w:type="dxa"/>
              <w:right w:w="43" w:type="dxa"/>
            </w:tcMar>
            <w:vAlign w:val="bottom"/>
          </w:tcPr>
          <w:p w14:paraId="709F0287" w14:textId="77777777" w:rsidR="00575AC3" w:rsidRPr="006D40F0" w:rsidRDefault="00575AC3" w:rsidP="006D40F0"/>
        </w:tc>
      </w:tr>
      <w:tr w:rsidR="00DD49A7" w:rsidRPr="006D40F0" w14:paraId="7841A577"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303B11E1"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529B31D" w14:textId="77777777" w:rsidR="00575AC3" w:rsidRPr="006D40F0" w:rsidRDefault="00575AC3" w:rsidP="006D40F0">
            <w:r w:rsidRPr="006D40F0">
              <w:t xml:space="preserve">Statens lånekasse for utdanning – anslagsendringer </w:t>
            </w:r>
          </w:p>
        </w:tc>
        <w:tc>
          <w:tcPr>
            <w:tcW w:w="960" w:type="dxa"/>
            <w:tcBorders>
              <w:top w:val="nil"/>
              <w:left w:val="nil"/>
              <w:bottom w:val="nil"/>
              <w:right w:val="nil"/>
            </w:tcBorders>
            <w:tcMar>
              <w:top w:w="120" w:type="dxa"/>
              <w:left w:w="43" w:type="dxa"/>
              <w:bottom w:w="43" w:type="dxa"/>
              <w:right w:w="43" w:type="dxa"/>
            </w:tcMar>
            <w:vAlign w:val="bottom"/>
          </w:tcPr>
          <w:p w14:paraId="0BC9393A" w14:textId="77777777" w:rsidR="00575AC3" w:rsidRPr="006D40F0" w:rsidRDefault="00575AC3" w:rsidP="006D40F0">
            <w:r w:rsidRPr="006D40F0">
              <w:t>253</w:t>
            </w:r>
          </w:p>
        </w:tc>
        <w:tc>
          <w:tcPr>
            <w:tcW w:w="960" w:type="dxa"/>
            <w:tcBorders>
              <w:top w:val="nil"/>
              <w:left w:val="nil"/>
              <w:bottom w:val="nil"/>
              <w:right w:val="nil"/>
            </w:tcBorders>
            <w:tcMar>
              <w:top w:w="120" w:type="dxa"/>
              <w:left w:w="43" w:type="dxa"/>
              <w:bottom w:w="43" w:type="dxa"/>
              <w:right w:w="43" w:type="dxa"/>
            </w:tcMar>
            <w:vAlign w:val="bottom"/>
          </w:tcPr>
          <w:p w14:paraId="41A529CE" w14:textId="77777777" w:rsidR="00575AC3" w:rsidRPr="006D40F0" w:rsidRDefault="00575AC3" w:rsidP="006D40F0"/>
        </w:tc>
      </w:tr>
      <w:tr w:rsidR="00DD49A7" w:rsidRPr="006D40F0" w14:paraId="6A9FC8D6"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0975BA13"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0470177D" w14:textId="77777777" w:rsidR="00575AC3" w:rsidRPr="006D40F0" w:rsidRDefault="00575AC3" w:rsidP="006D40F0">
            <w:r w:rsidRPr="006D40F0">
              <w:t xml:space="preserve">Tilskudd til bygging av studentboliger – anslagsendringer </w:t>
            </w:r>
          </w:p>
        </w:tc>
        <w:tc>
          <w:tcPr>
            <w:tcW w:w="960" w:type="dxa"/>
            <w:tcBorders>
              <w:top w:val="nil"/>
              <w:left w:val="nil"/>
              <w:bottom w:val="nil"/>
              <w:right w:val="nil"/>
            </w:tcBorders>
            <w:tcMar>
              <w:top w:w="120" w:type="dxa"/>
              <w:left w:w="43" w:type="dxa"/>
              <w:bottom w:w="43" w:type="dxa"/>
              <w:right w:w="43" w:type="dxa"/>
            </w:tcMar>
            <w:vAlign w:val="bottom"/>
          </w:tcPr>
          <w:p w14:paraId="5B41CCCF" w14:textId="77777777" w:rsidR="00575AC3" w:rsidRPr="006D40F0" w:rsidRDefault="00575AC3" w:rsidP="006D40F0">
            <w:r w:rsidRPr="006D40F0">
              <w:t>240</w:t>
            </w:r>
          </w:p>
        </w:tc>
        <w:tc>
          <w:tcPr>
            <w:tcW w:w="960" w:type="dxa"/>
            <w:tcBorders>
              <w:top w:val="nil"/>
              <w:left w:val="nil"/>
              <w:bottom w:val="nil"/>
              <w:right w:val="nil"/>
            </w:tcBorders>
            <w:tcMar>
              <w:top w:w="120" w:type="dxa"/>
              <w:left w:w="43" w:type="dxa"/>
              <w:bottom w:w="43" w:type="dxa"/>
              <w:right w:w="43" w:type="dxa"/>
            </w:tcMar>
            <w:vAlign w:val="bottom"/>
          </w:tcPr>
          <w:p w14:paraId="065AF619" w14:textId="77777777" w:rsidR="00575AC3" w:rsidRPr="006D40F0" w:rsidRDefault="00575AC3" w:rsidP="006D40F0"/>
        </w:tc>
      </w:tr>
      <w:tr w:rsidR="00DD49A7" w:rsidRPr="006D40F0" w14:paraId="5F862207"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0EE8BCF2"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11A5456B" w14:textId="77777777" w:rsidR="00575AC3" w:rsidRPr="006D40F0" w:rsidRDefault="00575AC3" w:rsidP="006D40F0">
            <w:r w:rsidRPr="006D40F0">
              <w:t xml:space="preserve">Bostøtte – anslagsendringer </w:t>
            </w:r>
          </w:p>
        </w:tc>
        <w:tc>
          <w:tcPr>
            <w:tcW w:w="960" w:type="dxa"/>
            <w:tcBorders>
              <w:top w:val="nil"/>
              <w:left w:val="nil"/>
              <w:bottom w:val="nil"/>
              <w:right w:val="nil"/>
            </w:tcBorders>
            <w:tcMar>
              <w:top w:w="120" w:type="dxa"/>
              <w:left w:w="43" w:type="dxa"/>
              <w:bottom w:w="43" w:type="dxa"/>
              <w:right w:w="43" w:type="dxa"/>
            </w:tcMar>
            <w:vAlign w:val="bottom"/>
          </w:tcPr>
          <w:p w14:paraId="0C64C183" w14:textId="77777777" w:rsidR="00575AC3" w:rsidRPr="006D40F0" w:rsidRDefault="00575AC3" w:rsidP="006D40F0">
            <w:r w:rsidRPr="006D40F0">
              <w:t>232</w:t>
            </w:r>
          </w:p>
        </w:tc>
        <w:tc>
          <w:tcPr>
            <w:tcW w:w="960" w:type="dxa"/>
            <w:tcBorders>
              <w:top w:val="nil"/>
              <w:left w:val="nil"/>
              <w:bottom w:val="nil"/>
              <w:right w:val="nil"/>
            </w:tcBorders>
            <w:tcMar>
              <w:top w:w="120" w:type="dxa"/>
              <w:left w:w="43" w:type="dxa"/>
              <w:bottom w:w="43" w:type="dxa"/>
              <w:right w:w="43" w:type="dxa"/>
            </w:tcMar>
            <w:vAlign w:val="bottom"/>
          </w:tcPr>
          <w:p w14:paraId="10607571" w14:textId="77777777" w:rsidR="00575AC3" w:rsidRPr="006D40F0" w:rsidRDefault="00575AC3" w:rsidP="006D40F0"/>
        </w:tc>
      </w:tr>
      <w:tr w:rsidR="00DD49A7" w:rsidRPr="006D40F0" w14:paraId="1366C2D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37D4464D"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599D70E" w14:textId="77777777" w:rsidR="00575AC3" w:rsidRPr="006D40F0" w:rsidRDefault="00575AC3" w:rsidP="006D40F0">
            <w:r w:rsidRPr="006D40F0">
              <w:t xml:space="preserve">Økt likviditetsbehov i Nye </w:t>
            </w:r>
            <w:proofErr w:type="spellStart"/>
            <w:r w:rsidRPr="006D40F0">
              <w:t>Altinn</w:t>
            </w:r>
            <w:proofErr w:type="spellEnd"/>
          </w:p>
        </w:tc>
        <w:tc>
          <w:tcPr>
            <w:tcW w:w="960" w:type="dxa"/>
            <w:tcBorders>
              <w:top w:val="nil"/>
              <w:left w:val="nil"/>
              <w:bottom w:val="nil"/>
              <w:right w:val="nil"/>
            </w:tcBorders>
            <w:tcMar>
              <w:top w:w="120" w:type="dxa"/>
              <w:left w:w="43" w:type="dxa"/>
              <w:bottom w:w="43" w:type="dxa"/>
              <w:right w:w="43" w:type="dxa"/>
            </w:tcMar>
            <w:vAlign w:val="bottom"/>
          </w:tcPr>
          <w:p w14:paraId="59DC212E" w14:textId="77777777" w:rsidR="00575AC3" w:rsidRPr="006D40F0" w:rsidRDefault="00575AC3" w:rsidP="006D40F0">
            <w:r w:rsidRPr="006D40F0">
              <w:t>208</w:t>
            </w:r>
          </w:p>
        </w:tc>
        <w:tc>
          <w:tcPr>
            <w:tcW w:w="960" w:type="dxa"/>
            <w:tcBorders>
              <w:top w:val="nil"/>
              <w:left w:val="nil"/>
              <w:bottom w:val="nil"/>
              <w:right w:val="nil"/>
            </w:tcBorders>
            <w:tcMar>
              <w:top w:w="120" w:type="dxa"/>
              <w:left w:w="43" w:type="dxa"/>
              <w:bottom w:w="43" w:type="dxa"/>
              <w:right w:w="43" w:type="dxa"/>
            </w:tcMar>
            <w:vAlign w:val="bottom"/>
          </w:tcPr>
          <w:p w14:paraId="6CF1CD88" w14:textId="77777777" w:rsidR="00575AC3" w:rsidRPr="006D40F0" w:rsidRDefault="00575AC3" w:rsidP="006D40F0"/>
        </w:tc>
      </w:tr>
      <w:tr w:rsidR="00DD49A7" w:rsidRPr="006D40F0" w14:paraId="74C7BCD2"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684E2D7D"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1A33FDC3" w14:textId="77777777" w:rsidR="00575AC3" w:rsidRPr="006D40F0" w:rsidRDefault="00575AC3" w:rsidP="006D40F0">
            <w:r w:rsidRPr="006D40F0">
              <w:t xml:space="preserve">Romvirksomhet – anslagsendringer </w:t>
            </w:r>
          </w:p>
        </w:tc>
        <w:tc>
          <w:tcPr>
            <w:tcW w:w="960" w:type="dxa"/>
            <w:tcBorders>
              <w:top w:val="nil"/>
              <w:left w:val="nil"/>
              <w:bottom w:val="nil"/>
              <w:right w:val="nil"/>
            </w:tcBorders>
            <w:tcMar>
              <w:top w:w="120" w:type="dxa"/>
              <w:left w:w="43" w:type="dxa"/>
              <w:bottom w:w="43" w:type="dxa"/>
              <w:right w:w="43" w:type="dxa"/>
            </w:tcMar>
            <w:vAlign w:val="bottom"/>
          </w:tcPr>
          <w:p w14:paraId="579AE426" w14:textId="77777777" w:rsidR="00575AC3" w:rsidRPr="006D40F0" w:rsidRDefault="00575AC3" w:rsidP="006D40F0">
            <w:r w:rsidRPr="006D40F0">
              <w:t>-221</w:t>
            </w:r>
          </w:p>
        </w:tc>
        <w:tc>
          <w:tcPr>
            <w:tcW w:w="960" w:type="dxa"/>
            <w:tcBorders>
              <w:top w:val="nil"/>
              <w:left w:val="nil"/>
              <w:bottom w:val="nil"/>
              <w:right w:val="nil"/>
            </w:tcBorders>
            <w:tcMar>
              <w:top w:w="120" w:type="dxa"/>
              <w:left w:w="43" w:type="dxa"/>
              <w:bottom w:w="43" w:type="dxa"/>
              <w:right w:w="43" w:type="dxa"/>
            </w:tcMar>
            <w:vAlign w:val="bottom"/>
          </w:tcPr>
          <w:p w14:paraId="6C2F7C7D" w14:textId="77777777" w:rsidR="00575AC3" w:rsidRPr="006D40F0" w:rsidRDefault="00575AC3" w:rsidP="006D40F0"/>
        </w:tc>
      </w:tr>
      <w:tr w:rsidR="00DD49A7" w:rsidRPr="006D40F0" w14:paraId="0B0A5224"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DA3B668"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7C997FD5" w14:textId="77777777" w:rsidR="00575AC3" w:rsidRPr="006D40F0" w:rsidRDefault="00575AC3" w:rsidP="006D40F0">
            <w:r w:rsidRPr="006D40F0">
              <w:t>Fremdrift i lufthavnprosjektene i Mo i Rana og Bodø</w:t>
            </w:r>
          </w:p>
        </w:tc>
        <w:tc>
          <w:tcPr>
            <w:tcW w:w="960" w:type="dxa"/>
            <w:tcBorders>
              <w:top w:val="nil"/>
              <w:left w:val="nil"/>
              <w:bottom w:val="nil"/>
              <w:right w:val="nil"/>
            </w:tcBorders>
            <w:tcMar>
              <w:top w:w="120" w:type="dxa"/>
              <w:left w:w="43" w:type="dxa"/>
              <w:bottom w:w="43" w:type="dxa"/>
              <w:right w:w="43" w:type="dxa"/>
            </w:tcMar>
            <w:vAlign w:val="bottom"/>
          </w:tcPr>
          <w:p w14:paraId="27C9F63B" w14:textId="77777777" w:rsidR="00575AC3" w:rsidRPr="006D40F0" w:rsidRDefault="00575AC3" w:rsidP="006D40F0">
            <w:r w:rsidRPr="006D40F0">
              <w:t>-312</w:t>
            </w:r>
          </w:p>
        </w:tc>
        <w:tc>
          <w:tcPr>
            <w:tcW w:w="960" w:type="dxa"/>
            <w:tcBorders>
              <w:top w:val="nil"/>
              <w:left w:val="nil"/>
              <w:bottom w:val="nil"/>
              <w:right w:val="nil"/>
            </w:tcBorders>
            <w:tcMar>
              <w:top w:w="120" w:type="dxa"/>
              <w:left w:w="43" w:type="dxa"/>
              <w:bottom w:w="43" w:type="dxa"/>
              <w:right w:w="43" w:type="dxa"/>
            </w:tcMar>
            <w:vAlign w:val="bottom"/>
          </w:tcPr>
          <w:p w14:paraId="09F805FC" w14:textId="77777777" w:rsidR="00575AC3" w:rsidRPr="006D40F0" w:rsidRDefault="00575AC3" w:rsidP="006D40F0"/>
        </w:tc>
      </w:tr>
      <w:tr w:rsidR="00DD49A7" w:rsidRPr="006D40F0" w14:paraId="4AC65314"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5FDEE65"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19AF5ED4" w14:textId="77777777" w:rsidR="00575AC3" w:rsidRPr="006D40F0" w:rsidRDefault="00575AC3" w:rsidP="006D40F0">
            <w:r w:rsidRPr="006D40F0">
              <w:t>Tilskudd til store kollektivprosjekter</w:t>
            </w:r>
          </w:p>
        </w:tc>
        <w:tc>
          <w:tcPr>
            <w:tcW w:w="960" w:type="dxa"/>
            <w:tcBorders>
              <w:top w:val="nil"/>
              <w:left w:val="nil"/>
              <w:bottom w:val="nil"/>
              <w:right w:val="nil"/>
            </w:tcBorders>
            <w:tcMar>
              <w:top w:w="120" w:type="dxa"/>
              <w:left w:w="43" w:type="dxa"/>
              <w:bottom w:w="43" w:type="dxa"/>
              <w:right w:w="43" w:type="dxa"/>
            </w:tcMar>
            <w:vAlign w:val="bottom"/>
          </w:tcPr>
          <w:p w14:paraId="77D59F16" w14:textId="77777777" w:rsidR="00575AC3" w:rsidRPr="006D40F0" w:rsidRDefault="00575AC3" w:rsidP="006D40F0">
            <w:r w:rsidRPr="006D40F0">
              <w:t>-440</w:t>
            </w:r>
          </w:p>
        </w:tc>
        <w:tc>
          <w:tcPr>
            <w:tcW w:w="960" w:type="dxa"/>
            <w:tcBorders>
              <w:top w:val="nil"/>
              <w:left w:val="nil"/>
              <w:bottom w:val="nil"/>
              <w:right w:val="nil"/>
            </w:tcBorders>
            <w:tcMar>
              <w:top w:w="120" w:type="dxa"/>
              <w:left w:w="43" w:type="dxa"/>
              <w:bottom w:w="43" w:type="dxa"/>
              <w:right w:w="43" w:type="dxa"/>
            </w:tcMar>
            <w:vAlign w:val="bottom"/>
          </w:tcPr>
          <w:p w14:paraId="59451869" w14:textId="77777777" w:rsidR="00575AC3" w:rsidRPr="006D40F0" w:rsidRDefault="00575AC3" w:rsidP="006D40F0"/>
        </w:tc>
      </w:tr>
      <w:tr w:rsidR="00DD49A7" w:rsidRPr="006D40F0" w14:paraId="70A8FCF0"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356E056D"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8D2F44C" w14:textId="77777777" w:rsidR="00575AC3" w:rsidRPr="006D40F0" w:rsidRDefault="00575AC3" w:rsidP="006D40F0">
            <w:r w:rsidRPr="006D40F0">
              <w:t>Valutajustering av store investeringsprosjekter i Forsvaret – anslagsendring</w:t>
            </w:r>
          </w:p>
        </w:tc>
        <w:tc>
          <w:tcPr>
            <w:tcW w:w="960" w:type="dxa"/>
            <w:tcBorders>
              <w:top w:val="nil"/>
              <w:left w:val="nil"/>
              <w:bottom w:val="nil"/>
              <w:right w:val="nil"/>
            </w:tcBorders>
            <w:tcMar>
              <w:top w:w="120" w:type="dxa"/>
              <w:left w:w="43" w:type="dxa"/>
              <w:bottom w:w="43" w:type="dxa"/>
              <w:right w:w="43" w:type="dxa"/>
            </w:tcMar>
            <w:vAlign w:val="bottom"/>
          </w:tcPr>
          <w:p w14:paraId="2FF2EF50" w14:textId="77777777" w:rsidR="00575AC3" w:rsidRPr="006D40F0" w:rsidRDefault="00575AC3" w:rsidP="006D40F0">
            <w:r w:rsidRPr="006D40F0">
              <w:t>-626</w:t>
            </w:r>
          </w:p>
        </w:tc>
        <w:tc>
          <w:tcPr>
            <w:tcW w:w="960" w:type="dxa"/>
            <w:tcBorders>
              <w:top w:val="nil"/>
              <w:left w:val="nil"/>
              <w:bottom w:val="nil"/>
              <w:right w:val="nil"/>
            </w:tcBorders>
            <w:tcMar>
              <w:top w:w="120" w:type="dxa"/>
              <w:left w:w="43" w:type="dxa"/>
              <w:bottom w:w="43" w:type="dxa"/>
              <w:right w:w="43" w:type="dxa"/>
            </w:tcMar>
            <w:vAlign w:val="bottom"/>
          </w:tcPr>
          <w:p w14:paraId="15D39287" w14:textId="77777777" w:rsidR="00575AC3" w:rsidRPr="006D40F0" w:rsidRDefault="00575AC3" w:rsidP="006D40F0"/>
        </w:tc>
      </w:tr>
      <w:tr w:rsidR="00DD49A7" w:rsidRPr="006D40F0" w14:paraId="228F6FD2"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1DFC705C"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786F45EC" w14:textId="77777777" w:rsidR="00575AC3" w:rsidRPr="006D40F0" w:rsidRDefault="00575AC3" w:rsidP="006D40F0">
            <w:r w:rsidRPr="006D40F0">
              <w:t xml:space="preserve">Tilskudd til Statens pensjonskasse – anslagsendringer </w:t>
            </w:r>
          </w:p>
        </w:tc>
        <w:tc>
          <w:tcPr>
            <w:tcW w:w="960" w:type="dxa"/>
            <w:tcBorders>
              <w:top w:val="nil"/>
              <w:left w:val="nil"/>
              <w:bottom w:val="nil"/>
              <w:right w:val="nil"/>
            </w:tcBorders>
            <w:tcMar>
              <w:top w:w="120" w:type="dxa"/>
              <w:left w:w="43" w:type="dxa"/>
              <w:bottom w:w="43" w:type="dxa"/>
              <w:right w:w="43" w:type="dxa"/>
            </w:tcMar>
            <w:vAlign w:val="bottom"/>
          </w:tcPr>
          <w:p w14:paraId="5FDA5A08" w14:textId="77777777" w:rsidR="00575AC3" w:rsidRPr="006D40F0" w:rsidRDefault="00575AC3" w:rsidP="006D40F0">
            <w:r w:rsidRPr="006D40F0">
              <w:t>-627</w:t>
            </w:r>
          </w:p>
        </w:tc>
        <w:tc>
          <w:tcPr>
            <w:tcW w:w="960" w:type="dxa"/>
            <w:tcBorders>
              <w:top w:val="nil"/>
              <w:left w:val="nil"/>
              <w:bottom w:val="nil"/>
              <w:right w:val="nil"/>
            </w:tcBorders>
            <w:tcMar>
              <w:top w:w="120" w:type="dxa"/>
              <w:left w:w="43" w:type="dxa"/>
              <w:bottom w:w="43" w:type="dxa"/>
              <w:right w:w="43" w:type="dxa"/>
            </w:tcMar>
            <w:vAlign w:val="bottom"/>
          </w:tcPr>
          <w:p w14:paraId="56BCC2F1" w14:textId="77777777" w:rsidR="00575AC3" w:rsidRPr="006D40F0" w:rsidRDefault="00575AC3" w:rsidP="006D40F0"/>
        </w:tc>
      </w:tr>
      <w:tr w:rsidR="00DD49A7" w:rsidRPr="006D40F0" w14:paraId="3901E1B3"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73C17DB7"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100B8AF" w14:textId="77777777" w:rsidR="00575AC3" w:rsidRPr="006D40F0" w:rsidRDefault="00575AC3" w:rsidP="006D40F0">
            <w:r w:rsidRPr="006D40F0">
              <w:t xml:space="preserve">Tiltak for å redusere utgifter til legemiddelet </w:t>
            </w:r>
            <w:proofErr w:type="spellStart"/>
            <w:r w:rsidRPr="006D40F0">
              <w:t>Ozempic</w:t>
            </w:r>
            <w:proofErr w:type="spellEnd"/>
          </w:p>
        </w:tc>
        <w:tc>
          <w:tcPr>
            <w:tcW w:w="960" w:type="dxa"/>
            <w:tcBorders>
              <w:top w:val="nil"/>
              <w:left w:val="nil"/>
              <w:bottom w:val="nil"/>
              <w:right w:val="nil"/>
            </w:tcBorders>
            <w:tcMar>
              <w:top w:w="120" w:type="dxa"/>
              <w:left w:w="43" w:type="dxa"/>
              <w:bottom w:w="43" w:type="dxa"/>
              <w:right w:w="43" w:type="dxa"/>
            </w:tcMar>
            <w:vAlign w:val="bottom"/>
          </w:tcPr>
          <w:p w14:paraId="73B9FE4B" w14:textId="77777777" w:rsidR="00575AC3" w:rsidRPr="006D40F0" w:rsidRDefault="00575AC3" w:rsidP="006D40F0">
            <w:r w:rsidRPr="006D40F0">
              <w:t>-730</w:t>
            </w:r>
          </w:p>
        </w:tc>
        <w:tc>
          <w:tcPr>
            <w:tcW w:w="960" w:type="dxa"/>
            <w:tcBorders>
              <w:top w:val="nil"/>
              <w:left w:val="nil"/>
              <w:bottom w:val="nil"/>
              <w:right w:val="nil"/>
            </w:tcBorders>
            <w:tcMar>
              <w:top w:w="120" w:type="dxa"/>
              <w:left w:w="43" w:type="dxa"/>
              <w:bottom w:w="43" w:type="dxa"/>
              <w:right w:w="43" w:type="dxa"/>
            </w:tcMar>
            <w:vAlign w:val="bottom"/>
          </w:tcPr>
          <w:p w14:paraId="415D7297" w14:textId="77777777" w:rsidR="00575AC3" w:rsidRPr="006D40F0" w:rsidRDefault="00575AC3" w:rsidP="006D40F0"/>
        </w:tc>
      </w:tr>
      <w:tr w:rsidR="00DD49A7" w:rsidRPr="006D40F0" w14:paraId="5B10F189"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183C5783"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DF5FB01" w14:textId="77777777" w:rsidR="00575AC3" w:rsidRPr="006D40F0" w:rsidRDefault="00575AC3" w:rsidP="006D40F0">
            <w:r w:rsidRPr="006D40F0">
              <w:t>Langskip – fangst og lagring av CO</w:t>
            </w:r>
            <w:r w:rsidRPr="00575AC3">
              <w:rPr>
                <w:rStyle w:val="skrift-senket"/>
              </w:rPr>
              <w:t>2</w:t>
            </w:r>
          </w:p>
        </w:tc>
        <w:tc>
          <w:tcPr>
            <w:tcW w:w="960" w:type="dxa"/>
            <w:tcBorders>
              <w:top w:val="nil"/>
              <w:left w:val="nil"/>
              <w:bottom w:val="nil"/>
              <w:right w:val="nil"/>
            </w:tcBorders>
            <w:tcMar>
              <w:top w:w="120" w:type="dxa"/>
              <w:left w:w="43" w:type="dxa"/>
              <w:bottom w:w="43" w:type="dxa"/>
              <w:right w:w="43" w:type="dxa"/>
            </w:tcMar>
            <w:vAlign w:val="bottom"/>
          </w:tcPr>
          <w:p w14:paraId="40AB3AF7" w14:textId="77777777" w:rsidR="00575AC3" w:rsidRPr="006D40F0" w:rsidRDefault="00575AC3" w:rsidP="006D40F0">
            <w:r w:rsidRPr="006D40F0">
              <w:t>-900</w:t>
            </w:r>
          </w:p>
        </w:tc>
        <w:tc>
          <w:tcPr>
            <w:tcW w:w="960" w:type="dxa"/>
            <w:tcBorders>
              <w:top w:val="nil"/>
              <w:left w:val="nil"/>
              <w:bottom w:val="nil"/>
              <w:right w:val="nil"/>
            </w:tcBorders>
            <w:tcMar>
              <w:top w:w="120" w:type="dxa"/>
              <w:left w:w="43" w:type="dxa"/>
              <w:bottom w:w="43" w:type="dxa"/>
              <w:right w:w="43" w:type="dxa"/>
            </w:tcMar>
            <w:vAlign w:val="bottom"/>
          </w:tcPr>
          <w:p w14:paraId="0401FB43" w14:textId="77777777" w:rsidR="00575AC3" w:rsidRPr="006D40F0" w:rsidRDefault="00575AC3" w:rsidP="006D40F0"/>
        </w:tc>
      </w:tr>
      <w:tr w:rsidR="00DD49A7" w:rsidRPr="006D40F0" w14:paraId="72292599" w14:textId="77777777" w:rsidTr="00265CE1">
        <w:trPr>
          <w:trHeight w:val="620"/>
        </w:trPr>
        <w:tc>
          <w:tcPr>
            <w:tcW w:w="320" w:type="dxa"/>
            <w:tcBorders>
              <w:top w:val="nil"/>
              <w:left w:val="nil"/>
              <w:bottom w:val="nil"/>
              <w:right w:val="nil"/>
            </w:tcBorders>
            <w:tcMar>
              <w:top w:w="120" w:type="dxa"/>
              <w:left w:w="43" w:type="dxa"/>
              <w:bottom w:w="43" w:type="dxa"/>
              <w:right w:w="43" w:type="dxa"/>
            </w:tcMar>
          </w:tcPr>
          <w:p w14:paraId="340EF773"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3D37D915" w14:textId="77777777" w:rsidR="00575AC3" w:rsidRPr="006D40F0" w:rsidRDefault="00575AC3" w:rsidP="006D40F0">
            <w:r w:rsidRPr="006D40F0">
              <w:t xml:space="preserve">Barnetrygd – anslagsendringer og endrede regler for etterbetaling av barnetrygd </w:t>
            </w:r>
          </w:p>
        </w:tc>
        <w:tc>
          <w:tcPr>
            <w:tcW w:w="960" w:type="dxa"/>
            <w:tcBorders>
              <w:top w:val="nil"/>
              <w:left w:val="nil"/>
              <w:bottom w:val="nil"/>
              <w:right w:val="nil"/>
            </w:tcBorders>
            <w:tcMar>
              <w:top w:w="120" w:type="dxa"/>
              <w:left w:w="43" w:type="dxa"/>
              <w:bottom w:w="43" w:type="dxa"/>
              <w:right w:w="43" w:type="dxa"/>
            </w:tcMar>
            <w:vAlign w:val="bottom"/>
          </w:tcPr>
          <w:p w14:paraId="228FE075" w14:textId="77777777" w:rsidR="00575AC3" w:rsidRPr="006D40F0" w:rsidRDefault="00575AC3" w:rsidP="006D40F0">
            <w:r w:rsidRPr="006D40F0">
              <w:t>-903</w:t>
            </w:r>
          </w:p>
        </w:tc>
        <w:tc>
          <w:tcPr>
            <w:tcW w:w="960" w:type="dxa"/>
            <w:tcBorders>
              <w:top w:val="nil"/>
              <w:left w:val="nil"/>
              <w:bottom w:val="nil"/>
              <w:right w:val="nil"/>
            </w:tcBorders>
            <w:tcMar>
              <w:top w:w="120" w:type="dxa"/>
              <w:left w:w="43" w:type="dxa"/>
              <w:bottom w:w="43" w:type="dxa"/>
              <w:right w:w="43" w:type="dxa"/>
            </w:tcMar>
            <w:vAlign w:val="bottom"/>
          </w:tcPr>
          <w:p w14:paraId="04A2BC94" w14:textId="77777777" w:rsidR="00575AC3" w:rsidRPr="006D40F0" w:rsidRDefault="00575AC3" w:rsidP="006D40F0"/>
        </w:tc>
      </w:tr>
      <w:tr w:rsidR="00DD49A7" w:rsidRPr="006D40F0" w14:paraId="7019B6F2" w14:textId="77777777" w:rsidTr="00265CE1">
        <w:trPr>
          <w:trHeight w:val="620"/>
        </w:trPr>
        <w:tc>
          <w:tcPr>
            <w:tcW w:w="320" w:type="dxa"/>
            <w:tcBorders>
              <w:top w:val="nil"/>
              <w:left w:val="nil"/>
              <w:bottom w:val="nil"/>
              <w:right w:val="nil"/>
            </w:tcBorders>
            <w:tcMar>
              <w:top w:w="120" w:type="dxa"/>
              <w:left w:w="43" w:type="dxa"/>
              <w:bottom w:w="43" w:type="dxa"/>
              <w:right w:w="43" w:type="dxa"/>
            </w:tcMar>
          </w:tcPr>
          <w:p w14:paraId="2F944263"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5C3A7B4" w14:textId="77777777" w:rsidR="00575AC3" w:rsidRPr="006D40F0" w:rsidRDefault="00575AC3" w:rsidP="006D40F0">
            <w:r w:rsidRPr="006D40F0">
              <w:t>Tilfeldige utgifter – avsetning til kommunenes andel av havbruksinntekter og endrede lønnsvekstanslag</w:t>
            </w:r>
          </w:p>
        </w:tc>
        <w:tc>
          <w:tcPr>
            <w:tcW w:w="960" w:type="dxa"/>
            <w:tcBorders>
              <w:top w:val="nil"/>
              <w:left w:val="nil"/>
              <w:bottom w:val="nil"/>
              <w:right w:val="nil"/>
            </w:tcBorders>
            <w:tcMar>
              <w:top w:w="120" w:type="dxa"/>
              <w:left w:w="43" w:type="dxa"/>
              <w:bottom w:w="43" w:type="dxa"/>
              <w:right w:w="43" w:type="dxa"/>
            </w:tcMar>
            <w:vAlign w:val="bottom"/>
          </w:tcPr>
          <w:p w14:paraId="1E059922" w14:textId="77777777" w:rsidR="00575AC3" w:rsidRPr="006D40F0" w:rsidRDefault="00575AC3" w:rsidP="006D40F0">
            <w:r w:rsidRPr="006D40F0">
              <w:t>-1 250</w:t>
            </w:r>
          </w:p>
        </w:tc>
        <w:tc>
          <w:tcPr>
            <w:tcW w:w="960" w:type="dxa"/>
            <w:tcBorders>
              <w:top w:val="nil"/>
              <w:left w:val="nil"/>
              <w:bottom w:val="nil"/>
              <w:right w:val="nil"/>
            </w:tcBorders>
            <w:tcMar>
              <w:top w:w="120" w:type="dxa"/>
              <w:left w:w="43" w:type="dxa"/>
              <w:bottom w:w="43" w:type="dxa"/>
              <w:right w:w="43" w:type="dxa"/>
            </w:tcMar>
            <w:vAlign w:val="bottom"/>
          </w:tcPr>
          <w:p w14:paraId="57D060AD" w14:textId="77777777" w:rsidR="00575AC3" w:rsidRPr="006D40F0" w:rsidRDefault="00575AC3" w:rsidP="006D40F0"/>
        </w:tc>
      </w:tr>
      <w:tr w:rsidR="00DD49A7" w:rsidRPr="006D40F0" w14:paraId="591F8CEB"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58C438C"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11081F6A" w14:textId="77777777" w:rsidR="00575AC3" w:rsidRPr="006D40F0" w:rsidRDefault="00575AC3" w:rsidP="006D40F0">
            <w:r w:rsidRPr="006D40F0">
              <w:t xml:space="preserve">Strømstønadsordningen for husholdninger – anslagsendring </w:t>
            </w:r>
          </w:p>
        </w:tc>
        <w:tc>
          <w:tcPr>
            <w:tcW w:w="960" w:type="dxa"/>
            <w:tcBorders>
              <w:top w:val="nil"/>
              <w:left w:val="nil"/>
              <w:bottom w:val="nil"/>
              <w:right w:val="nil"/>
            </w:tcBorders>
            <w:tcMar>
              <w:top w:w="120" w:type="dxa"/>
              <w:left w:w="43" w:type="dxa"/>
              <w:bottom w:w="43" w:type="dxa"/>
              <w:right w:w="43" w:type="dxa"/>
            </w:tcMar>
            <w:vAlign w:val="bottom"/>
          </w:tcPr>
          <w:p w14:paraId="7FA9D8E8" w14:textId="77777777" w:rsidR="00575AC3" w:rsidRPr="006D40F0" w:rsidRDefault="00575AC3" w:rsidP="006D40F0">
            <w:r w:rsidRPr="006D40F0">
              <w:t>-4 950</w:t>
            </w:r>
          </w:p>
        </w:tc>
        <w:tc>
          <w:tcPr>
            <w:tcW w:w="960" w:type="dxa"/>
            <w:tcBorders>
              <w:top w:val="nil"/>
              <w:left w:val="nil"/>
              <w:bottom w:val="nil"/>
              <w:right w:val="nil"/>
            </w:tcBorders>
            <w:tcMar>
              <w:top w:w="120" w:type="dxa"/>
              <w:left w:w="43" w:type="dxa"/>
              <w:bottom w:w="43" w:type="dxa"/>
              <w:right w:w="43" w:type="dxa"/>
            </w:tcMar>
            <w:vAlign w:val="bottom"/>
          </w:tcPr>
          <w:p w14:paraId="31F32D59" w14:textId="77777777" w:rsidR="00575AC3" w:rsidRPr="006D40F0" w:rsidRDefault="00575AC3" w:rsidP="006D40F0"/>
        </w:tc>
      </w:tr>
      <w:tr w:rsidR="00DD49A7" w:rsidRPr="006D40F0" w14:paraId="142B5424"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A6DE831"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5716AF4" w14:textId="77777777" w:rsidR="00575AC3" w:rsidRPr="006D40F0" w:rsidRDefault="00575AC3" w:rsidP="006D40F0">
            <w:r w:rsidRPr="006D40F0">
              <w:t>Andre forslag på utgiftssiden</w:t>
            </w:r>
          </w:p>
        </w:tc>
        <w:tc>
          <w:tcPr>
            <w:tcW w:w="960" w:type="dxa"/>
            <w:tcBorders>
              <w:top w:val="nil"/>
              <w:left w:val="nil"/>
              <w:bottom w:val="nil"/>
              <w:right w:val="nil"/>
            </w:tcBorders>
            <w:tcMar>
              <w:top w:w="120" w:type="dxa"/>
              <w:left w:w="43" w:type="dxa"/>
              <w:bottom w:w="43" w:type="dxa"/>
              <w:right w:w="43" w:type="dxa"/>
            </w:tcMar>
            <w:vAlign w:val="bottom"/>
          </w:tcPr>
          <w:p w14:paraId="7B20F398" w14:textId="77777777" w:rsidR="00575AC3" w:rsidRPr="006D40F0" w:rsidRDefault="00575AC3" w:rsidP="006D40F0">
            <w:r w:rsidRPr="006D40F0">
              <w:t>2 751</w:t>
            </w:r>
          </w:p>
        </w:tc>
        <w:tc>
          <w:tcPr>
            <w:tcW w:w="960" w:type="dxa"/>
            <w:tcBorders>
              <w:top w:val="nil"/>
              <w:left w:val="nil"/>
              <w:bottom w:val="nil"/>
              <w:right w:val="nil"/>
            </w:tcBorders>
            <w:tcMar>
              <w:top w:w="120" w:type="dxa"/>
              <w:left w:w="43" w:type="dxa"/>
              <w:bottom w:w="43" w:type="dxa"/>
              <w:right w:w="43" w:type="dxa"/>
            </w:tcMar>
            <w:vAlign w:val="bottom"/>
          </w:tcPr>
          <w:p w14:paraId="3A2E1012" w14:textId="77777777" w:rsidR="00575AC3" w:rsidRPr="006D40F0" w:rsidRDefault="00575AC3" w:rsidP="006D40F0"/>
        </w:tc>
      </w:tr>
      <w:tr w:rsidR="00DD49A7" w:rsidRPr="006D40F0" w14:paraId="3054F719"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5D479522" w14:textId="77777777" w:rsidR="00575AC3" w:rsidRPr="006D40F0" w:rsidRDefault="00575AC3" w:rsidP="006D40F0">
            <w:r w:rsidRPr="006D40F0">
              <w:t>-</w:t>
            </w:r>
          </w:p>
        </w:tc>
        <w:tc>
          <w:tcPr>
            <w:tcW w:w="7300" w:type="dxa"/>
            <w:tcBorders>
              <w:top w:val="nil"/>
              <w:left w:val="nil"/>
              <w:bottom w:val="nil"/>
              <w:right w:val="nil"/>
            </w:tcBorders>
            <w:tcMar>
              <w:top w:w="120" w:type="dxa"/>
              <w:left w:w="43" w:type="dxa"/>
              <w:bottom w:w="43" w:type="dxa"/>
              <w:right w:w="43" w:type="dxa"/>
            </w:tcMar>
            <w:vAlign w:val="bottom"/>
          </w:tcPr>
          <w:p w14:paraId="1E313210" w14:textId="77777777" w:rsidR="00575AC3" w:rsidRPr="006D40F0" w:rsidRDefault="00575AC3" w:rsidP="006D40F0">
            <w:r w:rsidRPr="00575AC3">
              <w:rPr>
                <w:rStyle w:val="kursiv"/>
              </w:rPr>
              <w:t>Inntektsforslag som fremmes i denne proposisjonen</w:t>
            </w:r>
          </w:p>
        </w:tc>
        <w:tc>
          <w:tcPr>
            <w:tcW w:w="960" w:type="dxa"/>
            <w:tcBorders>
              <w:top w:val="nil"/>
              <w:left w:val="nil"/>
              <w:bottom w:val="nil"/>
              <w:right w:val="nil"/>
            </w:tcBorders>
            <w:tcMar>
              <w:top w:w="120" w:type="dxa"/>
              <w:left w:w="43" w:type="dxa"/>
              <w:bottom w:w="43" w:type="dxa"/>
              <w:right w:w="43" w:type="dxa"/>
            </w:tcMar>
            <w:vAlign w:val="bottom"/>
          </w:tcPr>
          <w:p w14:paraId="605A5B30" w14:textId="77777777" w:rsidR="00575AC3" w:rsidRPr="006D40F0" w:rsidRDefault="00575AC3" w:rsidP="006D40F0"/>
        </w:tc>
        <w:tc>
          <w:tcPr>
            <w:tcW w:w="960" w:type="dxa"/>
            <w:tcBorders>
              <w:top w:val="nil"/>
              <w:left w:val="nil"/>
              <w:bottom w:val="nil"/>
              <w:right w:val="nil"/>
            </w:tcBorders>
            <w:tcMar>
              <w:top w:w="120" w:type="dxa"/>
              <w:left w:w="43" w:type="dxa"/>
              <w:bottom w:w="43" w:type="dxa"/>
              <w:right w:w="43" w:type="dxa"/>
            </w:tcMar>
            <w:vAlign w:val="bottom"/>
          </w:tcPr>
          <w:p w14:paraId="0569364E" w14:textId="77777777" w:rsidR="00575AC3" w:rsidRPr="006D40F0" w:rsidRDefault="00575AC3" w:rsidP="006D40F0">
            <w:r w:rsidRPr="00575AC3">
              <w:rPr>
                <w:rStyle w:val="kursiv"/>
              </w:rPr>
              <w:t>5 848</w:t>
            </w:r>
          </w:p>
        </w:tc>
      </w:tr>
      <w:tr w:rsidR="00DD49A7" w:rsidRPr="006D40F0" w14:paraId="23A402F3"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46984CBA"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BC462D2" w14:textId="77777777" w:rsidR="00575AC3" w:rsidRPr="006D40F0" w:rsidRDefault="00575AC3" w:rsidP="006D40F0">
            <w:r w:rsidRPr="006D40F0">
              <w:t>Tilbakeføring av tapsavsetning til lånegarantiordningen ifm. pandemien</w:t>
            </w:r>
          </w:p>
        </w:tc>
        <w:tc>
          <w:tcPr>
            <w:tcW w:w="960" w:type="dxa"/>
            <w:tcBorders>
              <w:top w:val="nil"/>
              <w:left w:val="nil"/>
              <w:bottom w:val="nil"/>
              <w:right w:val="nil"/>
            </w:tcBorders>
            <w:tcMar>
              <w:top w:w="120" w:type="dxa"/>
              <w:left w:w="43" w:type="dxa"/>
              <w:bottom w:w="43" w:type="dxa"/>
              <w:right w:w="43" w:type="dxa"/>
            </w:tcMar>
            <w:vAlign w:val="bottom"/>
          </w:tcPr>
          <w:p w14:paraId="180FF7AB" w14:textId="77777777" w:rsidR="00575AC3" w:rsidRPr="006D40F0" w:rsidRDefault="00575AC3" w:rsidP="006D40F0">
            <w:r w:rsidRPr="006D40F0">
              <w:t>7 000</w:t>
            </w:r>
          </w:p>
        </w:tc>
        <w:tc>
          <w:tcPr>
            <w:tcW w:w="960" w:type="dxa"/>
            <w:tcBorders>
              <w:top w:val="nil"/>
              <w:left w:val="nil"/>
              <w:bottom w:val="nil"/>
              <w:right w:val="nil"/>
            </w:tcBorders>
            <w:tcMar>
              <w:top w:w="120" w:type="dxa"/>
              <w:left w:w="43" w:type="dxa"/>
              <w:bottom w:w="43" w:type="dxa"/>
              <w:right w:w="43" w:type="dxa"/>
            </w:tcMar>
            <w:vAlign w:val="bottom"/>
          </w:tcPr>
          <w:p w14:paraId="379D2BBF" w14:textId="77777777" w:rsidR="00575AC3" w:rsidRPr="006D40F0" w:rsidRDefault="00575AC3" w:rsidP="006D40F0"/>
        </w:tc>
      </w:tr>
      <w:tr w:rsidR="00DD49A7" w:rsidRPr="006D40F0" w14:paraId="3E0AC145"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6611DF78"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56B6EB77" w14:textId="77777777" w:rsidR="00575AC3" w:rsidRPr="006D40F0" w:rsidRDefault="00575AC3" w:rsidP="006D40F0">
            <w:r w:rsidRPr="006D40F0">
              <w:t>Refusjon av ODA-godkjente flyktningutgifter</w:t>
            </w:r>
          </w:p>
        </w:tc>
        <w:tc>
          <w:tcPr>
            <w:tcW w:w="960" w:type="dxa"/>
            <w:tcBorders>
              <w:top w:val="nil"/>
              <w:left w:val="nil"/>
              <w:bottom w:val="nil"/>
              <w:right w:val="nil"/>
            </w:tcBorders>
            <w:tcMar>
              <w:top w:w="120" w:type="dxa"/>
              <w:left w:w="43" w:type="dxa"/>
              <w:bottom w:w="43" w:type="dxa"/>
              <w:right w:w="43" w:type="dxa"/>
            </w:tcMar>
            <w:vAlign w:val="bottom"/>
          </w:tcPr>
          <w:p w14:paraId="42740B26" w14:textId="77777777" w:rsidR="00575AC3" w:rsidRPr="006D40F0" w:rsidRDefault="00575AC3" w:rsidP="006D40F0">
            <w:r w:rsidRPr="006D40F0">
              <w:t>1 170</w:t>
            </w:r>
          </w:p>
        </w:tc>
        <w:tc>
          <w:tcPr>
            <w:tcW w:w="960" w:type="dxa"/>
            <w:tcBorders>
              <w:top w:val="nil"/>
              <w:left w:val="nil"/>
              <w:bottom w:val="nil"/>
              <w:right w:val="nil"/>
            </w:tcBorders>
            <w:tcMar>
              <w:top w:w="120" w:type="dxa"/>
              <w:left w:w="43" w:type="dxa"/>
              <w:bottom w:w="43" w:type="dxa"/>
              <w:right w:w="43" w:type="dxa"/>
            </w:tcMar>
            <w:vAlign w:val="bottom"/>
          </w:tcPr>
          <w:p w14:paraId="78DC7F40" w14:textId="77777777" w:rsidR="00575AC3" w:rsidRPr="006D40F0" w:rsidRDefault="00575AC3" w:rsidP="006D40F0"/>
        </w:tc>
      </w:tr>
      <w:tr w:rsidR="00DD49A7" w:rsidRPr="006D40F0" w14:paraId="26AB399F"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3DA55A32"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0B81F9BF" w14:textId="77777777" w:rsidR="00575AC3" w:rsidRPr="006D40F0" w:rsidRDefault="00575AC3" w:rsidP="006D40F0">
            <w:r w:rsidRPr="006D40F0">
              <w:t>Økte inntekter mot tilsvarende økte forsvarsutgifter</w:t>
            </w:r>
          </w:p>
        </w:tc>
        <w:tc>
          <w:tcPr>
            <w:tcW w:w="960" w:type="dxa"/>
            <w:tcBorders>
              <w:top w:val="nil"/>
              <w:left w:val="nil"/>
              <w:bottom w:val="nil"/>
              <w:right w:val="nil"/>
            </w:tcBorders>
            <w:tcMar>
              <w:top w:w="120" w:type="dxa"/>
              <w:left w:w="43" w:type="dxa"/>
              <w:bottom w:w="43" w:type="dxa"/>
              <w:right w:w="43" w:type="dxa"/>
            </w:tcMar>
            <w:vAlign w:val="bottom"/>
          </w:tcPr>
          <w:p w14:paraId="1456D61A" w14:textId="77777777" w:rsidR="00575AC3" w:rsidRPr="006D40F0" w:rsidRDefault="00575AC3" w:rsidP="006D40F0">
            <w:r w:rsidRPr="006D40F0">
              <w:t>1 116</w:t>
            </w:r>
          </w:p>
        </w:tc>
        <w:tc>
          <w:tcPr>
            <w:tcW w:w="960" w:type="dxa"/>
            <w:tcBorders>
              <w:top w:val="nil"/>
              <w:left w:val="nil"/>
              <w:bottom w:val="nil"/>
              <w:right w:val="nil"/>
            </w:tcBorders>
            <w:tcMar>
              <w:top w:w="120" w:type="dxa"/>
              <w:left w:w="43" w:type="dxa"/>
              <w:bottom w:w="43" w:type="dxa"/>
              <w:right w:w="43" w:type="dxa"/>
            </w:tcMar>
            <w:vAlign w:val="bottom"/>
          </w:tcPr>
          <w:p w14:paraId="62606262" w14:textId="77777777" w:rsidR="00575AC3" w:rsidRPr="006D40F0" w:rsidRDefault="00575AC3" w:rsidP="006D40F0"/>
        </w:tc>
      </w:tr>
      <w:tr w:rsidR="00DD49A7" w:rsidRPr="006D40F0" w14:paraId="55DE1CE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11CE5172"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33173D3C" w14:textId="77777777" w:rsidR="00575AC3" w:rsidRPr="006D40F0" w:rsidRDefault="00575AC3" w:rsidP="006D40F0">
            <w:r w:rsidRPr="006D40F0">
              <w:t>Tilbakeføring av gjenstående tapsavsetning til Alminnelig garantiordning</w:t>
            </w:r>
          </w:p>
        </w:tc>
        <w:tc>
          <w:tcPr>
            <w:tcW w:w="960" w:type="dxa"/>
            <w:tcBorders>
              <w:top w:val="nil"/>
              <w:left w:val="nil"/>
              <w:bottom w:val="nil"/>
              <w:right w:val="nil"/>
            </w:tcBorders>
            <w:tcMar>
              <w:top w:w="120" w:type="dxa"/>
              <w:left w:w="43" w:type="dxa"/>
              <w:bottom w:w="43" w:type="dxa"/>
              <w:right w:w="43" w:type="dxa"/>
            </w:tcMar>
            <w:vAlign w:val="bottom"/>
          </w:tcPr>
          <w:p w14:paraId="1D94F0D4" w14:textId="77777777" w:rsidR="00575AC3" w:rsidRPr="006D40F0" w:rsidRDefault="00575AC3" w:rsidP="006D40F0">
            <w:r w:rsidRPr="006D40F0">
              <w:t>1 000</w:t>
            </w:r>
          </w:p>
        </w:tc>
        <w:tc>
          <w:tcPr>
            <w:tcW w:w="960" w:type="dxa"/>
            <w:tcBorders>
              <w:top w:val="nil"/>
              <w:left w:val="nil"/>
              <w:bottom w:val="nil"/>
              <w:right w:val="nil"/>
            </w:tcBorders>
            <w:tcMar>
              <w:top w:w="120" w:type="dxa"/>
              <w:left w:w="43" w:type="dxa"/>
              <w:bottom w:w="43" w:type="dxa"/>
              <w:right w:w="43" w:type="dxa"/>
            </w:tcMar>
            <w:vAlign w:val="bottom"/>
          </w:tcPr>
          <w:p w14:paraId="75E7BA2C" w14:textId="77777777" w:rsidR="00575AC3" w:rsidRPr="006D40F0" w:rsidRDefault="00575AC3" w:rsidP="006D40F0"/>
        </w:tc>
      </w:tr>
      <w:tr w:rsidR="00DD49A7" w:rsidRPr="006D40F0" w14:paraId="5E348F9C"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45087C26"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718FA5A7" w14:textId="77777777" w:rsidR="00575AC3" w:rsidRPr="006D40F0" w:rsidRDefault="00575AC3" w:rsidP="006D40F0">
            <w:r w:rsidRPr="006D40F0">
              <w:t>Reduserte nettoinntekter ifm. salg av F-16 kampfly</w:t>
            </w:r>
          </w:p>
        </w:tc>
        <w:tc>
          <w:tcPr>
            <w:tcW w:w="960" w:type="dxa"/>
            <w:tcBorders>
              <w:top w:val="nil"/>
              <w:left w:val="nil"/>
              <w:bottom w:val="nil"/>
              <w:right w:val="nil"/>
            </w:tcBorders>
            <w:tcMar>
              <w:top w:w="120" w:type="dxa"/>
              <w:left w:w="43" w:type="dxa"/>
              <w:bottom w:w="43" w:type="dxa"/>
              <w:right w:w="43" w:type="dxa"/>
            </w:tcMar>
            <w:vAlign w:val="bottom"/>
          </w:tcPr>
          <w:p w14:paraId="2ED2EE6E" w14:textId="77777777" w:rsidR="00575AC3" w:rsidRPr="006D40F0" w:rsidRDefault="00575AC3" w:rsidP="006D40F0">
            <w:r w:rsidRPr="006D40F0">
              <w:t>-390</w:t>
            </w:r>
          </w:p>
        </w:tc>
        <w:tc>
          <w:tcPr>
            <w:tcW w:w="960" w:type="dxa"/>
            <w:tcBorders>
              <w:top w:val="nil"/>
              <w:left w:val="nil"/>
              <w:bottom w:val="nil"/>
              <w:right w:val="nil"/>
            </w:tcBorders>
            <w:tcMar>
              <w:top w:w="120" w:type="dxa"/>
              <w:left w:w="43" w:type="dxa"/>
              <w:bottom w:w="43" w:type="dxa"/>
              <w:right w:w="43" w:type="dxa"/>
            </w:tcMar>
            <w:vAlign w:val="bottom"/>
          </w:tcPr>
          <w:p w14:paraId="6D11C80D" w14:textId="77777777" w:rsidR="00575AC3" w:rsidRPr="006D40F0" w:rsidRDefault="00575AC3" w:rsidP="006D40F0"/>
        </w:tc>
      </w:tr>
      <w:tr w:rsidR="00DD49A7" w:rsidRPr="006D40F0" w14:paraId="7B99F78A"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21763B4D"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4FCDB477" w14:textId="77777777" w:rsidR="00575AC3" w:rsidRPr="006D40F0" w:rsidRDefault="00575AC3" w:rsidP="006D40F0">
            <w:r w:rsidRPr="006D40F0">
              <w:t>Salg av klimakvoter</w:t>
            </w:r>
          </w:p>
        </w:tc>
        <w:tc>
          <w:tcPr>
            <w:tcW w:w="960" w:type="dxa"/>
            <w:tcBorders>
              <w:top w:val="nil"/>
              <w:left w:val="nil"/>
              <w:bottom w:val="nil"/>
              <w:right w:val="nil"/>
            </w:tcBorders>
            <w:tcMar>
              <w:top w:w="120" w:type="dxa"/>
              <w:left w:w="43" w:type="dxa"/>
              <w:bottom w:w="43" w:type="dxa"/>
              <w:right w:w="43" w:type="dxa"/>
            </w:tcMar>
            <w:vAlign w:val="bottom"/>
          </w:tcPr>
          <w:p w14:paraId="21911B9D" w14:textId="77777777" w:rsidR="00575AC3" w:rsidRPr="006D40F0" w:rsidRDefault="00575AC3" w:rsidP="006D40F0">
            <w:r w:rsidRPr="006D40F0">
              <w:t>-918</w:t>
            </w:r>
          </w:p>
        </w:tc>
        <w:tc>
          <w:tcPr>
            <w:tcW w:w="960" w:type="dxa"/>
            <w:tcBorders>
              <w:top w:val="nil"/>
              <w:left w:val="nil"/>
              <w:bottom w:val="nil"/>
              <w:right w:val="nil"/>
            </w:tcBorders>
            <w:tcMar>
              <w:top w:w="120" w:type="dxa"/>
              <w:left w:w="43" w:type="dxa"/>
              <w:bottom w:w="43" w:type="dxa"/>
              <w:right w:w="43" w:type="dxa"/>
            </w:tcMar>
            <w:vAlign w:val="bottom"/>
          </w:tcPr>
          <w:p w14:paraId="56DD1C77" w14:textId="77777777" w:rsidR="00575AC3" w:rsidRPr="006D40F0" w:rsidRDefault="00575AC3" w:rsidP="006D40F0"/>
        </w:tc>
      </w:tr>
      <w:tr w:rsidR="00DD49A7" w:rsidRPr="006D40F0" w14:paraId="3E52AD43"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5CBA6211"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7551069B" w14:textId="77777777" w:rsidR="00575AC3" w:rsidRPr="006D40F0" w:rsidRDefault="00575AC3" w:rsidP="006D40F0">
            <w:r w:rsidRPr="006D40F0">
              <w:t>Utbytte fra selskaper under Nærings- og fiskeridepartementets forvaltning</w:t>
            </w:r>
          </w:p>
        </w:tc>
        <w:tc>
          <w:tcPr>
            <w:tcW w:w="960" w:type="dxa"/>
            <w:tcBorders>
              <w:top w:val="nil"/>
              <w:left w:val="nil"/>
              <w:bottom w:val="nil"/>
              <w:right w:val="nil"/>
            </w:tcBorders>
            <w:tcMar>
              <w:top w:w="120" w:type="dxa"/>
              <w:left w:w="43" w:type="dxa"/>
              <w:bottom w:w="43" w:type="dxa"/>
              <w:right w:w="43" w:type="dxa"/>
            </w:tcMar>
            <w:vAlign w:val="bottom"/>
          </w:tcPr>
          <w:p w14:paraId="40775FBF" w14:textId="77777777" w:rsidR="00575AC3" w:rsidRPr="006D40F0" w:rsidRDefault="00575AC3" w:rsidP="006D40F0">
            <w:r w:rsidRPr="006D40F0">
              <w:t>-4 979</w:t>
            </w:r>
          </w:p>
        </w:tc>
        <w:tc>
          <w:tcPr>
            <w:tcW w:w="960" w:type="dxa"/>
            <w:tcBorders>
              <w:top w:val="nil"/>
              <w:left w:val="nil"/>
              <w:bottom w:val="nil"/>
              <w:right w:val="nil"/>
            </w:tcBorders>
            <w:tcMar>
              <w:top w:w="120" w:type="dxa"/>
              <w:left w:w="43" w:type="dxa"/>
              <w:bottom w:w="43" w:type="dxa"/>
              <w:right w:w="43" w:type="dxa"/>
            </w:tcMar>
            <w:vAlign w:val="bottom"/>
          </w:tcPr>
          <w:p w14:paraId="3EA0EA8B" w14:textId="77777777" w:rsidR="00575AC3" w:rsidRPr="006D40F0" w:rsidRDefault="00575AC3" w:rsidP="006D40F0"/>
        </w:tc>
      </w:tr>
      <w:tr w:rsidR="00DD49A7" w:rsidRPr="006D40F0" w14:paraId="617BA59B" w14:textId="77777777" w:rsidTr="00265CE1">
        <w:trPr>
          <w:trHeight w:val="360"/>
        </w:trPr>
        <w:tc>
          <w:tcPr>
            <w:tcW w:w="320" w:type="dxa"/>
            <w:tcBorders>
              <w:top w:val="nil"/>
              <w:left w:val="nil"/>
              <w:bottom w:val="nil"/>
              <w:right w:val="nil"/>
            </w:tcBorders>
            <w:tcMar>
              <w:top w:w="120" w:type="dxa"/>
              <w:left w:w="43" w:type="dxa"/>
              <w:bottom w:w="43" w:type="dxa"/>
              <w:right w:w="43" w:type="dxa"/>
            </w:tcMar>
          </w:tcPr>
          <w:p w14:paraId="04CDCA38" w14:textId="77777777" w:rsidR="00575AC3" w:rsidRPr="006D40F0" w:rsidRDefault="00575AC3" w:rsidP="006D40F0"/>
        </w:tc>
        <w:tc>
          <w:tcPr>
            <w:tcW w:w="7300" w:type="dxa"/>
            <w:tcBorders>
              <w:top w:val="nil"/>
              <w:left w:val="nil"/>
              <w:bottom w:val="nil"/>
              <w:right w:val="nil"/>
            </w:tcBorders>
            <w:tcMar>
              <w:top w:w="120" w:type="dxa"/>
              <w:left w:w="43" w:type="dxa"/>
              <w:bottom w:w="43" w:type="dxa"/>
              <w:right w:w="43" w:type="dxa"/>
            </w:tcMar>
            <w:vAlign w:val="bottom"/>
          </w:tcPr>
          <w:p w14:paraId="65D388E1" w14:textId="77777777" w:rsidR="00575AC3" w:rsidRPr="006D40F0" w:rsidRDefault="00575AC3" w:rsidP="006D40F0">
            <w:r w:rsidRPr="006D40F0">
              <w:t>Andre forslag på inntektssiden</w:t>
            </w:r>
          </w:p>
        </w:tc>
        <w:tc>
          <w:tcPr>
            <w:tcW w:w="960" w:type="dxa"/>
            <w:tcBorders>
              <w:top w:val="nil"/>
              <w:left w:val="nil"/>
              <w:bottom w:val="nil"/>
              <w:right w:val="nil"/>
            </w:tcBorders>
            <w:tcMar>
              <w:top w:w="120" w:type="dxa"/>
              <w:left w:w="43" w:type="dxa"/>
              <w:bottom w:w="43" w:type="dxa"/>
              <w:right w:w="43" w:type="dxa"/>
            </w:tcMar>
            <w:vAlign w:val="bottom"/>
          </w:tcPr>
          <w:p w14:paraId="7F3704F6" w14:textId="77777777" w:rsidR="00575AC3" w:rsidRPr="006D40F0" w:rsidRDefault="00575AC3" w:rsidP="006D40F0">
            <w:r w:rsidRPr="006D40F0">
              <w:t>1 849</w:t>
            </w:r>
          </w:p>
        </w:tc>
        <w:tc>
          <w:tcPr>
            <w:tcW w:w="960" w:type="dxa"/>
            <w:tcBorders>
              <w:top w:val="nil"/>
              <w:left w:val="nil"/>
              <w:bottom w:val="nil"/>
              <w:right w:val="nil"/>
            </w:tcBorders>
            <w:tcMar>
              <w:top w:w="120" w:type="dxa"/>
              <w:left w:w="43" w:type="dxa"/>
              <w:bottom w:w="43" w:type="dxa"/>
              <w:right w:w="43" w:type="dxa"/>
            </w:tcMar>
            <w:vAlign w:val="bottom"/>
          </w:tcPr>
          <w:p w14:paraId="7CC660C7" w14:textId="77777777" w:rsidR="00575AC3" w:rsidRPr="006D40F0" w:rsidRDefault="00575AC3" w:rsidP="006D40F0"/>
        </w:tc>
      </w:tr>
      <w:tr w:rsidR="00DD49A7" w:rsidRPr="006D40F0" w14:paraId="67335C0A" w14:textId="77777777" w:rsidTr="00265CE1">
        <w:trPr>
          <w:trHeight w:val="360"/>
        </w:trPr>
        <w:tc>
          <w:tcPr>
            <w:tcW w:w="320" w:type="dxa"/>
            <w:tcBorders>
              <w:top w:val="nil"/>
              <w:left w:val="nil"/>
              <w:bottom w:val="single" w:sz="4" w:space="0" w:color="000000"/>
              <w:right w:val="nil"/>
            </w:tcBorders>
            <w:tcMar>
              <w:top w:w="120" w:type="dxa"/>
              <w:left w:w="43" w:type="dxa"/>
              <w:bottom w:w="43" w:type="dxa"/>
              <w:right w:w="43" w:type="dxa"/>
            </w:tcMar>
          </w:tcPr>
          <w:p w14:paraId="5F8D1A20" w14:textId="77777777" w:rsidR="00575AC3" w:rsidRPr="006D40F0" w:rsidRDefault="00575AC3" w:rsidP="006D40F0">
            <w:r w:rsidRPr="006D40F0">
              <w:t>-</w:t>
            </w:r>
          </w:p>
        </w:tc>
        <w:tc>
          <w:tcPr>
            <w:tcW w:w="7300" w:type="dxa"/>
            <w:tcBorders>
              <w:top w:val="nil"/>
              <w:left w:val="nil"/>
              <w:bottom w:val="single" w:sz="4" w:space="0" w:color="000000"/>
              <w:right w:val="nil"/>
            </w:tcBorders>
            <w:tcMar>
              <w:top w:w="120" w:type="dxa"/>
              <w:left w:w="43" w:type="dxa"/>
              <w:bottom w:w="43" w:type="dxa"/>
              <w:right w:w="43" w:type="dxa"/>
            </w:tcMar>
            <w:vAlign w:val="bottom"/>
          </w:tcPr>
          <w:p w14:paraId="43303044" w14:textId="77777777" w:rsidR="00575AC3" w:rsidRPr="006D40F0" w:rsidRDefault="00575AC3" w:rsidP="006D40F0">
            <w:r w:rsidRPr="00575AC3">
              <w:rPr>
                <w:rStyle w:val="kursiv"/>
              </w:rPr>
              <w:t>Anslag strukturelle skatte- og avgiftsinntekter fra Fastlands-Norge mv.</w:t>
            </w:r>
            <w:r w:rsidRPr="006D40F0">
              <w:rPr>
                <w:rStyle w:val="skrift-hevet"/>
              </w:rPr>
              <w:t xml:space="preserve"> 2</w:t>
            </w:r>
          </w:p>
        </w:tc>
        <w:tc>
          <w:tcPr>
            <w:tcW w:w="960" w:type="dxa"/>
            <w:tcBorders>
              <w:top w:val="nil"/>
              <w:left w:val="nil"/>
              <w:bottom w:val="single" w:sz="4" w:space="0" w:color="000000"/>
              <w:right w:val="nil"/>
            </w:tcBorders>
            <w:tcMar>
              <w:top w:w="120" w:type="dxa"/>
              <w:left w:w="43" w:type="dxa"/>
              <w:bottom w:w="43" w:type="dxa"/>
              <w:right w:w="43" w:type="dxa"/>
            </w:tcMar>
            <w:vAlign w:val="bottom"/>
          </w:tcPr>
          <w:p w14:paraId="2AB87719" w14:textId="77777777" w:rsidR="00575AC3" w:rsidRPr="006D40F0" w:rsidRDefault="00575AC3" w:rsidP="006D40F0"/>
        </w:tc>
        <w:tc>
          <w:tcPr>
            <w:tcW w:w="960" w:type="dxa"/>
            <w:tcBorders>
              <w:top w:val="nil"/>
              <w:left w:val="nil"/>
              <w:bottom w:val="single" w:sz="4" w:space="0" w:color="000000"/>
              <w:right w:val="nil"/>
            </w:tcBorders>
            <w:tcMar>
              <w:top w:w="120" w:type="dxa"/>
              <w:left w:w="43" w:type="dxa"/>
              <w:bottom w:w="43" w:type="dxa"/>
              <w:right w:w="43" w:type="dxa"/>
            </w:tcMar>
            <w:vAlign w:val="bottom"/>
          </w:tcPr>
          <w:p w14:paraId="01BDBE1F" w14:textId="77777777" w:rsidR="00575AC3" w:rsidRPr="006D40F0" w:rsidRDefault="00575AC3" w:rsidP="006D40F0">
            <w:r w:rsidRPr="00575AC3">
              <w:rPr>
                <w:rStyle w:val="kursiv"/>
              </w:rPr>
              <w:t>10 055</w:t>
            </w:r>
          </w:p>
        </w:tc>
      </w:tr>
      <w:tr w:rsidR="00DD49A7" w:rsidRPr="006D40F0" w14:paraId="49163BBF" w14:textId="77777777" w:rsidTr="00265CE1">
        <w:trPr>
          <w:trHeight w:val="360"/>
        </w:trPr>
        <w:tc>
          <w:tcPr>
            <w:tcW w:w="320" w:type="dxa"/>
            <w:tcBorders>
              <w:top w:val="single" w:sz="4" w:space="0" w:color="000000"/>
              <w:left w:val="nil"/>
              <w:bottom w:val="single" w:sz="4" w:space="0" w:color="000000"/>
              <w:right w:val="nil"/>
            </w:tcBorders>
            <w:tcMar>
              <w:top w:w="120" w:type="dxa"/>
              <w:left w:w="43" w:type="dxa"/>
              <w:bottom w:w="43" w:type="dxa"/>
              <w:right w:w="43" w:type="dxa"/>
            </w:tcMar>
          </w:tcPr>
          <w:p w14:paraId="385ECEFE" w14:textId="77777777" w:rsidR="00575AC3" w:rsidRPr="006D40F0" w:rsidRDefault="00575AC3" w:rsidP="006D40F0">
            <w:r w:rsidRPr="006D40F0">
              <w:t>=</w:t>
            </w:r>
          </w:p>
        </w:tc>
        <w:tc>
          <w:tcPr>
            <w:tcW w:w="730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837AB36" w14:textId="77777777" w:rsidR="00575AC3" w:rsidRPr="006D40F0" w:rsidRDefault="00575AC3" w:rsidP="006D40F0">
            <w:r w:rsidRPr="00575AC3">
              <w:rPr>
                <w:rStyle w:val="kursiv"/>
              </w:rPr>
              <w:t>Endring i det strukturelle oljekorrigerte budsjettunderskuddet</w:t>
            </w:r>
          </w:p>
        </w:tc>
        <w:tc>
          <w:tcPr>
            <w:tcW w:w="96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AAFEE49" w14:textId="77777777" w:rsidR="00575AC3" w:rsidRPr="006D40F0" w:rsidRDefault="00575AC3" w:rsidP="006D40F0">
            <w:r w:rsidRPr="006D40F0">
              <w:t xml:space="preserve"> </w:t>
            </w:r>
          </w:p>
        </w:tc>
        <w:tc>
          <w:tcPr>
            <w:tcW w:w="96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A556526" w14:textId="77777777" w:rsidR="00575AC3" w:rsidRPr="006D40F0" w:rsidRDefault="00575AC3" w:rsidP="006D40F0">
            <w:r w:rsidRPr="00575AC3">
              <w:rPr>
                <w:rStyle w:val="kursiv"/>
              </w:rPr>
              <w:t>8 884</w:t>
            </w:r>
          </w:p>
        </w:tc>
      </w:tr>
    </w:tbl>
    <w:p w14:paraId="6FDE04BC" w14:textId="77777777" w:rsidR="00575AC3" w:rsidRPr="006D40F0" w:rsidRDefault="00575AC3" w:rsidP="006D40F0">
      <w:pPr>
        <w:pStyle w:val="tabell-noter"/>
        <w:rPr>
          <w:rStyle w:val="skrift-hevet"/>
        </w:rPr>
      </w:pPr>
      <w:r w:rsidRPr="006D40F0">
        <w:rPr>
          <w:rStyle w:val="skrift-hevet"/>
        </w:rPr>
        <w:lastRenderedPageBreak/>
        <w:t>1</w:t>
      </w:r>
      <w:r w:rsidRPr="006D40F0">
        <w:tab/>
        <w:t>Petroleumsvirksomheten, lånetransaksjoner og endringer som inngår i korreksjonene ved beregningen av den strukturelle oljekorrigerte budsjettbalansen, er holdt utenom.</w:t>
      </w:r>
    </w:p>
    <w:p w14:paraId="33689077" w14:textId="77777777" w:rsidR="00575AC3" w:rsidRPr="006D40F0" w:rsidRDefault="00575AC3" w:rsidP="006D40F0">
      <w:pPr>
        <w:pStyle w:val="tabell-noter"/>
        <w:rPr>
          <w:rStyle w:val="skrift-hevet"/>
        </w:rPr>
      </w:pPr>
      <w:r w:rsidRPr="006D40F0">
        <w:rPr>
          <w:rStyle w:val="skrift-hevet"/>
        </w:rPr>
        <w:t>2</w:t>
      </w:r>
      <w:r w:rsidRPr="006D40F0">
        <w:tab/>
        <w:t>Medregnet forslag til skatte- og avgiftsendringer i forbindelse med RNB 2024, jf. omtale i kapittel 2 og Prop. 103 LS.</w:t>
      </w:r>
    </w:p>
    <w:p w14:paraId="4D7AFBEC" w14:textId="77777777" w:rsidR="00575AC3" w:rsidRPr="006D40F0" w:rsidRDefault="00575AC3" w:rsidP="006D40F0">
      <w:pPr>
        <w:pStyle w:val="Kilde"/>
      </w:pPr>
      <w:r w:rsidRPr="006D40F0">
        <w:t>Kilde: Finansdepartementet</w:t>
      </w:r>
    </w:p>
    <w:p w14:paraId="021F6CA6" w14:textId="77777777" w:rsidR="00575AC3" w:rsidRPr="006D40F0" w:rsidRDefault="00575AC3" w:rsidP="006D40F0">
      <w:r w:rsidRPr="006D40F0">
        <w:t>Regjeringen foreslår til sammen 7 mrd. kroner til økt militær og sivil støtte til Ukraina i 2024 innenfor Nansen-programmets rammer. Økningen fordeler seg med 6 mrd. kroner til økt militær støtte og 1 mrd. kroner til økt sivil støtte i 2024. Den økte militære støtten skal blant annet gå til luftvern til Ukraina, økt produksjonskapasitet i den norske forsvarsindustrien og til økt handlingsrom for andre tiltak gjennom året.</w:t>
      </w:r>
    </w:p>
    <w:p w14:paraId="0A97BC9A" w14:textId="77777777" w:rsidR="00575AC3" w:rsidRPr="006D40F0" w:rsidRDefault="00575AC3" w:rsidP="006D40F0">
      <w:r w:rsidRPr="006D40F0">
        <w:t xml:space="preserve">Våren 2024 la regjeringen frem forslag til ny langtidsplan for forsvarssektoren for perioden 2025-2036, jf. Prop. 87 S (2023–2024) </w:t>
      </w:r>
      <w:r w:rsidRPr="00575AC3">
        <w:rPr>
          <w:rStyle w:val="kursiv"/>
        </w:rPr>
        <w:t>Forsvarsløftet – for Norges trygghet</w:t>
      </w:r>
      <w:r w:rsidRPr="006D40F0">
        <w:t>. Forslaget innebærer en opptrapping av forsvarsbudsjettet på til sammen 600 mrd. kroner innen 2036 for å finansiere utbedring av kritiske svakheter i dagens struktur, for å få dagens forsvar til å virke bedre, og investere i nye kapasiteter i samtlige domener. For å møte de sikkerhetspolitiske utfordringene Norge står overfor foreslår regjeringen å starte opptrappingen i ny langtidsplan allerede i 2024. Regjeringen foreslår derfor å øke forsvarsbudsjettet med 5 mrd. kroner til økte investeringer i eiendom, bygg og anlegg (EBA), investeringer i materiell av stor betydning for norsk forsvarsevne, økt trening, øving, kompetanseheving og anskaffelser av utstyr i Heimevernet, og til å opprettholde økt vakthold og sikring på Andøya. Regjeringen foreslår videre 2 mrd. kroner til tiltak for å øke den operative ambisjonen og legge til rette for økt aktivitet i Forsvaret i 2024. Regjeringens samlede forslag til økt forsvarsbudsjett innebærer at Norge vil bruke anslagsvis 2,16 pst. av BNP til forsvarsformål i 2024.</w:t>
      </w:r>
    </w:p>
    <w:p w14:paraId="7A2B1E6F" w14:textId="77777777" w:rsidR="00575AC3" w:rsidRPr="006D40F0" w:rsidRDefault="00575AC3" w:rsidP="006D40F0">
      <w:r w:rsidRPr="006D40F0">
        <w:t xml:space="preserve">Folketrygdens utgifter ekskl. dagpenger mv. anslås å øke med til sammen 6,5 mrd. kroner fra saldert budsjett. Det er særlig utgiftene til sykepenger og arbeidsavklaringspenger som øker. Veksten i utgiftene til sykepenger skyldes i hovedsak at det trygdefinansierte sykefraværet har vært høyere enn anslått. Utgiftene til </w:t>
      </w:r>
      <w:r w:rsidRPr="00575AC3">
        <w:rPr>
          <w:rStyle w:val="kursiv"/>
        </w:rPr>
        <w:t>helsetjenester</w:t>
      </w:r>
      <w:r w:rsidRPr="006D40F0">
        <w:t xml:space="preserve"> øker med 1,5 mrd. kroner. Den største anslagsendringen er på 1,1 mrd. kroner under legemidler, og gjelder i hovedsak refusjon til legemidlet </w:t>
      </w:r>
      <w:proofErr w:type="spellStart"/>
      <w:r w:rsidRPr="006D40F0">
        <w:t>Ozempic</w:t>
      </w:r>
      <w:proofErr w:type="spellEnd"/>
      <w:r w:rsidRPr="006D40F0">
        <w:t>. Regjeringen foreslår i den forbindelse å iverksette en tiltakspakke som forventes å redusere utgiftene i 2024 med 730 mill. kroner.</w:t>
      </w:r>
    </w:p>
    <w:p w14:paraId="633B8BE3" w14:textId="77777777" w:rsidR="00575AC3" w:rsidRPr="006D40F0" w:rsidRDefault="00575AC3" w:rsidP="006D40F0">
      <w:r w:rsidRPr="006D40F0">
        <w:t>Regjeringen foreslår å øke bevilgningen til de regionale helseforetakene med 2 mrd. kroner utover anslagsendringer og pensjon. Dette inkluderer en generell økning i basisbevilgningen til de regionale helseforetakene på 1 150 mill. kroner. Formålet er å bedre de regionale helseforetakenes økonomi og legge til rette for reduserte ventetider. I tillegg fremmer regjeringen forslag om 400 mill. kroner til ettårige ventetidstiltak. Tiltakene skal rettes mot tjenester som er preget av lang ventetid, mange pasienter på venteliste eller mot pasienter med alvorlige tilstander som risikerer forverret helsetilstand ved lang ventetid. Regjeringen vil at det skal vektlegges tiltak som gir varige effekter, og som ivaretar de ansatte og arbeidsmiljø.</w:t>
      </w:r>
    </w:p>
    <w:p w14:paraId="7E727308" w14:textId="77777777" w:rsidR="00575AC3" w:rsidRPr="006D40F0" w:rsidRDefault="00575AC3" w:rsidP="006D40F0">
      <w:r w:rsidRPr="006D40F0">
        <w:t>Regjeringen foreslår et særskilt tilskudd til Helse Nord RHF på 250 mill. kroner. 160 mill. kroner skal gå til et beredskaps- og rekrutteringstilskudd til å opprettholde akuttilbudet i Narvik og Lofoten, i dette inngår også 15 mill. til Finnmarkssykehuset Klinikk Alta. Videre skal 90 mill. kroner nyttes til å øke samhandlings- og rekrutteringstilskuddet.</w:t>
      </w:r>
    </w:p>
    <w:p w14:paraId="07B3E582" w14:textId="77777777" w:rsidR="00575AC3" w:rsidRPr="006D40F0" w:rsidRDefault="00575AC3" w:rsidP="006D40F0">
      <w:r w:rsidRPr="006D40F0">
        <w:lastRenderedPageBreak/>
        <w:t>Regjeringen foreslår også å øke bevilgningen til det nasjonale samhandlings- og rekrutteringstilskuddet med 100 mill. kroner og 100 mill. kroner til tiltak innen sikkerhetspsykiatri.</w:t>
      </w:r>
    </w:p>
    <w:p w14:paraId="1B785969" w14:textId="77777777" w:rsidR="00575AC3" w:rsidRPr="006D40F0" w:rsidRDefault="00575AC3" w:rsidP="006D40F0">
      <w:r w:rsidRPr="006D40F0">
        <w:t>Det vil i 2024 bli gjennomført tildeling av oppdrettstillatelser. Det er besluttet å tilby 6 pst. vekst i grønne områder, iht. trafikklyssystemet. Veksten tildeles i to omganger: først vil en sjettedel av veksten tilbys som vekst i eksisterende tillatelser til en fastpris, deretter vil øvrig vekst, samt eventuelle avslåtte tilbud om fastprisvekst, tilbys på auksjon. Faktiske inntekter fra tildelingen avgjøres av hvor mye kapasitet som kjøpes og hva prisene i auksjonen blir. I budsjettfremlegget er inntekten beregningsteknisk anslått som om all kapasitet blir solgt til fastprisen. 55 pst. av inntektene fra salg av nye konsesjoner skal fordeles til havbrukskommuner og fylkeskommuner via Havbruksfondet. Kommunenes og fylkeskommunenes andel av inntektene er på samme beregningstekniske vis anslått til 1 955 mill. kroner. For å legge til rette for at korrekt beløp utbetales raskt til kommunene, foreslås en fullmakt slik at utbetalingene kan tilpasses de faktiske inntektene og utbetales så snart tildelingen er gjennomført. Faktiske utbetalinger vil først være klart etter at tildelingsrunden er ferdig.</w:t>
      </w:r>
    </w:p>
    <w:p w14:paraId="730AD8EC" w14:textId="77777777" w:rsidR="00575AC3" w:rsidRPr="006D40F0" w:rsidRDefault="00575AC3" w:rsidP="006D40F0">
      <w:r w:rsidRPr="006D40F0">
        <w:t>Regjeringen foreslår over 1,6 mrd. kroner i 2024 for å styrke politiets grunnfinansiering og øke innsatsen mot organisert kriminalitet og kriminelle gjenger. Sammen med forslag om 115 mill. kroner til politiets registreringskapasitet og 150 mill. kroner til Politiets sikkerhetstjeneste innebærer dette at driftsbudsjettene til politiet og PST foreslås økt med totalt 1,9 mrd. kroner. I tillegg foreslår regjeringen 118 mill. kroner til Tolletaten til økt kontroll og bekjempelse av narkotikasmugling.</w:t>
      </w:r>
    </w:p>
    <w:p w14:paraId="0230D664" w14:textId="77777777" w:rsidR="00575AC3" w:rsidRPr="006D40F0" w:rsidRDefault="00575AC3" w:rsidP="006D40F0">
      <w:r w:rsidRPr="006D40F0">
        <w:t>Nye anslag tilsier at utbetalinger til EØS-finansieringsordningene øker med 1,3 mrd. kroner. De ulike prosjektene får utbetalt tilskudd når de når avtalte milepæler. Flere land har hatt stor fremgang i programmer og prosjekter etter forsinkelser på grunn av blant annet pandemi og krigen i Ukraina. I det siste har prosjektene hatt god fremdrift og nå som vi er i avslutningsfasen av denne finansieringsperioden, øker utbetalingene.</w:t>
      </w:r>
    </w:p>
    <w:p w14:paraId="269D6929" w14:textId="77777777" w:rsidR="00575AC3" w:rsidRPr="006D40F0" w:rsidRDefault="00575AC3" w:rsidP="006D40F0">
      <w:r w:rsidRPr="006D40F0">
        <w:t xml:space="preserve">Utgiftene på de </w:t>
      </w:r>
      <w:proofErr w:type="spellStart"/>
      <w:r w:rsidRPr="006D40F0">
        <w:t>volumstyrte</w:t>
      </w:r>
      <w:proofErr w:type="spellEnd"/>
      <w:r w:rsidRPr="006D40F0">
        <w:t xml:space="preserve"> budsjettpostene til mottak og integrering av flyktninger øker med 0,8 mrd. kroner til 32,2 mrd. kroner. De økte utgiftene skyldes i stor grad flere asylankomster i 2024 enn lagt til grunn i saldert budsjett. Bevilgningsforslaget er basert på et planleggingstall på 35 000 ankomster, hvorav 30 000 ukrainere eller andre nasjonaliteter med opphold i Ukraina er anslått å søke om midlertidig kollektiv beskyttelse i Norge. Til sammenligning ble det lagt til grunn et planleggingstall på 25 000 ankomster i saldert budsjett, hvorav 20 000 med midlertidig kollektiv beskyttelse. Det er stor usikkerhet knyttet til planleggingstallet, og antallet ankomster kan bli vesentlig lavere eller høyere enn dette. Det vil på vanlig måte bli utarbeidet oppdaterte prognoser, og foreslått eventuelle budsjettmessige endringer på bakgrunn av dette, i forbindelse med nysalderingen av budsjettet for 2024.</w:t>
      </w:r>
    </w:p>
    <w:p w14:paraId="7FD81186" w14:textId="77777777" w:rsidR="00575AC3" w:rsidRPr="006D40F0" w:rsidRDefault="00575AC3" w:rsidP="006D40F0">
      <w:r w:rsidRPr="006D40F0">
        <w:t>Oppdaterte anslag tilsier en økning i utbetalinger under tilskuddsordningen ved produksjonssvikt knyttet til plante- og honningproduksjon forårsaket av klimatiske forhold på 698 mill. kroner. Omfanget av søknader om erstatning er stort i 2024, som følge av tørke, flom og store nedbørsmengder høsten 2023, samt endringer i tilskuddsordningen innført i forbindelse med disse hendelsene.</w:t>
      </w:r>
    </w:p>
    <w:p w14:paraId="1F254B66" w14:textId="77777777" w:rsidR="00575AC3" w:rsidRPr="006D40F0" w:rsidRDefault="00575AC3" w:rsidP="006D40F0">
      <w:r w:rsidRPr="006D40F0">
        <w:t xml:space="preserve">Bevilgningen til vedlikehold av riksvei foreslås økt med 640,6 mill. kroner. Aktuelle vedlikeholdstiltak er økt dekkelegging, dreneringstiltak, tiltak på broer og belysning. Deler av økningen </w:t>
      </w:r>
      <w:r w:rsidRPr="006D40F0">
        <w:lastRenderedPageBreak/>
        <w:t>vil gå til gjenstående utbedringsarbeider etter ekstremværet «Hans» i august 2023 og til å utbedre skader på veinettet etter ekstremvær i Nord-Norge i januar 2024. Bevilgningsøkningen motsvares av andre bevilgningsendringer til samferdselstiltak som trekker i motsatt retning, blant annet redusert tilskudd til kollektivprosjekter og lufthavnprosjekter som omtales nedenfor, slik at de samlede bevilgningene til NTP-formål holdes uendret i revidert budsjett sammenlignet med saldert budsjett for 2024.</w:t>
      </w:r>
    </w:p>
    <w:p w14:paraId="74CA5C7F" w14:textId="77777777" w:rsidR="00575AC3" w:rsidRPr="006D40F0" w:rsidRDefault="00575AC3" w:rsidP="006D40F0">
      <w:r w:rsidRPr="006D40F0">
        <w:t xml:space="preserve">I forbindelse med budsjettforliket mellom regjeringspartiene og SV om Saldert budsjett 2024, var det enighet om at </w:t>
      </w:r>
      <w:r w:rsidRPr="00575AC3">
        <w:rPr>
          <w:rStyle w:val="kursiv"/>
        </w:rPr>
        <w:t>«partiene er enige om å styrke CO</w:t>
      </w:r>
      <w:r w:rsidRPr="00575AC3">
        <w:rPr>
          <w:rStyle w:val="skrift-senket"/>
        </w:rPr>
        <w:t>2</w:t>
      </w:r>
      <w:r w:rsidRPr="00575AC3">
        <w:rPr>
          <w:rStyle w:val="kursiv"/>
        </w:rPr>
        <w:t>-kompensasjonsordningen med 500 mill. kroner i forbindelse med RNB 2024, forutsatt enighet med partene om innretning på ordningen»</w:t>
      </w:r>
      <w:r w:rsidRPr="006D40F0">
        <w:t>. Regjeringen har kommet til enighet med industrien om innretning på CO</w:t>
      </w:r>
      <w:r w:rsidRPr="00575AC3">
        <w:rPr>
          <w:rStyle w:val="skrift-senket"/>
        </w:rPr>
        <w:t>2</w:t>
      </w:r>
      <w:r w:rsidRPr="006D40F0">
        <w:t>-kompensasjonsordningen for støtteårene 2024–2030. Bevilgningen til CO</w:t>
      </w:r>
      <w:r w:rsidRPr="00575AC3">
        <w:rPr>
          <w:rStyle w:val="skrift-senket"/>
        </w:rPr>
        <w:t>2</w:t>
      </w:r>
      <w:r w:rsidRPr="006D40F0">
        <w:t>-kompensasjonsordningen for industrien foreslås derfor økt med 500 mill. kroner.</w:t>
      </w:r>
    </w:p>
    <w:p w14:paraId="124B692E" w14:textId="77777777" w:rsidR="00575AC3" w:rsidRPr="006D40F0" w:rsidRDefault="00575AC3" w:rsidP="006D40F0">
      <w:r w:rsidRPr="006D40F0">
        <w:t>Det foreslås 300 mill. kroner til et ettårig øremerket tilskudd til kommunene til innkjøp av trykte læremidler til elever i grunnskolen (1.–10. trinn). Tiltaket skal bidra til bedre leseferdigheter og mer praktisk og variert læring.</w:t>
      </w:r>
    </w:p>
    <w:p w14:paraId="720EB2B2" w14:textId="77777777" w:rsidR="00575AC3" w:rsidRPr="006D40F0" w:rsidRDefault="00575AC3" w:rsidP="006D40F0">
      <w:r w:rsidRPr="006D40F0">
        <w:t xml:space="preserve">I forbindelse med Stortingets behandling av Prop. 19 S (2023–2024) </w:t>
      </w:r>
      <w:proofErr w:type="spellStart"/>
      <w:r w:rsidRPr="00575AC3">
        <w:rPr>
          <w:rStyle w:val="kursiv"/>
        </w:rPr>
        <w:t>Endringar</w:t>
      </w:r>
      <w:proofErr w:type="spellEnd"/>
      <w:r w:rsidRPr="00575AC3">
        <w:rPr>
          <w:rStyle w:val="kursiv"/>
        </w:rPr>
        <w:t xml:space="preserve"> i statsbudsjettet 2023 under Justis- og beredskapsdepartementet</w:t>
      </w:r>
      <w:r w:rsidRPr="006D40F0">
        <w:t xml:space="preserve"> ble det besluttet oppstart av prosjekt for nye studenthybler ved Fagskolen for brann- og redningspersonell. Det foreslås 280 mill. kroner til oppstart av byggeprosjektet i 2024.</w:t>
      </w:r>
    </w:p>
    <w:p w14:paraId="38EA3E37" w14:textId="77777777" w:rsidR="00575AC3" w:rsidRPr="006D40F0" w:rsidRDefault="00575AC3" w:rsidP="006D40F0">
      <w:r w:rsidRPr="006D40F0">
        <w:t>Nye anslag tilsier at utgiftene til lån og stipend under Statens lånekasse for utdanning øker med 253 mill. kroner. Økningen skyldes i hovedsak økte utgifter tilknyttet rentestøtte under studietiden som følge av en økning i rentenivået. Oppdaterte prognoser fra Husbanken tilsier at utbetalingene av tilskudd til bygging av studentboliger øker med 240 mill. kroner.</w:t>
      </w:r>
    </w:p>
    <w:p w14:paraId="0D619F06" w14:textId="77777777" w:rsidR="00575AC3" w:rsidRPr="006D40F0" w:rsidRDefault="00575AC3" w:rsidP="006D40F0">
      <w:r w:rsidRPr="006D40F0">
        <w:t>Nye anslag tilsier at utgiftene til bostøtte øker med 232 mill. kroner. Økningen skyldes flere mottakere enn tidligere forutsatt, hovedsakelig som følge av det høye antallet bosatte flyktninger.</w:t>
      </w:r>
    </w:p>
    <w:p w14:paraId="751E50E4" w14:textId="77777777" w:rsidR="00575AC3" w:rsidRPr="006D40F0" w:rsidRDefault="00575AC3" w:rsidP="006D40F0">
      <w:r w:rsidRPr="006D40F0">
        <w:t xml:space="preserve">Regjeringen foreslår å øke bevilgningen til digitaliseringsprosjektet Nye </w:t>
      </w:r>
      <w:proofErr w:type="spellStart"/>
      <w:r w:rsidRPr="006D40F0">
        <w:t>Altinn</w:t>
      </w:r>
      <w:proofErr w:type="spellEnd"/>
      <w:r w:rsidRPr="006D40F0">
        <w:t xml:space="preserve"> med 208 mill. kroner. </w:t>
      </w:r>
      <w:proofErr w:type="spellStart"/>
      <w:r w:rsidRPr="006D40F0">
        <w:t>Altinn</w:t>
      </w:r>
      <w:proofErr w:type="spellEnd"/>
      <w:r w:rsidRPr="006D40F0">
        <w:t xml:space="preserve"> er en internettportal for digital dialog mellom næringslivet, privatpersoner og offentlige etater. Bakgrunnen for investeringen er at sentrale produkter i dagens løsning er i ferd med å bli utdaterte. Regjeringen foreslår en kostnadsramme på 1 267 mill. kroner for prosjektet.</w:t>
      </w:r>
    </w:p>
    <w:p w14:paraId="27121F02" w14:textId="77777777" w:rsidR="00575AC3" w:rsidRPr="006D40F0" w:rsidRDefault="00575AC3" w:rsidP="006D40F0">
      <w:r w:rsidRPr="006D40F0">
        <w:t>Det foreslås å redusere bevilgningene til romvirksomhet med 221 mill. kroner. Reduksjonen skyldes redusert kontingent og endrede valutakurser.</w:t>
      </w:r>
    </w:p>
    <w:p w14:paraId="7D3C6404" w14:textId="77777777" w:rsidR="00575AC3" w:rsidRPr="006D40F0" w:rsidRDefault="00575AC3" w:rsidP="006D40F0">
      <w:r w:rsidRPr="006D40F0">
        <w:t>Oppdaterte anslag for prosjektene ny lufthavn ved Mo i Rana og flytting av lufthavnen i Bodø tilsier at utgiftene reduseres med 312 mill. kroner. Dette skyldes både at prisstigningen i prosjektene har blitt noe lavere enn forutsatt, og at fremdriften i prosjektene er redusert sammenlignet med det som tidligere ble lagt til grunn. Kostnadsreduksjoner som skyldes forskyvninger i fremdriftsplanene, vil medføre et tilsvarende økt likviditetsbehov i fremtidige budsjettår.</w:t>
      </w:r>
    </w:p>
    <w:p w14:paraId="10D5FAEC" w14:textId="77777777" w:rsidR="00575AC3" w:rsidRPr="006D40F0" w:rsidRDefault="00575AC3" w:rsidP="006D40F0">
      <w:r w:rsidRPr="006D40F0">
        <w:t>Tilskuddet til store kollektivprosjekter reduseres med 440 mill. kroner knyttet til prosjektene Fornebubanen, Bussveien på Nord-Jæren og Metrobuss i Trondheim. Dette skyldes i hovedsak forsinkelser i arbeidene og at enkelte anslag har vist seg å være for høye.</w:t>
      </w:r>
    </w:p>
    <w:p w14:paraId="7C07E0CF" w14:textId="77777777" w:rsidR="00575AC3" w:rsidRPr="006D40F0" w:rsidRDefault="00575AC3" w:rsidP="006D40F0">
      <w:r w:rsidRPr="006D40F0">
        <w:lastRenderedPageBreak/>
        <w:t>Tilskuddet til Statens pensjonskasse (SPK) foreslås redusert med 627 mill. kroner. Anslagsendringen skyldes i hovedsak en økning i premieinntekter for sjette termin 2023, som først innbetales i 2024. I motsatt retning trekker økt anslag for gjennomsnittlig utbetalte alderspensjoner, samt flere mottakere av alderspensjon enn lagt til grunn.</w:t>
      </w:r>
    </w:p>
    <w:p w14:paraId="5548646D" w14:textId="77777777" w:rsidR="00575AC3" w:rsidRPr="006D40F0" w:rsidRDefault="00575AC3" w:rsidP="006D40F0">
      <w:r w:rsidRPr="006D40F0">
        <w:t>Bevilgningen til CO</w:t>
      </w:r>
      <w:r w:rsidRPr="00575AC3">
        <w:rPr>
          <w:rStyle w:val="skrift-senket"/>
        </w:rPr>
        <w:t>2</w:t>
      </w:r>
      <w:r w:rsidRPr="006D40F0">
        <w:t>-håndteringsprosjektet Langskip foreslås redusert med 900 mill. kroner på grunn av senere utbetaling av statsstøtte enn forventet, blant annet som følge av forsinkelser i CO</w:t>
      </w:r>
      <w:r w:rsidRPr="00575AC3">
        <w:rPr>
          <w:rStyle w:val="skrift-senket"/>
        </w:rPr>
        <w:t>2</w:t>
      </w:r>
      <w:r w:rsidRPr="006D40F0">
        <w:t>-fangstprosjektet på sementfabrikken til Heidelberg Materials i Brevik.</w:t>
      </w:r>
    </w:p>
    <w:p w14:paraId="554193EC" w14:textId="77777777" w:rsidR="00575AC3" w:rsidRPr="006D40F0" w:rsidRDefault="00575AC3" w:rsidP="006D40F0">
      <w:r w:rsidRPr="006D40F0">
        <w:t>Bevilgningen til barnetrygd foreslås redusert med 903 mill. kroner. Anslagsendringer trekker bevilgningsbehovet ned med 741 mill. kroner. Videre vises det til Prop. 72 L (2023–2024), og forslag om å erstatte gjeldende regel om etterbetaling av barnetrygd i opptil tre år med en ny hovedregel om etterbetaling i opptil tre måneder. Endringen er anslått å redusere bevilgningsbehovet med ytterligere 162 mill. kroner.</w:t>
      </w:r>
    </w:p>
    <w:p w14:paraId="4FD494E8" w14:textId="77777777" w:rsidR="00575AC3" w:rsidRPr="006D40F0" w:rsidRDefault="00575AC3" w:rsidP="006D40F0">
      <w:r w:rsidRPr="006D40F0">
        <w:t>Oppdaterte anslag tilsier at utgiftene til den midlertidige strømstønadsordningen for husholdninger i 2024 reduseres med om lag 5 mrd. kroner. Dette skyldes at oppdaterte anslaget for strømpriser i 2024 er lavere enn anslagene som lå til grunn for kostnadsanslaget i Saldert budsjett 2024. Det understrekes at kostnadsanslaget er usikkert.</w:t>
      </w:r>
    </w:p>
    <w:p w14:paraId="29616FC2" w14:textId="77777777" w:rsidR="00575AC3" w:rsidRPr="006D40F0" w:rsidRDefault="00575AC3" w:rsidP="006D40F0">
      <w:r w:rsidRPr="006D40F0">
        <w:t>Regjeringen foreslår å tilbakeføre 7 mrd. kroner av tapsavsetningen til lånegarantiordningen for små og mellomstore bedrifter som ble bevilget i forbindelse med pandemien. Den gjenstående avsetningen på 2,5 mrd. kroner vil dekke forventede tap i tråd med Eksfins faglige vurderinger.</w:t>
      </w:r>
    </w:p>
    <w:p w14:paraId="1A093966" w14:textId="77777777" w:rsidR="00575AC3" w:rsidRPr="006D40F0" w:rsidRDefault="00575AC3" w:rsidP="006D40F0">
      <w:r w:rsidRPr="006D40F0">
        <w:t>Deler av flyktningutgiftene i Norge anses som bistand og refunderes over Utenriksdepartementets del av bistandsbudsjettet. Refusjonene anslås økt med 1,2 mrd. kroner. Beløpet er i hovedsak knyttet til økte flyktningutgifter som følge av krigen i Ukraina, spesielt utgifter til drift av asylmottak.</w:t>
      </w:r>
    </w:p>
    <w:p w14:paraId="6EEBC250" w14:textId="77777777" w:rsidR="00575AC3" w:rsidRPr="006D40F0" w:rsidRDefault="00575AC3" w:rsidP="006D40F0">
      <w:r w:rsidRPr="006D40F0">
        <w:t>Regjeringen foreslår å tilbakeføre den gjenværende tapsavsetningen til Alminnelig garantiordning på 1 mrd. kroner. Den positive markedsutviklingen i offshoresektoren innebærer at det ikke lenger er behov for tapsavsetning fra staten under ordningen.</w:t>
      </w:r>
    </w:p>
    <w:p w14:paraId="658A631B" w14:textId="77777777" w:rsidR="00575AC3" w:rsidRPr="006D40F0" w:rsidRDefault="00575AC3" w:rsidP="006D40F0">
      <w:r w:rsidRPr="006D40F0">
        <w:t>Prosessen med å avhende de utrangerte F-16 kampflyene pågår fortsatt. Endrede forutsetninger for avhendingen medfører reduserte forventede nettoinntekter i forbindelse med salg av F-16 kampfly i 2024 med 390 mill. kroner.</w:t>
      </w:r>
    </w:p>
    <w:p w14:paraId="09090051" w14:textId="77777777" w:rsidR="00575AC3" w:rsidRPr="006D40F0" w:rsidRDefault="00575AC3" w:rsidP="006D40F0">
      <w:r w:rsidRPr="006D40F0">
        <w:t>Inntekter fra salg av klimakvoter i 2024 anslås til 1 909 millioner kroner. Det er om lag 918 mill. kroner lavere enn det som ligger til grunn i Saldert budsjett 2024. Årsaken til reduksjonen er i hovedsak at kvoteprisen er vesentlig lavere, og at den norske kronen er sterkere i forhold til euro i dag sammenlignet med grunnlaget til saldert budsjett. Bevilgningen foreslås derfor redusert med 918 mill. kroner.</w:t>
      </w:r>
    </w:p>
    <w:p w14:paraId="395DE06B" w14:textId="77777777" w:rsidR="00575AC3" w:rsidRPr="006D40F0" w:rsidRDefault="00575AC3" w:rsidP="006D40F0">
      <w:r w:rsidRPr="006D40F0">
        <w:t>Utbytter fra selskaper som forvaltes av Nærings- og fiskeridepartementet reduseres med 5,0 mrd. kroner, hvorav 4,0 mrd. kroner gjelder de børsnoterte selskapene. Anslag for utbytter fra de børsnoterte selskapene er basert styrenes forslag til utbytte for regnskapsåret 2023 og som utbetales i 2024.</w:t>
      </w:r>
    </w:p>
    <w:p w14:paraId="61773D2A" w14:textId="77777777" w:rsidR="00575AC3" w:rsidRPr="006D40F0" w:rsidRDefault="00575AC3" w:rsidP="006D40F0">
      <w:pPr>
        <w:pStyle w:val="Overskrift2"/>
      </w:pPr>
      <w:r w:rsidRPr="006D40F0">
        <w:lastRenderedPageBreak/>
        <w:t>Statsbudsjettets stilling</w:t>
      </w:r>
    </w:p>
    <w:p w14:paraId="36725B5C" w14:textId="77777777" w:rsidR="00575AC3" w:rsidRPr="006D40F0" w:rsidRDefault="00575AC3" w:rsidP="006D40F0">
      <w:r w:rsidRPr="006D40F0">
        <w:t>Det oljekorrigerte budsjettunderskuddet var 336,5 mrd. kroner i Saldert budsjett 2024. Nå anslås underskuddet til 337,8 mrd. kroner. Da inngår de samlede endringene i budsjettet så langt i år, nye anslag for skatter og avgifter og renter på statens gjeld og kontantbeholdning mv., og forslag om endrede bevilgninger i denne proposisjonen.</w:t>
      </w:r>
    </w:p>
    <w:p w14:paraId="5C27AFDD" w14:textId="77777777" w:rsidR="00575AC3" w:rsidRDefault="00575AC3" w:rsidP="006D40F0">
      <w:r w:rsidRPr="006D40F0">
        <w:t xml:space="preserve">Statsbudsjettets stilling </w:t>
      </w:r>
      <w:proofErr w:type="gramStart"/>
      <w:r w:rsidRPr="006D40F0">
        <w:t>fremgår</w:t>
      </w:r>
      <w:proofErr w:type="gramEnd"/>
      <w:r w:rsidRPr="006D40F0">
        <w:t xml:space="preserve"> av tabell 1.2 og 1.3.</w:t>
      </w:r>
    </w:p>
    <w:p w14:paraId="405B21C7" w14:textId="032B99ED" w:rsidR="00265CE1" w:rsidRPr="006D40F0" w:rsidRDefault="00265CE1" w:rsidP="00265CE1">
      <w:pPr>
        <w:pStyle w:val="tabell-tittel"/>
      </w:pPr>
      <w:r w:rsidRPr="006D40F0">
        <w:t>Statsbudsjettets og Statens pensjonsfonds inntekter og utgifter utenom lånetransaksjoner</w:t>
      </w:r>
    </w:p>
    <w:p w14:paraId="79928A26" w14:textId="77777777" w:rsidR="00575AC3" w:rsidRPr="006D40F0" w:rsidRDefault="00575AC3" w:rsidP="006D40F0">
      <w:pPr>
        <w:pStyle w:val="Tabellnavn"/>
      </w:pPr>
      <w:r w:rsidRPr="006D40F0">
        <w:t>05J2xt2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00"/>
        <w:gridCol w:w="5200"/>
        <w:gridCol w:w="1320"/>
        <w:gridCol w:w="1260"/>
        <w:gridCol w:w="1160"/>
      </w:tblGrid>
      <w:tr w:rsidR="00DD49A7" w:rsidRPr="006D40F0" w14:paraId="2A5FB3BC" w14:textId="77777777" w:rsidTr="00265CE1">
        <w:trPr>
          <w:trHeight w:val="360"/>
        </w:trPr>
        <w:tc>
          <w:tcPr>
            <w:tcW w:w="600" w:type="dxa"/>
            <w:tcBorders>
              <w:top w:val="nil"/>
              <w:left w:val="nil"/>
              <w:bottom w:val="single" w:sz="4" w:space="0" w:color="000000"/>
              <w:right w:val="nil"/>
            </w:tcBorders>
            <w:tcMar>
              <w:top w:w="128" w:type="dxa"/>
              <w:left w:w="43" w:type="dxa"/>
              <w:bottom w:w="43" w:type="dxa"/>
              <w:right w:w="43" w:type="dxa"/>
            </w:tcMar>
            <w:vAlign w:val="bottom"/>
          </w:tcPr>
          <w:p w14:paraId="333DC076" w14:textId="77777777" w:rsidR="00575AC3" w:rsidRPr="006D40F0" w:rsidRDefault="00575AC3" w:rsidP="006D40F0"/>
        </w:tc>
        <w:tc>
          <w:tcPr>
            <w:tcW w:w="5200" w:type="dxa"/>
            <w:tcBorders>
              <w:top w:val="nil"/>
              <w:left w:val="nil"/>
              <w:bottom w:val="single" w:sz="4" w:space="0" w:color="000000"/>
              <w:right w:val="nil"/>
            </w:tcBorders>
            <w:tcMar>
              <w:top w:w="128" w:type="dxa"/>
              <w:left w:w="43" w:type="dxa"/>
              <w:bottom w:w="43" w:type="dxa"/>
              <w:right w:w="43" w:type="dxa"/>
            </w:tcMar>
            <w:vAlign w:val="bottom"/>
          </w:tcPr>
          <w:p w14:paraId="630D3DEA" w14:textId="77777777" w:rsidR="00575AC3" w:rsidRPr="006D40F0" w:rsidRDefault="00575AC3" w:rsidP="006D40F0"/>
        </w:tc>
        <w:tc>
          <w:tcPr>
            <w:tcW w:w="3740" w:type="dxa"/>
            <w:gridSpan w:val="3"/>
            <w:tcBorders>
              <w:top w:val="nil"/>
              <w:left w:val="nil"/>
              <w:bottom w:val="single" w:sz="4" w:space="0" w:color="000000"/>
              <w:right w:val="nil"/>
            </w:tcBorders>
            <w:tcMar>
              <w:top w:w="128" w:type="dxa"/>
              <w:left w:w="43" w:type="dxa"/>
              <w:bottom w:w="43" w:type="dxa"/>
              <w:right w:w="43" w:type="dxa"/>
            </w:tcMar>
            <w:vAlign w:val="bottom"/>
          </w:tcPr>
          <w:p w14:paraId="0E0D2C0D" w14:textId="77777777" w:rsidR="00575AC3" w:rsidRPr="006D40F0" w:rsidRDefault="00575AC3" w:rsidP="006D40F0">
            <w:r w:rsidRPr="006D40F0">
              <w:t>Mill. kroner</w:t>
            </w:r>
          </w:p>
        </w:tc>
      </w:tr>
      <w:tr w:rsidR="00DD49A7" w:rsidRPr="006D40F0" w14:paraId="6C6CD33D" w14:textId="77777777" w:rsidTr="00265CE1">
        <w:trPr>
          <w:trHeight w:val="600"/>
        </w:trPr>
        <w:tc>
          <w:tcPr>
            <w:tcW w:w="600" w:type="dxa"/>
            <w:tcBorders>
              <w:top w:val="nil"/>
              <w:left w:val="nil"/>
              <w:bottom w:val="single" w:sz="4" w:space="0" w:color="000000"/>
              <w:right w:val="nil"/>
            </w:tcBorders>
            <w:tcMar>
              <w:top w:w="128" w:type="dxa"/>
              <w:left w:w="43" w:type="dxa"/>
              <w:bottom w:w="43" w:type="dxa"/>
              <w:right w:w="43" w:type="dxa"/>
            </w:tcMar>
            <w:vAlign w:val="bottom"/>
          </w:tcPr>
          <w:p w14:paraId="347EF1F0" w14:textId="77777777" w:rsidR="00575AC3" w:rsidRPr="006D40F0" w:rsidRDefault="00575AC3" w:rsidP="006D40F0"/>
        </w:tc>
        <w:tc>
          <w:tcPr>
            <w:tcW w:w="5200" w:type="dxa"/>
            <w:tcBorders>
              <w:top w:val="nil"/>
              <w:left w:val="nil"/>
              <w:bottom w:val="single" w:sz="4" w:space="0" w:color="000000"/>
              <w:right w:val="nil"/>
            </w:tcBorders>
            <w:tcMar>
              <w:top w:w="128" w:type="dxa"/>
              <w:left w:w="43" w:type="dxa"/>
              <w:bottom w:w="43" w:type="dxa"/>
              <w:right w:w="43" w:type="dxa"/>
            </w:tcMar>
            <w:vAlign w:val="bottom"/>
          </w:tcPr>
          <w:p w14:paraId="05145856" w14:textId="77777777" w:rsidR="00575AC3" w:rsidRPr="006D40F0" w:rsidRDefault="00575AC3" w:rsidP="006D40F0"/>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88D8E0A" w14:textId="77777777" w:rsidR="00575AC3" w:rsidRPr="006D40F0" w:rsidRDefault="00575AC3" w:rsidP="006D40F0">
            <w:r w:rsidRPr="006D40F0">
              <w:t>Regnskap 2023</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98F1BAD" w14:textId="77777777" w:rsidR="00575AC3" w:rsidRPr="006D40F0" w:rsidRDefault="00575AC3" w:rsidP="006D40F0">
            <w:r w:rsidRPr="006D40F0">
              <w:t>Saldert budsjett 2024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225BA67" w14:textId="77777777" w:rsidR="00575AC3" w:rsidRPr="006D40F0" w:rsidRDefault="00575AC3" w:rsidP="006D40F0">
            <w:r w:rsidRPr="006D40F0">
              <w:t>RNB 2024</w:t>
            </w:r>
          </w:p>
        </w:tc>
      </w:tr>
      <w:tr w:rsidR="00DD49A7" w:rsidRPr="006D40F0" w14:paraId="4ADB7867" w14:textId="77777777" w:rsidTr="00265CE1">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25F0B27D" w14:textId="77777777" w:rsidR="00575AC3" w:rsidRPr="006D40F0" w:rsidRDefault="00575AC3" w:rsidP="006D40F0">
            <w:r w:rsidRPr="006D40F0">
              <w:t>A</w:t>
            </w:r>
          </w:p>
        </w:tc>
        <w:tc>
          <w:tcPr>
            <w:tcW w:w="5200" w:type="dxa"/>
            <w:tcBorders>
              <w:top w:val="single" w:sz="4" w:space="0" w:color="000000"/>
              <w:left w:val="nil"/>
              <w:bottom w:val="nil"/>
              <w:right w:val="nil"/>
            </w:tcBorders>
            <w:tcMar>
              <w:top w:w="128" w:type="dxa"/>
              <w:left w:w="43" w:type="dxa"/>
              <w:bottom w:w="43" w:type="dxa"/>
              <w:right w:w="43" w:type="dxa"/>
            </w:tcMar>
            <w:vAlign w:val="bottom"/>
          </w:tcPr>
          <w:p w14:paraId="1DFC2B78" w14:textId="77777777" w:rsidR="00575AC3" w:rsidRPr="006D40F0" w:rsidRDefault="00575AC3" w:rsidP="006D40F0">
            <w:r w:rsidRPr="006D40F0">
              <w:t>Statsbudsjettets inntekter i alt</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6E1C6E10" w14:textId="77777777" w:rsidR="00575AC3" w:rsidRPr="006D40F0" w:rsidRDefault="00575AC3" w:rsidP="006D40F0">
            <w:r w:rsidRPr="006D40F0">
              <w:t xml:space="preserve">2 494 401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53B742FD" w14:textId="77777777" w:rsidR="00575AC3" w:rsidRPr="006D40F0" w:rsidRDefault="00575AC3" w:rsidP="006D40F0">
            <w:r w:rsidRPr="006D40F0">
              <w:t xml:space="preserve">2 388 642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3891C265" w14:textId="77777777" w:rsidR="00575AC3" w:rsidRPr="006D40F0" w:rsidRDefault="00575AC3" w:rsidP="006D40F0">
            <w:r w:rsidRPr="006D40F0">
              <w:t xml:space="preserve">2 257 695 </w:t>
            </w:r>
          </w:p>
        </w:tc>
      </w:tr>
      <w:tr w:rsidR="00DD49A7" w:rsidRPr="006D40F0" w14:paraId="33854948" w14:textId="77777777" w:rsidTr="00265CE1">
        <w:trPr>
          <w:trHeight w:val="380"/>
        </w:trPr>
        <w:tc>
          <w:tcPr>
            <w:tcW w:w="600" w:type="dxa"/>
            <w:tcBorders>
              <w:top w:val="nil"/>
              <w:left w:val="nil"/>
              <w:bottom w:val="nil"/>
              <w:right w:val="nil"/>
            </w:tcBorders>
            <w:tcMar>
              <w:top w:w="128" w:type="dxa"/>
              <w:left w:w="43" w:type="dxa"/>
              <w:bottom w:w="43" w:type="dxa"/>
              <w:right w:w="43" w:type="dxa"/>
            </w:tcMar>
          </w:tcPr>
          <w:p w14:paraId="60A6EDD8" w14:textId="77777777" w:rsidR="00575AC3" w:rsidRPr="006D40F0" w:rsidRDefault="00575AC3" w:rsidP="006D40F0">
            <w:r w:rsidRPr="006D40F0">
              <w:t>A.1</w:t>
            </w:r>
          </w:p>
        </w:tc>
        <w:tc>
          <w:tcPr>
            <w:tcW w:w="5200" w:type="dxa"/>
            <w:tcBorders>
              <w:top w:val="nil"/>
              <w:left w:val="nil"/>
              <w:bottom w:val="nil"/>
              <w:right w:val="nil"/>
            </w:tcBorders>
            <w:tcMar>
              <w:top w:w="128" w:type="dxa"/>
              <w:left w:w="43" w:type="dxa"/>
              <w:bottom w:w="43" w:type="dxa"/>
              <w:right w:w="43" w:type="dxa"/>
            </w:tcMar>
            <w:vAlign w:val="bottom"/>
          </w:tcPr>
          <w:p w14:paraId="7EFF5CEB" w14:textId="77777777" w:rsidR="00575AC3" w:rsidRPr="006D40F0" w:rsidRDefault="00575AC3" w:rsidP="006D40F0">
            <w:r w:rsidRPr="006D40F0">
              <w:t>Inntekter fra petroleumsvirksomhet</w:t>
            </w:r>
          </w:p>
        </w:tc>
        <w:tc>
          <w:tcPr>
            <w:tcW w:w="1320" w:type="dxa"/>
            <w:tcBorders>
              <w:top w:val="nil"/>
              <w:left w:val="nil"/>
              <w:bottom w:val="nil"/>
              <w:right w:val="nil"/>
            </w:tcBorders>
            <w:tcMar>
              <w:top w:w="128" w:type="dxa"/>
              <w:left w:w="43" w:type="dxa"/>
              <w:bottom w:w="43" w:type="dxa"/>
              <w:right w:w="43" w:type="dxa"/>
            </w:tcMar>
            <w:vAlign w:val="bottom"/>
          </w:tcPr>
          <w:p w14:paraId="259CA154" w14:textId="77777777" w:rsidR="00575AC3" w:rsidRPr="006D40F0" w:rsidRDefault="00575AC3" w:rsidP="006D40F0">
            <w:r w:rsidRPr="006D40F0">
              <w:t xml:space="preserve">1 008 461 </w:t>
            </w:r>
          </w:p>
        </w:tc>
        <w:tc>
          <w:tcPr>
            <w:tcW w:w="1260" w:type="dxa"/>
            <w:tcBorders>
              <w:top w:val="nil"/>
              <w:left w:val="nil"/>
              <w:bottom w:val="nil"/>
              <w:right w:val="nil"/>
            </w:tcBorders>
            <w:tcMar>
              <w:top w:w="128" w:type="dxa"/>
              <w:left w:w="43" w:type="dxa"/>
              <w:bottom w:w="43" w:type="dxa"/>
              <w:right w:w="43" w:type="dxa"/>
            </w:tcMar>
            <w:vAlign w:val="bottom"/>
          </w:tcPr>
          <w:p w14:paraId="04E5D408" w14:textId="77777777" w:rsidR="00575AC3" w:rsidRPr="006D40F0" w:rsidRDefault="00575AC3" w:rsidP="006D40F0">
            <w:r w:rsidRPr="006D40F0">
              <w:t xml:space="preserve">858 166 </w:t>
            </w:r>
          </w:p>
        </w:tc>
        <w:tc>
          <w:tcPr>
            <w:tcW w:w="1160" w:type="dxa"/>
            <w:tcBorders>
              <w:top w:val="nil"/>
              <w:left w:val="nil"/>
              <w:bottom w:val="nil"/>
              <w:right w:val="nil"/>
            </w:tcBorders>
            <w:tcMar>
              <w:top w:w="128" w:type="dxa"/>
              <w:left w:w="43" w:type="dxa"/>
              <w:bottom w:w="43" w:type="dxa"/>
              <w:right w:w="43" w:type="dxa"/>
            </w:tcMar>
            <w:vAlign w:val="bottom"/>
          </w:tcPr>
          <w:p w14:paraId="0003F972" w14:textId="77777777" w:rsidR="00575AC3" w:rsidRPr="006D40F0" w:rsidRDefault="00575AC3" w:rsidP="006D40F0">
            <w:r w:rsidRPr="006D40F0">
              <w:t xml:space="preserve">702 781 </w:t>
            </w:r>
          </w:p>
        </w:tc>
      </w:tr>
      <w:tr w:rsidR="00DD49A7" w:rsidRPr="006D40F0" w14:paraId="5FF3D783" w14:textId="77777777" w:rsidTr="00265CE1">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1B5911D9" w14:textId="77777777" w:rsidR="00575AC3" w:rsidRPr="006D40F0" w:rsidRDefault="00575AC3" w:rsidP="006D40F0">
            <w:r w:rsidRPr="006D40F0">
              <w:t>A.2</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430E6618" w14:textId="77777777" w:rsidR="00575AC3" w:rsidRPr="006D40F0" w:rsidRDefault="00575AC3" w:rsidP="006D40F0">
            <w:r w:rsidRPr="006D40F0">
              <w:t>Inntekter utenom petroleumsvirksomhet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A6F8804" w14:textId="77777777" w:rsidR="00575AC3" w:rsidRPr="006D40F0" w:rsidRDefault="00575AC3" w:rsidP="006D40F0">
            <w:r w:rsidRPr="006D40F0">
              <w:t xml:space="preserve">1 485 940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43C1C2CA" w14:textId="77777777" w:rsidR="00575AC3" w:rsidRPr="006D40F0" w:rsidRDefault="00575AC3" w:rsidP="006D40F0">
            <w:r w:rsidRPr="006D40F0">
              <w:t xml:space="preserve">1 530 477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B5AA834" w14:textId="77777777" w:rsidR="00575AC3" w:rsidRPr="006D40F0" w:rsidRDefault="00575AC3" w:rsidP="006D40F0">
            <w:r w:rsidRPr="006D40F0">
              <w:t xml:space="preserve">1 554 914 </w:t>
            </w:r>
          </w:p>
        </w:tc>
      </w:tr>
      <w:tr w:rsidR="00DD49A7" w:rsidRPr="006D40F0" w14:paraId="6032F483" w14:textId="77777777" w:rsidTr="00265CE1">
        <w:trPr>
          <w:trHeight w:val="380"/>
        </w:trPr>
        <w:tc>
          <w:tcPr>
            <w:tcW w:w="600" w:type="dxa"/>
            <w:tcBorders>
              <w:top w:val="nil"/>
              <w:left w:val="nil"/>
              <w:bottom w:val="nil"/>
              <w:right w:val="nil"/>
            </w:tcBorders>
            <w:tcMar>
              <w:top w:w="128" w:type="dxa"/>
              <w:left w:w="43" w:type="dxa"/>
              <w:bottom w:w="43" w:type="dxa"/>
              <w:right w:w="43" w:type="dxa"/>
            </w:tcMar>
          </w:tcPr>
          <w:p w14:paraId="289FA9E9" w14:textId="77777777" w:rsidR="00575AC3" w:rsidRPr="006D40F0" w:rsidRDefault="00575AC3" w:rsidP="006D40F0">
            <w:r w:rsidRPr="006D40F0">
              <w:t>B</w:t>
            </w:r>
          </w:p>
        </w:tc>
        <w:tc>
          <w:tcPr>
            <w:tcW w:w="5200" w:type="dxa"/>
            <w:tcBorders>
              <w:top w:val="nil"/>
              <w:left w:val="nil"/>
              <w:bottom w:val="nil"/>
              <w:right w:val="nil"/>
            </w:tcBorders>
            <w:tcMar>
              <w:top w:w="128" w:type="dxa"/>
              <w:left w:w="43" w:type="dxa"/>
              <w:bottom w:w="43" w:type="dxa"/>
              <w:right w:w="43" w:type="dxa"/>
            </w:tcMar>
            <w:vAlign w:val="bottom"/>
          </w:tcPr>
          <w:p w14:paraId="10462A03" w14:textId="77777777" w:rsidR="00575AC3" w:rsidRPr="006D40F0" w:rsidRDefault="00575AC3" w:rsidP="006D40F0">
            <w:r w:rsidRPr="006D40F0">
              <w:t>Statsbudsjettets utgifter i alt</w:t>
            </w:r>
          </w:p>
        </w:tc>
        <w:tc>
          <w:tcPr>
            <w:tcW w:w="1320" w:type="dxa"/>
            <w:tcBorders>
              <w:top w:val="nil"/>
              <w:left w:val="nil"/>
              <w:bottom w:val="nil"/>
              <w:right w:val="nil"/>
            </w:tcBorders>
            <w:tcMar>
              <w:top w:w="128" w:type="dxa"/>
              <w:left w:w="43" w:type="dxa"/>
              <w:bottom w:w="43" w:type="dxa"/>
              <w:right w:w="43" w:type="dxa"/>
            </w:tcMar>
            <w:vAlign w:val="bottom"/>
          </w:tcPr>
          <w:p w14:paraId="6EC66AD0" w14:textId="77777777" w:rsidR="00575AC3" w:rsidRPr="006D40F0" w:rsidRDefault="00575AC3" w:rsidP="006D40F0">
            <w:r w:rsidRPr="006D40F0">
              <w:t xml:space="preserve">1 806 800 </w:t>
            </w:r>
          </w:p>
        </w:tc>
        <w:tc>
          <w:tcPr>
            <w:tcW w:w="1260" w:type="dxa"/>
            <w:tcBorders>
              <w:top w:val="nil"/>
              <w:left w:val="nil"/>
              <w:bottom w:val="nil"/>
              <w:right w:val="nil"/>
            </w:tcBorders>
            <w:tcMar>
              <w:top w:w="128" w:type="dxa"/>
              <w:left w:w="43" w:type="dxa"/>
              <w:bottom w:w="43" w:type="dxa"/>
              <w:right w:w="43" w:type="dxa"/>
            </w:tcMar>
            <w:vAlign w:val="bottom"/>
          </w:tcPr>
          <w:p w14:paraId="4CFC9078" w14:textId="77777777" w:rsidR="00575AC3" w:rsidRPr="006D40F0" w:rsidRDefault="00575AC3" w:rsidP="006D40F0">
            <w:r w:rsidRPr="006D40F0">
              <w:t xml:space="preserve">1 892 961 </w:t>
            </w:r>
          </w:p>
        </w:tc>
        <w:tc>
          <w:tcPr>
            <w:tcW w:w="1160" w:type="dxa"/>
            <w:tcBorders>
              <w:top w:val="nil"/>
              <w:left w:val="nil"/>
              <w:bottom w:val="nil"/>
              <w:right w:val="nil"/>
            </w:tcBorders>
            <w:tcMar>
              <w:top w:w="128" w:type="dxa"/>
              <w:left w:w="43" w:type="dxa"/>
              <w:bottom w:w="43" w:type="dxa"/>
              <w:right w:w="43" w:type="dxa"/>
            </w:tcMar>
            <w:vAlign w:val="bottom"/>
          </w:tcPr>
          <w:p w14:paraId="103F1C72" w14:textId="77777777" w:rsidR="00575AC3" w:rsidRPr="006D40F0" w:rsidRDefault="00575AC3" w:rsidP="006D40F0">
            <w:r w:rsidRPr="006D40F0">
              <w:t xml:space="preserve">1 922 855 </w:t>
            </w:r>
          </w:p>
        </w:tc>
      </w:tr>
      <w:tr w:rsidR="00DD49A7" w:rsidRPr="006D40F0" w14:paraId="691BBB93" w14:textId="77777777" w:rsidTr="00265CE1">
        <w:trPr>
          <w:trHeight w:val="380"/>
        </w:trPr>
        <w:tc>
          <w:tcPr>
            <w:tcW w:w="600" w:type="dxa"/>
            <w:tcBorders>
              <w:top w:val="nil"/>
              <w:left w:val="nil"/>
              <w:bottom w:val="nil"/>
              <w:right w:val="nil"/>
            </w:tcBorders>
            <w:tcMar>
              <w:top w:w="128" w:type="dxa"/>
              <w:left w:w="43" w:type="dxa"/>
              <w:bottom w:w="43" w:type="dxa"/>
              <w:right w:w="43" w:type="dxa"/>
            </w:tcMar>
          </w:tcPr>
          <w:p w14:paraId="1DDB4126" w14:textId="77777777" w:rsidR="00575AC3" w:rsidRPr="006D40F0" w:rsidRDefault="00575AC3" w:rsidP="006D40F0">
            <w:r w:rsidRPr="006D40F0">
              <w:t>B.1</w:t>
            </w:r>
          </w:p>
        </w:tc>
        <w:tc>
          <w:tcPr>
            <w:tcW w:w="5200" w:type="dxa"/>
            <w:tcBorders>
              <w:top w:val="nil"/>
              <w:left w:val="nil"/>
              <w:bottom w:val="nil"/>
              <w:right w:val="nil"/>
            </w:tcBorders>
            <w:tcMar>
              <w:top w:w="128" w:type="dxa"/>
              <w:left w:w="43" w:type="dxa"/>
              <w:bottom w:w="43" w:type="dxa"/>
              <w:right w:w="43" w:type="dxa"/>
            </w:tcMar>
            <w:vAlign w:val="bottom"/>
          </w:tcPr>
          <w:p w14:paraId="7F5F166F" w14:textId="77777777" w:rsidR="00575AC3" w:rsidRPr="006D40F0" w:rsidRDefault="00575AC3" w:rsidP="006D40F0">
            <w:r w:rsidRPr="006D40F0">
              <w:t>Utgifter til petroleumsvirksomhet</w:t>
            </w:r>
          </w:p>
        </w:tc>
        <w:tc>
          <w:tcPr>
            <w:tcW w:w="1320" w:type="dxa"/>
            <w:tcBorders>
              <w:top w:val="nil"/>
              <w:left w:val="nil"/>
              <w:bottom w:val="nil"/>
              <w:right w:val="nil"/>
            </w:tcBorders>
            <w:tcMar>
              <w:top w:w="128" w:type="dxa"/>
              <w:left w:w="43" w:type="dxa"/>
              <w:bottom w:w="43" w:type="dxa"/>
              <w:right w:w="43" w:type="dxa"/>
            </w:tcMar>
            <w:vAlign w:val="bottom"/>
          </w:tcPr>
          <w:p w14:paraId="7DEC9309" w14:textId="77777777" w:rsidR="00575AC3" w:rsidRPr="006D40F0" w:rsidRDefault="00575AC3" w:rsidP="006D40F0">
            <w:r w:rsidRPr="006D40F0">
              <w:t xml:space="preserve">30 396 </w:t>
            </w:r>
          </w:p>
        </w:tc>
        <w:tc>
          <w:tcPr>
            <w:tcW w:w="1260" w:type="dxa"/>
            <w:tcBorders>
              <w:top w:val="nil"/>
              <w:left w:val="nil"/>
              <w:bottom w:val="nil"/>
              <w:right w:val="nil"/>
            </w:tcBorders>
            <w:tcMar>
              <w:top w:w="128" w:type="dxa"/>
              <w:left w:w="43" w:type="dxa"/>
              <w:bottom w:w="43" w:type="dxa"/>
              <w:right w:w="43" w:type="dxa"/>
            </w:tcMar>
            <w:vAlign w:val="bottom"/>
          </w:tcPr>
          <w:p w14:paraId="77D1C411" w14:textId="77777777" w:rsidR="00575AC3" w:rsidRPr="006D40F0" w:rsidRDefault="00575AC3" w:rsidP="006D40F0">
            <w:r w:rsidRPr="006D40F0">
              <w:t xml:space="preserve">26 000 </w:t>
            </w:r>
          </w:p>
        </w:tc>
        <w:tc>
          <w:tcPr>
            <w:tcW w:w="1160" w:type="dxa"/>
            <w:tcBorders>
              <w:top w:val="nil"/>
              <w:left w:val="nil"/>
              <w:bottom w:val="nil"/>
              <w:right w:val="nil"/>
            </w:tcBorders>
            <w:tcMar>
              <w:top w:w="128" w:type="dxa"/>
              <w:left w:w="43" w:type="dxa"/>
              <w:bottom w:w="43" w:type="dxa"/>
              <w:right w:w="43" w:type="dxa"/>
            </w:tcMar>
            <w:vAlign w:val="bottom"/>
          </w:tcPr>
          <w:p w14:paraId="455BAD7F" w14:textId="77777777" w:rsidR="00575AC3" w:rsidRPr="006D40F0" w:rsidRDefault="00575AC3" w:rsidP="006D40F0">
            <w:r w:rsidRPr="006D40F0">
              <w:t xml:space="preserve">30 100 </w:t>
            </w:r>
          </w:p>
        </w:tc>
      </w:tr>
      <w:tr w:rsidR="00DD49A7" w:rsidRPr="006D40F0" w14:paraId="2BFE4BC4" w14:textId="77777777" w:rsidTr="00265CE1">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67F7D975" w14:textId="77777777" w:rsidR="00575AC3" w:rsidRPr="006D40F0" w:rsidRDefault="00575AC3" w:rsidP="006D40F0">
            <w:r w:rsidRPr="006D40F0">
              <w:t>B.2</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2A5E3C4A" w14:textId="77777777" w:rsidR="00575AC3" w:rsidRPr="006D40F0" w:rsidRDefault="00575AC3" w:rsidP="006D40F0">
            <w:r w:rsidRPr="006D40F0">
              <w:t>Utgifter utenom petroleumsvirksomhet</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C3BB41A" w14:textId="77777777" w:rsidR="00575AC3" w:rsidRPr="006D40F0" w:rsidRDefault="00575AC3" w:rsidP="006D40F0">
            <w:r w:rsidRPr="006D40F0">
              <w:t xml:space="preserve">1 776 404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97945C1" w14:textId="77777777" w:rsidR="00575AC3" w:rsidRPr="006D40F0" w:rsidRDefault="00575AC3" w:rsidP="006D40F0">
            <w:r w:rsidRPr="006D40F0">
              <w:t xml:space="preserve">1 866 961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C75BDC6" w14:textId="77777777" w:rsidR="00575AC3" w:rsidRPr="006D40F0" w:rsidRDefault="00575AC3" w:rsidP="006D40F0">
            <w:r w:rsidRPr="006D40F0">
              <w:t xml:space="preserve">1 892 755 </w:t>
            </w:r>
          </w:p>
        </w:tc>
      </w:tr>
      <w:tr w:rsidR="00DD49A7" w:rsidRPr="006D40F0" w14:paraId="44A38F26" w14:textId="77777777" w:rsidTr="00265CE1">
        <w:trPr>
          <w:trHeight w:val="640"/>
        </w:trPr>
        <w:tc>
          <w:tcPr>
            <w:tcW w:w="600" w:type="dxa"/>
            <w:tcBorders>
              <w:top w:val="nil"/>
              <w:left w:val="nil"/>
              <w:bottom w:val="nil"/>
              <w:right w:val="nil"/>
            </w:tcBorders>
            <w:tcMar>
              <w:top w:w="128" w:type="dxa"/>
              <w:left w:w="43" w:type="dxa"/>
              <w:bottom w:w="43" w:type="dxa"/>
              <w:right w:w="43" w:type="dxa"/>
            </w:tcMar>
          </w:tcPr>
          <w:p w14:paraId="55AD7B30" w14:textId="77777777" w:rsidR="00575AC3" w:rsidRPr="006D40F0" w:rsidRDefault="00575AC3" w:rsidP="006D40F0">
            <w:r w:rsidRPr="006D40F0">
              <w:t>=</w:t>
            </w:r>
          </w:p>
        </w:tc>
        <w:tc>
          <w:tcPr>
            <w:tcW w:w="5200" w:type="dxa"/>
            <w:tcBorders>
              <w:top w:val="nil"/>
              <w:left w:val="nil"/>
              <w:bottom w:val="nil"/>
              <w:right w:val="nil"/>
            </w:tcBorders>
            <w:tcMar>
              <w:top w:w="128" w:type="dxa"/>
              <w:left w:w="43" w:type="dxa"/>
              <w:bottom w:w="43" w:type="dxa"/>
              <w:right w:w="43" w:type="dxa"/>
            </w:tcMar>
            <w:vAlign w:val="bottom"/>
          </w:tcPr>
          <w:p w14:paraId="7B5BCA3C" w14:textId="77777777" w:rsidR="00575AC3" w:rsidRPr="006D40F0" w:rsidRDefault="00575AC3" w:rsidP="006D40F0">
            <w:r w:rsidRPr="006D40F0">
              <w:t>Overskudd i statsbudsjettet før overføring til Statens pensjonsfond utland (A-B)</w:t>
            </w:r>
          </w:p>
        </w:tc>
        <w:tc>
          <w:tcPr>
            <w:tcW w:w="1320" w:type="dxa"/>
            <w:tcBorders>
              <w:top w:val="nil"/>
              <w:left w:val="nil"/>
              <w:bottom w:val="nil"/>
              <w:right w:val="nil"/>
            </w:tcBorders>
            <w:tcMar>
              <w:top w:w="128" w:type="dxa"/>
              <w:left w:w="43" w:type="dxa"/>
              <w:bottom w:w="43" w:type="dxa"/>
              <w:right w:w="43" w:type="dxa"/>
            </w:tcMar>
            <w:vAlign w:val="bottom"/>
          </w:tcPr>
          <w:p w14:paraId="0B6A4BEC" w14:textId="77777777" w:rsidR="00575AC3" w:rsidRPr="006D40F0" w:rsidRDefault="00575AC3" w:rsidP="006D40F0">
            <w:r w:rsidRPr="006D40F0">
              <w:t xml:space="preserve">687 601 </w:t>
            </w:r>
          </w:p>
        </w:tc>
        <w:tc>
          <w:tcPr>
            <w:tcW w:w="1260" w:type="dxa"/>
            <w:tcBorders>
              <w:top w:val="nil"/>
              <w:left w:val="nil"/>
              <w:bottom w:val="nil"/>
              <w:right w:val="nil"/>
            </w:tcBorders>
            <w:tcMar>
              <w:top w:w="128" w:type="dxa"/>
              <w:left w:w="43" w:type="dxa"/>
              <w:bottom w:w="43" w:type="dxa"/>
              <w:right w:w="43" w:type="dxa"/>
            </w:tcMar>
            <w:vAlign w:val="bottom"/>
          </w:tcPr>
          <w:p w14:paraId="07EF5469" w14:textId="77777777" w:rsidR="00575AC3" w:rsidRPr="006D40F0" w:rsidRDefault="00575AC3" w:rsidP="006D40F0">
            <w:r w:rsidRPr="006D40F0">
              <w:t xml:space="preserve">495 681 </w:t>
            </w:r>
          </w:p>
        </w:tc>
        <w:tc>
          <w:tcPr>
            <w:tcW w:w="1160" w:type="dxa"/>
            <w:tcBorders>
              <w:top w:val="nil"/>
              <w:left w:val="nil"/>
              <w:bottom w:val="nil"/>
              <w:right w:val="nil"/>
            </w:tcBorders>
            <w:tcMar>
              <w:top w:w="128" w:type="dxa"/>
              <w:left w:w="43" w:type="dxa"/>
              <w:bottom w:w="43" w:type="dxa"/>
              <w:right w:w="43" w:type="dxa"/>
            </w:tcMar>
            <w:vAlign w:val="bottom"/>
          </w:tcPr>
          <w:p w14:paraId="0385F20D" w14:textId="77777777" w:rsidR="00575AC3" w:rsidRPr="006D40F0" w:rsidRDefault="00575AC3" w:rsidP="006D40F0">
            <w:r w:rsidRPr="006D40F0">
              <w:t xml:space="preserve">334 840 </w:t>
            </w:r>
          </w:p>
        </w:tc>
      </w:tr>
      <w:tr w:rsidR="00DD49A7" w:rsidRPr="006D40F0" w14:paraId="18520B11" w14:textId="77777777" w:rsidTr="00265CE1">
        <w:trPr>
          <w:trHeight w:val="880"/>
        </w:trPr>
        <w:tc>
          <w:tcPr>
            <w:tcW w:w="600" w:type="dxa"/>
            <w:tcBorders>
              <w:top w:val="nil"/>
              <w:left w:val="nil"/>
              <w:bottom w:val="single" w:sz="4" w:space="0" w:color="000000"/>
              <w:right w:val="nil"/>
            </w:tcBorders>
            <w:tcMar>
              <w:top w:w="128" w:type="dxa"/>
              <w:left w:w="43" w:type="dxa"/>
              <w:bottom w:w="43" w:type="dxa"/>
              <w:right w:w="43" w:type="dxa"/>
            </w:tcMar>
          </w:tcPr>
          <w:p w14:paraId="51B78802" w14:textId="77777777" w:rsidR="00575AC3" w:rsidRPr="006D40F0" w:rsidRDefault="00575AC3" w:rsidP="006D40F0">
            <w:r w:rsidRPr="006D40F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08E9A174" w14:textId="77777777" w:rsidR="00575AC3" w:rsidRPr="006D40F0" w:rsidRDefault="00575AC3" w:rsidP="006D40F0">
            <w:r w:rsidRPr="006D40F0">
              <w:t>Statsbudsjettets netto kontantstrøm fra petroleumsvirksomhet (A.1-B.1), overføres til Statens pensjonsfond utland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5E381C3" w14:textId="77777777" w:rsidR="00575AC3" w:rsidRPr="006D40F0" w:rsidRDefault="00575AC3" w:rsidP="006D40F0">
            <w:r w:rsidRPr="006D40F0">
              <w:t xml:space="preserve">978 064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03F5C62C" w14:textId="77777777" w:rsidR="00575AC3" w:rsidRPr="006D40F0" w:rsidRDefault="00575AC3" w:rsidP="006D40F0">
            <w:r w:rsidRPr="006D40F0">
              <w:t xml:space="preserve">832 166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6C03F88" w14:textId="77777777" w:rsidR="00575AC3" w:rsidRPr="006D40F0" w:rsidRDefault="00575AC3" w:rsidP="006D40F0">
            <w:r w:rsidRPr="006D40F0">
              <w:t xml:space="preserve">672 681 </w:t>
            </w:r>
          </w:p>
        </w:tc>
      </w:tr>
      <w:tr w:rsidR="00DD49A7" w:rsidRPr="006D40F0" w14:paraId="1A6604DC" w14:textId="77777777" w:rsidTr="00265CE1">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1E7F49AB" w14:textId="77777777" w:rsidR="00575AC3" w:rsidRPr="006D40F0" w:rsidRDefault="00575AC3" w:rsidP="006D40F0">
            <w:r w:rsidRPr="006D40F0">
              <w:t>=</w:t>
            </w:r>
          </w:p>
        </w:tc>
        <w:tc>
          <w:tcPr>
            <w:tcW w:w="5200" w:type="dxa"/>
            <w:tcBorders>
              <w:top w:val="single" w:sz="4" w:space="0" w:color="000000"/>
              <w:left w:val="nil"/>
              <w:bottom w:val="nil"/>
              <w:right w:val="nil"/>
            </w:tcBorders>
            <w:tcMar>
              <w:top w:w="128" w:type="dxa"/>
              <w:left w:w="43" w:type="dxa"/>
              <w:bottom w:w="43" w:type="dxa"/>
              <w:right w:w="43" w:type="dxa"/>
            </w:tcMar>
            <w:vAlign w:val="bottom"/>
          </w:tcPr>
          <w:p w14:paraId="1439EB55" w14:textId="77777777" w:rsidR="00575AC3" w:rsidRPr="006D40F0" w:rsidRDefault="00575AC3" w:rsidP="006D40F0">
            <w:r w:rsidRPr="006D40F0">
              <w:t>Statsbudsjettets oljekorrigerte overskudd (A.2-B.2)</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0D05D6ED" w14:textId="77777777" w:rsidR="00575AC3" w:rsidRPr="006D40F0" w:rsidRDefault="00575AC3" w:rsidP="006D40F0">
            <w:r w:rsidRPr="006D40F0">
              <w:t xml:space="preserve">-290 463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3412FAAB" w14:textId="77777777" w:rsidR="00575AC3" w:rsidRPr="006D40F0" w:rsidRDefault="00575AC3" w:rsidP="006D40F0">
            <w:r w:rsidRPr="006D40F0">
              <w:t xml:space="preserve">-336 484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7275147" w14:textId="77777777" w:rsidR="00575AC3" w:rsidRPr="006D40F0" w:rsidRDefault="00575AC3" w:rsidP="006D40F0">
            <w:r w:rsidRPr="006D40F0">
              <w:t xml:space="preserve">-337 841 </w:t>
            </w:r>
          </w:p>
        </w:tc>
      </w:tr>
      <w:tr w:rsidR="00DD49A7" w:rsidRPr="006D40F0" w14:paraId="52F627FF" w14:textId="77777777" w:rsidTr="00265CE1">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56D52D42" w14:textId="77777777" w:rsidR="00575AC3" w:rsidRPr="006D40F0" w:rsidRDefault="00575AC3" w:rsidP="006D40F0">
            <w:r w:rsidRPr="006D40F0">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4B3625CD" w14:textId="77777777" w:rsidR="00575AC3" w:rsidRPr="006D40F0" w:rsidRDefault="00575AC3" w:rsidP="006D40F0">
            <w:r w:rsidRPr="006D40F0">
              <w:t>Overført fra Statens pensjonsfond utland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75507BB" w14:textId="77777777" w:rsidR="00575AC3" w:rsidRPr="006D40F0" w:rsidRDefault="00575AC3" w:rsidP="006D40F0">
            <w:r w:rsidRPr="006D40F0">
              <w:t xml:space="preserve">286 217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14167E1B" w14:textId="77777777" w:rsidR="00575AC3" w:rsidRPr="006D40F0" w:rsidRDefault="00575AC3" w:rsidP="006D40F0">
            <w:r w:rsidRPr="006D40F0">
              <w:t xml:space="preserve">336 484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DF09E50" w14:textId="77777777" w:rsidR="00575AC3" w:rsidRPr="006D40F0" w:rsidRDefault="00575AC3" w:rsidP="006D40F0">
            <w:r w:rsidRPr="006D40F0">
              <w:t xml:space="preserve">337 841 </w:t>
            </w:r>
          </w:p>
        </w:tc>
      </w:tr>
      <w:tr w:rsidR="00DD49A7" w:rsidRPr="006D40F0" w14:paraId="6BC03FC9" w14:textId="77777777" w:rsidTr="00265CE1">
        <w:trPr>
          <w:trHeight w:val="380"/>
        </w:trPr>
        <w:tc>
          <w:tcPr>
            <w:tcW w:w="600" w:type="dxa"/>
            <w:tcBorders>
              <w:top w:val="single" w:sz="4" w:space="0" w:color="000000"/>
              <w:left w:val="nil"/>
              <w:bottom w:val="nil"/>
              <w:right w:val="nil"/>
            </w:tcBorders>
            <w:tcMar>
              <w:top w:w="128" w:type="dxa"/>
              <w:left w:w="43" w:type="dxa"/>
              <w:bottom w:w="43" w:type="dxa"/>
              <w:right w:w="43" w:type="dxa"/>
            </w:tcMar>
          </w:tcPr>
          <w:p w14:paraId="48693FAC" w14:textId="77777777" w:rsidR="00575AC3" w:rsidRPr="006D40F0" w:rsidRDefault="00575AC3" w:rsidP="006D40F0">
            <w:r w:rsidRPr="006D40F0">
              <w:t>=</w:t>
            </w:r>
          </w:p>
        </w:tc>
        <w:tc>
          <w:tcPr>
            <w:tcW w:w="5200" w:type="dxa"/>
            <w:tcBorders>
              <w:top w:val="single" w:sz="4" w:space="0" w:color="000000"/>
              <w:left w:val="nil"/>
              <w:bottom w:val="nil"/>
              <w:right w:val="nil"/>
            </w:tcBorders>
            <w:tcMar>
              <w:top w:w="128" w:type="dxa"/>
              <w:left w:w="43" w:type="dxa"/>
              <w:bottom w:w="43" w:type="dxa"/>
              <w:right w:w="43" w:type="dxa"/>
            </w:tcMar>
            <w:vAlign w:val="bottom"/>
          </w:tcPr>
          <w:p w14:paraId="08BC81C1" w14:textId="77777777" w:rsidR="00575AC3" w:rsidRPr="006D40F0" w:rsidRDefault="00575AC3" w:rsidP="006D40F0">
            <w:r w:rsidRPr="006D40F0">
              <w:t>Statsbudsjettets overskudd</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2CA7B8A" w14:textId="77777777" w:rsidR="00575AC3" w:rsidRPr="006D40F0" w:rsidRDefault="00575AC3" w:rsidP="006D40F0">
            <w:r w:rsidRPr="006D40F0">
              <w:t xml:space="preserve">-4 246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6CF24056" w14:textId="77777777" w:rsidR="00575AC3" w:rsidRPr="006D40F0" w:rsidRDefault="00575AC3" w:rsidP="006D40F0">
            <w:r w:rsidRPr="006D40F0">
              <w:t xml:space="preserve">0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49B0FF7" w14:textId="77777777" w:rsidR="00575AC3" w:rsidRPr="006D40F0" w:rsidRDefault="00575AC3" w:rsidP="006D40F0">
            <w:r w:rsidRPr="006D40F0">
              <w:t xml:space="preserve">0 </w:t>
            </w:r>
          </w:p>
        </w:tc>
      </w:tr>
      <w:tr w:rsidR="00DD49A7" w:rsidRPr="006D40F0" w14:paraId="020512A6" w14:textId="77777777" w:rsidTr="00265CE1">
        <w:trPr>
          <w:trHeight w:val="380"/>
        </w:trPr>
        <w:tc>
          <w:tcPr>
            <w:tcW w:w="600" w:type="dxa"/>
            <w:tcBorders>
              <w:top w:val="nil"/>
              <w:left w:val="nil"/>
              <w:bottom w:val="nil"/>
              <w:right w:val="nil"/>
            </w:tcBorders>
            <w:tcMar>
              <w:top w:w="128" w:type="dxa"/>
              <w:left w:w="43" w:type="dxa"/>
              <w:bottom w:w="43" w:type="dxa"/>
              <w:right w:w="43" w:type="dxa"/>
            </w:tcMar>
          </w:tcPr>
          <w:p w14:paraId="495BDFAE" w14:textId="77777777" w:rsidR="00575AC3" w:rsidRPr="006D40F0" w:rsidRDefault="00575AC3" w:rsidP="006D40F0">
            <w:r w:rsidRPr="006D40F0">
              <w:t>+</w:t>
            </w:r>
          </w:p>
        </w:tc>
        <w:tc>
          <w:tcPr>
            <w:tcW w:w="5200" w:type="dxa"/>
            <w:tcBorders>
              <w:top w:val="nil"/>
              <w:left w:val="nil"/>
              <w:bottom w:val="nil"/>
              <w:right w:val="nil"/>
            </w:tcBorders>
            <w:tcMar>
              <w:top w:w="128" w:type="dxa"/>
              <w:left w:w="43" w:type="dxa"/>
              <w:bottom w:w="43" w:type="dxa"/>
              <w:right w:w="43" w:type="dxa"/>
            </w:tcMar>
            <w:vAlign w:val="bottom"/>
          </w:tcPr>
          <w:p w14:paraId="64A0F225" w14:textId="77777777" w:rsidR="00575AC3" w:rsidRPr="006D40F0" w:rsidRDefault="00575AC3" w:rsidP="006D40F0">
            <w:r w:rsidRPr="006D40F0">
              <w:t>Netto avsatt i Statens pensjonsfond utland</w:t>
            </w:r>
          </w:p>
        </w:tc>
        <w:tc>
          <w:tcPr>
            <w:tcW w:w="1320" w:type="dxa"/>
            <w:tcBorders>
              <w:top w:val="nil"/>
              <w:left w:val="nil"/>
              <w:bottom w:val="nil"/>
              <w:right w:val="nil"/>
            </w:tcBorders>
            <w:tcMar>
              <w:top w:w="128" w:type="dxa"/>
              <w:left w:w="43" w:type="dxa"/>
              <w:bottom w:w="43" w:type="dxa"/>
              <w:right w:w="43" w:type="dxa"/>
            </w:tcMar>
            <w:vAlign w:val="bottom"/>
          </w:tcPr>
          <w:p w14:paraId="0D7670C7" w14:textId="77777777" w:rsidR="00575AC3" w:rsidRPr="006D40F0" w:rsidRDefault="00575AC3" w:rsidP="006D40F0">
            <w:r w:rsidRPr="006D40F0">
              <w:t xml:space="preserve">691 847 </w:t>
            </w:r>
          </w:p>
        </w:tc>
        <w:tc>
          <w:tcPr>
            <w:tcW w:w="1260" w:type="dxa"/>
            <w:tcBorders>
              <w:top w:val="nil"/>
              <w:left w:val="nil"/>
              <w:bottom w:val="nil"/>
              <w:right w:val="nil"/>
            </w:tcBorders>
            <w:tcMar>
              <w:top w:w="128" w:type="dxa"/>
              <w:left w:w="43" w:type="dxa"/>
              <w:bottom w:w="43" w:type="dxa"/>
              <w:right w:w="43" w:type="dxa"/>
            </w:tcMar>
            <w:vAlign w:val="bottom"/>
          </w:tcPr>
          <w:p w14:paraId="13D13506" w14:textId="77777777" w:rsidR="00575AC3" w:rsidRPr="006D40F0" w:rsidRDefault="00575AC3" w:rsidP="006D40F0">
            <w:r w:rsidRPr="006D40F0">
              <w:t xml:space="preserve">495 681 </w:t>
            </w:r>
          </w:p>
        </w:tc>
        <w:tc>
          <w:tcPr>
            <w:tcW w:w="1160" w:type="dxa"/>
            <w:tcBorders>
              <w:top w:val="nil"/>
              <w:left w:val="nil"/>
              <w:bottom w:val="nil"/>
              <w:right w:val="nil"/>
            </w:tcBorders>
            <w:tcMar>
              <w:top w:w="128" w:type="dxa"/>
              <w:left w:w="43" w:type="dxa"/>
              <w:bottom w:w="43" w:type="dxa"/>
              <w:right w:w="43" w:type="dxa"/>
            </w:tcMar>
            <w:vAlign w:val="bottom"/>
          </w:tcPr>
          <w:p w14:paraId="5BEBD988" w14:textId="77777777" w:rsidR="00575AC3" w:rsidRPr="006D40F0" w:rsidRDefault="00575AC3" w:rsidP="006D40F0">
            <w:r w:rsidRPr="006D40F0">
              <w:t xml:space="preserve">334 840 </w:t>
            </w:r>
          </w:p>
        </w:tc>
      </w:tr>
      <w:tr w:rsidR="00DD49A7" w:rsidRPr="006D40F0" w14:paraId="775C0196" w14:textId="77777777" w:rsidTr="00265CE1">
        <w:trPr>
          <w:trHeight w:val="380"/>
        </w:trPr>
        <w:tc>
          <w:tcPr>
            <w:tcW w:w="600" w:type="dxa"/>
            <w:tcBorders>
              <w:top w:val="nil"/>
              <w:left w:val="nil"/>
              <w:bottom w:val="single" w:sz="4" w:space="0" w:color="000000"/>
              <w:right w:val="nil"/>
            </w:tcBorders>
            <w:tcMar>
              <w:top w:w="128" w:type="dxa"/>
              <w:left w:w="43" w:type="dxa"/>
              <w:bottom w:w="43" w:type="dxa"/>
              <w:right w:w="43" w:type="dxa"/>
            </w:tcMar>
          </w:tcPr>
          <w:p w14:paraId="17A90E6C" w14:textId="77777777" w:rsidR="00575AC3" w:rsidRPr="006D40F0" w:rsidRDefault="00575AC3" w:rsidP="006D40F0">
            <w:r w:rsidRPr="006D40F0">
              <w:lastRenderedPageBreak/>
              <w:t>+</w:t>
            </w:r>
          </w:p>
        </w:tc>
        <w:tc>
          <w:tcPr>
            <w:tcW w:w="5200" w:type="dxa"/>
            <w:tcBorders>
              <w:top w:val="nil"/>
              <w:left w:val="nil"/>
              <w:bottom w:val="single" w:sz="4" w:space="0" w:color="000000"/>
              <w:right w:val="nil"/>
            </w:tcBorders>
            <w:tcMar>
              <w:top w:w="128" w:type="dxa"/>
              <w:left w:w="43" w:type="dxa"/>
              <w:bottom w:w="43" w:type="dxa"/>
              <w:right w:w="43" w:type="dxa"/>
            </w:tcMar>
            <w:vAlign w:val="bottom"/>
          </w:tcPr>
          <w:p w14:paraId="4B9B0DD8" w14:textId="77777777" w:rsidR="00575AC3" w:rsidRPr="006D40F0" w:rsidRDefault="00575AC3" w:rsidP="006D40F0">
            <w:r w:rsidRPr="006D40F0">
              <w:t>Rente- og utbytteinntekter mv. i Statens pensjonsfond</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66EE253" w14:textId="77777777" w:rsidR="00575AC3" w:rsidRPr="006D40F0" w:rsidRDefault="00575AC3" w:rsidP="006D40F0">
            <w:r w:rsidRPr="006D40F0">
              <w:t xml:space="preserve">354 881 </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36ED4F3D" w14:textId="77777777" w:rsidR="00575AC3" w:rsidRPr="006D40F0" w:rsidRDefault="00575AC3" w:rsidP="006D40F0">
            <w:r w:rsidRPr="006D40F0">
              <w:t xml:space="preserve">360 600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9059CC5" w14:textId="77777777" w:rsidR="00575AC3" w:rsidRPr="006D40F0" w:rsidRDefault="00575AC3" w:rsidP="006D40F0">
            <w:r w:rsidRPr="006D40F0">
              <w:t xml:space="preserve">405 789 </w:t>
            </w:r>
          </w:p>
        </w:tc>
      </w:tr>
      <w:tr w:rsidR="00DD49A7" w:rsidRPr="006D40F0" w14:paraId="751F2889" w14:textId="77777777" w:rsidTr="00265CE1">
        <w:trPr>
          <w:trHeight w:val="640"/>
        </w:trPr>
        <w:tc>
          <w:tcPr>
            <w:tcW w:w="600" w:type="dxa"/>
            <w:tcBorders>
              <w:top w:val="single" w:sz="4" w:space="0" w:color="000000"/>
              <w:left w:val="nil"/>
              <w:bottom w:val="single" w:sz="4" w:space="0" w:color="000000"/>
              <w:right w:val="nil"/>
            </w:tcBorders>
            <w:tcMar>
              <w:top w:w="128" w:type="dxa"/>
              <w:left w:w="43" w:type="dxa"/>
              <w:bottom w:w="43" w:type="dxa"/>
              <w:right w:w="43" w:type="dxa"/>
            </w:tcMar>
          </w:tcPr>
          <w:p w14:paraId="1FB5D766" w14:textId="77777777" w:rsidR="00575AC3" w:rsidRPr="006D40F0" w:rsidRDefault="00575AC3" w:rsidP="006D40F0">
            <w:r w:rsidRPr="006D40F0">
              <w:t>=</w:t>
            </w:r>
          </w:p>
        </w:tc>
        <w:tc>
          <w:tcPr>
            <w:tcW w:w="5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1519EE" w14:textId="77777777" w:rsidR="00575AC3" w:rsidRPr="006D40F0" w:rsidRDefault="00575AC3" w:rsidP="006D40F0">
            <w:r w:rsidRPr="006D40F0">
              <w:t>Samlet overskudd i statsbudsjettet og Statens pensjonsfond</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9089F1" w14:textId="77777777" w:rsidR="00575AC3" w:rsidRPr="006D40F0" w:rsidRDefault="00575AC3" w:rsidP="006D40F0">
            <w:r w:rsidRPr="006D40F0">
              <w:t xml:space="preserve">1 042 482 </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8AB29" w14:textId="77777777" w:rsidR="00575AC3" w:rsidRPr="006D40F0" w:rsidRDefault="00575AC3" w:rsidP="006D40F0">
            <w:r w:rsidRPr="006D40F0">
              <w:t xml:space="preserve">856 281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AF7BF" w14:textId="77777777" w:rsidR="00575AC3" w:rsidRPr="006D40F0" w:rsidRDefault="00575AC3" w:rsidP="006D40F0">
            <w:r w:rsidRPr="006D40F0">
              <w:t xml:space="preserve">740 629 </w:t>
            </w:r>
          </w:p>
        </w:tc>
      </w:tr>
    </w:tbl>
    <w:p w14:paraId="3B40D99F" w14:textId="77777777" w:rsidR="00575AC3" w:rsidRPr="006D40F0" w:rsidRDefault="00575AC3" w:rsidP="006D40F0">
      <w:pPr>
        <w:pStyle w:val="Kilde"/>
      </w:pPr>
      <w:r w:rsidRPr="006D40F0">
        <w:t>Kilde: Finansdepartementet</w:t>
      </w:r>
    </w:p>
    <w:p w14:paraId="41E970D8" w14:textId="77777777" w:rsidR="00575AC3" w:rsidRDefault="00575AC3" w:rsidP="006D40F0">
      <w:r w:rsidRPr="006D40F0">
        <w:t>Samlet overskudd på statsbudsjettet og i Statens pensjonsfond består av statens netto kontantstrøm fra petroleumsvirksomheten fratrukket overføringen til statsbudsjettet for å dekke det oljekorrigerte budsjettunderskuddet, samt rente- og utbytteinntekter mv. i Statens pensjonsfond utland og Statens pensjonsfond Norge.</w:t>
      </w:r>
    </w:p>
    <w:p w14:paraId="49726FE8" w14:textId="463BFB9C" w:rsidR="00265CE1" w:rsidRPr="006D40F0" w:rsidRDefault="00265CE1" w:rsidP="00265CE1">
      <w:pPr>
        <w:pStyle w:val="tabell-tittel"/>
      </w:pPr>
      <w:r w:rsidRPr="006D40F0">
        <w:t>Statsbudsjettets lånetransaksjoner og finansieringsbehov</w:t>
      </w:r>
    </w:p>
    <w:p w14:paraId="339ADE45" w14:textId="77777777" w:rsidR="00575AC3" w:rsidRPr="006D40F0" w:rsidRDefault="00575AC3" w:rsidP="006D40F0">
      <w:pPr>
        <w:pStyle w:val="Tabellnavn"/>
      </w:pPr>
      <w:r w:rsidRPr="006D40F0">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40"/>
        <w:gridCol w:w="1160"/>
        <w:gridCol w:w="1160"/>
        <w:gridCol w:w="1160"/>
      </w:tblGrid>
      <w:tr w:rsidR="00DD49A7" w:rsidRPr="006D40F0" w14:paraId="758A04AD" w14:textId="77777777">
        <w:trPr>
          <w:trHeight w:val="360"/>
        </w:trPr>
        <w:tc>
          <w:tcPr>
            <w:tcW w:w="6040" w:type="dxa"/>
            <w:tcBorders>
              <w:top w:val="nil"/>
              <w:left w:val="nil"/>
              <w:bottom w:val="single" w:sz="4" w:space="0" w:color="000000"/>
              <w:right w:val="nil"/>
            </w:tcBorders>
            <w:tcMar>
              <w:top w:w="128" w:type="dxa"/>
              <w:left w:w="43" w:type="dxa"/>
              <w:bottom w:w="43" w:type="dxa"/>
              <w:right w:w="43" w:type="dxa"/>
            </w:tcMar>
            <w:vAlign w:val="bottom"/>
          </w:tcPr>
          <w:p w14:paraId="50DC81F9" w14:textId="77777777" w:rsidR="00575AC3" w:rsidRPr="006D40F0" w:rsidRDefault="00575AC3" w:rsidP="006D40F0"/>
        </w:tc>
        <w:tc>
          <w:tcPr>
            <w:tcW w:w="3480" w:type="dxa"/>
            <w:gridSpan w:val="3"/>
            <w:tcBorders>
              <w:top w:val="nil"/>
              <w:left w:val="nil"/>
              <w:bottom w:val="single" w:sz="4" w:space="0" w:color="000000"/>
              <w:right w:val="nil"/>
            </w:tcBorders>
            <w:tcMar>
              <w:top w:w="128" w:type="dxa"/>
              <w:left w:w="43" w:type="dxa"/>
              <w:bottom w:w="43" w:type="dxa"/>
              <w:right w:w="43" w:type="dxa"/>
            </w:tcMar>
            <w:vAlign w:val="bottom"/>
          </w:tcPr>
          <w:p w14:paraId="367304C0" w14:textId="77777777" w:rsidR="00575AC3" w:rsidRPr="006D40F0" w:rsidRDefault="00575AC3" w:rsidP="006D40F0">
            <w:r w:rsidRPr="006D40F0">
              <w:t>Mill. kroner</w:t>
            </w:r>
          </w:p>
        </w:tc>
      </w:tr>
      <w:tr w:rsidR="00DD49A7" w:rsidRPr="006D40F0" w14:paraId="7803499E" w14:textId="77777777">
        <w:trPr>
          <w:trHeight w:val="600"/>
        </w:trPr>
        <w:tc>
          <w:tcPr>
            <w:tcW w:w="6040" w:type="dxa"/>
            <w:tcBorders>
              <w:top w:val="nil"/>
              <w:left w:val="nil"/>
              <w:bottom w:val="single" w:sz="4" w:space="0" w:color="000000"/>
              <w:right w:val="nil"/>
            </w:tcBorders>
            <w:tcMar>
              <w:top w:w="128" w:type="dxa"/>
              <w:left w:w="43" w:type="dxa"/>
              <w:bottom w:w="43" w:type="dxa"/>
              <w:right w:w="43" w:type="dxa"/>
            </w:tcMar>
            <w:vAlign w:val="bottom"/>
          </w:tcPr>
          <w:p w14:paraId="4AE25343" w14:textId="77777777" w:rsidR="00575AC3" w:rsidRPr="006D40F0" w:rsidRDefault="00575AC3" w:rsidP="006D40F0"/>
        </w:tc>
        <w:tc>
          <w:tcPr>
            <w:tcW w:w="1160" w:type="dxa"/>
            <w:tcBorders>
              <w:top w:val="nil"/>
              <w:left w:val="nil"/>
              <w:bottom w:val="single" w:sz="4" w:space="0" w:color="000000"/>
              <w:right w:val="nil"/>
            </w:tcBorders>
            <w:tcMar>
              <w:top w:w="128" w:type="dxa"/>
              <w:left w:w="43" w:type="dxa"/>
              <w:bottom w:w="43" w:type="dxa"/>
              <w:right w:w="43" w:type="dxa"/>
            </w:tcMar>
            <w:vAlign w:val="bottom"/>
          </w:tcPr>
          <w:p w14:paraId="67A11943" w14:textId="77777777" w:rsidR="00575AC3" w:rsidRPr="006D40F0" w:rsidRDefault="00575AC3" w:rsidP="006D40F0">
            <w:r w:rsidRPr="006D40F0">
              <w:t>Regnskap 2023</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2A531D12" w14:textId="77777777" w:rsidR="00575AC3" w:rsidRPr="006D40F0" w:rsidRDefault="00575AC3" w:rsidP="006D40F0">
            <w:r w:rsidRPr="006D40F0">
              <w:t>Saldert budsjett 2024</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18F0D6F" w14:textId="77777777" w:rsidR="00575AC3" w:rsidRPr="006D40F0" w:rsidRDefault="00575AC3" w:rsidP="006D40F0">
            <w:r w:rsidRPr="006D40F0">
              <w:t>RNB 2024</w:t>
            </w:r>
          </w:p>
        </w:tc>
      </w:tr>
      <w:tr w:rsidR="00DD49A7" w:rsidRPr="006D40F0" w14:paraId="5844AE9F" w14:textId="77777777">
        <w:trPr>
          <w:trHeight w:val="380"/>
        </w:trPr>
        <w:tc>
          <w:tcPr>
            <w:tcW w:w="6040" w:type="dxa"/>
            <w:tcBorders>
              <w:top w:val="single" w:sz="4" w:space="0" w:color="000000"/>
              <w:left w:val="nil"/>
              <w:bottom w:val="nil"/>
              <w:right w:val="nil"/>
            </w:tcBorders>
            <w:tcMar>
              <w:top w:w="128" w:type="dxa"/>
              <w:left w:w="43" w:type="dxa"/>
              <w:bottom w:w="43" w:type="dxa"/>
              <w:right w:w="43" w:type="dxa"/>
            </w:tcMar>
          </w:tcPr>
          <w:p w14:paraId="312C1AA0" w14:textId="77777777" w:rsidR="00575AC3" w:rsidRPr="006D40F0" w:rsidRDefault="00575AC3" w:rsidP="006D40F0">
            <w:r w:rsidRPr="00575AC3">
              <w:rPr>
                <w:rStyle w:val="kursiv"/>
              </w:rPr>
              <w:t>Lånetransaksjoner utenom petroleumsvirksomhet</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4063915" w14:textId="77777777" w:rsidR="00575AC3" w:rsidRPr="006D40F0" w:rsidRDefault="00575AC3" w:rsidP="006D40F0"/>
        </w:tc>
        <w:tc>
          <w:tcPr>
            <w:tcW w:w="1160" w:type="dxa"/>
            <w:tcBorders>
              <w:top w:val="single" w:sz="4" w:space="0" w:color="000000"/>
              <w:left w:val="nil"/>
              <w:bottom w:val="nil"/>
              <w:right w:val="nil"/>
            </w:tcBorders>
            <w:tcMar>
              <w:top w:w="128" w:type="dxa"/>
              <w:left w:w="43" w:type="dxa"/>
              <w:bottom w:w="43" w:type="dxa"/>
              <w:right w:w="43" w:type="dxa"/>
            </w:tcMar>
            <w:vAlign w:val="bottom"/>
          </w:tcPr>
          <w:p w14:paraId="7DC87CA5" w14:textId="77777777" w:rsidR="00575AC3" w:rsidRPr="006D40F0" w:rsidRDefault="00575AC3" w:rsidP="006D40F0"/>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F62B19E" w14:textId="77777777" w:rsidR="00575AC3" w:rsidRPr="006D40F0" w:rsidRDefault="00575AC3" w:rsidP="006D40F0"/>
        </w:tc>
      </w:tr>
      <w:tr w:rsidR="00DD49A7" w:rsidRPr="006D40F0" w14:paraId="66E00A71" w14:textId="77777777">
        <w:trPr>
          <w:trHeight w:val="380"/>
        </w:trPr>
        <w:tc>
          <w:tcPr>
            <w:tcW w:w="6040" w:type="dxa"/>
            <w:tcBorders>
              <w:top w:val="nil"/>
              <w:left w:val="nil"/>
              <w:bottom w:val="nil"/>
              <w:right w:val="nil"/>
            </w:tcBorders>
            <w:tcMar>
              <w:top w:w="128" w:type="dxa"/>
              <w:left w:w="43" w:type="dxa"/>
              <w:bottom w:w="43" w:type="dxa"/>
              <w:right w:w="43" w:type="dxa"/>
            </w:tcMar>
          </w:tcPr>
          <w:p w14:paraId="5DEBFAC1" w14:textId="77777777" w:rsidR="00575AC3" w:rsidRPr="006D40F0" w:rsidRDefault="00575AC3" w:rsidP="006D40F0">
            <w:r w:rsidRPr="006D40F0">
              <w:tab/>
              <w:t>Utlån, aksjetegning mv.</w:t>
            </w:r>
          </w:p>
        </w:tc>
        <w:tc>
          <w:tcPr>
            <w:tcW w:w="1160" w:type="dxa"/>
            <w:tcBorders>
              <w:top w:val="nil"/>
              <w:left w:val="nil"/>
              <w:bottom w:val="nil"/>
              <w:right w:val="nil"/>
            </w:tcBorders>
            <w:tcMar>
              <w:top w:w="128" w:type="dxa"/>
              <w:left w:w="43" w:type="dxa"/>
              <w:bottom w:w="43" w:type="dxa"/>
              <w:right w:w="43" w:type="dxa"/>
            </w:tcMar>
            <w:vAlign w:val="bottom"/>
          </w:tcPr>
          <w:p w14:paraId="40FF94A8" w14:textId="77777777" w:rsidR="00575AC3" w:rsidRPr="006D40F0" w:rsidRDefault="00575AC3" w:rsidP="006D40F0">
            <w:r w:rsidRPr="006D40F0">
              <w:t xml:space="preserve">169 541 </w:t>
            </w:r>
          </w:p>
        </w:tc>
        <w:tc>
          <w:tcPr>
            <w:tcW w:w="1160" w:type="dxa"/>
            <w:tcBorders>
              <w:top w:val="nil"/>
              <w:left w:val="nil"/>
              <w:bottom w:val="nil"/>
              <w:right w:val="nil"/>
            </w:tcBorders>
            <w:tcMar>
              <w:top w:w="128" w:type="dxa"/>
              <w:left w:w="43" w:type="dxa"/>
              <w:bottom w:w="43" w:type="dxa"/>
              <w:right w:w="43" w:type="dxa"/>
            </w:tcMar>
            <w:vAlign w:val="bottom"/>
          </w:tcPr>
          <w:p w14:paraId="27F6C301" w14:textId="77777777" w:rsidR="00575AC3" w:rsidRPr="006D40F0" w:rsidRDefault="00575AC3" w:rsidP="006D40F0">
            <w:r w:rsidRPr="006D40F0">
              <w:t xml:space="preserve">157 977 </w:t>
            </w:r>
          </w:p>
        </w:tc>
        <w:tc>
          <w:tcPr>
            <w:tcW w:w="1160" w:type="dxa"/>
            <w:tcBorders>
              <w:top w:val="nil"/>
              <w:left w:val="nil"/>
              <w:bottom w:val="nil"/>
              <w:right w:val="nil"/>
            </w:tcBorders>
            <w:tcMar>
              <w:top w:w="128" w:type="dxa"/>
              <w:left w:w="43" w:type="dxa"/>
              <w:bottom w:w="43" w:type="dxa"/>
              <w:right w:w="43" w:type="dxa"/>
            </w:tcMar>
            <w:vAlign w:val="bottom"/>
          </w:tcPr>
          <w:p w14:paraId="40A3CC43" w14:textId="77777777" w:rsidR="00575AC3" w:rsidRPr="006D40F0" w:rsidRDefault="00575AC3" w:rsidP="006D40F0">
            <w:r w:rsidRPr="006D40F0">
              <w:t xml:space="preserve">176 520 </w:t>
            </w:r>
          </w:p>
        </w:tc>
      </w:tr>
      <w:tr w:rsidR="00DD49A7" w:rsidRPr="006D40F0" w14:paraId="26DBB5C6" w14:textId="77777777">
        <w:trPr>
          <w:trHeight w:val="380"/>
        </w:trPr>
        <w:tc>
          <w:tcPr>
            <w:tcW w:w="6040" w:type="dxa"/>
            <w:tcBorders>
              <w:top w:val="nil"/>
              <w:left w:val="nil"/>
              <w:bottom w:val="nil"/>
              <w:right w:val="nil"/>
            </w:tcBorders>
            <w:tcMar>
              <w:top w:w="128" w:type="dxa"/>
              <w:left w:w="43" w:type="dxa"/>
              <w:bottom w:w="43" w:type="dxa"/>
              <w:right w:w="43" w:type="dxa"/>
            </w:tcMar>
          </w:tcPr>
          <w:p w14:paraId="3BFD84AA" w14:textId="77777777" w:rsidR="00575AC3" w:rsidRPr="006D40F0" w:rsidRDefault="00575AC3" w:rsidP="006D40F0">
            <w:r w:rsidRPr="006D40F0">
              <w:t>-</w:t>
            </w:r>
            <w:r w:rsidRPr="006D40F0">
              <w:tab/>
              <w:t>Tilbakebetalinger</w:t>
            </w:r>
          </w:p>
        </w:tc>
        <w:tc>
          <w:tcPr>
            <w:tcW w:w="1160" w:type="dxa"/>
            <w:tcBorders>
              <w:top w:val="nil"/>
              <w:left w:val="nil"/>
              <w:bottom w:val="nil"/>
              <w:right w:val="nil"/>
            </w:tcBorders>
            <w:tcMar>
              <w:top w:w="128" w:type="dxa"/>
              <w:left w:w="43" w:type="dxa"/>
              <w:bottom w:w="43" w:type="dxa"/>
              <w:right w:w="43" w:type="dxa"/>
            </w:tcMar>
            <w:vAlign w:val="bottom"/>
          </w:tcPr>
          <w:p w14:paraId="07D75204" w14:textId="77777777" w:rsidR="00575AC3" w:rsidRPr="006D40F0" w:rsidRDefault="00575AC3" w:rsidP="006D40F0">
            <w:r w:rsidRPr="006D40F0">
              <w:t xml:space="preserve">251 386 </w:t>
            </w:r>
          </w:p>
        </w:tc>
        <w:tc>
          <w:tcPr>
            <w:tcW w:w="1160" w:type="dxa"/>
            <w:tcBorders>
              <w:top w:val="nil"/>
              <w:left w:val="nil"/>
              <w:bottom w:val="nil"/>
              <w:right w:val="nil"/>
            </w:tcBorders>
            <w:tcMar>
              <w:top w:w="128" w:type="dxa"/>
              <w:left w:w="43" w:type="dxa"/>
              <w:bottom w:w="43" w:type="dxa"/>
              <w:right w:w="43" w:type="dxa"/>
            </w:tcMar>
            <w:vAlign w:val="bottom"/>
          </w:tcPr>
          <w:p w14:paraId="6A721846" w14:textId="77777777" w:rsidR="00575AC3" w:rsidRPr="006D40F0" w:rsidRDefault="00575AC3" w:rsidP="006D40F0">
            <w:r w:rsidRPr="006D40F0">
              <w:t xml:space="preserve">124 103 </w:t>
            </w:r>
          </w:p>
        </w:tc>
        <w:tc>
          <w:tcPr>
            <w:tcW w:w="1160" w:type="dxa"/>
            <w:tcBorders>
              <w:top w:val="nil"/>
              <w:left w:val="nil"/>
              <w:bottom w:val="nil"/>
              <w:right w:val="nil"/>
            </w:tcBorders>
            <w:tcMar>
              <w:top w:w="128" w:type="dxa"/>
              <w:left w:w="43" w:type="dxa"/>
              <w:bottom w:w="43" w:type="dxa"/>
              <w:right w:w="43" w:type="dxa"/>
            </w:tcMar>
            <w:vAlign w:val="bottom"/>
          </w:tcPr>
          <w:p w14:paraId="361A37CE" w14:textId="77777777" w:rsidR="00575AC3" w:rsidRPr="006D40F0" w:rsidRDefault="00575AC3" w:rsidP="006D40F0">
            <w:r w:rsidRPr="006D40F0">
              <w:t xml:space="preserve">122 725 </w:t>
            </w:r>
          </w:p>
        </w:tc>
      </w:tr>
      <w:tr w:rsidR="00DD49A7" w:rsidRPr="006D40F0" w14:paraId="2679A98C" w14:textId="77777777">
        <w:trPr>
          <w:trHeight w:val="380"/>
        </w:trPr>
        <w:tc>
          <w:tcPr>
            <w:tcW w:w="6040" w:type="dxa"/>
            <w:tcBorders>
              <w:top w:val="nil"/>
              <w:left w:val="nil"/>
              <w:bottom w:val="single" w:sz="4" w:space="0" w:color="000000"/>
              <w:right w:val="nil"/>
            </w:tcBorders>
            <w:tcMar>
              <w:top w:w="128" w:type="dxa"/>
              <w:left w:w="43" w:type="dxa"/>
              <w:bottom w:w="43" w:type="dxa"/>
              <w:right w:w="43" w:type="dxa"/>
            </w:tcMar>
          </w:tcPr>
          <w:p w14:paraId="55D941E6" w14:textId="77777777" w:rsidR="00575AC3" w:rsidRPr="006D40F0" w:rsidRDefault="00575AC3" w:rsidP="006D40F0">
            <w:r w:rsidRPr="006D40F0">
              <w:t>-</w:t>
            </w:r>
            <w:r w:rsidRPr="006D40F0">
              <w:tab/>
              <w:t>Statsbudsjettets overskudd</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AC1EDA6" w14:textId="77777777" w:rsidR="00575AC3" w:rsidRPr="006D40F0" w:rsidRDefault="00575AC3" w:rsidP="006D40F0">
            <w:r w:rsidRPr="006D40F0">
              <w:t xml:space="preserve">-4 246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CC6ABA8" w14:textId="77777777" w:rsidR="00575AC3" w:rsidRPr="006D40F0" w:rsidRDefault="00575AC3" w:rsidP="006D40F0">
            <w:r w:rsidRPr="006D40F0">
              <w:t xml:space="preserve">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CB42844" w14:textId="77777777" w:rsidR="00575AC3" w:rsidRPr="006D40F0" w:rsidRDefault="00575AC3" w:rsidP="006D40F0">
            <w:r w:rsidRPr="006D40F0">
              <w:t xml:space="preserve">0 </w:t>
            </w:r>
          </w:p>
        </w:tc>
      </w:tr>
      <w:tr w:rsidR="00DD49A7" w:rsidRPr="006D40F0" w14:paraId="08E49EB5" w14:textId="77777777">
        <w:trPr>
          <w:trHeight w:val="380"/>
        </w:trPr>
        <w:tc>
          <w:tcPr>
            <w:tcW w:w="6040" w:type="dxa"/>
            <w:tcBorders>
              <w:top w:val="single" w:sz="4" w:space="0" w:color="000000"/>
              <w:left w:val="nil"/>
              <w:bottom w:val="nil"/>
              <w:right w:val="nil"/>
            </w:tcBorders>
            <w:tcMar>
              <w:top w:w="128" w:type="dxa"/>
              <w:left w:w="43" w:type="dxa"/>
              <w:bottom w:w="43" w:type="dxa"/>
              <w:right w:w="43" w:type="dxa"/>
            </w:tcMar>
          </w:tcPr>
          <w:p w14:paraId="246A289E" w14:textId="77777777" w:rsidR="00575AC3" w:rsidRPr="006D40F0" w:rsidRDefault="00575AC3" w:rsidP="006D40F0">
            <w:r w:rsidRPr="006D40F0">
              <w:t>=</w:t>
            </w:r>
            <w:r w:rsidRPr="006D40F0">
              <w:tab/>
              <w:t>Netto finansieringsbehov</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17A4F730" w14:textId="77777777" w:rsidR="00575AC3" w:rsidRPr="006D40F0" w:rsidRDefault="00575AC3" w:rsidP="006D40F0">
            <w:r w:rsidRPr="006D40F0">
              <w:t xml:space="preserve">-77 599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EABB259" w14:textId="77777777" w:rsidR="00575AC3" w:rsidRPr="006D40F0" w:rsidRDefault="00575AC3" w:rsidP="006D40F0">
            <w:r w:rsidRPr="006D40F0">
              <w:t xml:space="preserve">33 874 </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0BE5C5DE" w14:textId="77777777" w:rsidR="00575AC3" w:rsidRPr="006D40F0" w:rsidRDefault="00575AC3" w:rsidP="006D40F0">
            <w:r w:rsidRPr="006D40F0">
              <w:t xml:space="preserve">53 795 </w:t>
            </w:r>
          </w:p>
        </w:tc>
      </w:tr>
      <w:tr w:rsidR="00DD49A7" w:rsidRPr="006D40F0" w14:paraId="346DACB0" w14:textId="77777777">
        <w:trPr>
          <w:trHeight w:val="380"/>
        </w:trPr>
        <w:tc>
          <w:tcPr>
            <w:tcW w:w="6040" w:type="dxa"/>
            <w:tcBorders>
              <w:top w:val="nil"/>
              <w:left w:val="nil"/>
              <w:bottom w:val="single" w:sz="4" w:space="0" w:color="000000"/>
              <w:right w:val="nil"/>
            </w:tcBorders>
            <w:tcMar>
              <w:top w:w="128" w:type="dxa"/>
              <w:left w:w="43" w:type="dxa"/>
              <w:bottom w:w="43" w:type="dxa"/>
              <w:right w:w="43" w:type="dxa"/>
            </w:tcMar>
          </w:tcPr>
          <w:p w14:paraId="45A93D0D" w14:textId="77777777" w:rsidR="00575AC3" w:rsidRPr="006D40F0" w:rsidRDefault="00575AC3" w:rsidP="006D40F0">
            <w:r w:rsidRPr="006D40F0">
              <w:t>+</w:t>
            </w:r>
            <w:r w:rsidRPr="006D40F0">
              <w:tab/>
              <w:t>Gjeldsavdrag</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0897F783" w14:textId="77777777" w:rsidR="00575AC3" w:rsidRPr="006D40F0" w:rsidRDefault="00575AC3" w:rsidP="006D40F0">
            <w:r w:rsidRPr="006D40F0">
              <w:t xml:space="preserve">99 632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48FF239F" w14:textId="77777777" w:rsidR="00575AC3" w:rsidRPr="006D40F0" w:rsidRDefault="00575AC3" w:rsidP="006D40F0">
            <w:r w:rsidRPr="006D40F0">
              <w:t xml:space="preserve">68 000 </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F066C17" w14:textId="77777777" w:rsidR="00575AC3" w:rsidRPr="006D40F0" w:rsidRDefault="00575AC3" w:rsidP="006D40F0">
            <w:r w:rsidRPr="006D40F0">
              <w:t xml:space="preserve">62 825 </w:t>
            </w:r>
          </w:p>
        </w:tc>
      </w:tr>
      <w:tr w:rsidR="00DD49A7" w:rsidRPr="006D40F0" w14:paraId="3F1B8D40" w14:textId="77777777">
        <w:trPr>
          <w:trHeight w:val="380"/>
        </w:trPr>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6E869900" w14:textId="77777777" w:rsidR="00575AC3" w:rsidRPr="006D40F0" w:rsidRDefault="00575AC3" w:rsidP="006D40F0">
            <w:r w:rsidRPr="006D40F0">
              <w:t>=</w:t>
            </w:r>
            <w:r w:rsidRPr="006D40F0">
              <w:tab/>
              <w:t>Statsbudsjettets brutto finansieringsbehov</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A896A0" w14:textId="77777777" w:rsidR="00575AC3" w:rsidRPr="006D40F0" w:rsidRDefault="00575AC3" w:rsidP="006D40F0">
            <w:r w:rsidRPr="006D40F0">
              <w:t xml:space="preserve">22 033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A75B42" w14:textId="77777777" w:rsidR="00575AC3" w:rsidRPr="006D40F0" w:rsidRDefault="00575AC3" w:rsidP="006D40F0">
            <w:r w:rsidRPr="006D40F0">
              <w:t xml:space="preserve">101 874 </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64B25D" w14:textId="77777777" w:rsidR="00575AC3" w:rsidRPr="006D40F0" w:rsidRDefault="00575AC3" w:rsidP="006D40F0">
            <w:r w:rsidRPr="006D40F0">
              <w:t xml:space="preserve">116 620 </w:t>
            </w:r>
          </w:p>
        </w:tc>
      </w:tr>
      <w:tr w:rsidR="00DD49A7" w:rsidRPr="006D40F0" w14:paraId="68ADB980" w14:textId="77777777">
        <w:trPr>
          <w:trHeight w:val="380"/>
        </w:trPr>
        <w:tc>
          <w:tcPr>
            <w:tcW w:w="6040" w:type="dxa"/>
            <w:tcBorders>
              <w:top w:val="single" w:sz="4" w:space="0" w:color="000000"/>
              <w:left w:val="nil"/>
              <w:bottom w:val="nil"/>
              <w:right w:val="nil"/>
            </w:tcBorders>
            <w:tcMar>
              <w:top w:w="128" w:type="dxa"/>
              <w:left w:w="43" w:type="dxa"/>
              <w:bottom w:w="43" w:type="dxa"/>
              <w:right w:w="43" w:type="dxa"/>
            </w:tcMar>
          </w:tcPr>
          <w:p w14:paraId="1F06A6A5" w14:textId="77777777" w:rsidR="00575AC3" w:rsidRPr="006D40F0" w:rsidRDefault="00575AC3" w:rsidP="006D40F0">
            <w:r w:rsidRPr="00575AC3">
              <w:rPr>
                <w:rStyle w:val="kursiv"/>
              </w:rPr>
              <w:t>Lånetransaksjoner knyttet til petroleumsvirksomhet</w:t>
            </w:r>
          </w:p>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D33CBFA" w14:textId="77777777" w:rsidR="00575AC3" w:rsidRPr="006D40F0" w:rsidRDefault="00575AC3" w:rsidP="006D40F0"/>
        </w:tc>
        <w:tc>
          <w:tcPr>
            <w:tcW w:w="1160" w:type="dxa"/>
            <w:tcBorders>
              <w:top w:val="single" w:sz="4" w:space="0" w:color="000000"/>
              <w:left w:val="nil"/>
              <w:bottom w:val="nil"/>
              <w:right w:val="nil"/>
            </w:tcBorders>
            <w:tcMar>
              <w:top w:w="128" w:type="dxa"/>
              <w:left w:w="43" w:type="dxa"/>
              <w:bottom w:w="43" w:type="dxa"/>
              <w:right w:w="43" w:type="dxa"/>
            </w:tcMar>
            <w:vAlign w:val="bottom"/>
          </w:tcPr>
          <w:p w14:paraId="27250CF7" w14:textId="77777777" w:rsidR="00575AC3" w:rsidRPr="006D40F0" w:rsidRDefault="00575AC3" w:rsidP="006D40F0"/>
        </w:tc>
        <w:tc>
          <w:tcPr>
            <w:tcW w:w="1160" w:type="dxa"/>
            <w:tcBorders>
              <w:top w:val="single" w:sz="4" w:space="0" w:color="000000"/>
              <w:left w:val="nil"/>
              <w:bottom w:val="nil"/>
              <w:right w:val="nil"/>
            </w:tcBorders>
            <w:tcMar>
              <w:top w:w="128" w:type="dxa"/>
              <w:left w:w="43" w:type="dxa"/>
              <w:bottom w:w="43" w:type="dxa"/>
              <w:right w:w="43" w:type="dxa"/>
            </w:tcMar>
            <w:vAlign w:val="bottom"/>
          </w:tcPr>
          <w:p w14:paraId="536F1CB9" w14:textId="77777777" w:rsidR="00575AC3" w:rsidRPr="006D40F0" w:rsidRDefault="00575AC3" w:rsidP="006D40F0"/>
        </w:tc>
      </w:tr>
      <w:tr w:rsidR="00DD49A7" w:rsidRPr="006D40F0" w14:paraId="4561B5EE" w14:textId="77777777">
        <w:trPr>
          <w:trHeight w:val="380"/>
        </w:trPr>
        <w:tc>
          <w:tcPr>
            <w:tcW w:w="6040" w:type="dxa"/>
            <w:tcBorders>
              <w:top w:val="nil"/>
              <w:left w:val="nil"/>
              <w:bottom w:val="nil"/>
              <w:right w:val="nil"/>
            </w:tcBorders>
            <w:tcMar>
              <w:top w:w="128" w:type="dxa"/>
              <w:left w:w="43" w:type="dxa"/>
              <w:bottom w:w="43" w:type="dxa"/>
              <w:right w:w="43" w:type="dxa"/>
            </w:tcMar>
          </w:tcPr>
          <w:p w14:paraId="6BB24A99" w14:textId="77777777" w:rsidR="00575AC3" w:rsidRPr="006D40F0" w:rsidRDefault="00575AC3" w:rsidP="006D40F0">
            <w:r w:rsidRPr="006D40F0">
              <w:tab/>
              <w:t xml:space="preserve">Salg av aksjer i </w:t>
            </w:r>
            <w:proofErr w:type="spellStart"/>
            <w:r w:rsidRPr="006D40F0">
              <w:t>Equinor</w:t>
            </w:r>
            <w:proofErr w:type="spellEnd"/>
            <w:r w:rsidRPr="006D40F0">
              <w:t xml:space="preserve"> ASA mv.</w:t>
            </w:r>
          </w:p>
        </w:tc>
        <w:tc>
          <w:tcPr>
            <w:tcW w:w="1160" w:type="dxa"/>
            <w:tcBorders>
              <w:top w:val="nil"/>
              <w:left w:val="nil"/>
              <w:bottom w:val="nil"/>
              <w:right w:val="nil"/>
            </w:tcBorders>
            <w:tcMar>
              <w:top w:w="128" w:type="dxa"/>
              <w:left w:w="43" w:type="dxa"/>
              <w:bottom w:w="43" w:type="dxa"/>
              <w:right w:w="43" w:type="dxa"/>
            </w:tcMar>
            <w:vAlign w:val="bottom"/>
          </w:tcPr>
          <w:p w14:paraId="31E4CD63" w14:textId="77777777" w:rsidR="00575AC3" w:rsidRPr="006D40F0" w:rsidRDefault="00575AC3" w:rsidP="006D40F0">
            <w:r w:rsidRPr="006D40F0">
              <w:t>39 071</w:t>
            </w:r>
          </w:p>
        </w:tc>
        <w:tc>
          <w:tcPr>
            <w:tcW w:w="1160" w:type="dxa"/>
            <w:tcBorders>
              <w:top w:val="nil"/>
              <w:left w:val="nil"/>
              <w:bottom w:val="nil"/>
              <w:right w:val="nil"/>
            </w:tcBorders>
            <w:tcMar>
              <w:top w:w="128" w:type="dxa"/>
              <w:left w:w="43" w:type="dxa"/>
              <w:bottom w:w="43" w:type="dxa"/>
              <w:right w:w="43" w:type="dxa"/>
            </w:tcMar>
            <w:vAlign w:val="bottom"/>
          </w:tcPr>
          <w:p w14:paraId="31A827E8" w14:textId="77777777" w:rsidR="00575AC3" w:rsidRPr="006D40F0" w:rsidRDefault="00575AC3" w:rsidP="006D40F0">
            <w:r w:rsidRPr="006D40F0">
              <w:t>0</w:t>
            </w:r>
          </w:p>
        </w:tc>
        <w:tc>
          <w:tcPr>
            <w:tcW w:w="1160" w:type="dxa"/>
            <w:tcBorders>
              <w:top w:val="nil"/>
              <w:left w:val="nil"/>
              <w:bottom w:val="nil"/>
              <w:right w:val="nil"/>
            </w:tcBorders>
            <w:tcMar>
              <w:top w:w="128" w:type="dxa"/>
              <w:left w:w="43" w:type="dxa"/>
              <w:bottom w:w="43" w:type="dxa"/>
              <w:right w:w="43" w:type="dxa"/>
            </w:tcMar>
            <w:vAlign w:val="bottom"/>
          </w:tcPr>
          <w:p w14:paraId="1B0FBA10" w14:textId="77777777" w:rsidR="00575AC3" w:rsidRPr="006D40F0" w:rsidRDefault="00575AC3" w:rsidP="006D40F0">
            <w:r w:rsidRPr="006D40F0">
              <w:t>0</w:t>
            </w:r>
          </w:p>
        </w:tc>
      </w:tr>
      <w:tr w:rsidR="00DD49A7" w:rsidRPr="006D40F0" w14:paraId="3196FD4E" w14:textId="77777777">
        <w:trPr>
          <w:trHeight w:val="380"/>
        </w:trPr>
        <w:tc>
          <w:tcPr>
            <w:tcW w:w="6040" w:type="dxa"/>
            <w:tcBorders>
              <w:top w:val="nil"/>
              <w:left w:val="nil"/>
              <w:bottom w:val="single" w:sz="4" w:space="0" w:color="000000"/>
              <w:right w:val="nil"/>
            </w:tcBorders>
            <w:tcMar>
              <w:top w:w="128" w:type="dxa"/>
              <w:left w:w="43" w:type="dxa"/>
              <w:bottom w:w="43" w:type="dxa"/>
              <w:right w:w="43" w:type="dxa"/>
            </w:tcMar>
          </w:tcPr>
          <w:p w14:paraId="508D3531" w14:textId="77777777" w:rsidR="00575AC3" w:rsidRPr="006D40F0" w:rsidRDefault="00575AC3" w:rsidP="006D40F0">
            <w:r w:rsidRPr="006D40F0">
              <w:t>-</w:t>
            </w:r>
            <w:r w:rsidRPr="006D40F0">
              <w:tab/>
              <w:t>Utlån, aksjetegning mv.</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543E6873" w14:textId="77777777" w:rsidR="00575AC3" w:rsidRPr="006D40F0" w:rsidRDefault="00575AC3" w:rsidP="006D40F0">
            <w:r w:rsidRPr="006D40F0">
              <w:t>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939E0D6" w14:textId="77777777" w:rsidR="00575AC3" w:rsidRPr="006D40F0" w:rsidRDefault="00575AC3" w:rsidP="006D40F0">
            <w:r w:rsidRPr="006D40F0">
              <w:t>0</w:t>
            </w:r>
          </w:p>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C736283" w14:textId="77777777" w:rsidR="00575AC3" w:rsidRPr="006D40F0" w:rsidRDefault="00575AC3" w:rsidP="006D40F0">
            <w:r w:rsidRPr="006D40F0">
              <w:t>0</w:t>
            </w:r>
          </w:p>
        </w:tc>
      </w:tr>
      <w:tr w:rsidR="00DD49A7" w:rsidRPr="006D40F0" w14:paraId="281B6BF9" w14:textId="77777777">
        <w:trPr>
          <w:trHeight w:val="640"/>
        </w:trPr>
        <w:tc>
          <w:tcPr>
            <w:tcW w:w="6040" w:type="dxa"/>
            <w:tcBorders>
              <w:top w:val="single" w:sz="4" w:space="0" w:color="000000"/>
              <w:left w:val="nil"/>
              <w:bottom w:val="single" w:sz="4" w:space="0" w:color="000000"/>
              <w:right w:val="nil"/>
            </w:tcBorders>
            <w:tcMar>
              <w:top w:w="128" w:type="dxa"/>
              <w:left w:w="43" w:type="dxa"/>
              <w:bottom w:w="43" w:type="dxa"/>
              <w:right w:w="43" w:type="dxa"/>
            </w:tcMar>
          </w:tcPr>
          <w:p w14:paraId="08805848" w14:textId="77777777" w:rsidR="00575AC3" w:rsidRPr="006D40F0" w:rsidRDefault="00575AC3" w:rsidP="006D40F0">
            <w:r w:rsidRPr="006D40F0">
              <w:t>=</w:t>
            </w:r>
            <w:r w:rsidRPr="006D40F0">
              <w:tab/>
              <w:t>Netto finanstransaksjoner knyttet til petroleumsvirksomheten, overføres til Statens pensjonsfond utland</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76573" w14:textId="77777777" w:rsidR="00575AC3" w:rsidRPr="006D40F0" w:rsidRDefault="00575AC3" w:rsidP="006D40F0">
            <w:r w:rsidRPr="006D40F0">
              <w:t>39 071</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8BB576" w14:textId="77777777" w:rsidR="00575AC3" w:rsidRPr="006D40F0" w:rsidRDefault="00575AC3" w:rsidP="006D40F0">
            <w:r w:rsidRPr="006D40F0">
              <w:t>0</w:t>
            </w:r>
          </w:p>
        </w:tc>
        <w:tc>
          <w:tcPr>
            <w:tcW w:w="1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BD2AB0" w14:textId="77777777" w:rsidR="00575AC3" w:rsidRPr="006D40F0" w:rsidRDefault="00575AC3" w:rsidP="006D40F0">
            <w:r w:rsidRPr="006D40F0">
              <w:t>0</w:t>
            </w:r>
          </w:p>
        </w:tc>
      </w:tr>
    </w:tbl>
    <w:p w14:paraId="79ACD87C" w14:textId="77777777" w:rsidR="00575AC3" w:rsidRPr="006D40F0" w:rsidRDefault="00575AC3" w:rsidP="006D40F0">
      <w:pPr>
        <w:pStyle w:val="Kilde"/>
      </w:pPr>
      <w:r w:rsidRPr="006D40F0">
        <w:t>Kilde: Finansdepartementet</w:t>
      </w:r>
    </w:p>
    <w:p w14:paraId="76FA0022" w14:textId="77777777" w:rsidR="00575AC3" w:rsidRPr="006D40F0" w:rsidRDefault="00575AC3" w:rsidP="006D40F0">
      <w:r w:rsidRPr="006D40F0">
        <w:lastRenderedPageBreak/>
        <w:t xml:space="preserve">Netto kontantstrøm fra petroleumsvirksomheten i 2024 forventes å bli 672,7 mrd. kroner, som er 159,5 mrd. kroner lavere enn i Saldert budsjett 2024. Av dette skyldes 75,8 mrd. kroner lavere anslag for skatte- og avgiftsinntekter fra petroleumsvirksomhet, og 100,6 mrd. kroner lavere netto inntekter fra SDØE. I motsatt retning trekker økt utbytte fra </w:t>
      </w:r>
      <w:proofErr w:type="spellStart"/>
      <w:r w:rsidRPr="006D40F0">
        <w:t>Equinor</w:t>
      </w:r>
      <w:proofErr w:type="spellEnd"/>
      <w:r w:rsidRPr="006D40F0">
        <w:t xml:space="preserve"> ASA med 25,1 mrd. kroner. Fratrukket overføringen til statsbudsjettet for å dekke det oljekorrigerte budsjettunderskuddet, innebærer dette at nettoavsetningen til Statens pensjonsfond utland anslås til 334,8 mrd. kroner. Samlede rente- og utbytteinntekter mv. i Statens pensjonsfond anslås å utgjøre 405,8 mrd. kroner i 2024, hvorav 387,8 mrd. kroner fra utenlandsdelen av fondet. Det samlede overskuddet på statsbudsjettet og i Statens pensjonsfond i 2024 anslås dermed til 740,6 mrd. kroner.</w:t>
      </w:r>
    </w:p>
    <w:p w14:paraId="6FE4188D" w14:textId="77777777" w:rsidR="00575AC3" w:rsidRPr="006D40F0" w:rsidRDefault="00575AC3" w:rsidP="006D40F0">
      <w:r w:rsidRPr="006D40F0">
        <w:t>Det vil i forbindelse med nysalderingen bli fremmet et oppdatert bevilgningsforslag for overføringen av statens netto kontantstrøm fra petroleumsvirksomhet til Statens pensjonsfond utland. Et oppdatert anslag på tilbakeføringen til statsbudsjettet fra Statens pensjonsfond utland vil også bli foreslått i forbindelse med nysalderingen.</w:t>
      </w:r>
    </w:p>
    <w:p w14:paraId="1C8ED156" w14:textId="77777777" w:rsidR="00575AC3" w:rsidRPr="006D40F0" w:rsidRDefault="00575AC3" w:rsidP="006D40F0">
      <w:r w:rsidRPr="006D40F0">
        <w:t>Staten lånefinansierer ikke utgifter til drift, investeringer eller overføringer til private, kommuner og fylkeskommuner. Det oljekorrigerte underskuddet, hvor disse utgiftene inngår, finansieres av en overføring fra Statens pensjonsfond utland. Statsbudsjettet gjøres dermed opp i balanse før lånetransaksjoner. Statsbudsjettets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eller det strukturelle oljekorrigerte budsjettunderskuddet.</w:t>
      </w:r>
    </w:p>
    <w:p w14:paraId="2E018A50" w14:textId="77777777" w:rsidR="00575AC3" w:rsidRPr="006D40F0" w:rsidRDefault="00575AC3" w:rsidP="006D40F0">
      <w:r w:rsidRPr="006D40F0">
        <w:t>Statsbudsjettets brutto finansieringsbehov for 2024 anslås nå til 116,6 mrd. kroner, jf. tabell 1.3. Endringene fra saldert budsjett gjelder i hovedsak kapitalinnskudd på 15 mrd. kroner til Statens fond i Tromsø. I tillegg er det anslått noe økte utlån under boliglånsordningen i Statens pensjonskasse, Husbanken og Lånekassen. Dette motsvares av økte tilbakebetalinger og reduserte gjeldsavdrag på innenlandsk statsgjeld.</w:t>
      </w:r>
    </w:p>
    <w:p w14:paraId="0C23F023" w14:textId="77777777" w:rsidR="00575AC3" w:rsidRPr="006D40F0" w:rsidRDefault="00575AC3" w:rsidP="006D40F0">
      <w:r w:rsidRPr="006D40F0">
        <w:t>Statens faktiske lånebehov og forslag om lånefullmakter kan avvike fra finansieringsbehovet i tabell 1.3.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renter og overføringer fra Norges Bank.</w:t>
      </w:r>
    </w:p>
    <w:p w14:paraId="59C036B8" w14:textId="77777777" w:rsidR="00575AC3" w:rsidRDefault="00575AC3" w:rsidP="006D40F0">
      <w:pPr>
        <w:pStyle w:val="Overskrift2"/>
      </w:pPr>
      <w:r w:rsidRPr="006D40F0">
        <w:t>Anmodningsvedtak</w:t>
      </w:r>
    </w:p>
    <w:p w14:paraId="41EB899B" w14:textId="040AD9E7" w:rsidR="00265CE1" w:rsidRPr="00265CE1" w:rsidRDefault="00265CE1" w:rsidP="00265CE1">
      <w:pPr>
        <w:pStyle w:val="tabell-tittel"/>
      </w:pPr>
      <w:r w:rsidRPr="006D40F0">
        <w:t>Oversikt over omtale av anmodningsvedtak</w:t>
      </w:r>
    </w:p>
    <w:p w14:paraId="3E00200A" w14:textId="77777777" w:rsidR="00575AC3" w:rsidRPr="006D40F0" w:rsidRDefault="00575AC3" w:rsidP="006D40F0">
      <w:pPr>
        <w:pStyle w:val="Tabellnavn"/>
      </w:pPr>
      <w:r w:rsidRPr="006D40F0">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220"/>
        <w:gridCol w:w="1040"/>
        <w:gridCol w:w="6180"/>
        <w:gridCol w:w="1100"/>
      </w:tblGrid>
      <w:tr w:rsidR="00DD49A7" w:rsidRPr="006D40F0" w14:paraId="623091D8" w14:textId="77777777" w:rsidTr="00265CE1">
        <w:trPr>
          <w:trHeight w:val="360"/>
        </w:trPr>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B872CF" w14:textId="77777777" w:rsidR="00575AC3" w:rsidRPr="006D40F0" w:rsidRDefault="00575AC3" w:rsidP="006D40F0">
            <w:r w:rsidRPr="006D40F0">
              <w:lastRenderedPageBreak/>
              <w:t>Sesjon</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1934BC" w14:textId="77777777" w:rsidR="00575AC3" w:rsidRPr="006D40F0" w:rsidRDefault="00575AC3" w:rsidP="006D40F0">
            <w:r w:rsidRPr="006D40F0">
              <w:t>Vedtak nr.</w:t>
            </w:r>
          </w:p>
        </w:tc>
        <w:tc>
          <w:tcPr>
            <w:tcW w:w="6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8D95B" w14:textId="77777777" w:rsidR="00575AC3" w:rsidRPr="006D40F0" w:rsidRDefault="00575AC3" w:rsidP="006D40F0">
            <w:r w:rsidRPr="006D40F0">
              <w:t>Stikkord</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872F5B" w14:textId="77777777" w:rsidR="00575AC3" w:rsidRPr="006D40F0" w:rsidRDefault="00575AC3" w:rsidP="006D40F0">
            <w:r w:rsidRPr="006D40F0">
              <w:t>Omtalt side</w:t>
            </w:r>
          </w:p>
        </w:tc>
      </w:tr>
      <w:tr w:rsidR="00DD49A7" w:rsidRPr="006D40F0" w14:paraId="6AFB4A64" w14:textId="77777777" w:rsidTr="00265CE1">
        <w:trPr>
          <w:trHeight w:val="380"/>
        </w:trPr>
        <w:tc>
          <w:tcPr>
            <w:tcW w:w="1220" w:type="dxa"/>
            <w:tcBorders>
              <w:top w:val="single" w:sz="4" w:space="0" w:color="000000"/>
              <w:left w:val="nil"/>
              <w:bottom w:val="nil"/>
              <w:right w:val="nil"/>
            </w:tcBorders>
            <w:tcMar>
              <w:top w:w="128" w:type="dxa"/>
              <w:left w:w="43" w:type="dxa"/>
              <w:bottom w:w="43" w:type="dxa"/>
              <w:right w:w="43" w:type="dxa"/>
            </w:tcMar>
          </w:tcPr>
          <w:p w14:paraId="7C57F8DC" w14:textId="77777777" w:rsidR="00575AC3" w:rsidRPr="006D40F0" w:rsidRDefault="00575AC3" w:rsidP="006D40F0">
            <w:r w:rsidRPr="006D40F0">
              <w:t>2022–2023</w:t>
            </w:r>
          </w:p>
        </w:tc>
        <w:tc>
          <w:tcPr>
            <w:tcW w:w="1040" w:type="dxa"/>
            <w:tcBorders>
              <w:top w:val="single" w:sz="4" w:space="0" w:color="000000"/>
              <w:left w:val="nil"/>
              <w:bottom w:val="nil"/>
              <w:right w:val="nil"/>
            </w:tcBorders>
            <w:tcMar>
              <w:top w:w="128" w:type="dxa"/>
              <w:left w:w="43" w:type="dxa"/>
              <w:bottom w:w="43" w:type="dxa"/>
              <w:right w:w="43" w:type="dxa"/>
            </w:tcMar>
            <w:vAlign w:val="bottom"/>
          </w:tcPr>
          <w:p w14:paraId="55F3179E" w14:textId="77777777" w:rsidR="00575AC3" w:rsidRPr="006D40F0" w:rsidRDefault="00575AC3" w:rsidP="006D40F0">
            <w:r w:rsidRPr="006D40F0">
              <w:t>608</w:t>
            </w:r>
          </w:p>
        </w:tc>
        <w:tc>
          <w:tcPr>
            <w:tcW w:w="6180" w:type="dxa"/>
            <w:tcBorders>
              <w:top w:val="single" w:sz="4" w:space="0" w:color="000000"/>
              <w:left w:val="nil"/>
              <w:bottom w:val="nil"/>
              <w:right w:val="nil"/>
            </w:tcBorders>
            <w:tcMar>
              <w:top w:w="128" w:type="dxa"/>
              <w:left w:w="43" w:type="dxa"/>
              <w:bottom w:w="43" w:type="dxa"/>
              <w:right w:w="43" w:type="dxa"/>
            </w:tcMar>
            <w:vAlign w:val="bottom"/>
          </w:tcPr>
          <w:p w14:paraId="69DDE070" w14:textId="77777777" w:rsidR="00575AC3" w:rsidRPr="006D40F0" w:rsidRDefault="00575AC3" w:rsidP="006D40F0">
            <w:r w:rsidRPr="006D40F0">
              <w:t>Oversikt over gamle nedlagte gruver</w:t>
            </w: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7FF812EF" w14:textId="77777777" w:rsidR="00575AC3" w:rsidRPr="006D40F0" w:rsidRDefault="00575AC3" w:rsidP="006D40F0">
            <w:r w:rsidRPr="006D40F0">
              <w:t>116</w:t>
            </w:r>
          </w:p>
        </w:tc>
      </w:tr>
      <w:tr w:rsidR="00DD49A7" w:rsidRPr="006D40F0" w14:paraId="65E980D3"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4561CA00"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538F3C96" w14:textId="77777777" w:rsidR="00575AC3" w:rsidRPr="006D40F0" w:rsidRDefault="00575AC3" w:rsidP="006D40F0">
            <w:r w:rsidRPr="006D40F0">
              <w:t>674</w:t>
            </w:r>
          </w:p>
        </w:tc>
        <w:tc>
          <w:tcPr>
            <w:tcW w:w="6180" w:type="dxa"/>
            <w:tcBorders>
              <w:top w:val="nil"/>
              <w:left w:val="nil"/>
              <w:bottom w:val="nil"/>
              <w:right w:val="nil"/>
            </w:tcBorders>
            <w:tcMar>
              <w:top w:w="128" w:type="dxa"/>
              <w:left w:w="43" w:type="dxa"/>
              <w:bottom w:w="43" w:type="dxa"/>
              <w:right w:w="43" w:type="dxa"/>
            </w:tcMar>
            <w:vAlign w:val="bottom"/>
          </w:tcPr>
          <w:p w14:paraId="3914377C" w14:textId="77777777" w:rsidR="00575AC3" w:rsidRPr="006D40F0" w:rsidRDefault="00575AC3" w:rsidP="006D40F0">
            <w:r w:rsidRPr="006D40F0">
              <w:t>Plan for økt produksjon og etterspørsel etter biogass</w:t>
            </w:r>
          </w:p>
        </w:tc>
        <w:tc>
          <w:tcPr>
            <w:tcW w:w="1100" w:type="dxa"/>
            <w:tcBorders>
              <w:top w:val="nil"/>
              <w:left w:val="nil"/>
              <w:bottom w:val="nil"/>
              <w:right w:val="nil"/>
            </w:tcBorders>
            <w:tcMar>
              <w:top w:w="128" w:type="dxa"/>
              <w:left w:w="43" w:type="dxa"/>
              <w:bottom w:w="43" w:type="dxa"/>
              <w:right w:w="43" w:type="dxa"/>
            </w:tcMar>
            <w:vAlign w:val="bottom"/>
          </w:tcPr>
          <w:p w14:paraId="57A16697" w14:textId="77777777" w:rsidR="00575AC3" w:rsidRPr="006D40F0" w:rsidRDefault="00575AC3" w:rsidP="006D40F0">
            <w:r w:rsidRPr="006D40F0">
              <w:t>116</w:t>
            </w:r>
          </w:p>
        </w:tc>
      </w:tr>
      <w:tr w:rsidR="00DD49A7" w:rsidRPr="006D40F0" w14:paraId="1FFCD668"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4A0013EA"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0008DC1E" w14:textId="77777777" w:rsidR="00575AC3" w:rsidRPr="006D40F0" w:rsidRDefault="00575AC3" w:rsidP="006D40F0">
            <w:r w:rsidRPr="006D40F0">
              <w:t>765</w:t>
            </w:r>
          </w:p>
        </w:tc>
        <w:tc>
          <w:tcPr>
            <w:tcW w:w="6180" w:type="dxa"/>
            <w:tcBorders>
              <w:top w:val="nil"/>
              <w:left w:val="nil"/>
              <w:bottom w:val="nil"/>
              <w:right w:val="nil"/>
            </w:tcBorders>
            <w:tcMar>
              <w:top w:w="128" w:type="dxa"/>
              <w:left w:w="43" w:type="dxa"/>
              <w:bottom w:w="43" w:type="dxa"/>
              <w:right w:w="43" w:type="dxa"/>
            </w:tcMar>
            <w:vAlign w:val="bottom"/>
          </w:tcPr>
          <w:p w14:paraId="6EF111C9" w14:textId="77777777" w:rsidR="00575AC3" w:rsidRPr="006D40F0" w:rsidRDefault="00575AC3" w:rsidP="006D40F0">
            <w:r w:rsidRPr="006D40F0">
              <w:t>Områdeløsninger og deling av lokalprodusert strøm</w:t>
            </w:r>
          </w:p>
        </w:tc>
        <w:tc>
          <w:tcPr>
            <w:tcW w:w="1100" w:type="dxa"/>
            <w:tcBorders>
              <w:top w:val="nil"/>
              <w:left w:val="nil"/>
              <w:bottom w:val="nil"/>
              <w:right w:val="nil"/>
            </w:tcBorders>
            <w:tcMar>
              <w:top w:w="128" w:type="dxa"/>
              <w:left w:w="43" w:type="dxa"/>
              <w:bottom w:w="43" w:type="dxa"/>
              <w:right w:w="43" w:type="dxa"/>
            </w:tcMar>
            <w:vAlign w:val="bottom"/>
          </w:tcPr>
          <w:p w14:paraId="31443047" w14:textId="77777777" w:rsidR="00575AC3" w:rsidRPr="006D40F0" w:rsidRDefault="00575AC3" w:rsidP="006D40F0">
            <w:r w:rsidRPr="006D40F0">
              <w:t>144</w:t>
            </w:r>
          </w:p>
        </w:tc>
      </w:tr>
      <w:tr w:rsidR="00DD49A7" w:rsidRPr="006D40F0" w14:paraId="334DE6FC" w14:textId="77777777" w:rsidTr="00265CE1">
        <w:trPr>
          <w:trHeight w:val="640"/>
        </w:trPr>
        <w:tc>
          <w:tcPr>
            <w:tcW w:w="1220" w:type="dxa"/>
            <w:tcBorders>
              <w:top w:val="nil"/>
              <w:left w:val="nil"/>
              <w:bottom w:val="nil"/>
              <w:right w:val="nil"/>
            </w:tcBorders>
            <w:tcMar>
              <w:top w:w="128" w:type="dxa"/>
              <w:left w:w="43" w:type="dxa"/>
              <w:bottom w:w="43" w:type="dxa"/>
              <w:right w:w="43" w:type="dxa"/>
            </w:tcMar>
          </w:tcPr>
          <w:p w14:paraId="41BA199D"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tcPr>
          <w:p w14:paraId="1B7580F7" w14:textId="77777777" w:rsidR="00575AC3" w:rsidRPr="006D40F0" w:rsidRDefault="00575AC3" w:rsidP="006D40F0">
            <w:r w:rsidRPr="006D40F0">
              <w:t>766</w:t>
            </w:r>
          </w:p>
        </w:tc>
        <w:tc>
          <w:tcPr>
            <w:tcW w:w="6180" w:type="dxa"/>
            <w:tcBorders>
              <w:top w:val="nil"/>
              <w:left w:val="nil"/>
              <w:bottom w:val="nil"/>
              <w:right w:val="nil"/>
            </w:tcBorders>
            <w:tcMar>
              <w:top w:w="128" w:type="dxa"/>
              <w:left w:w="43" w:type="dxa"/>
              <w:bottom w:w="43" w:type="dxa"/>
              <w:right w:w="43" w:type="dxa"/>
            </w:tcMar>
            <w:vAlign w:val="bottom"/>
          </w:tcPr>
          <w:p w14:paraId="05E150E9" w14:textId="77777777" w:rsidR="00575AC3" w:rsidRPr="006D40F0" w:rsidRDefault="00575AC3" w:rsidP="006D40F0">
            <w:r w:rsidRPr="006D40F0">
              <w:t>Produksjon av fornybar kraft i næringsarealer, langs motorveier og i andre nedbygde areal</w:t>
            </w:r>
          </w:p>
        </w:tc>
        <w:tc>
          <w:tcPr>
            <w:tcW w:w="1100" w:type="dxa"/>
            <w:tcBorders>
              <w:top w:val="nil"/>
              <w:left w:val="nil"/>
              <w:bottom w:val="nil"/>
              <w:right w:val="nil"/>
            </w:tcBorders>
            <w:tcMar>
              <w:top w:w="128" w:type="dxa"/>
              <w:left w:w="43" w:type="dxa"/>
              <w:bottom w:w="43" w:type="dxa"/>
              <w:right w:w="43" w:type="dxa"/>
            </w:tcMar>
            <w:vAlign w:val="bottom"/>
          </w:tcPr>
          <w:p w14:paraId="2FE9B191" w14:textId="77777777" w:rsidR="00575AC3" w:rsidRPr="006D40F0" w:rsidRDefault="00575AC3" w:rsidP="006D40F0">
            <w:r w:rsidRPr="006D40F0">
              <w:t>144</w:t>
            </w:r>
          </w:p>
        </w:tc>
      </w:tr>
      <w:tr w:rsidR="00DD49A7" w:rsidRPr="006D40F0" w14:paraId="7EF3C060"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4EA32D2F"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65094388" w14:textId="77777777" w:rsidR="00575AC3" w:rsidRPr="006D40F0" w:rsidRDefault="00575AC3" w:rsidP="006D40F0">
            <w:r w:rsidRPr="006D40F0">
              <w:t>914</w:t>
            </w:r>
          </w:p>
        </w:tc>
        <w:tc>
          <w:tcPr>
            <w:tcW w:w="6180" w:type="dxa"/>
            <w:tcBorders>
              <w:top w:val="nil"/>
              <w:left w:val="nil"/>
              <w:bottom w:val="nil"/>
              <w:right w:val="nil"/>
            </w:tcBorders>
            <w:tcMar>
              <w:top w:w="128" w:type="dxa"/>
              <w:left w:w="43" w:type="dxa"/>
              <w:bottom w:w="43" w:type="dxa"/>
              <w:right w:w="43" w:type="dxa"/>
            </w:tcMar>
            <w:vAlign w:val="bottom"/>
          </w:tcPr>
          <w:p w14:paraId="2F70A1FB" w14:textId="77777777" w:rsidR="00575AC3" w:rsidRPr="006D40F0" w:rsidRDefault="00575AC3" w:rsidP="006D40F0">
            <w:r w:rsidRPr="006D40F0">
              <w:t>Havvind til offshoreinstallasjoner</w:t>
            </w:r>
          </w:p>
        </w:tc>
        <w:tc>
          <w:tcPr>
            <w:tcW w:w="1100" w:type="dxa"/>
            <w:tcBorders>
              <w:top w:val="nil"/>
              <w:left w:val="nil"/>
              <w:bottom w:val="nil"/>
              <w:right w:val="nil"/>
            </w:tcBorders>
            <w:tcMar>
              <w:top w:w="128" w:type="dxa"/>
              <w:left w:w="43" w:type="dxa"/>
              <w:bottom w:w="43" w:type="dxa"/>
              <w:right w:w="43" w:type="dxa"/>
            </w:tcMar>
            <w:vAlign w:val="bottom"/>
          </w:tcPr>
          <w:p w14:paraId="0F02F167" w14:textId="77777777" w:rsidR="00575AC3" w:rsidRPr="006D40F0" w:rsidRDefault="00575AC3" w:rsidP="006D40F0">
            <w:r w:rsidRPr="006D40F0">
              <w:t>142</w:t>
            </w:r>
          </w:p>
        </w:tc>
      </w:tr>
      <w:tr w:rsidR="00DD49A7" w:rsidRPr="006D40F0" w14:paraId="4B4217D5"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68281969"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6563B8C5" w14:textId="77777777" w:rsidR="00575AC3" w:rsidRPr="006D40F0" w:rsidRDefault="00575AC3" w:rsidP="006D40F0">
            <w:r w:rsidRPr="006D40F0">
              <w:t>923</w:t>
            </w:r>
          </w:p>
        </w:tc>
        <w:tc>
          <w:tcPr>
            <w:tcW w:w="6180" w:type="dxa"/>
            <w:tcBorders>
              <w:top w:val="nil"/>
              <w:left w:val="nil"/>
              <w:bottom w:val="nil"/>
              <w:right w:val="nil"/>
            </w:tcBorders>
            <w:tcMar>
              <w:top w:w="128" w:type="dxa"/>
              <w:left w:w="43" w:type="dxa"/>
              <w:bottom w:w="43" w:type="dxa"/>
              <w:right w:w="43" w:type="dxa"/>
            </w:tcMar>
            <w:vAlign w:val="bottom"/>
          </w:tcPr>
          <w:p w14:paraId="3DB43F6C" w14:textId="77777777" w:rsidR="00575AC3" w:rsidRPr="006D40F0" w:rsidRDefault="00575AC3" w:rsidP="006D40F0">
            <w:r w:rsidRPr="006D40F0">
              <w:t>Mål for ny solkraftenergi</w:t>
            </w:r>
          </w:p>
        </w:tc>
        <w:tc>
          <w:tcPr>
            <w:tcW w:w="1100" w:type="dxa"/>
            <w:tcBorders>
              <w:top w:val="nil"/>
              <w:left w:val="nil"/>
              <w:bottom w:val="nil"/>
              <w:right w:val="nil"/>
            </w:tcBorders>
            <w:tcMar>
              <w:top w:w="128" w:type="dxa"/>
              <w:left w:w="43" w:type="dxa"/>
              <w:bottom w:w="43" w:type="dxa"/>
              <w:right w:w="43" w:type="dxa"/>
            </w:tcMar>
            <w:vAlign w:val="bottom"/>
          </w:tcPr>
          <w:p w14:paraId="46F1F49D" w14:textId="77777777" w:rsidR="00575AC3" w:rsidRPr="006D40F0" w:rsidRDefault="00575AC3" w:rsidP="006D40F0">
            <w:r w:rsidRPr="006D40F0">
              <w:t>145</w:t>
            </w:r>
          </w:p>
        </w:tc>
      </w:tr>
      <w:tr w:rsidR="00DD49A7" w:rsidRPr="006D40F0" w14:paraId="425F17B6"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41991654"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28FA6717" w14:textId="77777777" w:rsidR="00575AC3" w:rsidRPr="006D40F0" w:rsidRDefault="00575AC3" w:rsidP="006D40F0">
            <w:r w:rsidRPr="006D40F0">
              <w:t>930</w:t>
            </w:r>
          </w:p>
        </w:tc>
        <w:tc>
          <w:tcPr>
            <w:tcW w:w="6180" w:type="dxa"/>
            <w:tcBorders>
              <w:top w:val="nil"/>
              <w:left w:val="nil"/>
              <w:bottom w:val="nil"/>
              <w:right w:val="nil"/>
            </w:tcBorders>
            <w:tcMar>
              <w:top w:w="128" w:type="dxa"/>
              <w:left w:w="43" w:type="dxa"/>
              <w:bottom w:w="43" w:type="dxa"/>
              <w:right w:w="43" w:type="dxa"/>
            </w:tcMar>
            <w:vAlign w:val="bottom"/>
          </w:tcPr>
          <w:p w14:paraId="29519747" w14:textId="77777777" w:rsidR="00575AC3" w:rsidRPr="006D40F0" w:rsidRDefault="00575AC3" w:rsidP="006D40F0">
            <w:r w:rsidRPr="006D40F0">
              <w:t>Bostøtte og trygdeoppgjør</w:t>
            </w:r>
          </w:p>
        </w:tc>
        <w:tc>
          <w:tcPr>
            <w:tcW w:w="1100" w:type="dxa"/>
            <w:tcBorders>
              <w:top w:val="nil"/>
              <w:left w:val="nil"/>
              <w:bottom w:val="nil"/>
              <w:right w:val="nil"/>
            </w:tcBorders>
            <w:tcMar>
              <w:top w:w="128" w:type="dxa"/>
              <w:left w:w="43" w:type="dxa"/>
              <w:bottom w:w="43" w:type="dxa"/>
              <w:right w:w="43" w:type="dxa"/>
            </w:tcMar>
            <w:vAlign w:val="bottom"/>
          </w:tcPr>
          <w:p w14:paraId="3A2541EE" w14:textId="77777777" w:rsidR="00575AC3" w:rsidRPr="006D40F0" w:rsidRDefault="00575AC3" w:rsidP="006D40F0">
            <w:r w:rsidRPr="006D40F0">
              <w:t>52</w:t>
            </w:r>
          </w:p>
        </w:tc>
      </w:tr>
      <w:tr w:rsidR="00DD49A7" w:rsidRPr="006D40F0" w14:paraId="2816E144"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551D6932" w14:textId="77777777" w:rsidR="00575AC3" w:rsidRPr="006D40F0" w:rsidRDefault="00575AC3" w:rsidP="006D40F0">
            <w:r w:rsidRPr="006D40F0">
              <w:t>2022–2023</w:t>
            </w:r>
          </w:p>
        </w:tc>
        <w:tc>
          <w:tcPr>
            <w:tcW w:w="1040" w:type="dxa"/>
            <w:tcBorders>
              <w:top w:val="nil"/>
              <w:left w:val="nil"/>
              <w:bottom w:val="nil"/>
              <w:right w:val="nil"/>
            </w:tcBorders>
            <w:tcMar>
              <w:top w:w="128" w:type="dxa"/>
              <w:left w:w="43" w:type="dxa"/>
              <w:bottom w:w="43" w:type="dxa"/>
              <w:right w:w="43" w:type="dxa"/>
            </w:tcMar>
            <w:vAlign w:val="bottom"/>
          </w:tcPr>
          <w:p w14:paraId="64599953" w14:textId="77777777" w:rsidR="00575AC3" w:rsidRPr="006D40F0" w:rsidRDefault="00575AC3" w:rsidP="006D40F0">
            <w:r w:rsidRPr="006D40F0">
              <w:t>931</w:t>
            </w:r>
          </w:p>
        </w:tc>
        <w:tc>
          <w:tcPr>
            <w:tcW w:w="6180" w:type="dxa"/>
            <w:tcBorders>
              <w:top w:val="nil"/>
              <w:left w:val="nil"/>
              <w:bottom w:val="nil"/>
              <w:right w:val="nil"/>
            </w:tcBorders>
            <w:tcMar>
              <w:top w:w="128" w:type="dxa"/>
              <w:left w:w="43" w:type="dxa"/>
              <w:bottom w:w="43" w:type="dxa"/>
              <w:right w:w="43" w:type="dxa"/>
            </w:tcMar>
            <w:vAlign w:val="bottom"/>
          </w:tcPr>
          <w:p w14:paraId="5C5BF026" w14:textId="77777777" w:rsidR="00575AC3" w:rsidRPr="006D40F0" w:rsidRDefault="00575AC3" w:rsidP="006D40F0">
            <w:r w:rsidRPr="006D40F0">
              <w:t>En mer treffsikker bostøtteordning</w:t>
            </w:r>
          </w:p>
        </w:tc>
        <w:tc>
          <w:tcPr>
            <w:tcW w:w="1100" w:type="dxa"/>
            <w:tcBorders>
              <w:top w:val="nil"/>
              <w:left w:val="nil"/>
              <w:bottom w:val="nil"/>
              <w:right w:val="nil"/>
            </w:tcBorders>
            <w:tcMar>
              <w:top w:w="128" w:type="dxa"/>
              <w:left w:w="43" w:type="dxa"/>
              <w:bottom w:w="43" w:type="dxa"/>
              <w:right w:w="43" w:type="dxa"/>
            </w:tcMar>
            <w:vAlign w:val="bottom"/>
          </w:tcPr>
          <w:p w14:paraId="4E18CA54" w14:textId="77777777" w:rsidR="00575AC3" w:rsidRPr="006D40F0" w:rsidRDefault="00575AC3" w:rsidP="006D40F0">
            <w:r w:rsidRPr="006D40F0">
              <w:t>52</w:t>
            </w:r>
          </w:p>
        </w:tc>
      </w:tr>
      <w:tr w:rsidR="00DD49A7" w:rsidRPr="006D40F0" w14:paraId="194F89A3" w14:textId="77777777" w:rsidTr="00265CE1">
        <w:trPr>
          <w:trHeight w:val="640"/>
        </w:trPr>
        <w:tc>
          <w:tcPr>
            <w:tcW w:w="1220" w:type="dxa"/>
            <w:tcBorders>
              <w:top w:val="nil"/>
              <w:left w:val="nil"/>
              <w:bottom w:val="nil"/>
              <w:right w:val="nil"/>
            </w:tcBorders>
            <w:tcMar>
              <w:top w:w="128" w:type="dxa"/>
              <w:left w:w="43" w:type="dxa"/>
              <w:bottom w:w="43" w:type="dxa"/>
              <w:right w:w="43" w:type="dxa"/>
            </w:tcMar>
          </w:tcPr>
          <w:p w14:paraId="10CCC4FF" w14:textId="77777777" w:rsidR="00575AC3" w:rsidRPr="006D40F0" w:rsidRDefault="00575AC3" w:rsidP="006D40F0">
            <w:r w:rsidRPr="006D40F0">
              <w:t>2023–2024</w:t>
            </w:r>
          </w:p>
        </w:tc>
        <w:tc>
          <w:tcPr>
            <w:tcW w:w="1040" w:type="dxa"/>
            <w:tcBorders>
              <w:top w:val="nil"/>
              <w:left w:val="nil"/>
              <w:bottom w:val="nil"/>
              <w:right w:val="nil"/>
            </w:tcBorders>
            <w:tcMar>
              <w:top w:w="128" w:type="dxa"/>
              <w:left w:w="43" w:type="dxa"/>
              <w:bottom w:w="43" w:type="dxa"/>
              <w:right w:w="43" w:type="dxa"/>
            </w:tcMar>
          </w:tcPr>
          <w:p w14:paraId="1AAE3591" w14:textId="77777777" w:rsidR="00575AC3" w:rsidRPr="006D40F0" w:rsidRDefault="00575AC3" w:rsidP="006D40F0">
            <w:r w:rsidRPr="006D40F0">
              <w:t>85</w:t>
            </w:r>
          </w:p>
        </w:tc>
        <w:tc>
          <w:tcPr>
            <w:tcW w:w="6180" w:type="dxa"/>
            <w:tcBorders>
              <w:top w:val="nil"/>
              <w:left w:val="nil"/>
              <w:bottom w:val="nil"/>
              <w:right w:val="nil"/>
            </w:tcBorders>
            <w:tcMar>
              <w:top w:w="128" w:type="dxa"/>
              <w:left w:w="43" w:type="dxa"/>
              <w:bottom w:w="43" w:type="dxa"/>
              <w:right w:w="43" w:type="dxa"/>
            </w:tcMar>
            <w:vAlign w:val="bottom"/>
          </w:tcPr>
          <w:p w14:paraId="2849C7BB" w14:textId="77777777" w:rsidR="00575AC3" w:rsidRPr="006D40F0" w:rsidRDefault="00575AC3" w:rsidP="006D40F0">
            <w:r w:rsidRPr="006D40F0">
              <w:t xml:space="preserve">Innsyn i eierskap i norske aksjeselskaper og </w:t>
            </w:r>
            <w:proofErr w:type="spellStart"/>
            <w:r w:rsidRPr="006D40F0">
              <w:t>allmennaksjeselskaper</w:t>
            </w:r>
            <w:proofErr w:type="spellEnd"/>
          </w:p>
        </w:tc>
        <w:tc>
          <w:tcPr>
            <w:tcW w:w="1100" w:type="dxa"/>
            <w:tcBorders>
              <w:top w:val="nil"/>
              <w:left w:val="nil"/>
              <w:bottom w:val="nil"/>
              <w:right w:val="nil"/>
            </w:tcBorders>
            <w:tcMar>
              <w:top w:w="128" w:type="dxa"/>
              <w:left w:w="43" w:type="dxa"/>
              <w:bottom w:w="43" w:type="dxa"/>
              <w:right w:w="43" w:type="dxa"/>
            </w:tcMar>
            <w:vAlign w:val="bottom"/>
          </w:tcPr>
          <w:p w14:paraId="3180126C" w14:textId="77777777" w:rsidR="00575AC3" w:rsidRPr="006D40F0" w:rsidRDefault="00575AC3" w:rsidP="006D40F0">
            <w:r w:rsidRPr="006D40F0">
              <w:t>101</w:t>
            </w:r>
          </w:p>
        </w:tc>
      </w:tr>
      <w:tr w:rsidR="00DD49A7" w:rsidRPr="006D40F0" w14:paraId="639E2375" w14:textId="77777777" w:rsidTr="00265CE1">
        <w:trPr>
          <w:trHeight w:val="380"/>
        </w:trPr>
        <w:tc>
          <w:tcPr>
            <w:tcW w:w="1220" w:type="dxa"/>
            <w:tcBorders>
              <w:top w:val="nil"/>
              <w:left w:val="nil"/>
              <w:bottom w:val="nil"/>
              <w:right w:val="nil"/>
            </w:tcBorders>
            <w:tcMar>
              <w:top w:w="128" w:type="dxa"/>
              <w:left w:w="43" w:type="dxa"/>
              <w:bottom w:w="43" w:type="dxa"/>
              <w:right w:w="43" w:type="dxa"/>
            </w:tcMar>
          </w:tcPr>
          <w:p w14:paraId="1B5FE1DF" w14:textId="77777777" w:rsidR="00575AC3" w:rsidRPr="006D40F0" w:rsidRDefault="00575AC3" w:rsidP="006D40F0">
            <w:r w:rsidRPr="006D40F0">
              <w:t>2023–2024</w:t>
            </w:r>
          </w:p>
        </w:tc>
        <w:tc>
          <w:tcPr>
            <w:tcW w:w="1040" w:type="dxa"/>
            <w:tcBorders>
              <w:top w:val="nil"/>
              <w:left w:val="nil"/>
              <w:bottom w:val="nil"/>
              <w:right w:val="nil"/>
            </w:tcBorders>
            <w:tcMar>
              <w:top w:w="128" w:type="dxa"/>
              <w:left w:w="43" w:type="dxa"/>
              <w:bottom w:w="43" w:type="dxa"/>
              <w:right w:w="43" w:type="dxa"/>
            </w:tcMar>
            <w:vAlign w:val="bottom"/>
          </w:tcPr>
          <w:p w14:paraId="4868EF91" w14:textId="77777777" w:rsidR="00575AC3" w:rsidRPr="006D40F0" w:rsidRDefault="00575AC3" w:rsidP="006D40F0">
            <w:r w:rsidRPr="006D40F0">
              <w:t>268</w:t>
            </w:r>
          </w:p>
        </w:tc>
        <w:tc>
          <w:tcPr>
            <w:tcW w:w="6180" w:type="dxa"/>
            <w:tcBorders>
              <w:top w:val="nil"/>
              <w:left w:val="nil"/>
              <w:bottom w:val="nil"/>
              <w:right w:val="nil"/>
            </w:tcBorders>
            <w:tcMar>
              <w:top w:w="128" w:type="dxa"/>
              <w:left w:w="43" w:type="dxa"/>
              <w:bottom w:w="43" w:type="dxa"/>
              <w:right w:w="43" w:type="dxa"/>
            </w:tcMar>
            <w:vAlign w:val="bottom"/>
          </w:tcPr>
          <w:p w14:paraId="7CBB796B" w14:textId="77777777" w:rsidR="00575AC3" w:rsidRPr="006D40F0" w:rsidRDefault="00575AC3" w:rsidP="006D40F0">
            <w:r w:rsidRPr="006D40F0">
              <w:t>Tilskudd til World Skills</w:t>
            </w:r>
          </w:p>
        </w:tc>
        <w:tc>
          <w:tcPr>
            <w:tcW w:w="1100" w:type="dxa"/>
            <w:tcBorders>
              <w:top w:val="nil"/>
              <w:left w:val="nil"/>
              <w:bottom w:val="nil"/>
              <w:right w:val="nil"/>
            </w:tcBorders>
            <w:tcMar>
              <w:top w:w="128" w:type="dxa"/>
              <w:left w:w="43" w:type="dxa"/>
              <w:bottom w:w="43" w:type="dxa"/>
              <w:right w:w="43" w:type="dxa"/>
            </w:tcMar>
            <w:vAlign w:val="bottom"/>
          </w:tcPr>
          <w:p w14:paraId="3F2E05B7" w14:textId="77777777" w:rsidR="00575AC3" w:rsidRPr="006D40F0" w:rsidRDefault="00575AC3" w:rsidP="006D40F0">
            <w:r w:rsidRPr="006D40F0">
              <w:t>23</w:t>
            </w:r>
          </w:p>
        </w:tc>
      </w:tr>
      <w:tr w:rsidR="00DD49A7" w:rsidRPr="006D40F0" w14:paraId="2C4A1AD7" w14:textId="77777777" w:rsidTr="00265CE1">
        <w:trPr>
          <w:trHeight w:val="380"/>
        </w:trPr>
        <w:tc>
          <w:tcPr>
            <w:tcW w:w="1220" w:type="dxa"/>
            <w:tcBorders>
              <w:top w:val="nil"/>
              <w:left w:val="nil"/>
              <w:bottom w:val="single" w:sz="4" w:space="0" w:color="000000"/>
              <w:right w:val="nil"/>
            </w:tcBorders>
            <w:tcMar>
              <w:top w:w="128" w:type="dxa"/>
              <w:left w:w="43" w:type="dxa"/>
              <w:bottom w:w="43" w:type="dxa"/>
              <w:right w:w="43" w:type="dxa"/>
            </w:tcMar>
          </w:tcPr>
          <w:p w14:paraId="44C32183" w14:textId="77777777" w:rsidR="00575AC3" w:rsidRPr="006D40F0" w:rsidRDefault="00575AC3" w:rsidP="006D40F0">
            <w:r w:rsidRPr="006D40F0">
              <w:t>2023–2024</w:t>
            </w:r>
          </w:p>
        </w:tc>
        <w:tc>
          <w:tcPr>
            <w:tcW w:w="1040" w:type="dxa"/>
            <w:tcBorders>
              <w:top w:val="nil"/>
              <w:left w:val="nil"/>
              <w:bottom w:val="single" w:sz="4" w:space="0" w:color="000000"/>
              <w:right w:val="nil"/>
            </w:tcBorders>
            <w:tcMar>
              <w:top w:w="128" w:type="dxa"/>
              <w:left w:w="43" w:type="dxa"/>
              <w:bottom w:w="43" w:type="dxa"/>
              <w:right w:w="43" w:type="dxa"/>
            </w:tcMar>
            <w:vAlign w:val="bottom"/>
          </w:tcPr>
          <w:p w14:paraId="0CE9688C" w14:textId="77777777" w:rsidR="00575AC3" w:rsidRPr="006D40F0" w:rsidRDefault="00575AC3" w:rsidP="006D40F0">
            <w:r w:rsidRPr="006D40F0">
              <w:t>474</w:t>
            </w:r>
          </w:p>
        </w:tc>
        <w:tc>
          <w:tcPr>
            <w:tcW w:w="6180" w:type="dxa"/>
            <w:tcBorders>
              <w:top w:val="nil"/>
              <w:left w:val="nil"/>
              <w:bottom w:val="single" w:sz="4" w:space="0" w:color="000000"/>
              <w:right w:val="nil"/>
            </w:tcBorders>
            <w:tcMar>
              <w:top w:w="128" w:type="dxa"/>
              <w:left w:w="43" w:type="dxa"/>
              <w:bottom w:w="43" w:type="dxa"/>
              <w:right w:w="43" w:type="dxa"/>
            </w:tcMar>
            <w:vAlign w:val="bottom"/>
          </w:tcPr>
          <w:p w14:paraId="715C810C" w14:textId="77777777" w:rsidR="00575AC3" w:rsidRPr="006D40F0" w:rsidRDefault="00575AC3" w:rsidP="006D40F0">
            <w:r w:rsidRPr="006D40F0">
              <w:t>Vedtak om utestenging i fuskesaker</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04CFA06D" w14:textId="77777777" w:rsidR="00575AC3" w:rsidRPr="006D40F0" w:rsidRDefault="00575AC3" w:rsidP="006D40F0">
            <w:r w:rsidRPr="006D40F0">
              <w:t>33</w:t>
            </w:r>
          </w:p>
        </w:tc>
      </w:tr>
    </w:tbl>
    <w:p w14:paraId="084C3C92" w14:textId="77777777" w:rsidR="00575AC3" w:rsidRPr="006D40F0" w:rsidRDefault="00575AC3" w:rsidP="006D40F0">
      <w:pPr>
        <w:pStyle w:val="Overskrift1"/>
      </w:pPr>
      <w:r w:rsidRPr="006D40F0">
        <w:t>Forslag under det enkelte departement</w:t>
      </w:r>
    </w:p>
    <w:p w14:paraId="6FBC5A71" w14:textId="77777777" w:rsidR="00575AC3" w:rsidRPr="006D40F0" w:rsidRDefault="00575AC3" w:rsidP="006D40F0">
      <w:pPr>
        <w:pStyle w:val="Overskrift2"/>
      </w:pPr>
      <w:r w:rsidRPr="006D40F0">
        <w:t>Utenriksdepartementet</w:t>
      </w:r>
    </w:p>
    <w:p w14:paraId="27E6A41A" w14:textId="77777777" w:rsidR="00575AC3" w:rsidRPr="006D40F0" w:rsidRDefault="00575AC3" w:rsidP="006D40F0">
      <w:pPr>
        <w:pStyle w:val="b-progomr"/>
      </w:pPr>
      <w:r w:rsidRPr="006D40F0">
        <w:t>Programområde 02 Utenriksforvaltning</w:t>
      </w:r>
    </w:p>
    <w:p w14:paraId="56324772" w14:textId="77777777" w:rsidR="00575AC3" w:rsidRPr="006D40F0" w:rsidRDefault="00575AC3" w:rsidP="006D40F0">
      <w:pPr>
        <w:pStyle w:val="b-budkaptit"/>
      </w:pPr>
      <w:r w:rsidRPr="006D40F0">
        <w:t>Kap. 100 Utenriksdepartementet</w:t>
      </w:r>
    </w:p>
    <w:p w14:paraId="61EBBDA0" w14:textId="77777777" w:rsidR="00575AC3" w:rsidRPr="006D40F0" w:rsidRDefault="00575AC3" w:rsidP="006D40F0">
      <w:pPr>
        <w:pStyle w:val="b-post"/>
      </w:pPr>
      <w:r w:rsidRPr="006D40F0">
        <w:t>Post 01 Driftsutgifter, kan nyttes under kap. 140, post 1</w:t>
      </w:r>
    </w:p>
    <w:p w14:paraId="2BD67B78" w14:textId="77777777" w:rsidR="00575AC3" w:rsidRPr="006D40F0" w:rsidRDefault="00575AC3" w:rsidP="006D40F0">
      <w:r w:rsidRPr="006D40F0">
        <w:t>Koordineringsansvaret for FN-konvensjonen om økonomiske, sosiale og kulturelle rettigheter (ØSK) er fra 1. april 2024 overført fra Utenriksdepartementet til Justis- og beredskapsdepartementet. Også koordineringsansvaret for Norges rapportering til og deltakelse i FNs menneskerettighetsråds universelle periodiske landgjennomganger (UPR) og koordineringen av nødvendige oppdateringer av Norges kjernedokument om menneskerettigheter er overført til Justis- og beredskapsdepartementet.</w:t>
      </w:r>
    </w:p>
    <w:p w14:paraId="5E4B63FD" w14:textId="77777777" w:rsidR="00575AC3" w:rsidRPr="006D40F0" w:rsidRDefault="00575AC3" w:rsidP="006D40F0">
      <w:r w:rsidRPr="006D40F0">
        <w:lastRenderedPageBreak/>
        <w:t xml:space="preserve">Det foreslås derfor å rammeoverføre midler til kap. 400 </w:t>
      </w:r>
      <w:r w:rsidRPr="00575AC3">
        <w:rPr>
          <w:rStyle w:val="kursiv"/>
        </w:rPr>
        <w:t>Justis- og beredskapsdepartementet</w:t>
      </w:r>
      <w:r w:rsidRPr="006D40F0">
        <w:t xml:space="preserve">, post 01 </w:t>
      </w:r>
      <w:r w:rsidRPr="00575AC3">
        <w:rPr>
          <w:rStyle w:val="kursiv"/>
        </w:rPr>
        <w:t>Driftsutgifter</w:t>
      </w:r>
      <w:r w:rsidRPr="006D40F0">
        <w:t xml:space="preserve"> tilsvarende ett årsverk for gjennomføring av oppgavene. Rammeoverføringen for 2024 gjelder for perioden april til desember og er beregnet til 975 000 kroner. Se også omtale under kap. 400, post 01.</w:t>
      </w:r>
    </w:p>
    <w:p w14:paraId="0D47BFFF" w14:textId="77777777" w:rsidR="00575AC3" w:rsidRPr="006D40F0" w:rsidRDefault="00575AC3" w:rsidP="006D40F0">
      <w:r w:rsidRPr="006D40F0">
        <w:t>Bevilgningen på posten foreslås redusert med 0,98 mill. kroner.</w:t>
      </w:r>
    </w:p>
    <w:p w14:paraId="149D605F" w14:textId="77777777" w:rsidR="00575AC3" w:rsidRPr="006D40F0" w:rsidRDefault="00575AC3" w:rsidP="006D40F0">
      <w:r w:rsidRPr="006D40F0">
        <w:t>Utenriksdepartementets driftsbevilgninger dekker lønn- og driftsutgifter i departementet og ved alle norske utenriksstasjoner. Midlene bevilges på to kapitler, kap. 100, post 01 for administrasjon av utenrikspolitikken og kap. 140, post 01 for forvaltning av utviklingssamarbeidet. For å oppnå større fleksibilitet innenfor Utenriksdepartementets samlede driftsbudsjett til å håndtere uforutsette endringer som følge av for eksempel valutasvingninger foreslår Utenriksdepartementet at stikkordet «kan nyttes under» tilføyes på departementets driftsposter. Det vil gi en mer effektiv budsjettstyring som er bedre tilpasset behov på hhv. utenriks- og utviklingsområdet. Jf. også omtale under kap. 140, post 01.</w:t>
      </w:r>
    </w:p>
    <w:p w14:paraId="7486E1F8" w14:textId="77777777" w:rsidR="00575AC3" w:rsidRPr="006D40F0" w:rsidRDefault="00575AC3" w:rsidP="006D40F0">
      <w:pPr>
        <w:pStyle w:val="b-budkaptit"/>
      </w:pPr>
      <w:r w:rsidRPr="006D40F0">
        <w:t>Kap. 3100 Utenriksdepartementet</w:t>
      </w:r>
    </w:p>
    <w:p w14:paraId="7597CF8A" w14:textId="77777777" w:rsidR="00575AC3" w:rsidRPr="006D40F0" w:rsidRDefault="00575AC3" w:rsidP="006D40F0">
      <w:pPr>
        <w:pStyle w:val="b-post"/>
      </w:pPr>
      <w:r w:rsidRPr="006D40F0">
        <w:t>Post 02 Gebyrer for utlendingssaker ved utenriksstasjonene</w:t>
      </w:r>
    </w:p>
    <w:p w14:paraId="5C01E96D" w14:textId="77777777" w:rsidR="00575AC3" w:rsidRPr="006D40F0" w:rsidRDefault="00575AC3" w:rsidP="006D40F0">
      <w:r w:rsidRPr="006D40F0">
        <w:t>Utlendingsdirektoratet (UDI) sine oppdaterte prognoser for utlendingssaker ved utenriksstasjonene viser at antallet søknader om visum går ned sammenlignet med antallet som lå til grunn i Saldert budsjett 2024.</w:t>
      </w:r>
    </w:p>
    <w:p w14:paraId="5064E405" w14:textId="77777777" w:rsidR="00575AC3" w:rsidRPr="006D40F0" w:rsidRDefault="00575AC3" w:rsidP="006D40F0">
      <w:r w:rsidRPr="006D40F0">
        <w:t>Bevilgningen på posten foreslås redusert med 33,1 mill. kroner.</w:t>
      </w:r>
    </w:p>
    <w:p w14:paraId="498C8376" w14:textId="77777777" w:rsidR="00575AC3" w:rsidRPr="006D40F0" w:rsidRDefault="00575AC3" w:rsidP="006D40F0">
      <w:pPr>
        <w:pStyle w:val="b-budkaptit"/>
      </w:pPr>
      <w:r w:rsidRPr="006D40F0">
        <w:t>Kap. 103 Regjeringens representasjon</w:t>
      </w:r>
    </w:p>
    <w:p w14:paraId="2E9C1212" w14:textId="77777777" w:rsidR="00575AC3" w:rsidRPr="006D40F0" w:rsidRDefault="00575AC3" w:rsidP="006D40F0">
      <w:pPr>
        <w:pStyle w:val="b-post"/>
      </w:pPr>
      <w:r w:rsidRPr="006D40F0">
        <w:t>Post 01 Driftsutgifter</w:t>
      </w:r>
    </w:p>
    <w:p w14:paraId="346E0BF7" w14:textId="77777777" w:rsidR="00575AC3" w:rsidRPr="006D40F0" w:rsidRDefault="00575AC3" w:rsidP="006D40F0">
      <w:r w:rsidRPr="006D40F0">
        <w:t>I 2024 kommer det flere statsbesøk enn planlagt. Blant annet kommer det statsbesøk fra Danmark når det nye kongeparet i Danmark kommer på tiltredelsesbesøk i mai etter tronskiftet i januar.</w:t>
      </w:r>
    </w:p>
    <w:p w14:paraId="7CCDCAE2" w14:textId="77777777" w:rsidR="00575AC3" w:rsidRPr="006D40F0" w:rsidRDefault="00575AC3" w:rsidP="006D40F0">
      <w:r w:rsidRPr="006D40F0">
        <w:t>Bevilgningen på posten foreslås økt med 3 mill. kroner.</w:t>
      </w:r>
    </w:p>
    <w:p w14:paraId="7DED3D3A" w14:textId="77777777" w:rsidR="00575AC3" w:rsidRPr="006D40F0" w:rsidRDefault="00575AC3" w:rsidP="006D40F0">
      <w:pPr>
        <w:pStyle w:val="b-budkaptit"/>
      </w:pPr>
      <w:r w:rsidRPr="006D40F0">
        <w:t>Kap. 104 Kongefamiliens offisielle reiser til utlandet</w:t>
      </w:r>
    </w:p>
    <w:p w14:paraId="1152E777" w14:textId="77777777" w:rsidR="00575AC3" w:rsidRPr="006D40F0" w:rsidRDefault="00575AC3" w:rsidP="006D40F0">
      <w:pPr>
        <w:pStyle w:val="b-post"/>
      </w:pPr>
      <w:r w:rsidRPr="006D40F0">
        <w:t>Post 01 Driftsutgifter</w:t>
      </w:r>
    </w:p>
    <w:p w14:paraId="34866A6B" w14:textId="77777777" w:rsidR="00575AC3" w:rsidRPr="006D40F0" w:rsidRDefault="00575AC3" w:rsidP="006D40F0">
      <w:r w:rsidRPr="006D40F0">
        <w:t>Kongefamilien vil ha færre offisielle reiser til utlandet enn lagt til grunn i Saldert budsjett 2024.</w:t>
      </w:r>
    </w:p>
    <w:p w14:paraId="23AD4877" w14:textId="77777777" w:rsidR="00575AC3" w:rsidRPr="006D40F0" w:rsidRDefault="00575AC3" w:rsidP="006D40F0">
      <w:r w:rsidRPr="006D40F0">
        <w:t>Bevilgningen på posten foreslås redusert med 3 mill. kroner.</w:t>
      </w:r>
    </w:p>
    <w:p w14:paraId="49C1BC8B" w14:textId="77777777" w:rsidR="00575AC3" w:rsidRPr="006D40F0" w:rsidRDefault="00575AC3" w:rsidP="006D40F0">
      <w:pPr>
        <w:pStyle w:val="b-budkaptit"/>
      </w:pPr>
      <w:r w:rsidRPr="006D40F0">
        <w:t>Kap. 115 Næringsfremme, kultur og informasjon</w:t>
      </w:r>
    </w:p>
    <w:p w14:paraId="286B0CFE" w14:textId="77777777" w:rsidR="00575AC3" w:rsidRPr="006D40F0" w:rsidRDefault="00575AC3" w:rsidP="006D40F0">
      <w:pPr>
        <w:pStyle w:val="b-post"/>
      </w:pPr>
      <w:r w:rsidRPr="006D40F0">
        <w:t>Post 70 Kultur- og informasjonsformål, kan overføres, kan nyttes under post 21</w:t>
      </w:r>
    </w:p>
    <w:p w14:paraId="2DDE46B7" w14:textId="77777777" w:rsidR="00575AC3" w:rsidRPr="006D40F0" w:rsidRDefault="00575AC3" w:rsidP="006D40F0">
      <w:r w:rsidRPr="006D40F0">
        <w:t>Det foreslås å øke bevilgningen på posten med 2,1 mill. kroner mot en tilsvarende reduksjon av kap. 115, post 71 Næringsfremme. Se nærmere omtale under kap. 115, post 71.</w:t>
      </w:r>
    </w:p>
    <w:p w14:paraId="434B972C" w14:textId="77777777" w:rsidR="00575AC3" w:rsidRPr="006D40F0" w:rsidRDefault="00575AC3" w:rsidP="006D40F0">
      <w:pPr>
        <w:pStyle w:val="b-post"/>
      </w:pPr>
      <w:r w:rsidRPr="006D40F0">
        <w:lastRenderedPageBreak/>
        <w:t>Post 71 Næringsfremme, kan overføres, kan nyttes under post 22</w:t>
      </w:r>
    </w:p>
    <w:p w14:paraId="45F351C5" w14:textId="77777777" w:rsidR="00575AC3" w:rsidRPr="006D40F0" w:rsidRDefault="00575AC3" w:rsidP="006D40F0">
      <w:r w:rsidRPr="006D40F0">
        <w:t>Næringsfremme hadde et overforbruk på kap. 115, post 21 i 2023, da posten hadde stikkord «kan nyttes under post 70 og 71». Overførte midler fra 2023 på post 71 foreslås derfor flyttet til post 70 Kultur- og informasjonsformål for å ivareta planlagt fordeling for 2024 mellom kultur- og informasjonsformål og næringsfremme.</w:t>
      </w:r>
    </w:p>
    <w:p w14:paraId="2294C3CA" w14:textId="77777777" w:rsidR="00575AC3" w:rsidRPr="006D40F0" w:rsidRDefault="00575AC3" w:rsidP="006D40F0">
      <w:r w:rsidRPr="006D40F0">
        <w:t>Bevilgningen på posten foreslås redusert med 2,1 mill. kroner mot tilsvarende økning på kap. 115, post 70 Kultur- og informasjonsformål.</w:t>
      </w:r>
    </w:p>
    <w:p w14:paraId="4027F253" w14:textId="77777777" w:rsidR="00575AC3" w:rsidRPr="006D40F0" w:rsidRDefault="00575AC3" w:rsidP="006D40F0">
      <w:pPr>
        <w:pStyle w:val="b-budkaptit"/>
      </w:pPr>
      <w:r w:rsidRPr="006D40F0">
        <w:t>Kap. 116 Internasjonale organisasjoner</w:t>
      </w:r>
    </w:p>
    <w:p w14:paraId="5788411A" w14:textId="77777777" w:rsidR="00575AC3" w:rsidRPr="006D40F0" w:rsidRDefault="00575AC3" w:rsidP="006D40F0">
      <w:pPr>
        <w:pStyle w:val="b-post"/>
      </w:pPr>
      <w:r w:rsidRPr="006D40F0">
        <w:t>Post 70 Pliktige bidrag</w:t>
      </w:r>
    </w:p>
    <w:p w14:paraId="21367251" w14:textId="77777777" w:rsidR="00575AC3" w:rsidRPr="006D40F0" w:rsidRDefault="00575AC3" w:rsidP="006D40F0">
      <w:r w:rsidRPr="006D40F0">
        <w:t>De fleste pliktige bidragene utbetales i utenlandsk valuta, først og fremst euro, sveitsiske franc og amerikanske dollar. Den norske kronen har styrket seg mot disse valutaene siden statsbudsjettet for 2024 ble utarbeidet og derfor reduseres de pliktige bidragene i 2024. I tillegg til valutakurseffekten er kravene for Norges bidrag til FNs fredsbevarende operasjoner lavere enn antatt. Kravene kom først etter at statsbudsjettet for 2024 ble vedtatt. På den annen side øker det pliktige bidraget til Nordisk Ministerråd som følge av at en større andel av bidraget skal betales i danske kroner i 2024, som den norske kronen har svekket seg mot siden statsbudsjettet for 2024 ble utarbeidet.</w:t>
      </w:r>
    </w:p>
    <w:p w14:paraId="40CC482B" w14:textId="77777777" w:rsidR="00575AC3" w:rsidRPr="006D40F0" w:rsidRDefault="00575AC3" w:rsidP="006D40F0">
      <w:r w:rsidRPr="006D40F0">
        <w:t>Bevilgningen på posten foreslås redusert med 20,4 mill. kroner.</w:t>
      </w:r>
    </w:p>
    <w:p w14:paraId="77F9830B" w14:textId="77777777" w:rsidR="00575AC3" w:rsidRPr="006D40F0" w:rsidRDefault="00575AC3" w:rsidP="006D40F0">
      <w:pPr>
        <w:pStyle w:val="b-budkaptit"/>
      </w:pPr>
      <w:r w:rsidRPr="006D40F0">
        <w:t>Kap. 117 EØS-finansieringsordningene</w:t>
      </w:r>
    </w:p>
    <w:p w14:paraId="3A252CA4" w14:textId="77777777" w:rsidR="00575AC3" w:rsidRPr="006D40F0" w:rsidRDefault="00575AC3" w:rsidP="006D40F0">
      <w:pPr>
        <w:pStyle w:val="b-post"/>
      </w:pPr>
      <w:r w:rsidRPr="006D40F0">
        <w:t>Post 77 EØS-finansieringsordningen 2014–2021, kan overføres</w:t>
      </w:r>
    </w:p>
    <w:p w14:paraId="3F2E5BEE" w14:textId="77777777" w:rsidR="00575AC3" w:rsidRPr="006D40F0" w:rsidRDefault="00575AC3" w:rsidP="006D40F0">
      <w:pPr>
        <w:pStyle w:val="b-post"/>
      </w:pPr>
      <w:r w:rsidRPr="006D40F0">
        <w:t>Post 78 Den norske-finansieringsordningen 2014–2021, kan overføres</w:t>
      </w:r>
    </w:p>
    <w:p w14:paraId="708996D2" w14:textId="77777777" w:rsidR="00575AC3" w:rsidRPr="006D40F0" w:rsidRDefault="00575AC3" w:rsidP="006D40F0">
      <w:r w:rsidRPr="006D40F0">
        <w:t>Utbetalingsprognoser mottatt etter at rammene for 2024-budsjettet ble lagt i fjor høst har vist en stor økning i behovet for midler fra EØS-finansieringsordningene i alle mottakerlandene, spesielt i store land som Polen, Romania og Bulgaria. Årsaken til økningen er forventninger fra prosjekteiere i mottakerlandene om å fullføre og avslutte prosjektene før april 2024 innen de mål og resultater som er avtalt i programavtalene. Økningen er innenfor den samlede, avtalte rammen for EØS-finansieringsordningene.</w:t>
      </w:r>
    </w:p>
    <w:p w14:paraId="696BDC90" w14:textId="77777777" w:rsidR="00575AC3" w:rsidRPr="006D40F0" w:rsidRDefault="00575AC3" w:rsidP="006D40F0">
      <w:r w:rsidRPr="006D40F0">
        <w:t>Flere land har hatt stor fremgang i programmer og prosjekter i de siste to årene etter flere forsinkelser på grunn av blant annet pandemi og krigen i Ukraina, og påfølgende inflasjon som igjen har forsinket prosjektene.</w:t>
      </w:r>
    </w:p>
    <w:p w14:paraId="69F97E44" w14:textId="77777777" w:rsidR="00575AC3" w:rsidRPr="006D40F0" w:rsidRDefault="00575AC3" w:rsidP="006D40F0">
      <w:r w:rsidRPr="006D40F0">
        <w:t>Bevilgningen på kap. 117, post 77 EØS-finansieringsordningen 2014-2021 foreslås økt med 562,5 mill. kroner til 1 206,5 mill. kroner.</w:t>
      </w:r>
    </w:p>
    <w:p w14:paraId="236DDD82" w14:textId="77777777" w:rsidR="00575AC3" w:rsidRPr="006D40F0" w:rsidRDefault="00575AC3" w:rsidP="006D40F0">
      <w:r w:rsidRPr="006D40F0">
        <w:t>Bevilgningen på kap. 117, post 78 Den norske finansieringsordningen 2014-2021 foreslås økt med 766 mill. kroner til 1 513 mill. kroner.</w:t>
      </w:r>
    </w:p>
    <w:p w14:paraId="48D77FCB" w14:textId="77777777" w:rsidR="00575AC3" w:rsidRPr="006D40F0" w:rsidRDefault="00575AC3" w:rsidP="006D40F0">
      <w:r w:rsidRPr="006D40F0">
        <w:lastRenderedPageBreak/>
        <w:t>Videre foreslås det å øke øvre ramme i overskridelsesfullmakten på postene i 2024 til 272 mill. kroner som følge av usikkerhet i utbetaling og valutakursjusteringer, dersom dette er nødvendig for å oppfylle norske forpliktelser gjennom avtale inngått med EU, jf. forslag til romertallsvedtak.</w:t>
      </w:r>
    </w:p>
    <w:p w14:paraId="0E4E7819" w14:textId="77777777" w:rsidR="00575AC3" w:rsidRPr="006D40F0" w:rsidRDefault="00575AC3" w:rsidP="006D40F0">
      <w:pPr>
        <w:pStyle w:val="b-budkaptit"/>
      </w:pPr>
      <w:r w:rsidRPr="006D40F0">
        <w:t>Kap. 118 Utenrikspolitiske satsinger</w:t>
      </w:r>
    </w:p>
    <w:p w14:paraId="73621964" w14:textId="77777777" w:rsidR="00575AC3" w:rsidRPr="006D40F0" w:rsidRDefault="00575AC3" w:rsidP="006D40F0">
      <w:pPr>
        <w:pStyle w:val="b-post"/>
      </w:pPr>
      <w:r w:rsidRPr="006D40F0">
        <w:t>Post 21 Spesielle driftsutgifter, kan overføres, kan nyttes under post 70, 71, 72 og 73.</w:t>
      </w:r>
    </w:p>
    <w:p w14:paraId="15750804" w14:textId="77777777" w:rsidR="00575AC3" w:rsidRPr="006D40F0" w:rsidRDefault="00575AC3" w:rsidP="006D40F0">
      <w:r w:rsidRPr="006D40F0">
        <w:t>Bevilgningen på posten foreslås økt med 15 mill. kroner mot tilsvarende reduksjon på kap. 118 post 70 Nordområdene, Russland og atomsikkerhet. Det er behov for økt bevilgning i forbindelse med at det norske lederskapet i Arktisk råd. Se nærmere omtale under post 70.</w:t>
      </w:r>
    </w:p>
    <w:p w14:paraId="45C15081" w14:textId="77777777" w:rsidR="00575AC3" w:rsidRPr="006D40F0" w:rsidRDefault="00575AC3" w:rsidP="006D40F0">
      <w:pPr>
        <w:pStyle w:val="b-post"/>
      </w:pPr>
      <w:r w:rsidRPr="006D40F0">
        <w:t>Post 70 Nordområdene, Russland og atomsikkerhet, kan overføres, kan nyttes under post 21</w:t>
      </w:r>
    </w:p>
    <w:p w14:paraId="243A308B" w14:textId="77777777" w:rsidR="00575AC3" w:rsidRPr="006D40F0" w:rsidRDefault="00575AC3" w:rsidP="006D40F0">
      <w:r w:rsidRPr="006D40F0">
        <w:t xml:space="preserve">Det foreslås å rammeoverføre 5 mill. kroner til Nærings- og fiskeridepartementets kap. 928 Annen marin forskning og utvikling, post 21 Spesielle driftsutgifter, til polhavsforskningsprogrammet </w:t>
      </w:r>
      <w:proofErr w:type="spellStart"/>
      <w:r w:rsidRPr="006D40F0">
        <w:t>Geosciences</w:t>
      </w:r>
      <w:proofErr w:type="spellEnd"/>
      <w:r w:rsidRPr="006D40F0">
        <w:t xml:space="preserve"> in </w:t>
      </w:r>
      <w:proofErr w:type="spellStart"/>
      <w:r w:rsidRPr="006D40F0">
        <w:t>the</w:t>
      </w:r>
      <w:proofErr w:type="spellEnd"/>
      <w:r w:rsidRPr="006D40F0">
        <w:t xml:space="preserve"> Northern Arctic (</w:t>
      </w:r>
      <w:proofErr w:type="spellStart"/>
      <w:r w:rsidRPr="006D40F0">
        <w:t>GoNorth</w:t>
      </w:r>
      <w:proofErr w:type="spellEnd"/>
      <w:r w:rsidRPr="006D40F0">
        <w:t xml:space="preserve">). </w:t>
      </w:r>
      <w:proofErr w:type="spellStart"/>
      <w:r w:rsidRPr="006D40F0">
        <w:t>GoNorth</w:t>
      </w:r>
      <w:proofErr w:type="spellEnd"/>
      <w:r w:rsidRPr="006D40F0">
        <w:t xml:space="preserve"> er viktig for Norge som polarnasjon og arktisk kyststat. Det bidrar til at vi markerer tilstedeværelse og opparbeider egen kunnskap om geologi, oseanografi, klimaendringer mv. i Polhavet. Midlene skal bidra til gjennomføring av forskningstokt i 2024.</w:t>
      </w:r>
    </w:p>
    <w:p w14:paraId="67650981" w14:textId="77777777" w:rsidR="00575AC3" w:rsidRPr="006D40F0" w:rsidRDefault="00575AC3" w:rsidP="006D40F0">
      <w:r w:rsidRPr="006D40F0">
        <w:t>Bevilgningen på posten foreslås i tillegg redusert med 15 mill. kroner mot tilsvarende økning på kap. 118, post 21 for å dekke driftsutgifter til blant annet lederskapet i Arktisk råd.</w:t>
      </w:r>
    </w:p>
    <w:p w14:paraId="2A2A7EDE" w14:textId="77777777" w:rsidR="00575AC3" w:rsidRPr="006D40F0" w:rsidRDefault="00575AC3" w:rsidP="006D40F0">
      <w:r w:rsidRPr="006D40F0">
        <w:t>Bevilgningen på posten foreslås til sammen redusert med 20 mill. kroner.</w:t>
      </w:r>
    </w:p>
    <w:p w14:paraId="3B51DECB" w14:textId="77777777" w:rsidR="00575AC3" w:rsidRPr="006D40F0" w:rsidRDefault="00575AC3" w:rsidP="006D40F0">
      <w:pPr>
        <w:pStyle w:val="b-progomr"/>
      </w:pPr>
      <w:r w:rsidRPr="006D40F0">
        <w:t>Programområde 03 Internasjonal bistand</w:t>
      </w:r>
    </w:p>
    <w:p w14:paraId="4EDCEAE9" w14:textId="77777777" w:rsidR="00575AC3" w:rsidRPr="006D40F0" w:rsidRDefault="00575AC3" w:rsidP="006D40F0">
      <w:r w:rsidRPr="006D40F0">
        <w:t>Til sammen foreslås bistandsbudsjettet økt med 1,1 mrd. kroner sammenlignet med saldert budsjett, til 53,8 mrd. kroner, i 2024. Dette tilsvarer 0,98 pst. av BNI-anslaget lagt til grunn for 2024-budsjettet, en økning fra 0,96 pst. i Saldert budsjett 2024.</w:t>
      </w:r>
    </w:p>
    <w:p w14:paraId="0C2CCC55" w14:textId="77777777" w:rsidR="00575AC3" w:rsidRPr="006D40F0" w:rsidRDefault="00575AC3" w:rsidP="006D40F0">
      <w:r w:rsidRPr="006D40F0">
        <w:t>Regjeringen foreslår å øke akutt humanitær bistand til Gaza med 500 mill. kroner som følge av krigens ødeleggelser.</w:t>
      </w:r>
    </w:p>
    <w:p w14:paraId="2DA78AA2" w14:textId="77777777" w:rsidR="00575AC3" w:rsidRPr="006D40F0" w:rsidRDefault="00575AC3" w:rsidP="006D40F0">
      <w:r w:rsidRPr="006D40F0">
        <w:t>Ukraina har store behov for økt støtte både militært og sivilt i 2024. Derfor foreslår regjeringen å øke den sivile bistanden med 1 mrd. kroner ved å forsere bruken av midler innenfor rammen av Nansen-programmet.</w:t>
      </w:r>
    </w:p>
    <w:p w14:paraId="0F7E33B5" w14:textId="77777777" w:rsidR="00575AC3" w:rsidRPr="006D40F0" w:rsidRDefault="00575AC3" w:rsidP="006D40F0">
      <w:r w:rsidRPr="006D40F0">
        <w:t xml:space="preserve">Regelverket til OECDs utviklingskomité (DAC) innebærer at visse utgifter til flyktninger og asylsøkeres opphold i løpet av det første året i Norge kan klassifiseres som offisiell utviklingshjelp (ODA). Disse utgiftene inngår i bistandsbudsjettet og bevilges på kap. 179 Flyktningtiltak i Norge, post 21 Spesielle driftsutgifter. Bevilgningen på posten i Saldert budsjett 2024 er basert på anslag om at det vil komme 20 000 flyktninger fra Ukraina og 5 000 fra andre land til Norge i år. Det er nå lagt til grunn et planleggingstall på 35 000 ankomster, hvorav 30 000 ukrainere som vil søke om midlertidig kollektiv beskyttelse i Norge. Anslagene om hvor mange som </w:t>
      </w:r>
      <w:r w:rsidRPr="006D40F0">
        <w:lastRenderedPageBreak/>
        <w:t>kommer er usikre. De oppdaterte anslagene gir en økning i ODA-godkjente flyktningutgifter på 1,17 mrd. kroner i år.</w:t>
      </w:r>
    </w:p>
    <w:p w14:paraId="77926BD6" w14:textId="77777777" w:rsidR="00575AC3" w:rsidRPr="006D40F0" w:rsidRDefault="00575AC3" w:rsidP="006D40F0">
      <w:pPr>
        <w:pStyle w:val="b-budkaptit"/>
      </w:pPr>
      <w:r w:rsidRPr="006D40F0">
        <w:t>Kap. 140 Utenriksdepartementet</w:t>
      </w:r>
    </w:p>
    <w:p w14:paraId="473FDCB7" w14:textId="77777777" w:rsidR="00575AC3" w:rsidRPr="006D40F0" w:rsidRDefault="00575AC3" w:rsidP="006D40F0">
      <w:pPr>
        <w:pStyle w:val="b-post"/>
      </w:pPr>
      <w:r w:rsidRPr="006D40F0">
        <w:t>Post 01 Driftsutgifter, kan nyttes under kap. 100, post 1</w:t>
      </w:r>
    </w:p>
    <w:p w14:paraId="78032893" w14:textId="77777777" w:rsidR="00575AC3" w:rsidRPr="006D40F0" w:rsidRDefault="00575AC3" w:rsidP="006D40F0">
      <w:r w:rsidRPr="006D40F0">
        <w:t>Norad overtar forvaltningen av en større andel av bistandsbudsjettet i august 2024, noe som medfører at driftsmidler må flyttes fra Utenriksdepartementet til Norad. 14,5 mill. kroner flyttes for å ivareta de overførte oppgavene, og inkluderer midler for ansatte som flyttes fra departementet til Norad. 2,3 mill. kroner skal dekke drift av systemer for tilskuddsforvaltning.</w:t>
      </w:r>
    </w:p>
    <w:p w14:paraId="2C389646" w14:textId="77777777" w:rsidR="00575AC3" w:rsidRPr="006D40F0" w:rsidRDefault="00575AC3" w:rsidP="006D40F0">
      <w:r w:rsidRPr="006D40F0">
        <w:t>Bevilgningen på posten foreslå til sammen redusert med 16,9 mill. kroner.</w:t>
      </w:r>
    </w:p>
    <w:p w14:paraId="11E9D379" w14:textId="77777777" w:rsidR="00575AC3" w:rsidRPr="006D40F0" w:rsidRDefault="00575AC3" w:rsidP="006D40F0">
      <w:r w:rsidRPr="006D40F0">
        <w:t>For å oppnå større fleksibilitet innenfor Utenriksdepartementets samlede driftsbudsjett til å håndtere uforutsette endringer som følge av for eksempel valutasvingninger foreslår Utenriksdepartementet at stikkordet «kan nyttes under» tilføyes på departementets driftsposter, jf. omtale under kap. 100, post 01.</w:t>
      </w:r>
    </w:p>
    <w:p w14:paraId="52628CD7" w14:textId="77777777" w:rsidR="00575AC3" w:rsidRPr="006D40F0" w:rsidRDefault="00575AC3" w:rsidP="006D40F0">
      <w:pPr>
        <w:pStyle w:val="b-post"/>
      </w:pPr>
      <w:r w:rsidRPr="006D40F0">
        <w:t>Post 21 Spesielle driftsutgifter, kan overføres</w:t>
      </w:r>
    </w:p>
    <w:p w14:paraId="29C203AD" w14:textId="77777777" w:rsidR="00575AC3" w:rsidRPr="006D40F0" w:rsidRDefault="00575AC3" w:rsidP="006D40F0">
      <w:r w:rsidRPr="006D40F0">
        <w:t>Bevilgningen på posten foreslås redusert med 40 mill. kroner til inndekning for økte flyktningutgifter i Norge og humanitær bistand til Gaza. Bevilgningsreduksjonen tas fra overførte brukte midler fra 2023. Reduksjonen vil kunne medføre redusert bruk av eksterne, faglige tjenester for økt kvalitet i bistandsforvaltning.</w:t>
      </w:r>
    </w:p>
    <w:p w14:paraId="1313C916" w14:textId="77777777" w:rsidR="00575AC3" w:rsidRPr="006D40F0" w:rsidRDefault="00575AC3" w:rsidP="006D40F0">
      <w:pPr>
        <w:pStyle w:val="b-post"/>
      </w:pPr>
      <w:r w:rsidRPr="006D40F0">
        <w:t>Post 45 Større utstyrsanskaffelser og vedlikehold, kan overføres</w:t>
      </w:r>
    </w:p>
    <w:p w14:paraId="7915FE2C" w14:textId="77777777" w:rsidR="00575AC3" w:rsidRPr="006D40F0" w:rsidRDefault="00575AC3" w:rsidP="006D40F0">
      <w:r w:rsidRPr="006D40F0">
        <w:t>Bevilgningen på posten foreslås redusert med 5 mill. kroner til inndekning for økte flyktningutgifter i Norge og humanitær bistand til Gaza. Reduksjonen vil medføre at investeringer i graderte kommunikasjonssystemer ved enkelte utenriksstasjoner ikke gjennomføres som planlagt.</w:t>
      </w:r>
    </w:p>
    <w:p w14:paraId="5BC4CC21" w14:textId="77777777" w:rsidR="00575AC3" w:rsidRPr="006D40F0" w:rsidRDefault="00575AC3" w:rsidP="006D40F0">
      <w:pPr>
        <w:pStyle w:val="b-budkaptit"/>
      </w:pPr>
      <w:r w:rsidRPr="006D40F0">
        <w:t>Kap. 141 Direktoratet for utviklingssamarbeid (Norad)</w:t>
      </w:r>
    </w:p>
    <w:p w14:paraId="27D7E86E" w14:textId="77777777" w:rsidR="00575AC3" w:rsidRPr="006D40F0" w:rsidRDefault="00575AC3" w:rsidP="006D40F0">
      <w:pPr>
        <w:pStyle w:val="b-post"/>
      </w:pPr>
      <w:r w:rsidRPr="006D40F0">
        <w:t>Post 01 Driftsutgifter</w:t>
      </w:r>
    </w:p>
    <w:p w14:paraId="20FC80A8" w14:textId="77777777" w:rsidR="00575AC3" w:rsidRPr="006D40F0" w:rsidRDefault="00575AC3" w:rsidP="006D40F0">
      <w:r w:rsidRPr="006D40F0">
        <w:t>Norad overtar forvaltningen av en større andel av bistandsbudsjettet i august 2024. Dette medfører at driftsmidler må flyttes fra Utenriksdepartementet til Norad. Midlene flyttes for at Norad skal kunne ivareta de overførte oppgavene, og inkluderer midler for ansatte som flyttes fra departementet til Norad, jf. nærmere omtale under kap. 140, post 01.</w:t>
      </w:r>
    </w:p>
    <w:p w14:paraId="11E06575" w14:textId="77777777" w:rsidR="00575AC3" w:rsidRPr="006D40F0" w:rsidRDefault="00575AC3" w:rsidP="006D40F0">
      <w:r w:rsidRPr="006D40F0">
        <w:t>Bevilgningen på posten foreslås økt med 16,9 mill. kroner mot tilsvarende reduksjon på kap. 140, post 01 Driftsutgifter.</w:t>
      </w:r>
    </w:p>
    <w:p w14:paraId="68A0E45C" w14:textId="77777777" w:rsidR="00575AC3" w:rsidRPr="006D40F0" w:rsidRDefault="00575AC3" w:rsidP="006D40F0">
      <w:pPr>
        <w:pStyle w:val="b-budkaptit"/>
      </w:pPr>
      <w:r w:rsidRPr="006D40F0">
        <w:lastRenderedPageBreak/>
        <w:t>Kap. 150 Humanitær bistand</w:t>
      </w:r>
    </w:p>
    <w:p w14:paraId="7F6599B9" w14:textId="77777777" w:rsidR="00575AC3" w:rsidRPr="006D40F0" w:rsidRDefault="00575AC3" w:rsidP="006D40F0">
      <w:pPr>
        <w:pStyle w:val="b-post"/>
      </w:pPr>
      <w:r w:rsidRPr="006D40F0">
        <w:t>Post 70 Nødhjelp og humanitær bistand, kan overføres</w:t>
      </w:r>
    </w:p>
    <w:p w14:paraId="77C75B85" w14:textId="77777777" w:rsidR="00575AC3" w:rsidRPr="006D40F0" w:rsidRDefault="00575AC3" w:rsidP="006D40F0">
      <w:r w:rsidRPr="006D40F0">
        <w:t>De globale humanitære behovene er høye og har økt de siste årene. Det er behov for å øke den humanitære støtten til Gaza, samtidig som Norge opprettholder humanitær støtte til store behov i land og områder som Afghanistan, Afrikas Horn, Jemen og Sudan.</w:t>
      </w:r>
    </w:p>
    <w:p w14:paraId="360EED56" w14:textId="77777777" w:rsidR="00575AC3" w:rsidRPr="006D40F0" w:rsidRDefault="00575AC3" w:rsidP="006D40F0">
      <w:r w:rsidRPr="006D40F0">
        <w:t>Krigen i Gaza har medført enorme ødeleggelser og store humanitære behov. Så godt som hele befolkningen på 2,3 millioner i Gaza har behov for humanitær støtte. Ifølge tall fra Verdens matvareprogram fra april, står halvparten av Gazas befolkning på randen av hungersnød, og situasjonen forverrer seg raskt. En stor del av bygninger og essensiell infrastruktur er ødelagt, inkludert de fleste sykehus. Det er store behov for støtte til humanitær innsats og tidlig gjenoppbygging så snart som mulig.</w:t>
      </w:r>
    </w:p>
    <w:p w14:paraId="75B3C4FF" w14:textId="77777777" w:rsidR="00575AC3" w:rsidRPr="006D40F0" w:rsidRDefault="00575AC3" w:rsidP="006D40F0">
      <w:r w:rsidRPr="006D40F0">
        <w:t>Derfor foreslås bevilgningen økt med 500 mill. kroner til humanitær bistand i Gaza. I tillegg er om lag 500 mill. kroner omdisponert til Gaza fra annen humanitær innsats. Til sammen blir dette om lag 1 mrd. kroner i humanitær bistand og nødhjelp til Gaza i 2024. Et betydelig norsk humanitært bidrag til Gaza vil kunne bidra til støtte fra øvrige givere.</w:t>
      </w:r>
    </w:p>
    <w:p w14:paraId="0C9952CA" w14:textId="77777777" w:rsidR="00575AC3" w:rsidRPr="006D40F0" w:rsidRDefault="00575AC3" w:rsidP="006D40F0">
      <w:pPr>
        <w:pStyle w:val="b-budkaptit"/>
      </w:pPr>
      <w:r w:rsidRPr="006D40F0">
        <w:t>Kap. 151 Fred, sikkerhet og globalt samarbeid</w:t>
      </w:r>
    </w:p>
    <w:p w14:paraId="7109D570" w14:textId="77777777" w:rsidR="00575AC3" w:rsidRPr="006D40F0" w:rsidRDefault="00575AC3" w:rsidP="006D40F0">
      <w:pPr>
        <w:pStyle w:val="b-post"/>
      </w:pPr>
      <w:r w:rsidRPr="006D40F0">
        <w:t>Post 70 Fred og forsoning, kan overføres</w:t>
      </w:r>
    </w:p>
    <w:p w14:paraId="214E2386" w14:textId="77777777" w:rsidR="00575AC3" w:rsidRPr="006D40F0" w:rsidRDefault="00575AC3" w:rsidP="006D40F0">
      <w:r w:rsidRPr="006D40F0">
        <w:t>Bevilgningen på posten foreslås redusert med 20 mill. kroner til inndekning for økte flyktningutgifter i Norge og humanitær bistand til Gaza. Forslaget innebærer redusert støtte til pågående freds- og forsoningsarbeid og prosesser hvor Norge har en formell rolle, samt at planlagte initiativ ikke vil bli igangsatt.</w:t>
      </w:r>
    </w:p>
    <w:p w14:paraId="4DB58CA4" w14:textId="77777777" w:rsidR="00575AC3" w:rsidRPr="006D40F0" w:rsidRDefault="00575AC3" w:rsidP="006D40F0">
      <w:pPr>
        <w:pStyle w:val="b-post"/>
      </w:pPr>
      <w:r w:rsidRPr="006D40F0">
        <w:t>Post 71 Globale sikkerhetsspørsmål og nedrustning, kan overføres</w:t>
      </w:r>
    </w:p>
    <w:p w14:paraId="48E15BED" w14:textId="77777777" w:rsidR="00575AC3" w:rsidRPr="006D40F0" w:rsidRDefault="00575AC3" w:rsidP="006D40F0">
      <w:r w:rsidRPr="006D40F0">
        <w:t>Bevilgningen på posten foreslås redusert med 5,2 mill. kroner til inndekning for økte flyktningutgifter i Norge og humanitær bistand til Gaza. Reduksjonen på posten vil medføre at det ikke er rom for å videreføre tiltak innenfor maritim sikkerhet i 2024, samt at støtte til å forebygge og bekjempe radikalisering og voldelig ekstremisme vil bli noe redusert.</w:t>
      </w:r>
    </w:p>
    <w:p w14:paraId="08905F9A" w14:textId="77777777" w:rsidR="00575AC3" w:rsidRPr="006D40F0" w:rsidRDefault="00575AC3" w:rsidP="006D40F0">
      <w:pPr>
        <w:pStyle w:val="b-post"/>
      </w:pPr>
      <w:r w:rsidRPr="006D40F0">
        <w:t>Post 73 FN og globale utfordringer, kan overføres</w:t>
      </w:r>
    </w:p>
    <w:p w14:paraId="25B05BE2" w14:textId="77777777" w:rsidR="00575AC3" w:rsidRPr="006D40F0" w:rsidRDefault="00575AC3" w:rsidP="006D40F0">
      <w:r w:rsidRPr="006D40F0">
        <w:t>Bevilgningen på posten foreslås redusert med 20 mill. kroner til inndekning for økte flyktningutgifter i Norge og humanitær bistand til Gaza. Forslaget vil medføre redusert støtte til FNs fond for stedlige koordinatorer.</w:t>
      </w:r>
    </w:p>
    <w:p w14:paraId="79C1A4C5" w14:textId="77777777" w:rsidR="00575AC3" w:rsidRPr="006D40F0" w:rsidRDefault="00575AC3" w:rsidP="006D40F0">
      <w:pPr>
        <w:pStyle w:val="b-post"/>
      </w:pPr>
      <w:r w:rsidRPr="006D40F0">
        <w:t>Post 74 Pliktige bidrag til FN-organisasjoner mv., kan overføres</w:t>
      </w:r>
    </w:p>
    <w:p w14:paraId="14DB1833" w14:textId="77777777" w:rsidR="00575AC3" w:rsidRPr="006D40F0" w:rsidRDefault="00575AC3" w:rsidP="006D40F0">
      <w:r w:rsidRPr="006D40F0">
        <w:t xml:space="preserve">Pliktige bidrag foreslås redusert med 22,6 mill. kroner grunnet blant annet lavere utbetaling enn lagt til grunn for Organisasjonen for sikkerhet og samarbeid i Europa (OSSE). Det er også et </w:t>
      </w:r>
      <w:proofErr w:type="spellStart"/>
      <w:r w:rsidRPr="006D40F0">
        <w:lastRenderedPageBreak/>
        <w:t>mindrebehov</w:t>
      </w:r>
      <w:proofErr w:type="spellEnd"/>
      <w:r w:rsidRPr="006D40F0">
        <w:t xml:space="preserve"> i 2024 grunnet endringer i valutakurser. De fleste pliktige bidragene utbetales i utenlandsk valuta, først og fremst euro, sveitsiske franc og amerikanske dollar. Den norske kronen styrket seg mot disse valutaene i starten av året sammenlignet med valutakursene lagt til grunn i statsbudsjettet for 2024. I tillegg er kravene for Norges bidrag til FNs fredsbevarende operasjoner lavere enn antatt. Kravene kom først etter at statsbudsjettet for 2024 ble vedtatt.</w:t>
      </w:r>
    </w:p>
    <w:p w14:paraId="343C0F1B" w14:textId="77777777" w:rsidR="00575AC3" w:rsidRPr="006D40F0" w:rsidRDefault="00575AC3" w:rsidP="006D40F0">
      <w:r w:rsidRPr="006D40F0">
        <w:t xml:space="preserve">Det foreslås å flytte 1,9 mill. kroner fra kap.163 </w:t>
      </w:r>
      <w:r w:rsidRPr="00575AC3">
        <w:rPr>
          <w:rStyle w:val="kursiv"/>
        </w:rPr>
        <w:t>Klima, miljø og hav</w:t>
      </w:r>
      <w:r w:rsidRPr="006D40F0">
        <w:t xml:space="preserve">, post 70 </w:t>
      </w:r>
      <w:r w:rsidRPr="00575AC3">
        <w:rPr>
          <w:rStyle w:val="kursiv"/>
        </w:rPr>
        <w:t>Miljø og klima</w:t>
      </w:r>
      <w:r w:rsidRPr="006D40F0">
        <w:t xml:space="preserve"> til posten for pliktige bidrag for å dekke Norges pliktige bidrag til Forørkningskonvensjonen (UNCCD), jf. omtale under kap. 163 post 70. Konvensjonen har som formål å bekjempe forørkning og redusere effektene av alvorlig tørke og jordforringelse.</w:t>
      </w:r>
    </w:p>
    <w:p w14:paraId="7F1C4995" w14:textId="77777777" w:rsidR="00575AC3" w:rsidRPr="006D40F0" w:rsidRDefault="00575AC3" w:rsidP="006D40F0">
      <w:r w:rsidRPr="006D40F0">
        <w:t xml:space="preserve">Til sammen foreslås bevilgningen redusert med 20,8 mill. kroner. </w:t>
      </w:r>
      <w:proofErr w:type="spellStart"/>
      <w:r w:rsidRPr="006D40F0">
        <w:t>Mindreforbruket</w:t>
      </w:r>
      <w:proofErr w:type="spellEnd"/>
      <w:r w:rsidRPr="006D40F0">
        <w:t xml:space="preserve"> foreslås benyttet til inndekning for økte flyktningutgifter i Norge og humanitær bistand til Gaza.</w:t>
      </w:r>
    </w:p>
    <w:p w14:paraId="7B3FE3F8" w14:textId="77777777" w:rsidR="00575AC3" w:rsidRPr="006D40F0" w:rsidRDefault="00575AC3" w:rsidP="006D40F0">
      <w:pPr>
        <w:pStyle w:val="b-budkaptit"/>
      </w:pPr>
      <w:r w:rsidRPr="006D40F0">
        <w:t>Kap. 152 Menneskerettigheter</w:t>
      </w:r>
    </w:p>
    <w:p w14:paraId="5D199143" w14:textId="77777777" w:rsidR="00575AC3" w:rsidRPr="006D40F0" w:rsidRDefault="00575AC3" w:rsidP="006D40F0">
      <w:pPr>
        <w:pStyle w:val="b-post"/>
      </w:pPr>
      <w:r w:rsidRPr="006D40F0">
        <w:t>Post 70 Menneskerettigheter, kan overføres</w:t>
      </w:r>
    </w:p>
    <w:p w14:paraId="38E68E08" w14:textId="77777777" w:rsidR="00575AC3" w:rsidRPr="006D40F0" w:rsidRDefault="00575AC3" w:rsidP="006D40F0">
      <w:r w:rsidRPr="006D40F0">
        <w:t>Bevilgningen på posten foreslås redusert med 60,5 mill. kroner til inndekning for økte flyktningutgifter og humanitær bistand til Gaza. Forslaget vil redusere støtte til programmer for demokratifremme, kulturelle rettigheter og arbeid mot dødsstraff, samt redusert støtte til menneskerettighetsforsvarere, skeives rettigheter og tros- og livssynsfrihet.</w:t>
      </w:r>
    </w:p>
    <w:p w14:paraId="7FE3A8D0" w14:textId="77777777" w:rsidR="00575AC3" w:rsidRPr="006D40F0" w:rsidRDefault="00575AC3" w:rsidP="006D40F0">
      <w:pPr>
        <w:pStyle w:val="b-budkaptit"/>
      </w:pPr>
      <w:r w:rsidRPr="006D40F0">
        <w:t xml:space="preserve">Kap. 153 Flyktninger, fordrevne og </w:t>
      </w:r>
      <w:proofErr w:type="spellStart"/>
      <w:r w:rsidRPr="006D40F0">
        <w:t>vertssamfunn</w:t>
      </w:r>
      <w:proofErr w:type="spellEnd"/>
    </w:p>
    <w:p w14:paraId="5BD02095" w14:textId="77777777" w:rsidR="00575AC3" w:rsidRPr="006D40F0" w:rsidRDefault="00575AC3" w:rsidP="006D40F0">
      <w:pPr>
        <w:pStyle w:val="b-post"/>
      </w:pPr>
      <w:r w:rsidRPr="006D40F0">
        <w:t xml:space="preserve">Post 72 Bærekraftige løsninger og </w:t>
      </w:r>
      <w:proofErr w:type="spellStart"/>
      <w:r w:rsidRPr="006D40F0">
        <w:t>vertssamfunn</w:t>
      </w:r>
      <w:proofErr w:type="spellEnd"/>
      <w:r w:rsidRPr="006D40F0">
        <w:t>, kan overføres</w:t>
      </w:r>
    </w:p>
    <w:p w14:paraId="5A7ED90E" w14:textId="77777777" w:rsidR="00575AC3" w:rsidRPr="006D40F0" w:rsidRDefault="00575AC3" w:rsidP="006D40F0">
      <w:r w:rsidRPr="006D40F0">
        <w:t>Bevilgningen på posten foreslås redusert med 85 mill. kroner til inndekning for økte flyktningutgifter i Norge og humanitær bistand til Gaza. Forslaget innebærer redusert støtte til stabiliseringstiltak og til flyktninger i Jordan, Libanon og Syria. Det vil også medføre redusert støtte til tiltak for bærekraftige løsninger for somaliske flyktninger og internt fordrevne i Sør-Sudan.</w:t>
      </w:r>
    </w:p>
    <w:p w14:paraId="4F59E1A0" w14:textId="77777777" w:rsidR="00575AC3" w:rsidRPr="006D40F0" w:rsidRDefault="00575AC3" w:rsidP="006D40F0">
      <w:pPr>
        <w:pStyle w:val="b-budkaptit"/>
      </w:pPr>
      <w:r w:rsidRPr="006D40F0">
        <w:t>Kap. 159 Regionbevilgninger</w:t>
      </w:r>
    </w:p>
    <w:p w14:paraId="46319469" w14:textId="77777777" w:rsidR="00575AC3" w:rsidRPr="006D40F0" w:rsidRDefault="00575AC3" w:rsidP="006D40F0">
      <w:pPr>
        <w:pStyle w:val="b-post"/>
      </w:pPr>
      <w:r w:rsidRPr="006D40F0">
        <w:t>Post 71 Europa og Sentral Asia, kan overføres</w:t>
      </w:r>
    </w:p>
    <w:p w14:paraId="77175F73" w14:textId="77777777" w:rsidR="00575AC3" w:rsidRPr="006D40F0" w:rsidRDefault="00575AC3" w:rsidP="006D40F0">
      <w:r w:rsidRPr="006D40F0">
        <w:t>Bevilgningen på posten foreslås redusert med 86 mill. kroner til inndekning for økte flyktningutgifter i Norge og humanitær bistand til Gaza. Forslaget innebærer redusert støtte til tiltak for demokrati, styresett og økonomisk utvikling i Øst-Europa utenom Ukraina og Moldova.</w:t>
      </w:r>
    </w:p>
    <w:p w14:paraId="56B5C0C7" w14:textId="77777777" w:rsidR="00575AC3" w:rsidRPr="006D40F0" w:rsidRDefault="00575AC3" w:rsidP="006D40F0">
      <w:pPr>
        <w:pStyle w:val="b-post"/>
      </w:pPr>
      <w:r w:rsidRPr="006D40F0">
        <w:t>Post 72 Afghanistan, kan overføres</w:t>
      </w:r>
    </w:p>
    <w:p w14:paraId="15B171D4" w14:textId="77777777" w:rsidR="00575AC3" w:rsidRPr="006D40F0" w:rsidRDefault="00575AC3" w:rsidP="006D40F0">
      <w:r w:rsidRPr="006D40F0">
        <w:t xml:space="preserve">Bevilgningen på posten foreslås redusert med 50 mill. kroner til inndekning for økte flyktningutgifter i Norge og humanitær bistand til Gaza. Forslaget vil innebære redusert støtte til flergiverfondet Afghanistan </w:t>
      </w:r>
      <w:proofErr w:type="spellStart"/>
      <w:r w:rsidRPr="006D40F0">
        <w:t>Recilience</w:t>
      </w:r>
      <w:proofErr w:type="spellEnd"/>
      <w:r w:rsidRPr="006D40F0">
        <w:t xml:space="preserve"> Trust Fund som har programmer for støtte til den afghanske befolkningen på områder som matsikkerhet, helse og utdanning.</w:t>
      </w:r>
    </w:p>
    <w:p w14:paraId="53689C32" w14:textId="77777777" w:rsidR="00575AC3" w:rsidRPr="006D40F0" w:rsidRDefault="00575AC3" w:rsidP="006D40F0">
      <w:pPr>
        <w:pStyle w:val="b-post"/>
      </w:pPr>
      <w:r w:rsidRPr="006D40F0">
        <w:lastRenderedPageBreak/>
        <w:t>Post 73 Ukraina og naboland, kan overføres</w:t>
      </w:r>
    </w:p>
    <w:p w14:paraId="6F3CFD42" w14:textId="77777777" w:rsidR="00575AC3" w:rsidRPr="006D40F0" w:rsidRDefault="00575AC3" w:rsidP="006D40F0">
      <w:r w:rsidRPr="006D40F0">
        <w:t>Ukraina har et akutt behov for sivil og humanitær støtte. I tråd med Prop. 44 S (2022– 2023) og den politiske avtalen i Stortinget, skal Ukrainas behov ligge til grunn for den norske støtten. Behovene skal vurderes fortløpende, og bevilgningsmessige konsekvenser skal fremmes i forbindelse med de ordinære budsjettprosessene. Russland har intensivert sine angrep på ukrainsk sivil infrastruktur, særlig energi. Regjeringen foreslår å øke bevilgningen på posten med 1 mrd. kroner ved å forsere bruken av midler innenfor rammen av Nansen-programmet. Midlene skal benyttes til driftsstøtte til den ukrainske staten</w:t>
      </w:r>
      <w:proofErr w:type="gramStart"/>
      <w:r w:rsidRPr="006D40F0">
        <w:t>, ,</w:t>
      </w:r>
      <w:proofErr w:type="gramEnd"/>
      <w:r w:rsidRPr="006D40F0">
        <w:t xml:space="preserve"> bidra til å gjenoppbygge energiinfrastruktur samt støtte humanitære tiltak for å sikre ukrainernes motstandsevne. Det foreslås å øke bevilgningen med 1 mrd. kroner. Regjeringen foreslår også økt militær støtte til Ukraina, jf. omtale under Forsvarsdepartementet. Til sammen økes Nansen-programmet fra 15 mrd. kroner til 22 mrd. kroner i 2024, hvorav 8,5 mrd. kroner er sivil støtte.</w:t>
      </w:r>
    </w:p>
    <w:p w14:paraId="11CCB7AD" w14:textId="77777777" w:rsidR="00575AC3" w:rsidRPr="006D40F0" w:rsidRDefault="00575AC3" w:rsidP="006D40F0">
      <w:pPr>
        <w:pStyle w:val="b-post"/>
      </w:pPr>
      <w:r w:rsidRPr="006D40F0">
        <w:t>Post 75 Afrika, kan overføres</w:t>
      </w:r>
    </w:p>
    <w:p w14:paraId="75AF347F" w14:textId="77777777" w:rsidR="00575AC3" w:rsidRPr="006D40F0" w:rsidRDefault="00575AC3" w:rsidP="006D40F0">
      <w:r w:rsidRPr="006D40F0">
        <w:t>Bevilgningen på posten foreslås redusert med 80 mill. kroner til inndekning for økte flyktningutgifter i Norge og humanitær bistand til Gaza. Forslaget innebærer redusert støtte til de største mottakerlandene i Afrika.</w:t>
      </w:r>
    </w:p>
    <w:p w14:paraId="5D7DE55F" w14:textId="77777777" w:rsidR="00575AC3" w:rsidRPr="006D40F0" w:rsidRDefault="00575AC3" w:rsidP="006D40F0">
      <w:pPr>
        <w:pStyle w:val="b-budkaptit"/>
      </w:pPr>
      <w:r w:rsidRPr="006D40F0">
        <w:t>Kap. 160 Helse</w:t>
      </w:r>
    </w:p>
    <w:p w14:paraId="41D54374" w14:textId="77777777" w:rsidR="00575AC3" w:rsidRPr="006D40F0" w:rsidRDefault="00575AC3" w:rsidP="006D40F0">
      <w:pPr>
        <w:pStyle w:val="b-post"/>
      </w:pPr>
      <w:r w:rsidRPr="006D40F0">
        <w:t>Post 70 Helse, kan overføres</w:t>
      </w:r>
    </w:p>
    <w:p w14:paraId="2D89A018" w14:textId="77777777" w:rsidR="00575AC3" w:rsidRPr="006D40F0" w:rsidRDefault="00575AC3" w:rsidP="006D40F0">
      <w:r w:rsidRPr="006D40F0">
        <w:t>Bevilgningen på posten foreslås redusert med 125 mill. kroner til inndekning for økte flyktningutgifter i Norge og humanitær bistand til Gaza. Forslaget innebærer i hovedsak lavere tilskudd til Den globale finansieringsfasiliteten for kvinners, barns og ungdoms helse (GFF).</w:t>
      </w:r>
    </w:p>
    <w:p w14:paraId="13CF823A" w14:textId="77777777" w:rsidR="00575AC3" w:rsidRPr="006D40F0" w:rsidRDefault="00575AC3" w:rsidP="006D40F0">
      <w:pPr>
        <w:pStyle w:val="b-budkaptit"/>
      </w:pPr>
      <w:r w:rsidRPr="006D40F0">
        <w:t>Kap. 161 Utdanning, forskning og offentlige institusjoner</w:t>
      </w:r>
    </w:p>
    <w:p w14:paraId="1AC3A5D1" w14:textId="77777777" w:rsidR="00575AC3" w:rsidRPr="006D40F0" w:rsidRDefault="00575AC3" w:rsidP="006D40F0">
      <w:pPr>
        <w:pStyle w:val="b-post"/>
      </w:pPr>
      <w:r w:rsidRPr="006D40F0">
        <w:t>Post 70 Utdanning, kan overføres</w:t>
      </w:r>
    </w:p>
    <w:p w14:paraId="5EBD05FC" w14:textId="77777777" w:rsidR="00575AC3" w:rsidRPr="006D40F0" w:rsidRDefault="00575AC3" w:rsidP="006D40F0">
      <w:r w:rsidRPr="006D40F0">
        <w:t>Bevilgningen på posten foreslås redusert med 75 mill. kroner til inndekning for økte flyktningutgifter i Norge og humanitær bistand til Gaza. Forslaget vil innebære lavere støtte til utdanningsprogrammer og yrkesutdanning.</w:t>
      </w:r>
    </w:p>
    <w:p w14:paraId="149B8431" w14:textId="77777777" w:rsidR="00575AC3" w:rsidRPr="006D40F0" w:rsidRDefault="00575AC3" w:rsidP="006D40F0">
      <w:pPr>
        <w:pStyle w:val="b-budkaptit"/>
      </w:pPr>
      <w:r w:rsidRPr="006D40F0">
        <w:t>Kap. 162 Næringsutvikling, landbruk og fornybar energi</w:t>
      </w:r>
    </w:p>
    <w:p w14:paraId="2D2B1801" w14:textId="77777777" w:rsidR="00575AC3" w:rsidRPr="006D40F0" w:rsidRDefault="00575AC3" w:rsidP="006D40F0">
      <w:pPr>
        <w:pStyle w:val="b-post"/>
      </w:pPr>
      <w:r w:rsidRPr="006D40F0">
        <w:t>Post 70 Bærekraftig jobbskaping, næringsutvikling og handel, kan overføres</w:t>
      </w:r>
    </w:p>
    <w:p w14:paraId="6944ADC9" w14:textId="77777777" w:rsidR="00575AC3" w:rsidRPr="006D40F0" w:rsidRDefault="00575AC3" w:rsidP="006D40F0">
      <w:r w:rsidRPr="006D40F0">
        <w:t xml:space="preserve">Bevilgningen på posten foreslås redusert med 45 mill. kroner til inndekning for økte flyktningutgifter i Norge og humanitær bistand til Gaza. Reduksjonen medfører at planlagt fornyelse av enkelte avtaler utgår, og reduserer bidraget til tilskuddsordning for utviklingseffekter som forvaltes av </w:t>
      </w:r>
      <w:proofErr w:type="spellStart"/>
      <w:r w:rsidRPr="006D40F0">
        <w:t>Norfund</w:t>
      </w:r>
      <w:proofErr w:type="spellEnd"/>
      <w:r w:rsidRPr="006D40F0">
        <w:t>.</w:t>
      </w:r>
    </w:p>
    <w:p w14:paraId="0ACBE68B" w14:textId="77777777" w:rsidR="00575AC3" w:rsidRPr="006D40F0" w:rsidRDefault="00575AC3" w:rsidP="006D40F0">
      <w:pPr>
        <w:pStyle w:val="b-post"/>
      </w:pPr>
      <w:r w:rsidRPr="006D40F0">
        <w:lastRenderedPageBreak/>
        <w:t>Post 71 Matsikkerhet, fisk og landbruk, kan overføres</w:t>
      </w:r>
    </w:p>
    <w:p w14:paraId="4B5812E6" w14:textId="77777777" w:rsidR="00575AC3" w:rsidRPr="006D40F0" w:rsidRDefault="00575AC3" w:rsidP="006D40F0">
      <w:r w:rsidRPr="006D40F0">
        <w:t>Bevilgningen på posten foreslås redusert med 100 mill. kroner til inndekning for økte flyktningutgifter i Norge og humanitær bistand til Gaza. Reduksjonen vil innebære forskyvning av utbetalinger til det nye landbruksinvesteringsfondet FASA, og redusert innsats innenfor matsikkerhet på landnivå i Afrika.</w:t>
      </w:r>
    </w:p>
    <w:p w14:paraId="0CD9E86F" w14:textId="77777777" w:rsidR="00575AC3" w:rsidRPr="006D40F0" w:rsidRDefault="00575AC3" w:rsidP="006D40F0">
      <w:pPr>
        <w:pStyle w:val="b-post"/>
      </w:pPr>
      <w:r w:rsidRPr="006D40F0">
        <w:t>Post 72 Fornybar energi, kan overføres</w:t>
      </w:r>
    </w:p>
    <w:p w14:paraId="1EB6ACDD" w14:textId="77777777" w:rsidR="00575AC3" w:rsidRPr="006D40F0" w:rsidRDefault="00575AC3" w:rsidP="006D40F0">
      <w:r w:rsidRPr="006D40F0">
        <w:t>Bevilgningen på posten foreslås redusert med 375 mill. kroner til inndekning for økte flyktningutgifter og humanitær bistand til Gaza.</w:t>
      </w:r>
    </w:p>
    <w:p w14:paraId="61125926" w14:textId="77777777" w:rsidR="00575AC3" w:rsidRPr="006D40F0" w:rsidRDefault="00575AC3" w:rsidP="006D40F0">
      <w:r w:rsidRPr="006D40F0">
        <w:t xml:space="preserve">Regjeringen foreslo i Prop. 1 S (2023–2024) å etablere en ny statlig garantiordning for fornybar energi i utviklingsland som Stortinget vedtok i </w:t>
      </w:r>
      <w:proofErr w:type="spellStart"/>
      <w:r w:rsidRPr="006D40F0">
        <w:t>Innst</w:t>
      </w:r>
      <w:proofErr w:type="spellEnd"/>
      <w:r w:rsidRPr="006D40F0">
        <w:t xml:space="preserve">. 7 S (2023–2024). Stortingets vedtak inkluderte en bevilgning til tapsavsetning på 375 mill. kroner og et romertallsvedtak om en garantiramme på 5 mrd. kroner for ordningen. Arbeidet med å etablere ordningen pågår fortsatt, men det vil ikke inngås avtaler eller utstedes garantier i 2024. Det er derfor ikke behov for tapsavsetningen i år. Det er derfor heller ikke behov for å benytte romertallsvedtak XV i Prop. 1 S (2023–2024) for Utenriksdepartementet om at departementet kan gi Norad fullmakt til å gi tilsagn om nye statsgarantier for inntil 5 mrd. kroner til fornybarinvesteringer i utviklingsland, og fullmakten utgår følgelig for </w:t>
      </w:r>
      <w:proofErr w:type="gramStart"/>
      <w:r w:rsidRPr="006D40F0">
        <w:t>2024 .</w:t>
      </w:r>
      <w:proofErr w:type="gramEnd"/>
      <w:r w:rsidRPr="006D40F0">
        <w:t xml:space="preserve"> Arbeidet med å etablere ordningen fortsetter i 2024 med sikte på at de første garantiene kan utstedes i løpet av første halvår av 2025. Regjeringen vil komme tilbake til Stortinget med forslag til justeringer i ordningens innretning, garantifullmakt og tapsavsetning i budsjettet for 2025.</w:t>
      </w:r>
    </w:p>
    <w:p w14:paraId="17F2EFDB" w14:textId="77777777" w:rsidR="00575AC3" w:rsidRPr="006D40F0" w:rsidRDefault="00575AC3" w:rsidP="006D40F0">
      <w:pPr>
        <w:pStyle w:val="b-budkaptit"/>
      </w:pPr>
      <w:r w:rsidRPr="006D40F0">
        <w:t>Kap. 163 Klima, miljø og hav</w:t>
      </w:r>
    </w:p>
    <w:p w14:paraId="5DE8715C" w14:textId="77777777" w:rsidR="00575AC3" w:rsidRPr="006D40F0" w:rsidRDefault="00575AC3" w:rsidP="006D40F0">
      <w:pPr>
        <w:pStyle w:val="b-post"/>
      </w:pPr>
      <w:r w:rsidRPr="006D40F0">
        <w:t>Post 70 Miljø og klima, kan overføres</w:t>
      </w:r>
    </w:p>
    <w:p w14:paraId="3951B73B" w14:textId="77777777" w:rsidR="00575AC3" w:rsidRPr="006D40F0" w:rsidRDefault="00575AC3" w:rsidP="006D40F0">
      <w:r w:rsidRPr="006D40F0">
        <w:t>Bevilgningen på posten foreslås redusert med 112 mill. kroner til inndekning for økte flyktningutgifter og humanitær bistand til Gaza. Reduksjonen vil innebære svekket fremdrift på implementering av klimatilpasningsstrategien, blant annet for klima- og værtjenester og naturbaserte løsninger.</w:t>
      </w:r>
    </w:p>
    <w:p w14:paraId="0EEF1FFD" w14:textId="77777777" w:rsidR="00575AC3" w:rsidRPr="006D40F0" w:rsidRDefault="00575AC3" w:rsidP="006D40F0">
      <w:r w:rsidRPr="006D40F0">
        <w:t xml:space="preserve">Det foreslås også å flytte 1,9 mill. kroner til kap. 151, post 74 </w:t>
      </w:r>
      <w:r w:rsidRPr="00575AC3">
        <w:rPr>
          <w:rStyle w:val="kursiv"/>
        </w:rPr>
        <w:t>Pliktige bidrag til FN-organisasjoner mv.</w:t>
      </w:r>
      <w:r w:rsidRPr="006D40F0">
        <w:t>, jf. omtale under kap. 151, post 74, for å dekke Norges pliktige bidrag til Forørkningskonvensjonen.</w:t>
      </w:r>
    </w:p>
    <w:p w14:paraId="06AAE051" w14:textId="77777777" w:rsidR="00575AC3" w:rsidRPr="006D40F0" w:rsidRDefault="00575AC3" w:rsidP="006D40F0">
      <w:r w:rsidRPr="006D40F0">
        <w:t>Bevilgningen på posten foreslås til sammen redusert med 113,9 mill. kroner.</w:t>
      </w:r>
    </w:p>
    <w:p w14:paraId="646C27C4" w14:textId="77777777" w:rsidR="00575AC3" w:rsidRPr="006D40F0" w:rsidRDefault="00575AC3" w:rsidP="006D40F0">
      <w:r w:rsidRPr="006D40F0">
        <w:t>Norge vil støtte det Multilaterale fondet (MLF) under Montrealprotokollen for perioden 2024–2026, med inntil 63 mill. kroner totalt basert på resultatene av påfyllingsforhandlingene høsten 2023 for MLF. Norges bidrag ble avklart på partsmøtet 23.-27. oktober 2023 etter at statsbudsjettet for 2024 var lagt frem. Det vises til forslag om romertallsvedtak</w:t>
      </w:r>
    </w:p>
    <w:p w14:paraId="243E67B7" w14:textId="77777777" w:rsidR="00575AC3" w:rsidRPr="006D40F0" w:rsidRDefault="00575AC3" w:rsidP="006D40F0">
      <w:pPr>
        <w:pStyle w:val="b-budkaptit"/>
      </w:pPr>
      <w:r w:rsidRPr="006D40F0">
        <w:lastRenderedPageBreak/>
        <w:t>Kap. 170 Sivilt samfunn</w:t>
      </w:r>
    </w:p>
    <w:p w14:paraId="091DA556" w14:textId="77777777" w:rsidR="00575AC3" w:rsidRPr="006D40F0" w:rsidRDefault="00575AC3" w:rsidP="006D40F0">
      <w:pPr>
        <w:pStyle w:val="b-post"/>
      </w:pPr>
      <w:r w:rsidRPr="006D40F0">
        <w:t>Post 70 Sivilt samfunn, kan overføres</w:t>
      </w:r>
    </w:p>
    <w:p w14:paraId="515C7D27" w14:textId="77777777" w:rsidR="00575AC3" w:rsidRPr="006D40F0" w:rsidRDefault="00575AC3" w:rsidP="006D40F0">
      <w:r w:rsidRPr="006D40F0">
        <w:t>Bevilgningen på posten foreslås redusert med 185 mill. kroner til inndekning for økte flyktningutgifter i Norge og humanitær bistand til Gaza. Reduksjonen vil ikke påvirke søknadsrunden for norske sivilsamfunnsorganisasjoner i 2024.</w:t>
      </w:r>
    </w:p>
    <w:p w14:paraId="643A21C0" w14:textId="77777777" w:rsidR="00575AC3" w:rsidRPr="006D40F0" w:rsidRDefault="00575AC3" w:rsidP="006D40F0">
      <w:pPr>
        <w:pStyle w:val="b-budkaptit"/>
      </w:pPr>
      <w:r w:rsidRPr="006D40F0">
        <w:t>Kap. 171 FNs utviklingsarbeid</w:t>
      </w:r>
    </w:p>
    <w:p w14:paraId="252DA1C3" w14:textId="77777777" w:rsidR="00575AC3" w:rsidRPr="006D40F0" w:rsidRDefault="00575AC3" w:rsidP="006D40F0">
      <w:pPr>
        <w:pStyle w:val="b-post"/>
      </w:pPr>
      <w:r w:rsidRPr="006D40F0">
        <w:t>Post 73 FN og multilateralt samarbeid, kan overføres</w:t>
      </w:r>
    </w:p>
    <w:p w14:paraId="62A3759A" w14:textId="77777777" w:rsidR="00575AC3" w:rsidRPr="006D40F0" w:rsidRDefault="00575AC3" w:rsidP="006D40F0">
      <w:r w:rsidRPr="006D40F0">
        <w:t>Bevilgningen på posten foreslås redusert med 3,6 mill. kroner til inndekning for økte flyktningutgifter i Norge og humanitær bistand til Gaza. Forslaget vil medføre redusert støtte til strategiske FN-tiltak.</w:t>
      </w:r>
    </w:p>
    <w:p w14:paraId="33E384E4" w14:textId="77777777" w:rsidR="00575AC3" w:rsidRPr="006D40F0" w:rsidRDefault="00575AC3" w:rsidP="006D40F0">
      <w:pPr>
        <w:pStyle w:val="b-budkaptit"/>
      </w:pPr>
      <w:r w:rsidRPr="006D40F0">
        <w:t>Kap. 172 Multilaterale finansinstitusjoner og gjeldslette</w:t>
      </w:r>
    </w:p>
    <w:p w14:paraId="3A6DE08A" w14:textId="77777777" w:rsidR="00575AC3" w:rsidRPr="006D40F0" w:rsidRDefault="00575AC3" w:rsidP="006D40F0">
      <w:pPr>
        <w:pStyle w:val="b-post"/>
      </w:pPr>
      <w:r w:rsidRPr="006D40F0">
        <w:t>Post 70 Verdensbanken, kan overføres</w:t>
      </w:r>
    </w:p>
    <w:p w14:paraId="244BF370" w14:textId="77777777" w:rsidR="00575AC3" w:rsidRPr="006D40F0" w:rsidRDefault="00575AC3" w:rsidP="006D40F0">
      <w:r w:rsidRPr="006D40F0">
        <w:t xml:space="preserve">Bevilgningen på posten foreslås redusert med 2,9 mill. kroner til inndekning for økte flyktningutgifter i Norge og humanitær bistand til Gaza. Det er et </w:t>
      </w:r>
      <w:proofErr w:type="spellStart"/>
      <w:r w:rsidRPr="006D40F0">
        <w:t>mindreforbruk</w:t>
      </w:r>
      <w:proofErr w:type="spellEnd"/>
      <w:r w:rsidRPr="006D40F0">
        <w:t xml:space="preserve"> på posten som skyldes valutajustering av utbetaling til Det internasjonale finansieringsinstituttet (IFC).</w:t>
      </w:r>
    </w:p>
    <w:p w14:paraId="10C6D958" w14:textId="77777777" w:rsidR="00575AC3" w:rsidRPr="006D40F0" w:rsidRDefault="00575AC3" w:rsidP="006D40F0">
      <w:pPr>
        <w:pStyle w:val="b-post"/>
      </w:pPr>
      <w:r w:rsidRPr="006D40F0">
        <w:t>Post 71 Regionale banker og fond, kan overføres</w:t>
      </w:r>
    </w:p>
    <w:p w14:paraId="378CCDA6" w14:textId="77777777" w:rsidR="00575AC3" w:rsidRPr="006D40F0" w:rsidRDefault="00575AC3" w:rsidP="006D40F0">
      <w:r w:rsidRPr="006D40F0">
        <w:t xml:space="preserve">Bevilgningen på posten foreslås redusert med 12,9 mill. kroner til inndekning for økte flyktningutgifter i Norge og humanitær bistand til Gaza. Det er et </w:t>
      </w:r>
      <w:proofErr w:type="spellStart"/>
      <w:r w:rsidRPr="006D40F0">
        <w:t>mindreforbruk</w:t>
      </w:r>
      <w:proofErr w:type="spellEnd"/>
      <w:r w:rsidRPr="006D40F0">
        <w:t xml:space="preserve"> på posten som skyldes valutajusteringer av utbetalinger til Den afrikanske utviklingsbanken (</w:t>
      </w:r>
      <w:proofErr w:type="spellStart"/>
      <w:r w:rsidRPr="006D40F0">
        <w:t>AfDB</w:t>
      </w:r>
      <w:proofErr w:type="spellEnd"/>
      <w:r w:rsidRPr="006D40F0">
        <w:t>) og Nordisk utviklingsfond (NDF).</w:t>
      </w:r>
    </w:p>
    <w:p w14:paraId="2FBA3A7D" w14:textId="77777777" w:rsidR="00575AC3" w:rsidRPr="006D40F0" w:rsidRDefault="00575AC3" w:rsidP="006D40F0">
      <w:r w:rsidRPr="006D40F0">
        <w:t>Norge deltar i forhandlinger om en generell garantikapitaløkning til Den afrikanske utviklingsbanken (</w:t>
      </w:r>
      <w:proofErr w:type="spellStart"/>
      <w:r w:rsidRPr="006D40F0">
        <w:t>AfDB</w:t>
      </w:r>
      <w:proofErr w:type="spellEnd"/>
      <w:r w:rsidRPr="006D40F0">
        <w:t>). En slik økning vil ikke medføre forpliktelser i form av kapitalinnskudd til banken. Formålet med økte garantier fra aksjonærene er å unngå at bankens årlige utlån må reduseres betydelig og for å trygge bankens trippel-A kredittverdighet. Behovet oppstår som en følge av nedgradering av USAs kredittverdighet. Norge har som utgangsposisjon å delta med et nivå som tilsvarer en økning i den norske statsgarantien med UA 687 mill. som er om lag 9,9 mrd. kroner (UA tilsvarer IMFs spesielle trekkrettigheter SDR). UA 687 mill. tilsvarer det nedre nivået som det forhandles om. Regjeringen vil informere Stortinget om utfallet av forhandlingene og ev. tilråding om alternativt nivå på norsk deltakelse.</w:t>
      </w:r>
    </w:p>
    <w:p w14:paraId="16629771" w14:textId="77777777" w:rsidR="00575AC3" w:rsidRPr="006D40F0" w:rsidRDefault="00575AC3" w:rsidP="006D40F0">
      <w:r w:rsidRPr="006D40F0">
        <w:t>Det foreslås derfor en ny fullmakt om deltakelse i kapitaløkning, jf. forslag til romertallsvedtak.</w:t>
      </w:r>
    </w:p>
    <w:p w14:paraId="5F588F35" w14:textId="77777777" w:rsidR="00575AC3" w:rsidRPr="006D40F0" w:rsidRDefault="00575AC3" w:rsidP="006D40F0">
      <w:pPr>
        <w:pStyle w:val="b-budkaptit"/>
      </w:pPr>
      <w:r w:rsidRPr="006D40F0">
        <w:lastRenderedPageBreak/>
        <w:t>Kap. 179 Flyktningtiltak i Norge</w:t>
      </w:r>
    </w:p>
    <w:p w14:paraId="637AD731" w14:textId="77777777" w:rsidR="00575AC3" w:rsidRPr="006D40F0" w:rsidRDefault="00575AC3" w:rsidP="006D40F0">
      <w:pPr>
        <w:pStyle w:val="b-post"/>
      </w:pPr>
      <w:r w:rsidRPr="006D40F0">
        <w:t>Post 21 Spesielle driftsutgifter</w:t>
      </w:r>
    </w:p>
    <w:p w14:paraId="7A9E6510" w14:textId="77777777" w:rsidR="00575AC3" w:rsidRPr="006D40F0" w:rsidRDefault="00575AC3" w:rsidP="006D40F0">
      <w:r w:rsidRPr="006D40F0">
        <w:t xml:space="preserve">I henhold til OECD/DACs retningslinjer kan visse </w:t>
      </w:r>
      <w:proofErr w:type="spellStart"/>
      <w:r w:rsidRPr="006D40F0">
        <w:t>førsteårsutgifter</w:t>
      </w:r>
      <w:proofErr w:type="spellEnd"/>
      <w:r w:rsidRPr="006D40F0">
        <w:t xml:space="preserve"> til flyktninger og asylsøkere i Norge klassifiseres som offisiell utviklingshjelp (ODA). Ansvaret for flyktningtiltak i Norge ligger under Justis- og beredskapsdepartementet, Arbeids- og inkluderingsdepartementet, Kunnskapsdepartementet, Helse- og omsorgsdepartementet og Barne- og familiedepartementet og budsjetteres over disse departementenes budsjetter. Bevilgningen under kap. 179, post 21 benyttes til å refundere beregnet ODA-andel av utgiftene til de fem departementene.</w:t>
      </w:r>
    </w:p>
    <w:p w14:paraId="29981717" w14:textId="77777777" w:rsidR="00575AC3" w:rsidRPr="006D40F0" w:rsidRDefault="00575AC3" w:rsidP="006D40F0">
      <w:r w:rsidRPr="006D40F0">
        <w:t>Basert på rapport fra Beregningsgruppen for utlendingsforvaltningen (BGU) og innspill fra de fem departementene øker anslaget for ODA-godkjente flyktningutgifter fra 3,77 mrd. kroner i Saldert budsjett 2024 til 4,9 mrd. kroner. Beløpet er basert på et planleggingstall på 35 000 ankomster, hvorav 30 000 ukrainere eller andre nasjonaliteter med opphold i Ukraina som vil søke om midlertidig kollektiv beskyttelse i Norge.</w:t>
      </w:r>
    </w:p>
    <w:p w14:paraId="4ABAA5FF" w14:textId="77777777" w:rsidR="00575AC3" w:rsidRPr="006D40F0" w:rsidRDefault="00575AC3" w:rsidP="006D40F0">
      <w:r w:rsidRPr="006D40F0">
        <w:t>Bevilgningen på posten foreslås økt med 1 170,4 mill. kroner.</w:t>
      </w:r>
    </w:p>
    <w:p w14:paraId="757EFCE7" w14:textId="77777777" w:rsidR="00575AC3" w:rsidRPr="006D40F0" w:rsidRDefault="00575AC3" w:rsidP="006D40F0">
      <w:pPr>
        <w:pStyle w:val="Undertittel"/>
      </w:pPr>
      <w:r w:rsidRPr="006D40F0">
        <w:t>Andre saker</w:t>
      </w:r>
    </w:p>
    <w:p w14:paraId="23B91EE2" w14:textId="77777777" w:rsidR="00575AC3" w:rsidRPr="006D40F0" w:rsidRDefault="00575AC3" w:rsidP="006D40F0">
      <w:pPr>
        <w:pStyle w:val="avsnitt-undertittel"/>
      </w:pPr>
      <w:r w:rsidRPr="006D40F0">
        <w:t>Nedrustning, ikke-spredning og kjernefysisk sikkerhet</w:t>
      </w:r>
    </w:p>
    <w:p w14:paraId="0FE28C69" w14:textId="77777777" w:rsidR="00575AC3" w:rsidRPr="006D40F0" w:rsidRDefault="00575AC3" w:rsidP="006D40F0">
      <w:r w:rsidRPr="006D40F0">
        <w:t>Det ble i behandlingen av Prop. 1 S (2023–2024) satt av 5 mill. til de norske nedrustningsorganisasjonene over kap. 118, post 72 Nedrustning, ikke-spredning og kjernefysisk sikkerhet mv. I budsjettforliket for 2024 ble posten økt med 10 mill. kroner øremerket til norske organisasjoner som jobber for kjernefysisk nedrustning. Midlene er fordelt med 2,5 mill. kroner til Nei til atomvåpen, 3 mill. kroner til Norske leger mot atomvåpen/ICAN Norge, 1,8 mill. kroner til Norges Fredsråd og 2,7 mill. kroner til Norsk folkehjelp. Det foreslås at beløpet på 5 mill. kroner som opprinnelig var avsatt brukes til andre formål innenfor samme post, inkludert støtte til andre nasjonale og internasjonale aktører innenfor nedrustning av masseødeleggelsesvåpen, cyber og verdensrommet.</w:t>
      </w:r>
    </w:p>
    <w:p w14:paraId="0131567D" w14:textId="77777777" w:rsidR="00575AC3" w:rsidRPr="006D40F0" w:rsidRDefault="00575AC3" w:rsidP="006D40F0">
      <w:pPr>
        <w:pStyle w:val="Overskrift2"/>
      </w:pPr>
      <w:r w:rsidRPr="006D40F0">
        <w:t>Kunnskapsdepartementet</w:t>
      </w:r>
    </w:p>
    <w:p w14:paraId="5CCFB1AE" w14:textId="77777777" w:rsidR="00575AC3" w:rsidRPr="006D40F0" w:rsidRDefault="00575AC3" w:rsidP="006D40F0">
      <w:pPr>
        <w:pStyle w:val="b-budkaptit"/>
      </w:pPr>
      <w:r w:rsidRPr="006D40F0">
        <w:t>Kap. 200 Kunnskapsdepartementet</w:t>
      </w:r>
    </w:p>
    <w:p w14:paraId="26E049DD" w14:textId="77777777" w:rsidR="00575AC3" w:rsidRPr="006D40F0" w:rsidRDefault="00575AC3" w:rsidP="006D40F0">
      <w:pPr>
        <w:pStyle w:val="b-post"/>
      </w:pPr>
      <w:r w:rsidRPr="006D40F0">
        <w:t>Post 01 Driftsutgifter</w:t>
      </w:r>
    </w:p>
    <w:p w14:paraId="057E6693" w14:textId="77777777" w:rsidR="00575AC3" w:rsidRPr="006D40F0" w:rsidRDefault="00575AC3" w:rsidP="006D40F0">
      <w:r w:rsidRPr="006D40F0">
        <w:t>Statsbygg har varslet at Kunnskapsdepartementets husleie vil bli nedjustert i 2024 som følge av at utgifter i forbindelse med tidligere rehabilitering/ombygging av lokalene i Kirkegata 18 og Tollbugata 12 etter leiekontrakten nå opphører. Bevilgningen foreslås derfor redusert med 8,5 mill. kroner.</w:t>
      </w:r>
    </w:p>
    <w:p w14:paraId="5D31CD39" w14:textId="77777777" w:rsidR="00575AC3" w:rsidRPr="006D40F0" w:rsidRDefault="00575AC3" w:rsidP="006D40F0">
      <w:pPr>
        <w:pStyle w:val="b-budkaptit"/>
      </w:pPr>
      <w:r w:rsidRPr="006D40F0">
        <w:lastRenderedPageBreak/>
        <w:t>Kap. 3200 Kunnskapsdepartementet</w:t>
      </w:r>
    </w:p>
    <w:p w14:paraId="5A9AE9E8" w14:textId="77777777" w:rsidR="00575AC3" w:rsidRPr="006D40F0" w:rsidRDefault="00575AC3" w:rsidP="006D40F0">
      <w:pPr>
        <w:pStyle w:val="b-post"/>
      </w:pPr>
      <w:r w:rsidRPr="006D40F0">
        <w:t>Post 03 (Ny) Inntekter fra fremleie</w:t>
      </w:r>
    </w:p>
    <w:p w14:paraId="040C6032" w14:textId="77777777" w:rsidR="00575AC3" w:rsidRPr="006D40F0" w:rsidRDefault="00575AC3" w:rsidP="006D40F0">
      <w:r w:rsidRPr="006D40F0">
        <w:t>Regjeringen foreslår å opprette en ny inntektspost for inntekter fra fremleie av deler av departementets lokaler i Tollbugata 12 til annen statlig virksomhet. Inntektene på posten tilfaller statskassen. Det foreslås en bevilgning på 3,7 mill. kroner på posten.</w:t>
      </w:r>
    </w:p>
    <w:p w14:paraId="69D31BC1" w14:textId="77777777" w:rsidR="00575AC3" w:rsidRPr="006D40F0" w:rsidRDefault="00575AC3" w:rsidP="006D40F0">
      <w:pPr>
        <w:pStyle w:val="b-budkaptit"/>
      </w:pPr>
      <w:r w:rsidRPr="006D40F0">
        <w:t>Kap. 220 Utdanningsdirektoratet</w:t>
      </w:r>
    </w:p>
    <w:p w14:paraId="62DCA0CA" w14:textId="77777777" w:rsidR="00575AC3" w:rsidRPr="006D40F0" w:rsidRDefault="00575AC3" w:rsidP="006D40F0">
      <w:pPr>
        <w:pStyle w:val="b-post"/>
      </w:pPr>
      <w:r w:rsidRPr="006D40F0">
        <w:t>Post 70 Tilskudd til læremidler mv., kan overføres, kan nyttes under post 21</w:t>
      </w:r>
    </w:p>
    <w:p w14:paraId="451151E1" w14:textId="77777777" w:rsidR="00575AC3" w:rsidRPr="006D40F0" w:rsidRDefault="00575AC3" w:rsidP="006D40F0">
      <w:r w:rsidRPr="006D40F0">
        <w:t>Midlene på posten skal bidra til at det blir utviklet og produsert læremidler der det ikke er grunnlag for kommersiell produksjon. Bevilgningsøkningen på posten de siste årene gjør det nødvendig å justere tilsagnsfullmakten. Dette på grunn av hovedregelen om at 50 pst. av tilskuddet tildeles i år 1 og at hhv. 20 pst. og 30 pst. tildeles i år 2 og 3. Regjeringen foreslår derfor at tilsagnsfullmakten under kap. 220, post 70 økes til 87 mill. kroner i statsbudsjettet for 2024, jf. forslag til romertallsvedtak.</w:t>
      </w:r>
    </w:p>
    <w:p w14:paraId="447EFF2D" w14:textId="77777777" w:rsidR="00575AC3" w:rsidRPr="006D40F0" w:rsidRDefault="00575AC3" w:rsidP="006D40F0">
      <w:pPr>
        <w:pStyle w:val="b-budkaptit"/>
      </w:pPr>
      <w:r w:rsidRPr="006D40F0">
        <w:t>Kap. 224 Tilskudd til freds- og menneskerettighetssentre</w:t>
      </w:r>
    </w:p>
    <w:p w14:paraId="57104467" w14:textId="77777777" w:rsidR="00575AC3" w:rsidRPr="006D40F0" w:rsidRDefault="00575AC3" w:rsidP="006D40F0">
      <w:pPr>
        <w:pStyle w:val="b-post"/>
      </w:pPr>
      <w:r w:rsidRPr="006D40F0">
        <w:t>Post 70 Freds- og menneskerettighetssentre</w:t>
      </w:r>
    </w:p>
    <w:p w14:paraId="261D0234" w14:textId="77777777" w:rsidR="00575AC3" w:rsidRPr="006D40F0" w:rsidRDefault="00575AC3" w:rsidP="006D40F0">
      <w:r w:rsidRPr="006D40F0">
        <w:t>Posten omfatter tilskudd til følgende freds- og menneskerettighetssentre</w:t>
      </w:r>
    </w:p>
    <w:p w14:paraId="41EA561D" w14:textId="77777777" w:rsidR="00575AC3" w:rsidRPr="006D40F0" w:rsidRDefault="00575AC3" w:rsidP="006D40F0">
      <w:pPr>
        <w:pStyle w:val="Liste"/>
      </w:pPr>
      <w:r w:rsidRPr="006D40F0">
        <w:t>Senter for studier av Holocaust og livssynsminoriteter (HL-senteret) (Oslo)</w:t>
      </w:r>
    </w:p>
    <w:p w14:paraId="55F66C7A" w14:textId="77777777" w:rsidR="00575AC3" w:rsidRPr="006D40F0" w:rsidRDefault="00575AC3" w:rsidP="006D40F0">
      <w:pPr>
        <w:pStyle w:val="Liste"/>
      </w:pPr>
      <w:r w:rsidRPr="006D40F0">
        <w:t>Falstadsenteret (Ekne i Trøndelag)</w:t>
      </w:r>
    </w:p>
    <w:p w14:paraId="69AC6B45" w14:textId="77777777" w:rsidR="00575AC3" w:rsidRPr="006D40F0" w:rsidRDefault="00575AC3" w:rsidP="006D40F0">
      <w:pPr>
        <w:pStyle w:val="Liste"/>
      </w:pPr>
      <w:r w:rsidRPr="006D40F0">
        <w:t>Arkivet freds- og menneskerettighetssenter (Kristiansand)</w:t>
      </w:r>
    </w:p>
    <w:p w14:paraId="169C25F0" w14:textId="77777777" w:rsidR="00575AC3" w:rsidRPr="006D40F0" w:rsidRDefault="00575AC3" w:rsidP="006D40F0">
      <w:pPr>
        <w:pStyle w:val="Liste"/>
      </w:pPr>
      <w:r w:rsidRPr="006D40F0">
        <w:t>Nansen Fredssenter (Lillehammer)</w:t>
      </w:r>
    </w:p>
    <w:p w14:paraId="7F6822EE" w14:textId="77777777" w:rsidR="00575AC3" w:rsidRPr="006D40F0" w:rsidRDefault="00575AC3" w:rsidP="006D40F0">
      <w:pPr>
        <w:pStyle w:val="Liste"/>
      </w:pPr>
      <w:r w:rsidRPr="006D40F0">
        <w:t>Narviksenteret (Narvik)</w:t>
      </w:r>
    </w:p>
    <w:p w14:paraId="5910EDE2" w14:textId="77777777" w:rsidR="00575AC3" w:rsidRPr="006D40F0" w:rsidRDefault="00575AC3" w:rsidP="006D40F0">
      <w:pPr>
        <w:pStyle w:val="Liste"/>
      </w:pPr>
      <w:proofErr w:type="spellStart"/>
      <w:r w:rsidRPr="006D40F0">
        <w:t>Raftostiftelsen</w:t>
      </w:r>
      <w:proofErr w:type="spellEnd"/>
      <w:r w:rsidRPr="006D40F0">
        <w:t xml:space="preserve"> (Bergen)</w:t>
      </w:r>
    </w:p>
    <w:p w14:paraId="7982E6D1" w14:textId="77777777" w:rsidR="00575AC3" w:rsidRPr="006D40F0" w:rsidRDefault="00575AC3" w:rsidP="006D40F0">
      <w:r w:rsidRPr="006D40F0">
        <w:t xml:space="preserve">Det foreslås å øke bevilgningen med 2,9 mill. kroner til å finansiere en stilling til hvert av freds- og menneskerettighetssentrene. Tiltaket følger opp anbefalinger fra Ekstremismekommisjonen, og skal bidra til å utvide sentrenes pedagogiske tilbud og deres arbeid med </w:t>
      </w:r>
      <w:proofErr w:type="spellStart"/>
      <w:r w:rsidRPr="006D40F0">
        <w:t>Dembra</w:t>
      </w:r>
      <w:proofErr w:type="spellEnd"/>
      <w:r w:rsidRPr="006D40F0">
        <w:t xml:space="preserve"> – Demokratisk beredskap mot rasisme og antisemittisme.</w:t>
      </w:r>
    </w:p>
    <w:p w14:paraId="2DDDD976" w14:textId="77777777" w:rsidR="00575AC3" w:rsidRPr="006D40F0" w:rsidRDefault="00575AC3" w:rsidP="006D40F0">
      <w:pPr>
        <w:pStyle w:val="b-post"/>
      </w:pPr>
      <w:r w:rsidRPr="006D40F0">
        <w:t xml:space="preserve">Post 71 Det europeiske </w:t>
      </w:r>
      <w:proofErr w:type="spellStart"/>
      <w:r w:rsidRPr="006D40F0">
        <w:t>Wergelandsenteret</w:t>
      </w:r>
      <w:proofErr w:type="spellEnd"/>
    </w:p>
    <w:p w14:paraId="32EC4F52" w14:textId="77777777" w:rsidR="00575AC3" w:rsidRPr="006D40F0" w:rsidRDefault="00575AC3" w:rsidP="006D40F0">
      <w:r w:rsidRPr="006D40F0">
        <w:t>Det foreslås å øke bevilgningen med 0,5 mill. kroner. Tiltaket skal bidra til å utvide det pedagogiske tilbudet ved senteret. Det vises til nærmere omtale under post 70.</w:t>
      </w:r>
    </w:p>
    <w:p w14:paraId="2EABD342" w14:textId="77777777" w:rsidR="00575AC3" w:rsidRPr="006D40F0" w:rsidRDefault="00575AC3" w:rsidP="006D40F0">
      <w:pPr>
        <w:pStyle w:val="b-budkaptit"/>
      </w:pPr>
      <w:r w:rsidRPr="006D40F0">
        <w:t>Kap. 225 Tiltak i grunnopplæringen</w:t>
      </w:r>
    </w:p>
    <w:p w14:paraId="10D455FC" w14:textId="77777777" w:rsidR="00575AC3" w:rsidRPr="006D40F0" w:rsidRDefault="00575AC3" w:rsidP="006D40F0">
      <w:pPr>
        <w:pStyle w:val="b-post"/>
      </w:pPr>
      <w:r w:rsidRPr="006D40F0">
        <w:t>Post 01 Driftsutgifter</w:t>
      </w:r>
    </w:p>
    <w:p w14:paraId="3CF35134" w14:textId="77777777" w:rsidR="00575AC3" w:rsidRPr="006D40F0" w:rsidRDefault="00575AC3" w:rsidP="006D40F0">
      <w:r w:rsidRPr="006D40F0">
        <w:t xml:space="preserve">Det foreslås å øke bevilgningen med 5 mill. kroner til statsforvalternes administrasjon av sentralt gitt eksamen i grunnopplæringen, inkl. sensorskolering og fellesarrangementer for sensorer. </w:t>
      </w:r>
      <w:r w:rsidRPr="006D40F0">
        <w:lastRenderedPageBreak/>
        <w:t>Utgiftsbehovet til dette har økt etter koronapandemien uten at bevilgningen er blitt økt tilsvarende. Skolering av sensorer er viktig for en god gjennomføring av sentralt gitt eksamen.</w:t>
      </w:r>
    </w:p>
    <w:p w14:paraId="5D7F1B9E" w14:textId="77777777" w:rsidR="00575AC3" w:rsidRPr="006D40F0" w:rsidRDefault="00575AC3" w:rsidP="006D40F0">
      <w:pPr>
        <w:pStyle w:val="b-post"/>
      </w:pPr>
      <w:r w:rsidRPr="006D40F0">
        <w:t>Post 61 Rentekompensasjon for investeringer i læringsarenaer og større utstyr som bidrar til mer praktisk og variert opplæring</w:t>
      </w:r>
    </w:p>
    <w:p w14:paraId="70537388" w14:textId="77777777" w:rsidR="00575AC3" w:rsidRPr="006D40F0" w:rsidRDefault="00575AC3" w:rsidP="006D40F0">
      <w:r w:rsidRPr="006D40F0">
        <w:t>Det foreslås å øke bevilgningen med 5 mill. kroner som følge av at renteforutsetningen for ordningen er økt.</w:t>
      </w:r>
    </w:p>
    <w:p w14:paraId="4C842144" w14:textId="77777777" w:rsidR="00575AC3" w:rsidRPr="006D40F0" w:rsidRDefault="00575AC3" w:rsidP="006D40F0">
      <w:pPr>
        <w:pStyle w:val="b-post"/>
      </w:pPr>
      <w:r w:rsidRPr="006D40F0">
        <w:t>Post 63 Tilskudd til samisk i grunnopplæringen, kan overføres</w:t>
      </w:r>
    </w:p>
    <w:p w14:paraId="03FD0719" w14:textId="77777777" w:rsidR="00575AC3" w:rsidRPr="006D40F0" w:rsidRDefault="00575AC3" w:rsidP="006D40F0">
      <w:r w:rsidRPr="006D40F0">
        <w:t>Det foreslås å øke bevilgningen med 19,5 mill. kroner. Av dette er 10,3 mill. kroner etterbetaling av tilskudd til opplæring for 2023. Det er videre et anslått merbehov til grunnskoleopplæring i samisk på 9,2 mill. kroner som følge av et høyere anslag for antall elever som utløser tilskudd enn lagt til grunn i saldert budsjett.</w:t>
      </w:r>
    </w:p>
    <w:p w14:paraId="1D05F1F2" w14:textId="77777777" w:rsidR="00575AC3" w:rsidRPr="006D40F0" w:rsidRDefault="00575AC3" w:rsidP="006D40F0">
      <w:pPr>
        <w:pStyle w:val="b-post"/>
      </w:pPr>
      <w:r w:rsidRPr="006D40F0">
        <w:t>Post 64 Tilskudd til opplæring av barn og unge som søker opphold i Norge</w:t>
      </w:r>
    </w:p>
    <w:p w14:paraId="081F9CAC" w14:textId="77777777" w:rsidR="00575AC3" w:rsidRPr="006D40F0" w:rsidRDefault="00575AC3" w:rsidP="006D40F0">
      <w:r w:rsidRPr="006D40F0">
        <w:t>Det foreslås å øke bevilgningen med 12 mill. kroner som følge av høyere anslag for antall elever som utløser tilskudd enn lagt til grunn i saldert budsjett. Merbehovet gjelder i hovedsak flyktninger fra Ukraina.</w:t>
      </w:r>
    </w:p>
    <w:p w14:paraId="3FCA1819" w14:textId="77777777" w:rsidR="00575AC3" w:rsidRPr="006D40F0" w:rsidRDefault="00575AC3" w:rsidP="006D40F0">
      <w:pPr>
        <w:pStyle w:val="b-post"/>
      </w:pPr>
      <w:r w:rsidRPr="006D40F0">
        <w:t>Post 65 Rentekompensasjon for skole- og svømmeanlegg, kan overføres</w:t>
      </w:r>
    </w:p>
    <w:p w14:paraId="470B57F7" w14:textId="77777777" w:rsidR="00575AC3" w:rsidRPr="006D40F0" w:rsidRDefault="00575AC3" w:rsidP="006D40F0">
      <w:r w:rsidRPr="006D40F0">
        <w:t>Det foreslås å øke bevilgningen med 92,2 mill. kroner som følge av at renteforutsetningen for ordningen er økt.</w:t>
      </w:r>
    </w:p>
    <w:p w14:paraId="193A7341" w14:textId="77777777" w:rsidR="00575AC3" w:rsidRPr="006D40F0" w:rsidRDefault="00575AC3" w:rsidP="006D40F0">
      <w:pPr>
        <w:pStyle w:val="b-post"/>
      </w:pPr>
      <w:r w:rsidRPr="006D40F0">
        <w:t>Post 69 Tiltak for fullføring og kvalifisering i videregående opplæring</w:t>
      </w:r>
    </w:p>
    <w:p w14:paraId="726433E4" w14:textId="77777777" w:rsidR="00575AC3" w:rsidRPr="006D40F0" w:rsidRDefault="00575AC3" w:rsidP="006D40F0">
      <w:r w:rsidRPr="006D40F0">
        <w:t xml:space="preserve">Ved en feil ble ikke 11,9 mill. kroner av den ekstraordinære lønns- og prisjusteringen på posten som ble bevilget i forbindelse med revidert nasjonalbudsjett for 2023, utbetalt til fylkeskommunene i fjor. Samtidig har fylkeskommunene rapportert om </w:t>
      </w:r>
      <w:proofErr w:type="spellStart"/>
      <w:r w:rsidRPr="006D40F0">
        <w:t>mindreforbruk</w:t>
      </w:r>
      <w:proofErr w:type="spellEnd"/>
      <w:r w:rsidRPr="006D40F0">
        <w:t xml:space="preserve"> av tilskuddsmidlene til formålet i 2023. Regjeringen foreslår derfor ikke å bevilge de 11,9 mill. kronene på nytt i 2024.</w:t>
      </w:r>
    </w:p>
    <w:p w14:paraId="0927A346" w14:textId="77777777" w:rsidR="00575AC3" w:rsidRPr="006D40F0" w:rsidRDefault="00575AC3" w:rsidP="006D40F0">
      <w:pPr>
        <w:pStyle w:val="b-budkaptit"/>
      </w:pPr>
      <w:r w:rsidRPr="006D40F0">
        <w:t>Kap. 3225 Tiltak i grunnopplæringen</w:t>
      </w:r>
    </w:p>
    <w:p w14:paraId="50AF6834" w14:textId="77777777" w:rsidR="00575AC3" w:rsidRPr="006D40F0" w:rsidRDefault="00575AC3" w:rsidP="006D40F0">
      <w:pPr>
        <w:pStyle w:val="b-post"/>
      </w:pPr>
      <w:r w:rsidRPr="006D40F0">
        <w:t>Post 04 Refusjon av ODA-godkjente utgifter</w:t>
      </w:r>
    </w:p>
    <w:p w14:paraId="743D806F" w14:textId="77777777" w:rsidR="00575AC3" w:rsidRPr="006D40F0" w:rsidRDefault="00575AC3" w:rsidP="006D40F0">
      <w:r w:rsidRPr="006D40F0">
        <w:t>Det foreslås å øke bevilgningen med 56,5 mill. kroner. Endringen skyldes i hovedsak økt anslag for tilskudd til opplæring av barn og unge som søker opphold som følge av krigen i Ukraina, jf. kap. 225, post 64. Opplæring av fordrevne fra Ukraina utløser 100 pst. ODA-refusjon.</w:t>
      </w:r>
    </w:p>
    <w:p w14:paraId="76751197" w14:textId="77777777" w:rsidR="00575AC3" w:rsidRPr="006D40F0" w:rsidRDefault="00575AC3" w:rsidP="006D40F0">
      <w:pPr>
        <w:pStyle w:val="b-budkaptit"/>
      </w:pPr>
      <w:r w:rsidRPr="006D40F0">
        <w:lastRenderedPageBreak/>
        <w:t>Kap. 226 Kvalitetsutvikling i grunnopplæringen</w:t>
      </w:r>
    </w:p>
    <w:p w14:paraId="0430C405" w14:textId="77777777" w:rsidR="00575AC3" w:rsidRPr="006D40F0" w:rsidRDefault="00575AC3" w:rsidP="006D40F0">
      <w:pPr>
        <w:pStyle w:val="b-post"/>
      </w:pPr>
      <w:r w:rsidRPr="006D40F0">
        <w:t>Post 21 Spesielle driftsutgifter, kan overføres</w:t>
      </w:r>
    </w:p>
    <w:p w14:paraId="5DDCB886" w14:textId="77777777" w:rsidR="00575AC3" w:rsidRPr="006D40F0" w:rsidRDefault="00575AC3" w:rsidP="006D40F0">
      <w:pPr>
        <w:pStyle w:val="avsnitt-undertittel"/>
      </w:pPr>
      <w:r w:rsidRPr="006D40F0">
        <w:t>Trykte læremidler</w:t>
      </w:r>
    </w:p>
    <w:p w14:paraId="779FDC2B" w14:textId="77777777" w:rsidR="00575AC3" w:rsidRPr="006D40F0" w:rsidRDefault="00575AC3" w:rsidP="006D40F0">
      <w:r w:rsidRPr="006D40F0">
        <w:t>Det foreslås å øke bevilgningen med 300 mill. kroner til et ettårig øremerket tilskudd til kommunene til innkjøp av trykte læremidler til elever i grunnskolen (1.–10. trinn). Mange skoler har investert i digitale læremidler i forbindelse med innføringen av fagfornyelsen og som følge av pandemien. Lesing på skjerm og lesing på papir krever ulik kompetanse og har ulike fordeler. Et ekstra tilskudd til kommunene til trykte læremidler vil bidra til at elevene har en bredere tilgang til læremidler som kan fremme leseferdigheter. Det vil også kunne legge bedre til rette for mer praktisk og variert læring og bidra til å understøtte fagfornyelsen.</w:t>
      </w:r>
    </w:p>
    <w:p w14:paraId="4ACE689D" w14:textId="77777777" w:rsidR="00575AC3" w:rsidRPr="006D40F0" w:rsidRDefault="00575AC3" w:rsidP="006D40F0">
      <w:pPr>
        <w:pStyle w:val="avsnitt-undertittel"/>
      </w:pPr>
      <w:r w:rsidRPr="006D40F0">
        <w:t>Skolebibliotek og lesestimulering</w:t>
      </w:r>
    </w:p>
    <w:p w14:paraId="6B9026C6" w14:textId="77777777" w:rsidR="00575AC3" w:rsidRPr="006D40F0" w:rsidRDefault="00575AC3" w:rsidP="006D40F0">
      <w:r w:rsidRPr="006D40F0">
        <w:t>Det foreslås 20 mill. kroner til å øke tilskuddet til skolebibliotek og lesestimulering. Midlene skal gå til kompetanseutvikling og personalressurser i skolebibliotekenes arbeid med lesing og leselyst i grunnskolen, og til veiledningstiltak for kommuner som ønsker å satse på skolebibliotek. Innsats i levekårsutsatte områder skal prioriteres. Økt tilskudd til skolebibliotek og lesestimulering ses i lys av den negative utviklingen i elevers leseferdigheter og lesemotivasjon, og er en del av regjeringens satsing på lesing.</w:t>
      </w:r>
    </w:p>
    <w:p w14:paraId="142C6EAC" w14:textId="77777777" w:rsidR="00575AC3" w:rsidRPr="006D40F0" w:rsidRDefault="00575AC3" w:rsidP="006D40F0">
      <w:pPr>
        <w:pStyle w:val="avsnitt-undertittel"/>
      </w:pPr>
      <w:proofErr w:type="spellStart"/>
      <w:r w:rsidRPr="006D40F0">
        <w:t>Dembras</w:t>
      </w:r>
      <w:proofErr w:type="spellEnd"/>
      <w:r w:rsidRPr="006D40F0">
        <w:t xml:space="preserve"> forebyggende arbeid i skolen, med særlig vekt på forebygging av antisemittiske holdninger og muslimfiendtlighet</w:t>
      </w:r>
    </w:p>
    <w:p w14:paraId="079E6FF7" w14:textId="77777777" w:rsidR="00575AC3" w:rsidRPr="006D40F0" w:rsidRDefault="00575AC3" w:rsidP="006D40F0">
      <w:r w:rsidRPr="006D40F0">
        <w:t xml:space="preserve">Det foreslås å bevilge 1,2 mill. kroner til </w:t>
      </w:r>
      <w:proofErr w:type="spellStart"/>
      <w:r w:rsidRPr="006D40F0">
        <w:t>Dembra</w:t>
      </w:r>
      <w:proofErr w:type="spellEnd"/>
      <w:r w:rsidRPr="006D40F0">
        <w:t xml:space="preserve"> for utvikling av kurs og materiell for forebygging av antisemittisme og digitale ressurser om muslimfiendtlighet. Dette skal bidra til å opprettholde skolens rolle som arena for samtale, innsikt og dypere forståelse i en situasjon der den offentlige samtalen har blitt mer polarisert. Dette er forsterket som følge av den pågående konflikten mellom Israel og Palestina. Det kan være utfordrende for lærere å ta opp temaer som konflikten mellom Israel og Palestina. Skolen trenger derfor både ressurser og kompetanseheving om disse utfordringene. Forslaget følger opp anbefalingene fra Ekstremismekommisjonen.</w:t>
      </w:r>
    </w:p>
    <w:p w14:paraId="643A020A" w14:textId="77777777" w:rsidR="00575AC3" w:rsidRPr="006D40F0" w:rsidRDefault="00575AC3" w:rsidP="006D40F0">
      <w:pPr>
        <w:pStyle w:val="avsnitt-undertittel"/>
      </w:pPr>
      <w:r w:rsidRPr="006D40F0">
        <w:t xml:space="preserve">Oppfølging av anmodningsvedtak om tilskudd til </w:t>
      </w:r>
      <w:proofErr w:type="spellStart"/>
      <w:r w:rsidRPr="006D40F0">
        <w:t>WorldSkills</w:t>
      </w:r>
      <w:proofErr w:type="spellEnd"/>
      <w:r w:rsidRPr="006D40F0">
        <w:t xml:space="preserve"> Norway</w:t>
      </w:r>
    </w:p>
    <w:p w14:paraId="206D1306" w14:textId="77777777" w:rsidR="00575AC3" w:rsidRPr="006D40F0" w:rsidRDefault="00575AC3" w:rsidP="006D40F0">
      <w:r w:rsidRPr="006D40F0">
        <w:t xml:space="preserve">Ved behandlingen av statsbudsjettet for 2024 gjorde Stortinget anmodningsvedtak nr. 268 (2023–2024) av 18. desember 2023, jf. </w:t>
      </w:r>
      <w:proofErr w:type="spellStart"/>
      <w:r w:rsidRPr="006D40F0">
        <w:t>Innst</w:t>
      </w:r>
      <w:proofErr w:type="spellEnd"/>
      <w:r w:rsidRPr="006D40F0">
        <w:t>. 12 S (2023–2024):</w:t>
      </w:r>
    </w:p>
    <w:p w14:paraId="137F9B68" w14:textId="77777777" w:rsidR="00575AC3" w:rsidRPr="006D40F0" w:rsidRDefault="00575AC3" w:rsidP="006D40F0">
      <w:pPr>
        <w:pStyle w:val="blokksit"/>
      </w:pPr>
      <w:r w:rsidRPr="006D40F0">
        <w:t>«Stortinget ber regjeringen sikre at staten bidrar med sin del, slik at World Skills får stabile rammevilkår slik at de kan arrangere skole-NM og andre yrkeskonkurranser.»</w:t>
      </w:r>
    </w:p>
    <w:p w14:paraId="2179B089" w14:textId="77777777" w:rsidR="00575AC3" w:rsidRPr="006D40F0" w:rsidRDefault="00575AC3" w:rsidP="006D40F0">
      <w:proofErr w:type="spellStart"/>
      <w:r w:rsidRPr="006D40F0">
        <w:t>WorldSkills</w:t>
      </w:r>
      <w:proofErr w:type="spellEnd"/>
      <w:r w:rsidRPr="006D40F0">
        <w:t xml:space="preserve"> Norway får tilskudd over kap. 225, post 75. Bevilgningen finansierer grunntilskudd til organisasjoner innenfor grunnopplæringen. Ordningen blir søknadsbasert fra høsten 2024. For våren 2024 får </w:t>
      </w:r>
      <w:proofErr w:type="spellStart"/>
      <w:r w:rsidRPr="006D40F0">
        <w:t>WorldSkills</w:t>
      </w:r>
      <w:proofErr w:type="spellEnd"/>
      <w:r w:rsidRPr="006D40F0">
        <w:t xml:space="preserve"> Norway et øremerket tilskudd på 2,1 mill. kroner, og Utdanningsdirektoratet har gjort vedtak om tilskudd på 2,1 kroner for høsten 2024. Totalt er det innvilget tilskudd til organisasjonen for tre år på til sammen 12,9 mill. kroner, med forbehold om </w:t>
      </w:r>
      <w:r w:rsidRPr="006D40F0">
        <w:lastRenderedPageBreak/>
        <w:t xml:space="preserve">Stortingets bevilgningsvedtak. Totalt søkte </w:t>
      </w:r>
      <w:proofErr w:type="spellStart"/>
      <w:r w:rsidRPr="006D40F0">
        <w:t>WorldSkills</w:t>
      </w:r>
      <w:proofErr w:type="spellEnd"/>
      <w:r w:rsidRPr="006D40F0">
        <w:t xml:space="preserve"> Norway om tilskudd på 22 mill. kroner for perioden, hvorav 6 mill. kroner i 2024.</w:t>
      </w:r>
    </w:p>
    <w:p w14:paraId="547643BF" w14:textId="77777777" w:rsidR="00575AC3" w:rsidRPr="006D40F0" w:rsidRDefault="00575AC3" w:rsidP="006D40F0">
      <w:proofErr w:type="spellStart"/>
      <w:r w:rsidRPr="006D40F0">
        <w:t>WorldSkills</w:t>
      </w:r>
      <w:proofErr w:type="spellEnd"/>
      <w:r w:rsidRPr="006D40F0">
        <w:t xml:space="preserve"> Norway har informert om at et årlig tilskudd som følger av </w:t>
      </w:r>
      <w:proofErr w:type="spellStart"/>
      <w:r w:rsidRPr="006D40F0">
        <w:t>tilskuddsvedtaket</w:t>
      </w:r>
      <w:proofErr w:type="spellEnd"/>
      <w:r w:rsidRPr="006D40F0">
        <w:t xml:space="preserve"> til Utdanningsdirektoratet ikke er tilstrekkelig til å arrangere skole-NM fremover. Organisasjonen må prioritere andre aktiviteter, som yrkes-NM for lærlinger og internasjonale konkurranser/yrkeslandslaget. Skole-NM arrangeres i partnerskap med fylkeskommunene og består av konkurranser på den enkelte skole, fylkesmesterskap og finaler. For å kunne arrangere skole-NM i 2025 må </w:t>
      </w:r>
      <w:proofErr w:type="spellStart"/>
      <w:r w:rsidRPr="006D40F0">
        <w:t>WorldSkills</w:t>
      </w:r>
      <w:proofErr w:type="spellEnd"/>
      <w:r w:rsidRPr="006D40F0">
        <w:t xml:space="preserve"> Norway starte planlegging og aktiviteter i 2024. Organisasjonen har anslått det årlige tilskuddsbehovet til å arrangere skole-NM til 2 mill. kroner.</w:t>
      </w:r>
    </w:p>
    <w:p w14:paraId="5811D745" w14:textId="77777777" w:rsidR="00575AC3" w:rsidRPr="006D40F0" w:rsidRDefault="00575AC3" w:rsidP="006D40F0">
      <w:r w:rsidRPr="006D40F0">
        <w:t xml:space="preserve">Regjeringen foreslår å gi et tilskudd på 2 mill. kroner i 2024 til </w:t>
      </w:r>
      <w:proofErr w:type="spellStart"/>
      <w:r w:rsidRPr="006D40F0">
        <w:t>WorldSkills</w:t>
      </w:r>
      <w:proofErr w:type="spellEnd"/>
      <w:r w:rsidRPr="006D40F0">
        <w:t xml:space="preserve"> Norway til å arrangere skole-NM. Tilskuddet skal bidra til motivasjon, økt rekruttering og bedre kunnskap om yrkesfagene. Tilskuddet dekkes innenfor gjeldende bevilgning på posten.</w:t>
      </w:r>
    </w:p>
    <w:p w14:paraId="3F7C4696" w14:textId="77777777" w:rsidR="00575AC3" w:rsidRPr="006D40F0" w:rsidRDefault="00575AC3" w:rsidP="006D40F0">
      <w:r w:rsidRPr="006D40F0">
        <w:t>Anmodningsvedtaket anses med dette som fulgt opp.</w:t>
      </w:r>
    </w:p>
    <w:p w14:paraId="1DACBE23" w14:textId="77777777" w:rsidR="00575AC3" w:rsidRPr="006D40F0" w:rsidRDefault="00575AC3" w:rsidP="006D40F0">
      <w:pPr>
        <w:pStyle w:val="avsnitt-undertittel"/>
      </w:pPr>
      <w:r w:rsidRPr="006D40F0">
        <w:t>Oppsummering</w:t>
      </w:r>
    </w:p>
    <w:p w14:paraId="07070FCC" w14:textId="77777777" w:rsidR="00575AC3" w:rsidRPr="006D40F0" w:rsidRDefault="00575AC3" w:rsidP="006D40F0">
      <w:r w:rsidRPr="006D40F0">
        <w:t>Samlet foreslås bevilgningen på posten økt med 321,2 mill. kroner.</w:t>
      </w:r>
    </w:p>
    <w:p w14:paraId="34F5B8BC" w14:textId="77777777" w:rsidR="00575AC3" w:rsidRPr="006D40F0" w:rsidRDefault="00575AC3" w:rsidP="006D40F0">
      <w:pPr>
        <w:pStyle w:val="b-budkaptit"/>
      </w:pPr>
      <w:r w:rsidRPr="006D40F0">
        <w:t>Kap. 228 Tilskudd til private skoler mv.</w:t>
      </w:r>
    </w:p>
    <w:p w14:paraId="51BCE3E8" w14:textId="77777777" w:rsidR="00575AC3" w:rsidRPr="006D40F0" w:rsidRDefault="00575AC3" w:rsidP="006D40F0">
      <w:pPr>
        <w:pStyle w:val="b-post"/>
      </w:pPr>
      <w:r w:rsidRPr="006D40F0">
        <w:t>Post 70 Private grunnskoler, overslagsbevilgning</w:t>
      </w:r>
    </w:p>
    <w:p w14:paraId="56800C6D" w14:textId="77777777" w:rsidR="00575AC3" w:rsidRPr="006D40F0" w:rsidRDefault="00575AC3" w:rsidP="006D40F0">
      <w:pPr>
        <w:pStyle w:val="avsnitt-undertittel"/>
      </w:pPr>
      <w:r w:rsidRPr="006D40F0">
        <w:t>Ny tilskuddsmodell for private grunnskoler – kompenserende tiltak</w:t>
      </w:r>
    </w:p>
    <w:p w14:paraId="0969A6F0" w14:textId="77777777" w:rsidR="00575AC3" w:rsidRPr="006D40F0" w:rsidRDefault="00575AC3" w:rsidP="006D40F0">
      <w:r w:rsidRPr="006D40F0">
        <w:t>Privatskoler som er godkjent etter privatskoleloven skal ha økonomiske vilkår til å gi elevene en opplæring som er jevngod med opplæringen i den offentlige skolen. Det skal være mulig å opprette og drive private skoler i alle deler av landet, også der elevgrunnlaget er lite. Dagens tilskuddsmodell tar hensyn til dette, blant annet ved at skolene får en høyere tilskuddssats for de første elevene på skolen. Siden private skoler i snitt har færre elever enn kommunale skoler, bidrar det til et høyt driftstilskudd per elev i private skoler sett i forhold til gjennomsnittsutgiftene per elev i de fleste kommuner.</w:t>
      </w:r>
    </w:p>
    <w:p w14:paraId="353609E6" w14:textId="77777777" w:rsidR="00575AC3" w:rsidRPr="006D40F0" w:rsidRDefault="00575AC3" w:rsidP="006D40F0">
      <w:r w:rsidRPr="006D40F0">
        <w:t xml:space="preserve">I statsbudsjettet for 2024 foreslo regjeringen en ny tilskuddsmodell for private grunnskoler fra høsten 2024. Den nye tilskuddsmodellen er i hovedsak en videreføring av modellen som ble brukt i perioden 2011–20. Samtidig foreslo regjeringen å endre beregningspraksisen for private grunnskoler som både har barne- og ungdomstrinn (kombinerte skoler). Det har lenge vært en beregningspraksis der kombinerte skoler får høy sats for de første elevene på både barne- og ungdomstrinnet. Kunnskapsdepartementet vurderer at denne beregningspraksisen ikke er i tråd med intensjonene bak finansieringsmodellen siden kombinerte skoler i praksis har blitt kompensert for smådriftsulemper to ganger. Departementet foreslo derfor å endre beregningspraksisen slik at kombinerte skoler kompenseres for smådriftsulemper én gang. Den nye tilskuddsmodellen for private grunnskoler er nærmere omtalt i Prop. 1 S (2023–2024) for Kunnskapsdepartementet, kap. 12 </w:t>
      </w:r>
      <w:r w:rsidRPr="00575AC3">
        <w:rPr>
          <w:rStyle w:val="kursiv"/>
        </w:rPr>
        <w:t>Ny tilskuddsmodell for private grunnskoler</w:t>
      </w:r>
      <w:r w:rsidRPr="006D40F0">
        <w:t>. Stortinget bevilget midler i tråd med regjeringens forslag.</w:t>
      </w:r>
    </w:p>
    <w:p w14:paraId="752685AF" w14:textId="77777777" w:rsidR="00575AC3" w:rsidRPr="006D40F0" w:rsidRDefault="00575AC3" w:rsidP="006D40F0">
      <w:r w:rsidRPr="006D40F0">
        <w:lastRenderedPageBreak/>
        <w:t>I Prop. 65 L (2023–2024) foreslår regjeringen endringer i privatskoleloven som en oppfølging av Stortingets budsjettvedtak. Utdanningsdirektoratet har på vegne av Kunnskapsdepartementet sendt på høring forslag til forskriftsendringer om ny tilskuddsmodell for private grunnskoler.</w:t>
      </w:r>
    </w:p>
    <w:p w14:paraId="61E36F34" w14:textId="77777777" w:rsidR="00575AC3" w:rsidRPr="006D40F0" w:rsidRDefault="00575AC3" w:rsidP="006D40F0">
      <w:r w:rsidRPr="006D40F0">
        <w:t>Ny tilskuddsmodell og endret beregningspraksis ble anslått å redusere utgiftene over statsbudsjettet med 51,5 mill. kroner i 2024, og 515 mill. kroner når endringen er fullt faset inn høsten 2029. Isolert sett er det anslått at den tidligere beregningspraksisen for kombinerte private grunnskoler innebærer en årlig merutgift for staten på 573 mill. kroner (avhengig av elevtall).</w:t>
      </w:r>
    </w:p>
    <w:p w14:paraId="6D2DF5A1" w14:textId="77777777" w:rsidR="00575AC3" w:rsidRPr="006D40F0" w:rsidRDefault="00575AC3" w:rsidP="006D40F0">
      <w:r w:rsidRPr="006D40F0">
        <w:t>Forslagene om ny tilskuddsmodell og endret beregningspraksis førte til reaksjoner fra privatskolesektoren høsten 2023. Den 8. november 2023 uttalte regjeringen at den ville gjennomføre omleggingen til ny tilskuddsmodell, men at det skulle vurderes andre endringer i tilskuddet til private grunnskoler i revidert nasjonalbudsjett for 2024, slik at reduksjonen i tilskudd blir mindre enn anslaget på 515 mill. kroner. Det ble også satt ned en arbeidsgruppe ledet av Kunnskapsdepartementet, der representanter fra Utdanningsdirektoratet og privatskoleorganisasjonene også deltok, for å gi et godt kunnskapsgrunnlag for endringene i revidert nasjonalbudsjett for 2024. Arbeidsgruppen ferdigstilte sin rapport 9. april i år.</w:t>
      </w:r>
    </w:p>
    <w:p w14:paraId="1735163B" w14:textId="77777777" w:rsidR="00575AC3" w:rsidRPr="006D40F0" w:rsidRDefault="00575AC3" w:rsidP="006D40F0">
      <w:r w:rsidRPr="006D40F0">
        <w:t>Departementet foreslår følgende endringer i tilskuddsmodellen, med innfasing fra høsten 2024:</w:t>
      </w:r>
    </w:p>
    <w:p w14:paraId="6AA288E8" w14:textId="77777777" w:rsidR="00575AC3" w:rsidRPr="006D40F0" w:rsidRDefault="00575AC3" w:rsidP="006D40F0">
      <w:pPr>
        <w:pStyle w:val="Liste"/>
      </w:pPr>
      <w:r w:rsidRPr="006D40F0">
        <w:t>Bruke årsverk for å beregne sats for barnetrinn og ungdomstrinn</w:t>
      </w:r>
    </w:p>
    <w:p w14:paraId="786B2450" w14:textId="77777777" w:rsidR="00575AC3" w:rsidRPr="006D40F0" w:rsidRDefault="00575AC3" w:rsidP="006D40F0">
      <w:pPr>
        <w:pStyle w:val="Liste"/>
      </w:pPr>
      <w:r w:rsidRPr="006D40F0">
        <w:t>Bruke ungdomstrinnsats for alle elever på kombinerte skoler</w:t>
      </w:r>
    </w:p>
    <w:p w14:paraId="415D10D1" w14:textId="77777777" w:rsidR="00575AC3" w:rsidRPr="006D40F0" w:rsidRDefault="00575AC3" w:rsidP="006D40F0">
      <w:pPr>
        <w:pStyle w:val="avsnitt-under-undertittel"/>
      </w:pPr>
      <w:r w:rsidRPr="006D40F0">
        <w:t>Bruk av årsverk for å beregne satser for barnetrinn og ungdomstrinn</w:t>
      </w:r>
    </w:p>
    <w:p w14:paraId="2A5AF03A" w14:textId="77777777" w:rsidR="00575AC3" w:rsidRPr="006D40F0" w:rsidRDefault="00575AC3" w:rsidP="006D40F0">
      <w:r w:rsidRPr="006D40F0">
        <w:t>Konsulentselskapet EY, på oppdrag fra arbeidsgruppen, fant at kostnad per elev er betydelig lavere i rene barneskoler enn i ungdomsskoler og kombinerte skoler</w:t>
      </w:r>
      <w:r w:rsidRPr="006D40F0">
        <w:rPr>
          <w:rStyle w:val="Fotnotereferanse"/>
        </w:rPr>
        <w:footnoteReference w:id="2"/>
      </w:r>
      <w:r w:rsidRPr="006D40F0">
        <w:t>. Denne kostnadsforskjellen er klart høyere enn forskjellen mellom satsene for barnetrinn og ungdomstrinn i tilskuddsmodellen. Det har over tid blitt mindre forskjell mellom årstimene på barnetrinn og ungdomstrinn, ettersom det har kommet flere årstimer i barnetrinnet. I gjeldende modell er satsene til private grunnskoler fordelt på barnetrinn og ungdomstrinn basert på lærertimer per elev. Det kan være mer rimelig å fordele satsene for trinnene på antall årsverk. Denne endringen vil isolert sett redusere satsene for barnetrinn med 3 pst., mens satsene for ungdomstrinn økes med 6 pst.</w:t>
      </w:r>
    </w:p>
    <w:p w14:paraId="7DBEB3CA" w14:textId="77777777" w:rsidR="00575AC3" w:rsidRPr="006D40F0" w:rsidRDefault="00575AC3" w:rsidP="006D40F0">
      <w:pPr>
        <w:pStyle w:val="avsnitt-under-undertittel"/>
      </w:pPr>
      <w:r w:rsidRPr="006D40F0">
        <w:t>Utbetale satser for ungdomstrinn for alle elever ved kombinerte grunnskoler</w:t>
      </w:r>
    </w:p>
    <w:p w14:paraId="18043A9B" w14:textId="77777777" w:rsidR="00575AC3" w:rsidRPr="006D40F0" w:rsidRDefault="00575AC3" w:rsidP="006D40F0">
      <w:r w:rsidRPr="006D40F0">
        <w:t>Analysene til EY peker mot at gjennomsnittlige driftsutgifter i kombinerte skoler er om lag på nivå med rene ungdomsskoler og klart høyere enn rene barneskoler. Det tilsier at det kan være riktig å utbetale satser for ungdomstrinn for alle elever på kombinerte skoler, også elever på barnetrinn. Regjeringen foreslår derfor at satsene for ungdomstrinn brukes for alle elever på kombinerte skoler, inkl. elever på barnetrinn. Endringen gjelder kun for skoler som har elever på både barnetrinn og ungdomstrinn.</w:t>
      </w:r>
    </w:p>
    <w:p w14:paraId="75490746" w14:textId="77777777" w:rsidR="00575AC3" w:rsidRPr="006D40F0" w:rsidRDefault="00575AC3" w:rsidP="006D40F0">
      <w:r w:rsidRPr="006D40F0">
        <w:t xml:space="preserve">Endringene er anslått å ha en samlet budsjetteffekt på 184 mill. kroner som helårseffekt. Det legges opp til å fase inn endringene over fem år, i takt med ny tilskuddsmodell og endret </w:t>
      </w:r>
      <w:r w:rsidRPr="006D40F0">
        <w:lastRenderedPageBreak/>
        <w:t>beregningspraksis for kombinerte skoler. Budsjetteffekten for høsten 2024 er anslått til 19 mill. kroner (totalt for post 70, 73 og 77). Av hensyn til forutsigbarhet for de rene barneskolene, kompenseres det for effekten av redusert sats for de rene barneskolene for skoleåret 2024–25. Det gir isolert sett et økt bevilgningsbehov på 1,5 mill. kroner i 2024, slik at total effekt i 2024 blir 20,5 mill. kroner.</w:t>
      </w:r>
    </w:p>
    <w:p w14:paraId="0DA906C3" w14:textId="77777777" w:rsidR="00575AC3" w:rsidRPr="006D40F0" w:rsidRDefault="00575AC3" w:rsidP="006D40F0">
      <w:pPr>
        <w:pStyle w:val="avsnitt-under-undertittel"/>
      </w:pPr>
      <w:r w:rsidRPr="006D40F0">
        <w:t>Særtilskudd til private kombinerte grunnskoler</w:t>
      </w:r>
    </w:p>
    <w:p w14:paraId="287523E8" w14:textId="77777777" w:rsidR="00575AC3" w:rsidRPr="006D40F0" w:rsidRDefault="00575AC3" w:rsidP="006D40F0">
      <w:r w:rsidRPr="006D40F0">
        <w:t>Det er stor variasjon i hvordan privatskolene påvirkes av ny tilskuddsmodell og endret beregningspraksis for kombinerte skoler. Enkelte kombinerte barne- og ungdomsskoler får et betydelig lavere tilskudd enn i dag når endringene er fullt innfaset. De foreslåtte endringene over vil bidra til å mindre reduksjon i tilskudd for kombinerte skoler. Likevel er det fremdeles en del kombinerte skoler som får betydelig reduksjon i tilskuddet som følge av ny beregningspraksis. For å motvirke effektene av dette, foreslås det å opprette et særtilskudd til private kombinerte grunnskoler, jf. omtale under ny post 85. Tilskuddet skal trappes opp gradvis i takt med innfasingen av ny tilskuddsmodell og beregningspraksis. Det tas sikte på at særtilskuddet skal utgjøre 300 mill. kroner når det er fullt opptrappet. For høsten 2024 foreslås det et tilskudd på 30 mill. kroner. Tilskuddet vil gis per elev i de kombinerte skolene i intervallet 46–90. Departementet vurderer at denne innretningen bidrar til en god kompensasjon av skolene med størst reduksjon i tilskudd som følge av ny beregningspraksis for kombinerte skoler.</w:t>
      </w:r>
    </w:p>
    <w:p w14:paraId="30EF568C" w14:textId="77777777" w:rsidR="00575AC3" w:rsidRPr="006D40F0" w:rsidRDefault="00575AC3" w:rsidP="006D40F0">
      <w:pPr>
        <w:pStyle w:val="avsnitt-under-undertittel"/>
      </w:pPr>
      <w:r w:rsidRPr="006D40F0">
        <w:t>Forslag til bevilgningsendring på posten</w:t>
      </w:r>
    </w:p>
    <w:p w14:paraId="68D7F579" w14:textId="77777777" w:rsidR="00575AC3" w:rsidRPr="006D40F0" w:rsidRDefault="00575AC3" w:rsidP="006D40F0">
      <w:r w:rsidRPr="006D40F0">
        <w:t>Det foreslås å øke bevilgningen med 19 mill. kroner som følge av ny måte å beregne satser for barnetrinn og ungdomstrinn og at satsen for ungdomstrinn brukes for alle elever på kombinerte skoler.</w:t>
      </w:r>
    </w:p>
    <w:p w14:paraId="3FF12123" w14:textId="77777777" w:rsidR="00575AC3" w:rsidRPr="006D40F0" w:rsidRDefault="00575AC3" w:rsidP="006D40F0">
      <w:pPr>
        <w:pStyle w:val="b-post"/>
      </w:pPr>
      <w:r w:rsidRPr="006D40F0">
        <w:t>Post 71 Private videregående skoler, overslagsbevilgning</w:t>
      </w:r>
    </w:p>
    <w:p w14:paraId="2091110F" w14:textId="77777777" w:rsidR="00575AC3" w:rsidRPr="006D40F0" w:rsidRDefault="00575AC3" w:rsidP="006D40F0">
      <w:r w:rsidRPr="006D40F0">
        <w:t xml:space="preserve">Ved behandlingen av statsbudsjettet for 2024 skrev et flertall i utdannings- forskningskomiteen følgende merknad, jf. </w:t>
      </w:r>
      <w:proofErr w:type="spellStart"/>
      <w:r w:rsidRPr="006D40F0">
        <w:t>Innst</w:t>
      </w:r>
      <w:proofErr w:type="spellEnd"/>
      <w:r w:rsidRPr="006D40F0">
        <w:t>. 12 S (2023–2024):</w:t>
      </w:r>
    </w:p>
    <w:p w14:paraId="78484204" w14:textId="77777777" w:rsidR="00575AC3" w:rsidRPr="006D40F0" w:rsidRDefault="00575AC3" w:rsidP="006D40F0">
      <w:pPr>
        <w:pStyle w:val="blokksit"/>
      </w:pPr>
      <w:r w:rsidRPr="006D40F0">
        <w:t>«Komiteens flertall, medlemmene fra Arbeiderpartiet, Senterpartiet og Sosialistisk Venstrepartiet, ber om en gjennomgang av finansieringssystemet for de private videregående skolene. I den sammenhengen vil det være mulig å se på situasjonen til Kongshaug Musikkgymnas, Oslo by steinerskole og Kristen VGS Vennesla.»</w:t>
      </w:r>
    </w:p>
    <w:p w14:paraId="07197DEE" w14:textId="77777777" w:rsidR="00575AC3" w:rsidRPr="006D40F0" w:rsidRDefault="00575AC3" w:rsidP="006D40F0">
      <w:r w:rsidRPr="006D40F0">
        <w:t>Departementet foreslår å gjeninnføre særtilskuddet for Oslo by steinerskole og Kongshaug Musikkgymnas fra høsten 2024. Det foreslås derfor å øke bevilgningen med 5,1 mill. kroner. Dette fordeler seg med 2,4 mill. kroner til Kongshaug Musikkgymnas og 2,7 mill. kroner til Oslo by steinerskole.</w:t>
      </w:r>
    </w:p>
    <w:p w14:paraId="7800CB48" w14:textId="77777777" w:rsidR="00575AC3" w:rsidRPr="006D40F0" w:rsidRDefault="00575AC3" w:rsidP="006D40F0">
      <w:pPr>
        <w:pStyle w:val="b-post"/>
      </w:pPr>
      <w:r w:rsidRPr="006D40F0">
        <w:t>Post 73 Private grunnskoler i utlandet, overslagsbevilgning</w:t>
      </w:r>
    </w:p>
    <w:p w14:paraId="51836F5C" w14:textId="77777777" w:rsidR="00575AC3" w:rsidRPr="006D40F0" w:rsidRDefault="00575AC3" w:rsidP="006D40F0">
      <w:r w:rsidRPr="006D40F0">
        <w:t>Det foreslås å øke bevilgningen med 0,7 mill. kroner som følge av ny måte å beregne satser for barnetrinn og ungdomstrinn og at satsen for ungdomstrinn brukes for alle elever på kombinerte skoler, jf. nærmere omtale under post 70.</w:t>
      </w:r>
    </w:p>
    <w:p w14:paraId="3A53ECF8" w14:textId="77777777" w:rsidR="00575AC3" w:rsidRPr="006D40F0" w:rsidRDefault="00575AC3" w:rsidP="006D40F0">
      <w:pPr>
        <w:pStyle w:val="b-post"/>
      </w:pPr>
      <w:r w:rsidRPr="006D40F0">
        <w:lastRenderedPageBreak/>
        <w:t>Post 77 Den tysk-norske skolen i Oslo, overslagsbevilgning</w:t>
      </w:r>
    </w:p>
    <w:p w14:paraId="40B6CA0C" w14:textId="77777777" w:rsidR="00575AC3" w:rsidRPr="006D40F0" w:rsidRDefault="00575AC3" w:rsidP="006D40F0">
      <w:r w:rsidRPr="006D40F0">
        <w:t>Det foreslås å øke bevilgningen med 0,8 mill. kroner som følge av ny måte å beregne satser for barnetrinn og ungdomstrinn og at satsen for ungdomstrinn brukes for alle elever på kombinerte skoler, jf. nærmere omtale under post 70.</w:t>
      </w:r>
    </w:p>
    <w:p w14:paraId="3F72140A" w14:textId="77777777" w:rsidR="00575AC3" w:rsidRPr="006D40F0" w:rsidRDefault="00575AC3" w:rsidP="006D40F0">
      <w:pPr>
        <w:pStyle w:val="b-post"/>
      </w:pPr>
      <w:r w:rsidRPr="006D40F0">
        <w:t>Post 85 (Ny) Særtilskudd til private kombinerte grunnskoler</w:t>
      </w:r>
    </w:p>
    <w:p w14:paraId="167789C5" w14:textId="77777777" w:rsidR="00575AC3" w:rsidRPr="006D40F0" w:rsidRDefault="00575AC3" w:rsidP="006D40F0">
      <w:r w:rsidRPr="006D40F0">
        <w:t xml:space="preserve">Det foreslås å opprette et særtilskudd til private kombinerte grunnskoler for å kompensere for </w:t>
      </w:r>
      <w:proofErr w:type="spellStart"/>
      <w:r w:rsidRPr="006D40F0">
        <w:t>tilskuddsreduksjon</w:t>
      </w:r>
      <w:proofErr w:type="spellEnd"/>
      <w:r w:rsidRPr="006D40F0">
        <w:t xml:space="preserve"> som følge av ny tilskuddsmodell og beregningspraksis for private kombinerte grunnskoler. Tilskuddet vil gis per elev i de kombinerte skolene i intervallet 46–90 elever. Tilskuddet vil gis til kombinerte skoler som får tilskudd over </w:t>
      </w:r>
      <w:proofErr w:type="spellStart"/>
      <w:r w:rsidRPr="006D40F0">
        <w:t>kap</w:t>
      </w:r>
      <w:proofErr w:type="spellEnd"/>
      <w:r w:rsidRPr="006D40F0">
        <w:t>, 228, post 70 (private grunnskoler i Norge) og post 73 (private grunnskoler i utlandet). Det foreslås en bevilgning på 30 mill. kroner på posten.</w:t>
      </w:r>
    </w:p>
    <w:p w14:paraId="02ECFEA5" w14:textId="77777777" w:rsidR="00575AC3" w:rsidRPr="006D40F0" w:rsidRDefault="00575AC3" w:rsidP="006D40F0">
      <w:pPr>
        <w:pStyle w:val="b-budkaptit"/>
      </w:pPr>
      <w:r w:rsidRPr="006D40F0">
        <w:t>Kap. 229 22. juli-senteret</w:t>
      </w:r>
    </w:p>
    <w:p w14:paraId="58F1BCA2" w14:textId="77777777" w:rsidR="00575AC3" w:rsidRPr="006D40F0" w:rsidRDefault="00575AC3" w:rsidP="006D40F0">
      <w:pPr>
        <w:pStyle w:val="b-post"/>
      </w:pPr>
      <w:r w:rsidRPr="006D40F0">
        <w:t>Post 01 Driftsutgifter</w:t>
      </w:r>
    </w:p>
    <w:p w14:paraId="4CDE71A3" w14:textId="77777777" w:rsidR="00575AC3" w:rsidRPr="006D40F0" w:rsidRDefault="00575AC3" w:rsidP="006D40F0">
      <w:r w:rsidRPr="006D40F0">
        <w:t>Det foreslås å øke bevilgningen med 0,5 mill. kroner til å utvide det pedagogiske tilbudet ved 22. juli-senteret. Regjeringen vil bedre demokratiforståelsen hos barn og unge gjennom forsterket arbeid mot polarisering og ekstremisme i samfunnet. Forslaget følger opp anbefalingene fra Ekstremismekommisjonen.</w:t>
      </w:r>
    </w:p>
    <w:p w14:paraId="0CBA6272" w14:textId="77777777" w:rsidR="00575AC3" w:rsidRPr="006D40F0" w:rsidRDefault="00575AC3" w:rsidP="006D40F0">
      <w:pPr>
        <w:pStyle w:val="b-budkaptit"/>
      </w:pPr>
      <w:r w:rsidRPr="006D40F0">
        <w:t>Kap. 240 Fagskoler</w:t>
      </w:r>
    </w:p>
    <w:p w14:paraId="655F55ED" w14:textId="77777777" w:rsidR="00575AC3" w:rsidRPr="006D40F0" w:rsidRDefault="00575AC3" w:rsidP="006D40F0">
      <w:pPr>
        <w:pStyle w:val="b-post"/>
      </w:pPr>
      <w:r w:rsidRPr="006D40F0">
        <w:t>Post 61 Utviklingsmidler til fagskoler, kan overføres</w:t>
      </w:r>
    </w:p>
    <w:p w14:paraId="15704CE0" w14:textId="77777777" w:rsidR="00575AC3" w:rsidRPr="006D40F0" w:rsidRDefault="00575AC3" w:rsidP="006D40F0">
      <w:r w:rsidRPr="006D40F0">
        <w:t>Det foreslås å øke bevilgningen med 10 mill. kroner. Midlene vil tildeles kvalifiserte prosjekter som ikke kunne tildeles tilskudd innenfor gjeldende bevilgning, i henhold til rangert liste for søknadene. Prosjektene er rettet mot blant annet økonomi- og administrasjonsfag, maritime fag og tekniske fag.</w:t>
      </w:r>
    </w:p>
    <w:p w14:paraId="1041F6CF" w14:textId="77777777" w:rsidR="00575AC3" w:rsidRPr="006D40F0" w:rsidRDefault="00575AC3" w:rsidP="006D40F0">
      <w:pPr>
        <w:pStyle w:val="b-budkaptit"/>
      </w:pPr>
      <w:r w:rsidRPr="006D40F0">
        <w:t>Kap. 241 Tiltak for høyere yrkesfaglig utdanning</w:t>
      </w:r>
    </w:p>
    <w:p w14:paraId="4DA616F9" w14:textId="77777777" w:rsidR="00575AC3" w:rsidRPr="006D40F0" w:rsidRDefault="00575AC3" w:rsidP="006D40F0">
      <w:pPr>
        <w:pStyle w:val="b-post"/>
      </w:pPr>
      <w:r w:rsidRPr="006D40F0">
        <w:t>Post 21 Spesielle driftsutgifter, kan overføres</w:t>
      </w:r>
    </w:p>
    <w:p w14:paraId="77CC3C00" w14:textId="77777777" w:rsidR="00575AC3" w:rsidRPr="006D40F0" w:rsidRDefault="00575AC3" w:rsidP="006D40F0">
      <w:r w:rsidRPr="006D40F0">
        <w:t>De siste årene har det vært en sterk vekst i andelen fagskolestudenter som studerer nett- og samlingsbasert, og i 2023 var andelen 60 pst. Det foreslås å øke bevilgningen med 1,5 mill. kroner til en kartlegging av tilbud i nettpedagogikk tilpasset lærere i høyere yrkesfaglig utdanning for å styrke kunnskapsgrunnlaget om den nettpedagogiske kompetansen til fagskolelærere.</w:t>
      </w:r>
    </w:p>
    <w:p w14:paraId="7126BB44" w14:textId="77777777" w:rsidR="00575AC3" w:rsidRPr="006D40F0" w:rsidRDefault="00575AC3" w:rsidP="006D40F0">
      <w:pPr>
        <w:pStyle w:val="b-budkaptit"/>
      </w:pPr>
      <w:r w:rsidRPr="006D40F0">
        <w:t>Kap. 256 Direktoratet for høyere utdanning og kompetanse</w:t>
      </w:r>
    </w:p>
    <w:p w14:paraId="75EB15DD" w14:textId="77777777" w:rsidR="00575AC3" w:rsidRPr="006D40F0" w:rsidRDefault="00575AC3" w:rsidP="006D40F0">
      <w:pPr>
        <w:pStyle w:val="b-post"/>
      </w:pPr>
      <w:r w:rsidRPr="006D40F0">
        <w:t>Post 01 Driftsutgifter</w:t>
      </w:r>
    </w:p>
    <w:p w14:paraId="56B2AA5B" w14:textId="77777777" w:rsidR="00575AC3" w:rsidRPr="006D40F0" w:rsidRDefault="00575AC3" w:rsidP="006D40F0">
      <w:r w:rsidRPr="006D40F0">
        <w:t xml:space="preserve">Det foreslås å flytte sekretariatsoppgaven i styringssystemet Nasjonale retningslinjer for helse- og sosialfagutdanningene (RETHOS) fra Kunnskapsdepartementet til Direktoratet for høyere </w:t>
      </w:r>
      <w:r w:rsidRPr="006D40F0">
        <w:lastRenderedPageBreak/>
        <w:t>utdanning og kompetanse (HK-</w:t>
      </w:r>
      <w:proofErr w:type="spellStart"/>
      <w:r w:rsidRPr="006D40F0">
        <w:t>dir</w:t>
      </w:r>
      <w:proofErr w:type="spellEnd"/>
      <w:r w:rsidRPr="006D40F0">
        <w:t xml:space="preserve">). En slik justering av arbeidsdelingen i systemet er i tråd med mer overordnet styring av profesjonsutdanningene, jf. Meld. St. 19 (2023–2024) </w:t>
      </w:r>
      <w:r w:rsidRPr="00575AC3">
        <w:rPr>
          <w:rStyle w:val="kursiv"/>
        </w:rPr>
        <w:t xml:space="preserve">Profesjonsnære </w:t>
      </w:r>
      <w:proofErr w:type="spellStart"/>
      <w:r w:rsidRPr="00575AC3">
        <w:rPr>
          <w:rStyle w:val="kursiv"/>
        </w:rPr>
        <w:t>utdanningar</w:t>
      </w:r>
      <w:proofErr w:type="spellEnd"/>
      <w:r w:rsidRPr="00575AC3">
        <w:rPr>
          <w:rStyle w:val="kursiv"/>
        </w:rPr>
        <w:t xml:space="preserve"> over heile landet</w:t>
      </w:r>
      <w:r w:rsidRPr="006D40F0">
        <w:t>. Det er også i tråd med ambisjoner om å knytte de faglige aktivitetene i styringssystemet nærmere sektoren, og øke sektorens eierskap til disse. Sekretariatsoppgaven vil styrke HK-</w:t>
      </w:r>
      <w:proofErr w:type="spellStart"/>
      <w:r w:rsidRPr="006D40F0">
        <w:t>dirs</w:t>
      </w:r>
      <w:proofErr w:type="spellEnd"/>
      <w:r w:rsidRPr="006D40F0">
        <w:t xml:space="preserve"> funksjon som direktorat for sektoren, og kan knyttes til målet om at HK-</w:t>
      </w:r>
      <w:proofErr w:type="spellStart"/>
      <w:r w:rsidRPr="006D40F0">
        <w:t>dir</w:t>
      </w:r>
      <w:proofErr w:type="spellEnd"/>
      <w:r w:rsidRPr="006D40F0">
        <w:t xml:space="preserve"> skal ta en større rolle i arbeidet med studiekvalitet og dimensjonering. Som følge av dette foreslås det å redusere bevilgningen på kap. 275, post 21 med 1,6 mill. kroner mot tilsvarende økning på kap. 256, post 01. Se også omtale under kap. 275, post 21.</w:t>
      </w:r>
    </w:p>
    <w:p w14:paraId="1F3E54A1" w14:textId="77777777" w:rsidR="00575AC3" w:rsidRPr="006D40F0" w:rsidRDefault="00575AC3" w:rsidP="006D40F0">
      <w:pPr>
        <w:pStyle w:val="b-post"/>
      </w:pPr>
      <w:r w:rsidRPr="006D40F0">
        <w:t>Post 21 Spesielle driftsutgifter</w:t>
      </w:r>
    </w:p>
    <w:p w14:paraId="354169B9" w14:textId="77777777" w:rsidR="00575AC3" w:rsidRPr="006D40F0" w:rsidRDefault="00575AC3" w:rsidP="006D40F0">
      <w:r w:rsidRPr="006D40F0">
        <w:t>I statsbudsjettet for 2024 ble det vedtatt å avvikle og utfase en rekke tilskuddsordninger og programmer forvaltet av Direktoratet for høyere utdanning (HK-</w:t>
      </w:r>
      <w:proofErr w:type="spellStart"/>
      <w:r w:rsidRPr="006D40F0">
        <w:t>dir</w:t>
      </w:r>
      <w:proofErr w:type="spellEnd"/>
      <w:r w:rsidRPr="006D40F0">
        <w:t xml:space="preserve">). Avviklingen skulle ikke ha konsekvenser for forpliktede utbetalinger i ordningene, jf. </w:t>
      </w:r>
      <w:proofErr w:type="spellStart"/>
      <w:r w:rsidRPr="006D40F0">
        <w:t>Innst</w:t>
      </w:r>
      <w:proofErr w:type="spellEnd"/>
      <w:r w:rsidRPr="006D40F0">
        <w:t>. 12 S (2023–2024). Oppdaterte tall viser at det er behov for å øke bevilgningen på kap. 272, post 52 i 2024 med 16 mill. kroner for å dekke forpliktelsene. Samtidig er det udisponerte midler på kap. 256, post 21. Regjeringen foreslår derfor å redusere kap. 256, post 21 med 2,2 mill. kroner og tilsvarende øke kap. 272, post 52. Se også omtale under kap. 272, post 51 og post 52 og kap. 275, post 21.</w:t>
      </w:r>
    </w:p>
    <w:p w14:paraId="2981B1C1" w14:textId="77777777" w:rsidR="00575AC3" w:rsidRPr="006D40F0" w:rsidRDefault="00575AC3" w:rsidP="006D40F0">
      <w:pPr>
        <w:pStyle w:val="b-budkaptit"/>
      </w:pPr>
      <w:r w:rsidRPr="006D40F0">
        <w:t>Kap. 257 Kompetanseprogrammet</w:t>
      </w:r>
    </w:p>
    <w:p w14:paraId="6F8D00E4" w14:textId="77777777" w:rsidR="00575AC3" w:rsidRPr="006D40F0" w:rsidRDefault="00575AC3" w:rsidP="006D40F0">
      <w:pPr>
        <w:pStyle w:val="b-post"/>
      </w:pPr>
      <w:r w:rsidRPr="006D40F0">
        <w:t>Post 70 Tilskudd, kan overføres</w:t>
      </w:r>
    </w:p>
    <w:p w14:paraId="0F682B7C" w14:textId="77777777" w:rsidR="00575AC3" w:rsidRPr="006D40F0" w:rsidRDefault="00575AC3" w:rsidP="006D40F0">
      <w:r w:rsidRPr="006D40F0">
        <w:t>Det foreslås å redusere bevilgningen med 25 mill. kroner. Det er udisponerte midler på posten grunnet overføring av ubrukt bevilgning fra 2023.</w:t>
      </w:r>
    </w:p>
    <w:p w14:paraId="2A58E2E1" w14:textId="77777777" w:rsidR="00575AC3" w:rsidRPr="006D40F0" w:rsidRDefault="00575AC3" w:rsidP="006D40F0">
      <w:pPr>
        <w:pStyle w:val="b-budkaptit"/>
      </w:pPr>
      <w:r w:rsidRPr="006D40F0">
        <w:t>Kap. 258 Tiltak for livslang læring</w:t>
      </w:r>
    </w:p>
    <w:p w14:paraId="2F04995F" w14:textId="77777777" w:rsidR="00575AC3" w:rsidRPr="006D40F0" w:rsidRDefault="00575AC3" w:rsidP="006D40F0">
      <w:pPr>
        <w:pStyle w:val="b-post"/>
      </w:pPr>
      <w:r w:rsidRPr="006D40F0">
        <w:t>Post 21 Spesielle driftsutgifter, kan overføres</w:t>
      </w:r>
    </w:p>
    <w:p w14:paraId="5E7C9DDD" w14:textId="77777777" w:rsidR="00575AC3" w:rsidRPr="006D40F0" w:rsidRDefault="00575AC3" w:rsidP="006D40F0">
      <w:r w:rsidRPr="006D40F0">
        <w:t>Det foreslås å redusere bevilgningen med 25,5 mill. kroner. Det er udisponerte midler på posten grunnet overføring av ubrukt bevilgning fra 2023.</w:t>
      </w:r>
    </w:p>
    <w:p w14:paraId="6DC104A5" w14:textId="77777777" w:rsidR="00575AC3" w:rsidRPr="006D40F0" w:rsidRDefault="00575AC3" w:rsidP="006D40F0">
      <w:pPr>
        <w:pStyle w:val="b-budkaptit"/>
      </w:pPr>
      <w:r w:rsidRPr="006D40F0">
        <w:t>Kap. 260 Universiteter og høyskoler</w:t>
      </w:r>
    </w:p>
    <w:p w14:paraId="20DC1439" w14:textId="77777777" w:rsidR="00575AC3" w:rsidRPr="006D40F0" w:rsidRDefault="00575AC3" w:rsidP="006D40F0">
      <w:pPr>
        <w:pStyle w:val="b-post"/>
      </w:pPr>
      <w:r w:rsidRPr="006D40F0">
        <w:t>Post 50 Statlige universiteter og høyskoler, kan nyttes under post 70</w:t>
      </w:r>
    </w:p>
    <w:p w14:paraId="36007FF0" w14:textId="77777777" w:rsidR="00575AC3" w:rsidRPr="006D40F0" w:rsidRDefault="00575AC3" w:rsidP="006D40F0">
      <w:pPr>
        <w:pStyle w:val="avsnitt-undertittel"/>
      </w:pPr>
      <w:r w:rsidRPr="006D40F0">
        <w:t>Studieplasser</w:t>
      </w:r>
    </w:p>
    <w:p w14:paraId="4C38DAA0" w14:textId="77777777" w:rsidR="00575AC3" w:rsidRPr="006D40F0" w:rsidRDefault="00575AC3" w:rsidP="006D40F0">
      <w:r w:rsidRPr="006D40F0">
        <w:t>Regjeringen foreslår 1,5 mill. kroner i 2024 til 10 nye, varige studieplasser i veterinærmedisin ved Norges miljø- og biovitenskapelige universitet (NMBU). I tillegg kommer utgifter til utdanningsstøtte på kap. 2410, post 50 og 72. Fullt opptrappet med opptak av nye kull vil studieplassutgiftene, inkludert anslag for resultatbasert uttelling, innebære at rammebevilgningen til NMBU vil være økt med 26,5 mill. kroner og utgiftene til utdanningsstøtte være økt med om lag 2 mill. kroner fra og med 2031.</w:t>
      </w:r>
    </w:p>
    <w:p w14:paraId="3C280E0F" w14:textId="77777777" w:rsidR="00575AC3" w:rsidRPr="006D40F0" w:rsidRDefault="00575AC3" w:rsidP="006D40F0">
      <w:r w:rsidRPr="006D40F0">
        <w:lastRenderedPageBreak/>
        <w:t>Regjeringen foreslår 7,5 mill. kroner i 2024 til Universitetet i Tromsø – Norges Arktiske universitet (UiT) som bidrag for å videreføre pilotutdanningen i Bardufoss.</w:t>
      </w:r>
    </w:p>
    <w:p w14:paraId="67B0186F" w14:textId="77777777" w:rsidR="00575AC3" w:rsidRPr="006D40F0" w:rsidRDefault="00575AC3" w:rsidP="006D40F0">
      <w:r w:rsidRPr="006D40F0">
        <w:t xml:space="preserve">I forbindelse med budsjettforliket for 2024 vedtok Stortinget å redusere bevilgningen til universiteter og høyskoler med 21 mill. kroner som følge av færre ukrainske flyktninger i høyere utdanning enn tidligere anslått, jf. </w:t>
      </w:r>
      <w:proofErr w:type="spellStart"/>
      <w:r w:rsidRPr="006D40F0">
        <w:t>Innst</w:t>
      </w:r>
      <w:proofErr w:type="spellEnd"/>
      <w:r w:rsidRPr="006D40F0">
        <w:t>. 12 S (2023–2024). Nye tall viser at det er færre studenter fra Ukraina enn studieplassene lagt til grunn for vedtaket, og regjeringen foreslår derfor å redusere bevilgningen med 2,4 mill. kroner. Reduksjonen fra budsjettforliket ble teknisk plassert på kap. 260, post 50 Statlige universiteter og høyskoler, men fordelt mellom både statlige og private institusjoner, så det er behov for å fordele bevilgningen mellom post 50 og post 70 Private universiteter og høyskoler. Regjeringen foreslår derfor å øke kap. 260, post 50 med 0,1 mill. kroner og redusere kap. 260, post 70 med 2,5 mill. kroner.</w:t>
      </w:r>
    </w:p>
    <w:p w14:paraId="69A642FF" w14:textId="77777777" w:rsidR="00575AC3" w:rsidRPr="006D40F0" w:rsidRDefault="00575AC3" w:rsidP="006D40F0">
      <w:pPr>
        <w:pStyle w:val="avsnitt-undertittel"/>
      </w:pPr>
      <w:r w:rsidRPr="006D40F0">
        <w:t>Fordeling av redusert prisomregning for statlige universiteter og høyskoler</w:t>
      </w:r>
    </w:p>
    <w:p w14:paraId="2A652753" w14:textId="77777777" w:rsidR="00575AC3" w:rsidRPr="006D40F0" w:rsidRDefault="00575AC3" w:rsidP="006D40F0">
      <w:r w:rsidRPr="006D40F0">
        <w:t xml:space="preserve">I forbindelse med budsjettforliket for 2024 vedtok Stortinget en ettårig reduksjon i prisjusteringen til universiteter og høyskoler på til sammen 50 mill. kroner, jf. </w:t>
      </w:r>
      <w:proofErr w:type="spellStart"/>
      <w:r w:rsidRPr="006D40F0">
        <w:t>Innst</w:t>
      </w:r>
      <w:proofErr w:type="spellEnd"/>
      <w:r w:rsidRPr="006D40F0">
        <w:t>. 12 S (2023–2024). Reduksjonen ble teknisk plassert på kap. 260, post 50 Statlige universiteter og høyskoler, men er fordelt mellom både statlige og private universiteter og høyskoler. De private høyskolenes andel av budsjettreduksjonen utgjør 2,6 mill. kroner. Regjeringen foreslår derfor å øke kap. 260, post 50 med 2,6 mill. kroner og tilsvarende redusere kap. 260, post 70.</w:t>
      </w:r>
    </w:p>
    <w:p w14:paraId="05A26A35" w14:textId="77777777" w:rsidR="00575AC3" w:rsidRPr="006D40F0" w:rsidRDefault="00575AC3" w:rsidP="006D40F0">
      <w:pPr>
        <w:pStyle w:val="avsnitt-undertittel"/>
      </w:pPr>
      <w:r w:rsidRPr="006D40F0">
        <w:t xml:space="preserve">Oppfølging av tiltak i Meld. St. 19 (2023–2024) Profesjonsnære </w:t>
      </w:r>
      <w:proofErr w:type="spellStart"/>
      <w:r w:rsidRPr="006D40F0">
        <w:t>utdanningar</w:t>
      </w:r>
      <w:proofErr w:type="spellEnd"/>
      <w:r w:rsidRPr="006D40F0">
        <w:t xml:space="preserve"> over heile landet</w:t>
      </w:r>
    </w:p>
    <w:p w14:paraId="42D11891" w14:textId="77777777" w:rsidR="00575AC3" w:rsidRPr="006D40F0" w:rsidRDefault="00575AC3" w:rsidP="006D40F0">
      <w:r w:rsidRPr="006D40F0">
        <w:t xml:space="preserve">Våren 2024 la regjeringen frem stortingsmeldingen om profesjonsutdanningene, Meld. St. 19 (2023–2024) </w:t>
      </w:r>
      <w:r w:rsidRPr="00575AC3">
        <w:rPr>
          <w:rStyle w:val="kursiv"/>
        </w:rPr>
        <w:t xml:space="preserve">Profesjonsnære </w:t>
      </w:r>
      <w:proofErr w:type="spellStart"/>
      <w:r w:rsidRPr="00575AC3">
        <w:rPr>
          <w:rStyle w:val="kursiv"/>
        </w:rPr>
        <w:t>utdanningar</w:t>
      </w:r>
      <w:proofErr w:type="spellEnd"/>
      <w:r w:rsidRPr="00575AC3">
        <w:rPr>
          <w:rStyle w:val="kursiv"/>
        </w:rPr>
        <w:t xml:space="preserve"> over heile landet</w:t>
      </w:r>
      <w:r w:rsidRPr="006D40F0">
        <w:t>. Stortingsmeldingen handler om kapasitet, kvalitet og profesjonsnærhet og mangfold i de rammeplanstyrte utdanningene: lærer-, ingeniør-, helse- og sosialfag. Nok arbeidskraft er et av områdene meldingen løfter frem, og det foreslås flere tiltak blant annet for å kvalifisere flere lærere. Regjeringen foreslår å tildele 8,5 mill. kroner i 2024 til universiteter og høyskoler for å følge opp tiltak i tråd med politikken i profesjonsmeldingen.</w:t>
      </w:r>
    </w:p>
    <w:p w14:paraId="6AA85E0C" w14:textId="77777777" w:rsidR="00575AC3" w:rsidRPr="006D40F0" w:rsidRDefault="00575AC3" w:rsidP="006D40F0">
      <w:pPr>
        <w:pStyle w:val="avsnitt-undertittel"/>
      </w:pPr>
      <w:proofErr w:type="spellStart"/>
      <w:r w:rsidRPr="006D40F0">
        <w:t>Saving</w:t>
      </w:r>
      <w:proofErr w:type="spellEnd"/>
      <w:r w:rsidRPr="006D40F0">
        <w:t xml:space="preserve"> Oseberg fase 3</w:t>
      </w:r>
    </w:p>
    <w:p w14:paraId="582CD75D" w14:textId="77777777" w:rsidR="00575AC3" w:rsidRPr="006D40F0" w:rsidRDefault="00575AC3" w:rsidP="006D40F0">
      <w:r w:rsidRPr="006D40F0">
        <w:t>Osebergfunnet er blant de viktigste arkeologiske funnene i Norge og representerer den mest omfattende samlingen av tregjenstander fra vikingtiden i verden. Konserveringsmetoden – alunsalt som ble benyttet for ca. 100 år siden har resultert i at tregjenstandene er svært nedbrutte og pulveriseres innenfra i treverket. Det pågår nå en konstant nedbrytning av de uerstattelige gjenstandene.</w:t>
      </w:r>
    </w:p>
    <w:p w14:paraId="4B4EDEEE" w14:textId="77777777" w:rsidR="00575AC3" w:rsidRPr="006D40F0" w:rsidRDefault="00575AC3" w:rsidP="006D40F0">
      <w:r w:rsidRPr="006D40F0">
        <w:t xml:space="preserve">Forskningsprosjektet </w:t>
      </w:r>
      <w:proofErr w:type="spellStart"/>
      <w:r w:rsidRPr="006D40F0">
        <w:t>Saving</w:t>
      </w:r>
      <w:proofErr w:type="spellEnd"/>
      <w:r w:rsidRPr="006D40F0">
        <w:t xml:space="preserve"> Oseberg ved Universitetet i Oslo (UiO) startet opp i 2014, og de to første fasene av prosjektet er nå avsluttet. Resultatene gjør nå at UiO er i stand til å rekonservere om lag halvparten av samlingen. UiO vil prioritere 23 mill. kroner over egen ramme til å drifte denne konserveringen. Forskningsprosjektet for fase 3 skal utvikle rekonserveringsmetoder for hele samlingen, med blant annet de store og komplekse sledene som inneholder metalldeler og er av myke tresorter. Det er avgjørende å få forsket frem og utviklet en sikker </w:t>
      </w:r>
      <w:r w:rsidRPr="006D40F0">
        <w:lastRenderedPageBreak/>
        <w:t>konserveringsmetode som ivaretar den unike verdensarvsamlingen. Forskningsprosjektet er planlagt over 6 år med en totalkostnad på 53 mill. kroner.</w:t>
      </w:r>
    </w:p>
    <w:p w14:paraId="2BCB29A1" w14:textId="77777777" w:rsidR="00575AC3" w:rsidRPr="006D40F0" w:rsidRDefault="00575AC3" w:rsidP="006D40F0">
      <w:r w:rsidRPr="006D40F0">
        <w:t>Regjeringen foreslår derfor å øke kap. 260, post 50 med 9 mill. kroner i 2024 til formålet.</w:t>
      </w:r>
    </w:p>
    <w:p w14:paraId="2C08BECF" w14:textId="77777777" w:rsidR="00575AC3" w:rsidRPr="006D40F0" w:rsidRDefault="00575AC3" w:rsidP="006D40F0">
      <w:pPr>
        <w:pStyle w:val="avsnitt-undertittel"/>
      </w:pPr>
      <w:r w:rsidRPr="006D40F0">
        <w:t>Oppsummering</w:t>
      </w:r>
    </w:p>
    <w:p w14:paraId="668CE350" w14:textId="77777777" w:rsidR="00575AC3" w:rsidRPr="006D40F0" w:rsidRDefault="00575AC3" w:rsidP="006D40F0">
      <w:r w:rsidRPr="006D40F0">
        <w:t>Regjeringen foreslår å øke bevilgningen på posten med 29,1 mill. kroner.</w:t>
      </w:r>
    </w:p>
    <w:p w14:paraId="45F96547" w14:textId="77777777" w:rsidR="00575AC3" w:rsidRPr="006D40F0" w:rsidRDefault="00575AC3" w:rsidP="006D40F0">
      <w:pPr>
        <w:pStyle w:val="b-post"/>
      </w:pPr>
      <w:r w:rsidRPr="006D40F0">
        <w:t>Post 70 Private høyskoler, kan nyttes under post 50</w:t>
      </w:r>
    </w:p>
    <w:p w14:paraId="0BAF403E" w14:textId="77777777" w:rsidR="00575AC3" w:rsidRPr="006D40F0" w:rsidRDefault="00575AC3" w:rsidP="006D40F0">
      <w:r w:rsidRPr="006D40F0">
        <w:t>Se omtale under post 50.</w:t>
      </w:r>
    </w:p>
    <w:p w14:paraId="5D405021" w14:textId="77777777" w:rsidR="00575AC3" w:rsidRPr="006D40F0" w:rsidRDefault="00575AC3" w:rsidP="006D40F0">
      <w:pPr>
        <w:pStyle w:val="avsnitt-undertittel"/>
      </w:pPr>
      <w:r w:rsidRPr="006D40F0">
        <w:t>Oppsummering</w:t>
      </w:r>
    </w:p>
    <w:p w14:paraId="074EF861" w14:textId="77777777" w:rsidR="00575AC3" w:rsidRPr="006D40F0" w:rsidRDefault="00575AC3" w:rsidP="006D40F0">
      <w:r w:rsidRPr="006D40F0">
        <w:t>Regjeringen foreslår å redusere bevilgningen på posten med 5,1 mill. kroner.</w:t>
      </w:r>
    </w:p>
    <w:p w14:paraId="7B9B5469" w14:textId="77777777" w:rsidR="00575AC3" w:rsidRPr="006D40F0" w:rsidRDefault="00575AC3" w:rsidP="006D40F0">
      <w:pPr>
        <w:pStyle w:val="b-budkaptit"/>
      </w:pPr>
      <w:r w:rsidRPr="006D40F0">
        <w:t>Kap. 270 Studentvelferd</w:t>
      </w:r>
    </w:p>
    <w:p w14:paraId="110242AC" w14:textId="77777777" w:rsidR="00575AC3" w:rsidRPr="006D40F0" w:rsidRDefault="00575AC3" w:rsidP="006D40F0">
      <w:pPr>
        <w:pStyle w:val="b-post"/>
      </w:pPr>
      <w:r w:rsidRPr="006D40F0">
        <w:t>Post 74 Tilskudd til velferdsarbeid mv.</w:t>
      </w:r>
    </w:p>
    <w:p w14:paraId="1EC48426" w14:textId="77777777" w:rsidR="00575AC3" w:rsidRPr="006D40F0" w:rsidRDefault="00575AC3" w:rsidP="006D40F0">
      <w:r w:rsidRPr="006D40F0">
        <w:t>Norges Arktiske Studentsamskipnad (NAS) eier fortsatt boliger i Nybyen på Svalbard, som tidligere ble brukt som studentboliger. Området Nybyen i Longyearbyen vil ikke bli prioritert for skredsikring, jf. Prop. 1 S (2020–2021) Svalbardbudsjettet. Fordi boligene ikke lenger kan brukes som studentboliger, fikk samskipnaden tilskudd til å bygge nye studentboliger på Elvesletta som sto ferdig i juni 2021. Det er lagt som føring for tilskuddet til de nye studentboligene, at de tidligere studentboligene skal bli tilbakeført til staten, jf. Prop. 1 S (2020–2021) Svalbardbudsjettet. I påvente av beslutning om å overføre boligene til en statlig aktør, har NAS hatt utgifter til blant annet elektrisitet, vann- og avløp, festeavgift og tilsyn. NAS er studentsamskipnad for studentene ved Universitetet i Tromsø – Norges arktiske universitet og for studentene på Svalbard. Merkostnader til drift av boligene i Nybyen skal ikke gå på bekostning av velferdstilbudet til studentene samskipnaden har ansvar for. Regjeringen foreslår derfor å øke bevilgningen på posten med 2 mill. kroner for å dekke merutgiftene til NAS for drift av boligene i Nybyen.</w:t>
      </w:r>
    </w:p>
    <w:p w14:paraId="740E5A1A" w14:textId="77777777" w:rsidR="00575AC3" w:rsidRPr="006D40F0" w:rsidRDefault="00575AC3" w:rsidP="006D40F0">
      <w:pPr>
        <w:pStyle w:val="b-post"/>
      </w:pPr>
      <w:r w:rsidRPr="006D40F0">
        <w:t>Post 75 Tilskudd til bygging av studentboliger, kan overføres</w:t>
      </w:r>
    </w:p>
    <w:p w14:paraId="65A38F67" w14:textId="77777777" w:rsidR="00575AC3" w:rsidRPr="006D40F0" w:rsidRDefault="00575AC3" w:rsidP="006D40F0">
      <w:r w:rsidRPr="006D40F0">
        <w:t>Utbetaling av tilskudd til studentsamskipnadene som har fått tilsagn til byggeprosjekter blir gjort i tråd med fremdriften i prosjektene. Gjeldende bevilgning på posten er 633,6 mill. kroner. Det er overført 65,5 mill. kroner på posten fra 2023 til 2024 slik at disponibelt beløp er 699,2 mill. kroner. Prognosene fra Husbanken viser at utbetalingene av tilskudd vil være 938,7 mill. kroner i 2024. Regjeringen foreslår derfor å øke bevilgningen på posten med 239,5 mill. kroner. Det foreslås videre å redusere tilsagnsfullmakten fra 2 234 mill. kroner til 649,8 mill. kroner, jf. forslag til romertallsvedtak. Tilsagnsfullmakten i 2024 skal dekke utbetalinger til gitte tilsagn i 2025 og senere år mens bevilgningen på kap. 270, post 75 skal dekke utbetaling i 2024.</w:t>
      </w:r>
    </w:p>
    <w:p w14:paraId="4EC15B47" w14:textId="77777777" w:rsidR="00575AC3" w:rsidRPr="006D40F0" w:rsidRDefault="00575AC3" w:rsidP="006D40F0">
      <w:pPr>
        <w:pStyle w:val="b-budkaptit"/>
      </w:pPr>
      <w:r w:rsidRPr="006D40F0">
        <w:lastRenderedPageBreak/>
        <w:t>Kap. 272 Tiltak for internasjonalisering og høyere utdanning</w:t>
      </w:r>
    </w:p>
    <w:p w14:paraId="6AD78C1B" w14:textId="77777777" w:rsidR="00575AC3" w:rsidRPr="006D40F0" w:rsidRDefault="00575AC3" w:rsidP="006D40F0">
      <w:pPr>
        <w:pStyle w:val="b-post"/>
      </w:pPr>
      <w:r w:rsidRPr="006D40F0">
        <w:t>Post 51 Tiltak for internasjonalisering, kan overføres, kan nyttes under post 71</w:t>
      </w:r>
    </w:p>
    <w:p w14:paraId="6A26D56D" w14:textId="77777777" w:rsidR="00575AC3" w:rsidRPr="006D40F0" w:rsidRDefault="00575AC3" w:rsidP="006D40F0">
      <w:r w:rsidRPr="006D40F0">
        <w:t>Regjeringen foreslår å redusere bevilgningen med 2,6 mill. kroner mot en tilsvarende økning på kap. 272, post 52 for å dekke forpliktede utbetalinger i 2024 i tilskuddsordninger og programmer som fases ut fra og med 2024. Se også omtale under kap. 256, post 21, kap. 272, post 52 og kap. 275, post 21.</w:t>
      </w:r>
    </w:p>
    <w:p w14:paraId="6ED6ACE8" w14:textId="77777777" w:rsidR="00575AC3" w:rsidRPr="006D40F0" w:rsidRDefault="00575AC3" w:rsidP="006D40F0">
      <w:pPr>
        <w:pStyle w:val="b-post"/>
      </w:pPr>
      <w:r w:rsidRPr="006D40F0">
        <w:t>Post 52 Tiltak for høyere utdanning, kan overføres, kan nyttes under post 72</w:t>
      </w:r>
    </w:p>
    <w:p w14:paraId="3CB43937" w14:textId="77777777" w:rsidR="00575AC3" w:rsidRPr="006D40F0" w:rsidRDefault="00575AC3" w:rsidP="006D40F0">
      <w:r w:rsidRPr="006D40F0">
        <w:t>Regjeringen foreslår å øke bevilgningen på posten med 16 mill. kroner for å dekke forpliktede utbetalinger i 2024 i tilskuddsordninger og programmer som fases ut fra og med 2024. Økningen motsvares av en tilsvarende samlet reduksjon på kap. 256, post 21, kap. 272, post 51 og kap. 275, post 21. Se også omtale under kap. 256, post 21, kap. 272, post 51 og kap. 275, post 21.</w:t>
      </w:r>
    </w:p>
    <w:p w14:paraId="6903D369" w14:textId="77777777" w:rsidR="00575AC3" w:rsidRPr="006D40F0" w:rsidRDefault="00575AC3" w:rsidP="006D40F0">
      <w:pPr>
        <w:pStyle w:val="b-post"/>
      </w:pPr>
      <w:r w:rsidRPr="006D40F0">
        <w:t>Post 71 Tilskudd til tiltak for internasjonalisering, kan overføres, kan nyttes under post 51</w:t>
      </w:r>
    </w:p>
    <w:p w14:paraId="52D25A94" w14:textId="77777777" w:rsidR="00575AC3" w:rsidRPr="006D40F0" w:rsidRDefault="00575AC3" w:rsidP="006D40F0">
      <w:r w:rsidRPr="006D40F0">
        <w:t>Direktoratet for høyere utdanning og kompetanse (HK-</w:t>
      </w:r>
      <w:proofErr w:type="spellStart"/>
      <w:r w:rsidRPr="006D40F0">
        <w:t>dir</w:t>
      </w:r>
      <w:proofErr w:type="spellEnd"/>
      <w:r w:rsidRPr="006D40F0">
        <w:t>) betaler årlig Norges godtgjørelse til de andre nordiske landene for den nordiske avtalen om gjensidig tilgang til høyere utdanning. HK-</w:t>
      </w:r>
      <w:proofErr w:type="spellStart"/>
      <w:r w:rsidRPr="006D40F0">
        <w:t>dir</w:t>
      </w:r>
      <w:proofErr w:type="spellEnd"/>
      <w:r w:rsidRPr="006D40F0">
        <w:t xml:space="preserve"> har i 2024 fått tildelt 74,4 mill. kroner til formålet. På grunn av valutaendringer er faktisk innbetalt kontingent 54,7 mill. kroner. Regjeringen foreslår på bakgrunn av dette å redusere bevilgningen på posten med 19,7 mill. kroner.</w:t>
      </w:r>
    </w:p>
    <w:p w14:paraId="6AE9CE22" w14:textId="77777777" w:rsidR="00575AC3" w:rsidRPr="006D40F0" w:rsidRDefault="00575AC3" w:rsidP="006D40F0">
      <w:pPr>
        <w:pStyle w:val="b-budkaptit"/>
      </w:pPr>
      <w:r w:rsidRPr="006D40F0">
        <w:t>Kap. 274 Universitetssenteret på Svalbard</w:t>
      </w:r>
    </w:p>
    <w:p w14:paraId="2695DD8C" w14:textId="77777777" w:rsidR="00575AC3" w:rsidRPr="006D40F0" w:rsidRDefault="00575AC3" w:rsidP="006D40F0">
      <w:pPr>
        <w:pStyle w:val="b-post"/>
      </w:pPr>
      <w:r w:rsidRPr="006D40F0">
        <w:t>Post 70 Tilskudd til Universitetssenteret på Svalbard</w:t>
      </w:r>
    </w:p>
    <w:p w14:paraId="5E610C9D" w14:textId="77777777" w:rsidR="00575AC3" w:rsidRPr="006D40F0" w:rsidRDefault="00575AC3" w:rsidP="006D40F0">
      <w:r w:rsidRPr="006D40F0">
        <w:t>Universitetssenteret på Svalbard (UNIS) er unikt for utdanning og forskning i og på polarområder, og er en sentral aktør for å opprettholde norske samfunn på Svalbard. Kostnadene ved å drive høyere utdanning og forskning på Svalbard har økt betydelig, blant annet som følge av økte energikostnader og strengere miljø- og klimakrav. UNIS har som følge av dette blant annet måttet redusere studietilbudet med 20 studentårsverk, avvikle emner og kutte i feltarbeid for studenter og forskere. Regjeringen foreslår å øke bevilgningen på posten med 10 mill. kroner som en engangsbevilgning i 2024.</w:t>
      </w:r>
    </w:p>
    <w:p w14:paraId="4C2DCB2F" w14:textId="77777777" w:rsidR="00575AC3" w:rsidRPr="006D40F0" w:rsidRDefault="00575AC3" w:rsidP="006D40F0">
      <w:pPr>
        <w:pStyle w:val="b-budkaptit"/>
      </w:pPr>
      <w:r w:rsidRPr="006D40F0">
        <w:t>Kap. 275 Tiltak for høyere utdanning og forskning</w:t>
      </w:r>
    </w:p>
    <w:p w14:paraId="13D8B659" w14:textId="77777777" w:rsidR="00575AC3" w:rsidRPr="006D40F0" w:rsidRDefault="00575AC3" w:rsidP="006D40F0">
      <w:pPr>
        <w:pStyle w:val="b-post"/>
      </w:pPr>
      <w:r w:rsidRPr="006D40F0">
        <w:t>Post 21 Spesielle driftsutgifter, kan overføres, kan nyttes under post 70</w:t>
      </w:r>
    </w:p>
    <w:p w14:paraId="7BD839DD" w14:textId="77777777" w:rsidR="00575AC3" w:rsidRPr="006D40F0" w:rsidRDefault="00575AC3" w:rsidP="006D40F0">
      <w:r w:rsidRPr="006D40F0">
        <w:t>Regjeringen foreslår å redusere bevilgningen med 11,2 mill. kroner mot en tilsvarende økning på kap. 272, post 52 for å dekke forpliktede utbetalinger i 2024 i tilskuddsordninger og programmer som fases ut fra og med 2024. Se også omtale under kap. 256, post 21, kap. 272, post 51 og post 52.</w:t>
      </w:r>
    </w:p>
    <w:p w14:paraId="3130C2B4" w14:textId="77777777" w:rsidR="00575AC3" w:rsidRPr="006D40F0" w:rsidRDefault="00575AC3" w:rsidP="006D40F0">
      <w:r w:rsidRPr="006D40F0">
        <w:lastRenderedPageBreak/>
        <w:t>Regjeringen foreslår å redusere bevilgningen med 3,1 mill. kroner mot en tilsvarende økning på kap. 275, post 96 for å dekke Norges del av aksjekapitalen til EISCAT AB. Se omtale under kap. 275, post 96.</w:t>
      </w:r>
    </w:p>
    <w:p w14:paraId="36AA5120" w14:textId="77777777" w:rsidR="00575AC3" w:rsidRPr="006D40F0" w:rsidRDefault="00575AC3" w:rsidP="006D40F0">
      <w:r w:rsidRPr="006D40F0">
        <w:t>Regjeringen foreslår å redusere bevilgningen med 1,6 mill. kroner mot tilsvarende økning på kap. 256, post 01 i forbindelse med flytting av sekretariatsoppgaven i styringssystemet Nasjonale retningslinjer for helse- og sosialfagutdanningene (RETHOS) i fra Kunnskapsdepartementet til Direktoratet for høyere utdanning og kompetanse. Se også omtale under kap. 256, post 01.</w:t>
      </w:r>
    </w:p>
    <w:p w14:paraId="3EF71B62" w14:textId="77777777" w:rsidR="00575AC3" w:rsidRPr="006D40F0" w:rsidRDefault="00575AC3" w:rsidP="006D40F0">
      <w:pPr>
        <w:pStyle w:val="avsnitt-undertittel"/>
      </w:pPr>
      <w:r w:rsidRPr="006D40F0">
        <w:t>Utrede finansiering av praksis i profesjonsutdanningene</w:t>
      </w:r>
    </w:p>
    <w:p w14:paraId="28E24184" w14:textId="77777777" w:rsidR="00575AC3" w:rsidRPr="006D40F0" w:rsidRDefault="00575AC3" w:rsidP="006D40F0">
      <w:r w:rsidRPr="006D40F0">
        <w:t xml:space="preserve">Det er i dag store ulikheter i hvordan praksis finansieres i helse- og sosialfagutdanningene og i lærerutdanningene. Finansiering er et sterkt virkemiddel og det er behov for at det blir brukt på best mulig måte. Ett av tiltakene i Meld. St. 19 (2023–2024) </w:t>
      </w:r>
      <w:r w:rsidRPr="00575AC3">
        <w:rPr>
          <w:rStyle w:val="kursiv"/>
        </w:rPr>
        <w:t xml:space="preserve">Profesjonsnære </w:t>
      </w:r>
      <w:proofErr w:type="spellStart"/>
      <w:r w:rsidRPr="00575AC3">
        <w:rPr>
          <w:rStyle w:val="kursiv"/>
        </w:rPr>
        <w:t>utdanningar</w:t>
      </w:r>
      <w:proofErr w:type="spellEnd"/>
      <w:r w:rsidRPr="00575AC3">
        <w:rPr>
          <w:rStyle w:val="kursiv"/>
        </w:rPr>
        <w:t xml:space="preserve"> over heile landet,</w:t>
      </w:r>
      <w:r w:rsidRPr="006D40F0">
        <w:t xml:space="preserve"> er å utrede om finansieringen av praksis i profesjonsutdanningene bør endres. Regjeringen foreslår 1,5 mill. kroner i 2024 for å utrede om finansieringen av praksis i profesjonsutdanningene bør endres.</w:t>
      </w:r>
    </w:p>
    <w:p w14:paraId="0AF8204D" w14:textId="77777777" w:rsidR="00575AC3" w:rsidRPr="006D40F0" w:rsidRDefault="00575AC3" w:rsidP="006D40F0">
      <w:pPr>
        <w:pStyle w:val="avsnitt-undertittel"/>
      </w:pPr>
      <w:r w:rsidRPr="006D40F0">
        <w:t>Utrede små og sårbare fagmiljø innen helsefag</w:t>
      </w:r>
    </w:p>
    <w:p w14:paraId="6BFBD80D" w14:textId="77777777" w:rsidR="00575AC3" w:rsidRPr="006D40F0" w:rsidRDefault="00575AC3" w:rsidP="006D40F0">
      <w:r w:rsidRPr="006D40F0">
        <w:t>Det foreslås 1,5 mill. kroner i 2024 for å utrede små og sårbare fagfelt innen helsefag. Flere fagfelt innen helsefag er små og sårbare, men er samtidig viktige for helse- og omsorgstjenestene. Utredningen må ta for seg universitets- og høyskolesektorens forutsetninger for å ivareta slike fag og hensiktsmessig arbeidsdeling, sett opp mot arbeidslivets behov.</w:t>
      </w:r>
    </w:p>
    <w:p w14:paraId="379C5FC3" w14:textId="77777777" w:rsidR="00575AC3" w:rsidRPr="006D40F0" w:rsidRDefault="00575AC3" w:rsidP="006D40F0">
      <w:r w:rsidRPr="006D40F0">
        <w:t>Samlet foreslås bevilgningen på posten redusert med 12,9 mill. kroner.</w:t>
      </w:r>
    </w:p>
    <w:p w14:paraId="05128B31" w14:textId="77777777" w:rsidR="00575AC3" w:rsidRPr="006D40F0" w:rsidRDefault="00575AC3" w:rsidP="006D40F0">
      <w:pPr>
        <w:pStyle w:val="b-post"/>
      </w:pPr>
      <w:r w:rsidRPr="006D40F0">
        <w:t>Post 96 (Ny) Aksjekapital</w:t>
      </w:r>
    </w:p>
    <w:p w14:paraId="337297FD" w14:textId="77777777" w:rsidR="00575AC3" w:rsidRPr="006D40F0" w:rsidRDefault="00575AC3" w:rsidP="006D40F0">
      <w:r w:rsidRPr="006D40F0">
        <w:t>EISCAT Scientific Association er et internasjonalt forskningssamarbeid som drifter radaranlegg for ionosfæreforskning. EISCAT ble etablert i 1975 og har anlegg i Norge, Sverige og Finland. Øvrige medlemmer er Storbritannia, Kina og Japan. EISCAT forsker på de fysiske forholdene i ionosfæren, dvs. fra de øvre lag i atmosfæren og et stykke videre ut i verdensrommet. Forskningen er av høy, internasjonal kvalitet. Nå bygger EISCAT en ny avansert radar i Norge, Sverige og Finland som kan lage tredimensjonale «bilder» av forholdene i ionosfæren. Dette nye anlegget kalles EISCAT_3D.</w:t>
      </w:r>
    </w:p>
    <w:p w14:paraId="4E3D9FCC" w14:textId="77777777" w:rsidR="00575AC3" w:rsidRPr="006D40F0" w:rsidRDefault="00575AC3" w:rsidP="006D40F0">
      <w:r w:rsidRPr="006D40F0">
        <w:t>Noe av utstyret som EISCAT_3D skal benytte, er basert på flerbruksteknologi. EISCAT vil derfor være underlagt nasjonale sikkerhetskrav. Det er da vesentlig mer hensiktsmessig å være organisert som et aksjeselskap enn som en ideell forening. EISCAT Association har besluttet at driften overføres til et svensk aksjeselskap eid av myndighetene i vertslandene Sverige, Finland og Norge.</w:t>
      </w:r>
    </w:p>
    <w:p w14:paraId="2D283B9D" w14:textId="77777777" w:rsidR="00575AC3" w:rsidRPr="006D40F0" w:rsidRDefault="00575AC3" w:rsidP="006D40F0">
      <w:r w:rsidRPr="006D40F0">
        <w:t>De tre vertslandene samarbeider om etableringen av aksjeselskapet. Det tas sikte på å etablere EISCAT AB høsten 2024. Aksjekapitalen skal være 9 mill. SEK fordelt likt mellom de tre vertslandene.</w:t>
      </w:r>
    </w:p>
    <w:p w14:paraId="7B83BC17" w14:textId="77777777" w:rsidR="00575AC3" w:rsidRPr="006D40F0" w:rsidRDefault="00575AC3" w:rsidP="006D40F0">
      <w:r w:rsidRPr="006D40F0">
        <w:lastRenderedPageBreak/>
        <w:t>Regjeringen mener at det er viktig at Norge fortsatt er aktiv deltaker i EISCAT-samarbeidet. Organisering som aksjeselskap er mer hensiktsmessig enn dagens organisasjonsform. Statlig eierskap er nødvendig for å oppnå sektorpolitiske mål. Kunnskapsdepartementet skal forvalte det norske eierskapet så langt mulig i samsvar med norsk statlig eierskapspolitikk.</w:t>
      </w:r>
    </w:p>
    <w:p w14:paraId="07D3B831" w14:textId="77777777" w:rsidR="00575AC3" w:rsidRPr="006D40F0" w:rsidRDefault="00575AC3" w:rsidP="006D40F0">
      <w:r w:rsidRPr="006D40F0">
        <w:t>Norges andel av aksjekapitalen vil være 3 mill. SEK. Dette utgjør om lag 3,1 mill. NOK med valutakurs per 1. mars 2024. Aksjekapitalen er planlagt utbetalt høsten 2024, og det kan dermed oppstå en mindre differanse på beløpet som følge av valutakursendringer.</w:t>
      </w:r>
    </w:p>
    <w:p w14:paraId="604DF0C3" w14:textId="77777777" w:rsidR="00575AC3" w:rsidRPr="006D40F0" w:rsidRDefault="00575AC3" w:rsidP="006D40F0">
      <w:r w:rsidRPr="006D40F0">
        <w:t xml:space="preserve">Det foreslås å opprette en ny post 96 </w:t>
      </w:r>
      <w:r w:rsidRPr="00575AC3">
        <w:rPr>
          <w:rStyle w:val="kursiv"/>
        </w:rPr>
        <w:t>Aksjekapital</w:t>
      </w:r>
      <w:r w:rsidRPr="006D40F0">
        <w:t xml:space="preserve"> og å bevilge 3,1 mill. kroner på posten, mot tilsvarende reduksjon på kap. 275, post 21.</w:t>
      </w:r>
    </w:p>
    <w:p w14:paraId="291A5530" w14:textId="77777777" w:rsidR="00575AC3" w:rsidRPr="006D40F0" w:rsidRDefault="00575AC3" w:rsidP="006D40F0">
      <w:pPr>
        <w:pStyle w:val="b-budkaptit"/>
      </w:pPr>
      <w:r w:rsidRPr="006D40F0">
        <w:t>Kap. 285 Norges forskningsråd</w:t>
      </w:r>
    </w:p>
    <w:p w14:paraId="7242DEF0" w14:textId="77777777" w:rsidR="00575AC3" w:rsidRPr="006D40F0" w:rsidRDefault="00575AC3" w:rsidP="006D40F0">
      <w:pPr>
        <w:pStyle w:val="b-post"/>
      </w:pPr>
      <w:r w:rsidRPr="006D40F0">
        <w:t>Post 55 Virksomhetskostnader</w:t>
      </w:r>
    </w:p>
    <w:p w14:paraId="0A6F887D" w14:textId="77777777" w:rsidR="00575AC3" w:rsidRPr="006D40F0" w:rsidRDefault="00575AC3" w:rsidP="006D40F0">
      <w:pPr>
        <w:pStyle w:val="avsnitt-undertittel"/>
      </w:pPr>
      <w:r w:rsidRPr="006D40F0">
        <w:t>Oppfølging av tiltak i mineralstrategien</w:t>
      </w:r>
    </w:p>
    <w:p w14:paraId="73D3DB14" w14:textId="77777777" w:rsidR="00575AC3" w:rsidRPr="006D40F0" w:rsidRDefault="00575AC3" w:rsidP="006D40F0">
      <w:r w:rsidRPr="006D40F0">
        <w:t>Nærings- og fiskeridepartementet har gitt Norges forskningsråd i oppdrag å følge opp to tiltak i regjeringens mineralstrategi. Det foreslås å overføre 5 mill. kroner fra Nærings- og fiskeridepartementets kap. 920, post 50 for å dekke Forskningsrådets virksomhetskostnader til oppdraget.</w:t>
      </w:r>
    </w:p>
    <w:p w14:paraId="21888CE6" w14:textId="77777777" w:rsidR="00575AC3" w:rsidRPr="006D40F0" w:rsidRDefault="00575AC3" w:rsidP="006D40F0">
      <w:pPr>
        <w:pStyle w:val="avsnitt-undertittel"/>
      </w:pPr>
      <w:r w:rsidRPr="006D40F0">
        <w:t>Maritim nasjonal ekspert i Europakommisjonen</w:t>
      </w:r>
    </w:p>
    <w:p w14:paraId="0E920622" w14:textId="77777777" w:rsidR="00575AC3" w:rsidRPr="006D40F0" w:rsidRDefault="00575AC3" w:rsidP="006D40F0">
      <w:r w:rsidRPr="006D40F0">
        <w:t xml:space="preserve">Nærings- og fiskeridepartementet har gitt Norges forskningsråd i oppdrag å administrere arbeidsgiveransvar og faglig oppfølging av en nasjonal ekspert til Europakommisjonen DG Research and </w:t>
      </w:r>
      <w:proofErr w:type="spellStart"/>
      <w:r w:rsidRPr="006D40F0">
        <w:t>Innovation</w:t>
      </w:r>
      <w:proofErr w:type="spellEnd"/>
      <w:r w:rsidRPr="006D40F0">
        <w:t xml:space="preserve">, under ordningen </w:t>
      </w:r>
      <w:proofErr w:type="spellStart"/>
      <w:r w:rsidRPr="006D40F0">
        <w:t>Seconded</w:t>
      </w:r>
      <w:proofErr w:type="spellEnd"/>
      <w:r w:rsidRPr="006D40F0">
        <w:t xml:space="preserve"> National Experts. Det foreslås å overføre 2,5 mill. kroner fra Nærings- og fiskeridepartementets kap. 920, post 51 for å dekke Forskningsrådets virksomhetskostnader til oppdraget.</w:t>
      </w:r>
    </w:p>
    <w:p w14:paraId="13021122" w14:textId="77777777" w:rsidR="00575AC3" w:rsidRPr="006D40F0" w:rsidRDefault="00575AC3" w:rsidP="006D40F0">
      <w:pPr>
        <w:pStyle w:val="avsnitt-undertittel"/>
      </w:pPr>
      <w:r w:rsidRPr="006D40F0">
        <w:t>Helsenæringen og produksjon av legemidler</w:t>
      </w:r>
    </w:p>
    <w:p w14:paraId="51580377" w14:textId="77777777" w:rsidR="00575AC3" w:rsidRPr="006D40F0" w:rsidRDefault="00575AC3" w:rsidP="006D40F0">
      <w:r w:rsidRPr="006D40F0">
        <w:t>Nærings- og fiskeridepartementet har bedt Norges forskningsråd, i samarbeid med Innovasjon Norge og SIVA, om å følge opp to oppdrag relatert til helsenæringen, katapultordningen og produksjon av legemidler. Det foreslås å overføre 0,4 mill. kroner fra Nærings- og fiskeridepartementets kap. 920, post 50 for å dekke Forskningsrådets virksomhetskostnader til oppdragene.</w:t>
      </w:r>
    </w:p>
    <w:p w14:paraId="3889DC53" w14:textId="77777777" w:rsidR="00575AC3" w:rsidRPr="006D40F0" w:rsidRDefault="00575AC3" w:rsidP="006D40F0">
      <w:pPr>
        <w:pStyle w:val="avsnitt-undertittel"/>
      </w:pPr>
      <w:r w:rsidRPr="006D40F0">
        <w:t>Administrativ oppfølging av Nasjonal transportplan</w:t>
      </w:r>
    </w:p>
    <w:p w14:paraId="1BD62BCE" w14:textId="77777777" w:rsidR="00575AC3" w:rsidRPr="006D40F0" w:rsidRDefault="00575AC3" w:rsidP="006D40F0">
      <w:r w:rsidRPr="006D40F0">
        <w:t>Det foreslås å øke bevilgningen på posten med 2 mill. kroner, mot en tilsvarende reduksjon under Samferdselsdepartementets kap. 1301, post 50 Norges forskningsråd mv. Midlene skal dekke utgifter til oppdrag som Samferdselsdepartementet har gitt til Forskningsrådet for å følge opp tiltak i Nasjonal transportplan 2025–2036.</w:t>
      </w:r>
    </w:p>
    <w:p w14:paraId="025B348A" w14:textId="77777777" w:rsidR="00575AC3" w:rsidRPr="006D40F0" w:rsidRDefault="00575AC3" w:rsidP="006D40F0">
      <w:pPr>
        <w:pStyle w:val="avsnitt-undertittel"/>
      </w:pPr>
      <w:r w:rsidRPr="006D40F0">
        <w:t xml:space="preserve">Forskning på </w:t>
      </w:r>
      <w:proofErr w:type="spellStart"/>
      <w:r w:rsidRPr="006D40F0">
        <w:t>distriktsutfordringer</w:t>
      </w:r>
      <w:proofErr w:type="spellEnd"/>
    </w:p>
    <w:p w14:paraId="7FFB362B" w14:textId="77777777" w:rsidR="00575AC3" w:rsidRPr="006D40F0" w:rsidRDefault="00575AC3" w:rsidP="006D40F0">
      <w:r w:rsidRPr="006D40F0">
        <w:t xml:space="preserve">Kommunal- og distriktsdepartementet og Digitaliserings- og forvaltningsdepartementet har for 2024 gitt Norges forskningsråd i oppdrag å innhente kunnskapsgrunnlag for vurdering av videre </w:t>
      </w:r>
      <w:r w:rsidRPr="006D40F0">
        <w:lastRenderedPageBreak/>
        <w:t xml:space="preserve">satsing på forskning på </w:t>
      </w:r>
      <w:proofErr w:type="spellStart"/>
      <w:r w:rsidRPr="006D40F0">
        <w:t>distriktsutfordringer</w:t>
      </w:r>
      <w:proofErr w:type="spellEnd"/>
      <w:r w:rsidRPr="006D40F0">
        <w:t xml:space="preserve"> og regional utvikling fra 2025. Det foreslås å overføre totalt 1,5 mill. kroner til Kunnskapsdepartementets kap. 285, post 55 til oppdraget. Kostnadene fordeles med 1 mill. kroner fra Kommunal- og </w:t>
      </w:r>
      <w:proofErr w:type="spellStart"/>
      <w:r w:rsidRPr="006D40F0">
        <w:t>distriktsdepartementets</w:t>
      </w:r>
      <w:proofErr w:type="spellEnd"/>
      <w:r w:rsidRPr="006D40F0">
        <w:t xml:space="preserve"> kap. 500, post 50 og 0,5 mill. kroner fra Digitaliserings- og forvaltningsdepartementets kap. 1500, post 50.</w:t>
      </w:r>
    </w:p>
    <w:p w14:paraId="635A1DFC" w14:textId="77777777" w:rsidR="00575AC3" w:rsidRPr="006D40F0" w:rsidRDefault="00575AC3" w:rsidP="006D40F0">
      <w:pPr>
        <w:pStyle w:val="avsnitt-undertittel"/>
      </w:pPr>
      <w:r w:rsidRPr="006D40F0">
        <w:t>Samfunnsoppdrag bærekraftig fôr</w:t>
      </w:r>
    </w:p>
    <w:p w14:paraId="133D41F6" w14:textId="77777777" w:rsidR="00575AC3" w:rsidRPr="006D40F0" w:rsidRDefault="00575AC3" w:rsidP="006D40F0">
      <w:r w:rsidRPr="006D40F0">
        <w:t>Regjeringen har lansert et målrettet samfunnsoppdrag for bærekraftig fôr. Samfunnsoppdrag er et nytt virkemiddel der forskning og utvikling kobles tettere med regelverksarbeid og annen politikkutvikling. Samfunnsoppdraget ledes av Nærings- og fiskeridepartementet i tett samarbeid med Landbruks- og matdepartementet. Norges forskningsråd skal være vertskap for et sekretariat som får ansvar for drift og utvikling av samfunnsoppdraget. Det foreslås en samlet overføring på 2 mill. kroner fra Nærings- og fiskeridepartementets kap. 900, post 21 og kap. 950, post 51 til oppfølging av samfunnsoppdraget i 2024.</w:t>
      </w:r>
    </w:p>
    <w:p w14:paraId="3018460C" w14:textId="77777777" w:rsidR="00575AC3" w:rsidRPr="006D40F0" w:rsidRDefault="00575AC3" w:rsidP="006D40F0">
      <w:r w:rsidRPr="006D40F0">
        <w:t>For nærmere omtale vises det til Nærings- og fiskeridepartementets forslag.</w:t>
      </w:r>
    </w:p>
    <w:p w14:paraId="2E43FF5F" w14:textId="77777777" w:rsidR="00575AC3" w:rsidRPr="006D40F0" w:rsidRDefault="00575AC3" w:rsidP="006D40F0">
      <w:pPr>
        <w:pStyle w:val="avsnitt-undertittel"/>
      </w:pPr>
      <w:r w:rsidRPr="006D40F0">
        <w:t>Oppsummering</w:t>
      </w:r>
    </w:p>
    <w:p w14:paraId="01A89E28" w14:textId="77777777" w:rsidR="00575AC3" w:rsidRPr="006D40F0" w:rsidRDefault="00575AC3" w:rsidP="006D40F0">
      <w:r w:rsidRPr="006D40F0">
        <w:t>Samlet foreslås bevilgningen på posten økt med 13,4 mill. kroner.</w:t>
      </w:r>
    </w:p>
    <w:p w14:paraId="3CC81250" w14:textId="77777777" w:rsidR="00575AC3" w:rsidRPr="006D40F0" w:rsidRDefault="00575AC3" w:rsidP="006D40F0">
      <w:pPr>
        <w:pStyle w:val="b-budkaptit"/>
      </w:pPr>
      <w:r w:rsidRPr="006D40F0">
        <w:t>Kap. 288 Internasjonale samarbeidstiltak</w:t>
      </w:r>
    </w:p>
    <w:p w14:paraId="6273603A" w14:textId="77777777" w:rsidR="00575AC3" w:rsidRPr="006D40F0" w:rsidRDefault="00575AC3" w:rsidP="006D40F0">
      <w:pPr>
        <w:pStyle w:val="b-post"/>
      </w:pPr>
      <w:r w:rsidRPr="006D40F0">
        <w:t>Post 72 Internasjonale grunnforskningsorganisasjoner</w:t>
      </w:r>
    </w:p>
    <w:p w14:paraId="7F3F7C37" w14:textId="77777777" w:rsidR="00575AC3" w:rsidRPr="006D40F0" w:rsidRDefault="00575AC3" w:rsidP="006D40F0">
      <w:r w:rsidRPr="006D40F0">
        <w:t>Norge er gjennom sin deltakelse i en rekke ulike internasjonale grunnforskningsorganisasjoner forpliktet til å betale kontingent. Kap. 288, post 72 dekker norsk deltakelse i:</w:t>
      </w:r>
    </w:p>
    <w:p w14:paraId="418D4071" w14:textId="77777777" w:rsidR="00575AC3" w:rsidRPr="006D40F0" w:rsidRDefault="00575AC3" w:rsidP="006D40F0">
      <w:pPr>
        <w:pStyle w:val="Liste"/>
      </w:pPr>
      <w:r w:rsidRPr="006D40F0">
        <w:t>Den europeiske organisasjon for kjerneforskning (CERN)</w:t>
      </w:r>
    </w:p>
    <w:p w14:paraId="62EE0FA2" w14:textId="77777777" w:rsidR="00575AC3" w:rsidRPr="006D40F0" w:rsidRDefault="00575AC3" w:rsidP="006D40F0">
      <w:pPr>
        <w:pStyle w:val="Liste"/>
      </w:pPr>
      <w:r w:rsidRPr="006D40F0">
        <w:t>Det europeiske molekylærbiologiske laboratorium (EMBL)</w:t>
      </w:r>
    </w:p>
    <w:p w14:paraId="61DA98DC" w14:textId="77777777" w:rsidR="00575AC3" w:rsidRPr="00D74A52" w:rsidRDefault="00575AC3" w:rsidP="006D40F0">
      <w:pPr>
        <w:pStyle w:val="Liste"/>
        <w:rPr>
          <w:lang w:val="en-GB"/>
        </w:rPr>
      </w:pPr>
      <w:r w:rsidRPr="00D74A52">
        <w:rPr>
          <w:lang w:val="en-GB"/>
        </w:rPr>
        <w:t>European Molecular Biology Conference (EMBC)</w:t>
      </w:r>
    </w:p>
    <w:p w14:paraId="1A27160D" w14:textId="77777777" w:rsidR="00575AC3" w:rsidRPr="00D74A52" w:rsidRDefault="00575AC3" w:rsidP="006D40F0">
      <w:pPr>
        <w:pStyle w:val="Liste"/>
        <w:rPr>
          <w:lang w:val="en-GB"/>
        </w:rPr>
      </w:pPr>
      <w:r w:rsidRPr="00D74A52">
        <w:rPr>
          <w:lang w:val="en-GB"/>
        </w:rPr>
        <w:t>European Synchrotron Radiation Facility (ESRF)</w:t>
      </w:r>
    </w:p>
    <w:p w14:paraId="6885BA4D" w14:textId="77777777" w:rsidR="00575AC3" w:rsidRPr="00D74A52" w:rsidRDefault="00575AC3" w:rsidP="006D40F0">
      <w:pPr>
        <w:pStyle w:val="Liste"/>
        <w:rPr>
          <w:lang w:val="en-GB"/>
        </w:rPr>
      </w:pPr>
      <w:r w:rsidRPr="00D74A52">
        <w:rPr>
          <w:lang w:val="en-GB"/>
        </w:rPr>
        <w:t>International Agency for Research on Cancer (IARC)</w:t>
      </w:r>
    </w:p>
    <w:p w14:paraId="6D49040C" w14:textId="77777777" w:rsidR="00575AC3" w:rsidRPr="006D40F0" w:rsidRDefault="00575AC3" w:rsidP="006D40F0">
      <w:r w:rsidRPr="006D40F0">
        <w:t>Kunnskapsdepartementet har mottatt endelig informasjon om kontingentene til de internasjonale grunnforskningsorganisasjonene for 2024. Budsjettene for de fleste organisasjonene var ikke fastsatt da statsbudsjettet for 2024 ble lagt frem, men ble først vedtatt rett før årsskiftet. Basert på de mottatte kontingentkravene for 2024 foreslås bevilgningen redusert med 5,2 mill. kroner.</w:t>
      </w:r>
    </w:p>
    <w:p w14:paraId="252D25AA" w14:textId="77777777" w:rsidR="00575AC3" w:rsidRPr="006D40F0" w:rsidRDefault="00575AC3" w:rsidP="006D40F0">
      <w:pPr>
        <w:pStyle w:val="b-post"/>
      </w:pPr>
      <w:r w:rsidRPr="006D40F0">
        <w:t>Post 73 EUs rammeprogram for forskning og innovasjon</w:t>
      </w:r>
    </w:p>
    <w:p w14:paraId="500AB469" w14:textId="77777777" w:rsidR="00575AC3" w:rsidRPr="006D40F0" w:rsidRDefault="00575AC3" w:rsidP="006D40F0">
      <w:r w:rsidRPr="006D40F0">
        <w:t>Det foreslås å øke bevilgningen med 90,7 mill. kroner. Endringen skyldes oppdatert kontingentanslag basert på utkast til utbetalingsbudsjett fra Europakommisjonen og valutakursjusteringer.</w:t>
      </w:r>
    </w:p>
    <w:p w14:paraId="45B80F30" w14:textId="77777777" w:rsidR="00575AC3" w:rsidRPr="006D40F0" w:rsidRDefault="00575AC3" w:rsidP="006D40F0">
      <w:pPr>
        <w:pStyle w:val="b-post"/>
      </w:pPr>
      <w:r w:rsidRPr="006D40F0">
        <w:lastRenderedPageBreak/>
        <w:t>Post 74 EUs program for utdanning, opplæring, ungdom og idrett</w:t>
      </w:r>
    </w:p>
    <w:p w14:paraId="412B859F" w14:textId="77777777" w:rsidR="00575AC3" w:rsidRPr="006D40F0" w:rsidRDefault="00575AC3" w:rsidP="006D40F0">
      <w:r w:rsidRPr="006D40F0">
        <w:t>Det foreslås å redusere bevilgningen med 69,5 mill. kroner. Endringen skyldes oppdatert kontingentanslag basert på utkast til utbetalingsbudsjett fra Europakommisjonen og valutakursjusteringer.</w:t>
      </w:r>
    </w:p>
    <w:p w14:paraId="3DB1EECB" w14:textId="77777777" w:rsidR="00575AC3" w:rsidRPr="006D40F0" w:rsidRDefault="00575AC3" w:rsidP="006D40F0">
      <w:pPr>
        <w:pStyle w:val="b-post"/>
      </w:pPr>
      <w:r w:rsidRPr="006D40F0">
        <w:t>Post 75 UNESCO-kontingent</w:t>
      </w:r>
    </w:p>
    <w:p w14:paraId="6E22A6E7" w14:textId="77777777" w:rsidR="00575AC3" w:rsidRPr="006D40F0" w:rsidRDefault="00575AC3" w:rsidP="006D40F0">
      <w:r w:rsidRPr="006D40F0">
        <w:t>Det foreslås å redusere bevilgningen med 2,1 mill. kroner, som følge av oppdatert kontingentanslag. Se også omtale under kap. 3288, post 04.</w:t>
      </w:r>
    </w:p>
    <w:p w14:paraId="4269DEDC" w14:textId="77777777" w:rsidR="00575AC3" w:rsidRPr="006D40F0" w:rsidRDefault="00575AC3" w:rsidP="006D40F0">
      <w:pPr>
        <w:pStyle w:val="b-budkaptit"/>
      </w:pPr>
      <w:r w:rsidRPr="006D40F0">
        <w:t>Kap. 3288 Internasjonale samarbeidstiltak</w:t>
      </w:r>
    </w:p>
    <w:p w14:paraId="729769F9" w14:textId="77777777" w:rsidR="00575AC3" w:rsidRPr="006D40F0" w:rsidRDefault="00575AC3" w:rsidP="006D40F0">
      <w:pPr>
        <w:pStyle w:val="b-post"/>
      </w:pPr>
      <w:r w:rsidRPr="006D40F0">
        <w:t>Post 04 Refusjon av ODA-godkjente utgifter</w:t>
      </w:r>
    </w:p>
    <w:p w14:paraId="35C95D4F" w14:textId="77777777" w:rsidR="00575AC3" w:rsidRPr="006D40F0" w:rsidRDefault="00575AC3" w:rsidP="006D40F0">
      <w:r w:rsidRPr="006D40F0">
        <w:t xml:space="preserve">Kontingenten til International </w:t>
      </w:r>
      <w:proofErr w:type="spellStart"/>
      <w:r w:rsidRPr="006D40F0">
        <w:t>Agency</w:t>
      </w:r>
      <w:proofErr w:type="spellEnd"/>
      <w:r w:rsidRPr="006D40F0">
        <w:t xml:space="preserve"> for Research </w:t>
      </w:r>
      <w:proofErr w:type="spellStart"/>
      <w:r w:rsidRPr="006D40F0">
        <w:t>on</w:t>
      </w:r>
      <w:proofErr w:type="spellEnd"/>
      <w:r w:rsidRPr="006D40F0">
        <w:t xml:space="preserve"> Cancer (IARC) utløser rett til refusjon av ODA-utgifter. Norge kan </w:t>
      </w:r>
      <w:proofErr w:type="spellStart"/>
      <w:r w:rsidRPr="006D40F0">
        <w:t>regnskapsføre</w:t>
      </w:r>
      <w:proofErr w:type="spellEnd"/>
      <w:r w:rsidRPr="006D40F0">
        <w:t xml:space="preserve"> 51 pst. av kontingenten som bistandsmidler. En justering av kontingenten til IARC fører til en reduksjon i refusjonen på 0,2 mill. kroner.</w:t>
      </w:r>
    </w:p>
    <w:p w14:paraId="090D7040" w14:textId="77777777" w:rsidR="00575AC3" w:rsidRPr="006D40F0" w:rsidRDefault="00575AC3" w:rsidP="006D40F0">
      <w:r w:rsidRPr="006D40F0">
        <w:t>Kontingentforpliktelsen for norsk medlemskap i UNESCO utløser rett til refusjon av ODA-godkjente utgifter. Ved en inkurie ble det budsjettert med en refusjon på 100 pst. av UNESCO-kontingenten på 24,3 mill. kroner i 2024. Det skal budsjetteres med en refusjon på 60 pst. av kontingenten i 2024, som utgjør totalt 14,6 mill. kroner i refusjon. Det medfører en reduksjon på posten på 9,7 mill. kroner. Som følge av oppdatert kontingentkrav for 2024 foreslås bevilgningen redusert med ytterligere 2,2 mill. kroner.</w:t>
      </w:r>
    </w:p>
    <w:p w14:paraId="639804D7" w14:textId="77777777" w:rsidR="00575AC3" w:rsidRPr="006D40F0" w:rsidRDefault="00575AC3" w:rsidP="006D40F0">
      <w:pPr>
        <w:pStyle w:val="avsnitt-undertittel"/>
      </w:pPr>
      <w:r w:rsidRPr="006D40F0">
        <w:t>Oppsummering</w:t>
      </w:r>
    </w:p>
    <w:p w14:paraId="59FE91C8" w14:textId="77777777" w:rsidR="00575AC3" w:rsidRPr="006D40F0" w:rsidRDefault="00575AC3" w:rsidP="006D40F0">
      <w:r w:rsidRPr="006D40F0">
        <w:t>Samlet foreslås bevilgningen på posten redusert med 12,1 mill. kroner.</w:t>
      </w:r>
    </w:p>
    <w:p w14:paraId="162B9228" w14:textId="77777777" w:rsidR="00575AC3" w:rsidRPr="006D40F0" w:rsidRDefault="00575AC3" w:rsidP="006D40F0">
      <w:pPr>
        <w:pStyle w:val="b-budkaptit"/>
      </w:pPr>
      <w:r w:rsidRPr="006D40F0">
        <w:t>Kap. 2410 Statens lånekasse for utdanning</w:t>
      </w:r>
    </w:p>
    <w:p w14:paraId="2092BC9C" w14:textId="77777777" w:rsidR="00575AC3" w:rsidRPr="006D40F0" w:rsidRDefault="00575AC3" w:rsidP="006D40F0">
      <w:pPr>
        <w:pStyle w:val="b-post"/>
      </w:pPr>
      <w:r w:rsidRPr="006D40F0">
        <w:t>Post 01 Driftsutgifter</w:t>
      </w:r>
    </w:p>
    <w:p w14:paraId="385A695D" w14:textId="77777777" w:rsidR="00575AC3" w:rsidRPr="006D40F0" w:rsidRDefault="00575AC3" w:rsidP="006D40F0">
      <w:r w:rsidRPr="006D40F0">
        <w:t xml:space="preserve">Bevilgningen foreslås økt med 1,4 mill. kroner som følge av høyere kostnader for Lånekassen til den digitale tjenesten </w:t>
      </w:r>
      <w:proofErr w:type="spellStart"/>
      <w:r w:rsidRPr="006D40F0">
        <w:t>eSignering</w:t>
      </w:r>
      <w:proofErr w:type="spellEnd"/>
      <w:r w:rsidRPr="006D40F0">
        <w:t xml:space="preserve"> enn lagt til grunn. Tjenesten forvaltes av Digitaliseringsdirektoratet og benyttes til digital signering av avtaler og dokumenter.</w:t>
      </w:r>
    </w:p>
    <w:p w14:paraId="7F88F391" w14:textId="77777777" w:rsidR="00575AC3" w:rsidRPr="006D40F0" w:rsidRDefault="00575AC3" w:rsidP="006D40F0">
      <w:pPr>
        <w:pStyle w:val="b-post"/>
      </w:pPr>
      <w:r w:rsidRPr="006D40F0">
        <w:t>Post 50 Avsetning til utdanningsstipend, overslagsbevilgning</w:t>
      </w:r>
    </w:p>
    <w:p w14:paraId="43F4F943" w14:textId="77777777" w:rsidR="00575AC3" w:rsidRPr="006D40F0" w:rsidRDefault="00575AC3" w:rsidP="006D40F0">
      <w:r w:rsidRPr="006D40F0">
        <w:t>Det foreslås å redusere bevilgningen med 191,3 mill. kroner som følge av anslagsendringer. Endringen skyldes i hovedsak redusert anslag for lån som kan gjøres om til stipend (omgjøringslån) og lavere anslag for antall mottakere av lån og stipend.</w:t>
      </w:r>
    </w:p>
    <w:p w14:paraId="280B5549" w14:textId="77777777" w:rsidR="00575AC3" w:rsidRPr="006D40F0" w:rsidRDefault="00575AC3" w:rsidP="006D40F0">
      <w:r w:rsidRPr="006D40F0">
        <w:t>Som følge av at det gjøres enkelte unntak fra utdanningsstøtteregelverket for norske studenter som var i Palestina og Libanon studieåret 2023–24, foreslås det å øke bevilgningen med 0,1 mill. kroner</w:t>
      </w:r>
    </w:p>
    <w:p w14:paraId="55D3921B" w14:textId="77777777" w:rsidR="00575AC3" w:rsidRPr="006D40F0" w:rsidRDefault="00575AC3" w:rsidP="006D40F0">
      <w:r w:rsidRPr="006D40F0">
        <w:lastRenderedPageBreak/>
        <w:t>I tillegg foreslås det å øke bevilgningen med 0,2 mill. kroner som følge av forslag om 10 nye studieplasser i veterinærmedisin.</w:t>
      </w:r>
    </w:p>
    <w:p w14:paraId="309905AE" w14:textId="77777777" w:rsidR="00575AC3" w:rsidRPr="006D40F0" w:rsidRDefault="00575AC3" w:rsidP="006D40F0">
      <w:r w:rsidRPr="006D40F0">
        <w:t>Samlet foreslås det å redusere bevilgningen med 191 mill. kroner.</w:t>
      </w:r>
    </w:p>
    <w:p w14:paraId="797B9EF4" w14:textId="77777777" w:rsidR="00575AC3" w:rsidRPr="006D40F0" w:rsidRDefault="00575AC3" w:rsidP="006D40F0">
      <w:pPr>
        <w:pStyle w:val="b-post"/>
      </w:pPr>
      <w:r w:rsidRPr="006D40F0">
        <w:t>Post 70 Utdanningsstipend, overslagsbevilgning</w:t>
      </w:r>
    </w:p>
    <w:p w14:paraId="168DE011" w14:textId="77777777" w:rsidR="00575AC3" w:rsidRPr="006D40F0" w:rsidRDefault="00575AC3" w:rsidP="006D40F0">
      <w:r w:rsidRPr="006D40F0">
        <w:t>Det foreslås å redusere bevilgningen med 190,9 mill. kroner som følge av anslagsendringer. Bevilgningsbehovet er redusert for blant annet borteboerstipend, foreldrestipend og flyktningstipend, mens bevilgningsbehovet til tilleggsstipendet for personer med nedsatt funksjonsevne er økt.</w:t>
      </w:r>
    </w:p>
    <w:p w14:paraId="5BD9B587" w14:textId="77777777" w:rsidR="00575AC3" w:rsidRPr="006D40F0" w:rsidRDefault="00575AC3" w:rsidP="006D40F0">
      <w:pPr>
        <w:pStyle w:val="b-post"/>
      </w:pPr>
      <w:r w:rsidRPr="006D40F0">
        <w:t>Post 71 Andre stipend, overslagsbevilgning</w:t>
      </w:r>
    </w:p>
    <w:p w14:paraId="4A15F594" w14:textId="77777777" w:rsidR="00575AC3" w:rsidRPr="006D40F0" w:rsidRDefault="00575AC3" w:rsidP="006D40F0">
      <w:r w:rsidRPr="006D40F0">
        <w:t>Det foreslås å redusere bevilgningen med 27 mill. kroner, i hovedsak som følge av redusert anslag for antall mottakere av stipend til skolepenger i utlandet.</w:t>
      </w:r>
    </w:p>
    <w:p w14:paraId="477AFA12" w14:textId="77777777" w:rsidR="00575AC3" w:rsidRPr="006D40F0" w:rsidRDefault="00575AC3" w:rsidP="006D40F0">
      <w:pPr>
        <w:pStyle w:val="b-post"/>
      </w:pPr>
      <w:r w:rsidRPr="006D40F0">
        <w:t>Post 72 Rentestøtte, overslagsbevilgning</w:t>
      </w:r>
    </w:p>
    <w:p w14:paraId="53D84D12" w14:textId="77777777" w:rsidR="00575AC3" w:rsidRPr="006D40F0" w:rsidRDefault="00575AC3" w:rsidP="006D40F0">
      <w:r w:rsidRPr="006D40F0">
        <w:t>Bevilgningen dekker kostnadene ved å gi rentefrie lån i studietiden, og rentestøtten er dermed et uttrykk for hvor mye staten subsidierer lånedelen av støtteordningene med. Som følge av høyere renteforutsetninger for den årlige effektive studielånsrenten, foreslås det å øke bevilgningen med 664,4 mill. kroner.</w:t>
      </w:r>
    </w:p>
    <w:p w14:paraId="2C117EC9" w14:textId="77777777" w:rsidR="00575AC3" w:rsidRPr="006D40F0" w:rsidRDefault="00575AC3" w:rsidP="006D40F0">
      <w:pPr>
        <w:pStyle w:val="b-post"/>
      </w:pPr>
      <w:r w:rsidRPr="006D40F0">
        <w:t>Post 73 Avskrivninger, overslagsbevilgning</w:t>
      </w:r>
    </w:p>
    <w:p w14:paraId="3639B74B" w14:textId="77777777" w:rsidR="00575AC3" w:rsidRPr="006D40F0" w:rsidRDefault="00575AC3" w:rsidP="006D40F0">
      <w:r w:rsidRPr="006D40F0">
        <w:t>Det foreslås å øke bevilgningen med 67,6 mill. kroner. Endringen skyldes særlig en økning i avskrivning av gjeld grunnet uførhet, og en økning i avskrivning av gjeld for lærere i språk- og realfag.</w:t>
      </w:r>
    </w:p>
    <w:p w14:paraId="5F397CA7" w14:textId="77777777" w:rsidR="00575AC3" w:rsidRPr="006D40F0" w:rsidRDefault="00575AC3" w:rsidP="006D40F0">
      <w:pPr>
        <w:pStyle w:val="b-post"/>
      </w:pPr>
      <w:r w:rsidRPr="006D40F0">
        <w:t>Post 74 Tap på utlån</w:t>
      </w:r>
    </w:p>
    <w:p w14:paraId="3B700CA7" w14:textId="77777777" w:rsidR="00575AC3" w:rsidRPr="006D40F0" w:rsidRDefault="00575AC3" w:rsidP="006D40F0">
      <w:r w:rsidRPr="006D40F0">
        <w:t>Det foreslås å redusere bevilgningen med 70 mill. kroner som følge av lavere anslag for lån som blir permanent overført til Statens innkrevingssentral.</w:t>
      </w:r>
    </w:p>
    <w:p w14:paraId="54A2316B" w14:textId="77777777" w:rsidR="00575AC3" w:rsidRPr="006D40F0" w:rsidRDefault="00575AC3" w:rsidP="006D40F0">
      <w:pPr>
        <w:pStyle w:val="b-post"/>
      </w:pPr>
      <w:r w:rsidRPr="006D40F0">
        <w:t>Post 90 Økt lån og rentegjeld, overslagsbevilgning</w:t>
      </w:r>
    </w:p>
    <w:p w14:paraId="6D4EAC09" w14:textId="77777777" w:rsidR="00575AC3" w:rsidRPr="006D40F0" w:rsidRDefault="00575AC3" w:rsidP="006D40F0">
      <w:r w:rsidRPr="006D40F0">
        <w:t>Basert på observert utvikling i inneværende studieår, anslås det samlede utlånet i 2024 til å bli 253,4 mill. kroner lavere enn lagt til grunn i saldert budsjett for 2024. Økte renteforutsetninger bidrar samtidig til å øke bevilgningsbehovet. Konsekvensjusteringene øker bevilgningsbehovet med 762,6 mill. kroner</w:t>
      </w:r>
    </w:p>
    <w:p w14:paraId="7E2AD11F" w14:textId="77777777" w:rsidR="00575AC3" w:rsidRPr="006D40F0" w:rsidRDefault="00575AC3" w:rsidP="006D40F0">
      <w:r w:rsidRPr="006D40F0">
        <w:t>I tillegg foreslås det å øke bevilgningen med 0,5 mill. kroner som følge av forslag om 10 nye studieplasser i veterinærmedisin.</w:t>
      </w:r>
    </w:p>
    <w:p w14:paraId="4BA59C34" w14:textId="77777777" w:rsidR="00575AC3" w:rsidRPr="006D40F0" w:rsidRDefault="00575AC3" w:rsidP="006D40F0">
      <w:r w:rsidRPr="006D40F0">
        <w:t>Samlet foreslås det å øke bevilgningen med 763,2 mill. kroner</w:t>
      </w:r>
    </w:p>
    <w:p w14:paraId="2B66602B" w14:textId="77777777" w:rsidR="00575AC3" w:rsidRPr="006D40F0" w:rsidRDefault="00575AC3" w:rsidP="006D40F0">
      <w:pPr>
        <w:pStyle w:val="b-budkaptit"/>
      </w:pPr>
      <w:r w:rsidRPr="006D40F0">
        <w:lastRenderedPageBreak/>
        <w:t>Kap. 5310 Statens lånekasse for utdanning</w:t>
      </w:r>
    </w:p>
    <w:p w14:paraId="11840CF8" w14:textId="77777777" w:rsidR="00575AC3" w:rsidRPr="006D40F0" w:rsidRDefault="00575AC3" w:rsidP="006D40F0">
      <w:pPr>
        <w:pStyle w:val="b-post"/>
      </w:pPr>
      <w:r w:rsidRPr="006D40F0">
        <w:t>Post 89 Purregebyrer</w:t>
      </w:r>
    </w:p>
    <w:p w14:paraId="11F2342E" w14:textId="77777777" w:rsidR="00575AC3" w:rsidRPr="006D40F0" w:rsidRDefault="00575AC3" w:rsidP="006D40F0">
      <w:r w:rsidRPr="006D40F0">
        <w:t>Det foreslås å øke bevilgningen med 16,9 mill. kroner på bakgrunn av observert økt antall purringer.</w:t>
      </w:r>
    </w:p>
    <w:p w14:paraId="13C87106" w14:textId="77777777" w:rsidR="00575AC3" w:rsidRPr="006D40F0" w:rsidRDefault="00575AC3" w:rsidP="006D40F0">
      <w:pPr>
        <w:pStyle w:val="b-post"/>
      </w:pPr>
      <w:r w:rsidRPr="006D40F0">
        <w:t>Post 90 Redusert lån og rentegjeld</w:t>
      </w:r>
    </w:p>
    <w:p w14:paraId="0BA4C262" w14:textId="77777777" w:rsidR="00575AC3" w:rsidRPr="006D40F0" w:rsidRDefault="00575AC3" w:rsidP="006D40F0">
      <w:r w:rsidRPr="006D40F0">
        <w:t>På bakgrunn av regnskapstall for 2023 nedjusteres anslaget for innbetalte avdrag med 667,3 mill. kroner. Utover dette anslås en økning i rettighetsbaserte avskrivninger på 67,7 mill. kroner, mens anslaget for tap reduseres med 70 mill. kroner. Samlet foreslås det å redusere bevilgningen med 591,1 mill. kroner</w:t>
      </w:r>
    </w:p>
    <w:p w14:paraId="4AC1DCDA" w14:textId="77777777" w:rsidR="00575AC3" w:rsidRPr="006D40F0" w:rsidRDefault="00575AC3" w:rsidP="006D40F0">
      <w:pPr>
        <w:pStyle w:val="b-post"/>
      </w:pPr>
      <w:r w:rsidRPr="006D40F0">
        <w:t>Post 93 Omgjøring av utdanningslån til stipend</w:t>
      </w:r>
    </w:p>
    <w:p w14:paraId="0A427A54" w14:textId="77777777" w:rsidR="00575AC3" w:rsidRPr="006D40F0" w:rsidRDefault="00575AC3" w:rsidP="006D40F0">
      <w:r w:rsidRPr="006D40F0">
        <w:t>Det foreslås å øke bevilgningen med 78 mill. kroner som følge av en noe høyere andel omgjøring til lån og stipend ved oppnådd grad enn tidligere lagt til grunn.</w:t>
      </w:r>
    </w:p>
    <w:p w14:paraId="335BA7E8" w14:textId="77777777" w:rsidR="00575AC3" w:rsidRPr="006D40F0" w:rsidRDefault="00575AC3" w:rsidP="006D40F0">
      <w:pPr>
        <w:pStyle w:val="b-budkaptit"/>
      </w:pPr>
      <w:r w:rsidRPr="006D40F0">
        <w:t>Kap. 5617 Renter fra Statens lånekasse for utdanning</w:t>
      </w:r>
    </w:p>
    <w:p w14:paraId="5E453C62" w14:textId="77777777" w:rsidR="00575AC3" w:rsidRPr="006D40F0" w:rsidRDefault="00575AC3" w:rsidP="006D40F0">
      <w:pPr>
        <w:pStyle w:val="b-post"/>
      </w:pPr>
      <w:r w:rsidRPr="006D40F0">
        <w:t>Post 80 Renter</w:t>
      </w:r>
    </w:p>
    <w:p w14:paraId="212A51EC" w14:textId="77777777" w:rsidR="00575AC3" w:rsidRPr="006D40F0" w:rsidRDefault="00575AC3" w:rsidP="006D40F0">
      <w:r w:rsidRPr="006D40F0">
        <w:t>Det foreslås å øke bevilgningen med 2 745,9 mill. kroner. Endringen skyldes i hovedsak økninger i påløpte og innbetalte renter, samt opptjente ikke-betalte renter.</w:t>
      </w:r>
    </w:p>
    <w:p w14:paraId="6F9587CC" w14:textId="77777777" w:rsidR="00575AC3" w:rsidRPr="006D40F0" w:rsidRDefault="00575AC3" w:rsidP="006D40F0">
      <w:pPr>
        <w:pStyle w:val="Undertittel"/>
      </w:pPr>
      <w:r w:rsidRPr="006D40F0">
        <w:t>Andre saker</w:t>
      </w:r>
    </w:p>
    <w:p w14:paraId="56879EBC" w14:textId="77777777" w:rsidR="00575AC3" w:rsidRPr="006D40F0" w:rsidRDefault="00575AC3" w:rsidP="006D40F0">
      <w:pPr>
        <w:pStyle w:val="avsnitt-undertittel"/>
      </w:pPr>
      <w:r w:rsidRPr="006D40F0">
        <w:t xml:space="preserve">Kostnadsramme for utvidelse og oppgradering av </w:t>
      </w:r>
      <w:proofErr w:type="spellStart"/>
      <w:r w:rsidRPr="006D40F0">
        <w:t>Raftohuset</w:t>
      </w:r>
      <w:proofErr w:type="spellEnd"/>
    </w:p>
    <w:p w14:paraId="2BE1756E" w14:textId="77777777" w:rsidR="00575AC3" w:rsidRPr="006D40F0" w:rsidRDefault="00575AC3" w:rsidP="006D40F0">
      <w:r w:rsidRPr="006D40F0">
        <w:t xml:space="preserve">I statsbudsjettet for 2024 er det bevilget 15 mill. kroner til </w:t>
      </w:r>
      <w:proofErr w:type="spellStart"/>
      <w:r w:rsidRPr="006D40F0">
        <w:t>Raftostiftelsen</w:t>
      </w:r>
      <w:proofErr w:type="spellEnd"/>
      <w:r w:rsidRPr="006D40F0">
        <w:t xml:space="preserve"> til utvidelse og oppgradering av </w:t>
      </w:r>
      <w:proofErr w:type="spellStart"/>
      <w:r w:rsidRPr="006D40F0">
        <w:t>Raftohuset</w:t>
      </w:r>
      <w:proofErr w:type="spellEnd"/>
      <w:r w:rsidRPr="006D40F0">
        <w:t xml:space="preserve"> i Bergen, jf. </w:t>
      </w:r>
      <w:proofErr w:type="spellStart"/>
      <w:r w:rsidRPr="006D40F0">
        <w:t>Innst</w:t>
      </w:r>
      <w:proofErr w:type="spellEnd"/>
      <w:r w:rsidRPr="006D40F0">
        <w:t xml:space="preserve">. 12 S (2023–2024). Prosjektet har en kostnadsramme på 85 mill. kroner. En oppgradering og utvidelse av </w:t>
      </w:r>
      <w:proofErr w:type="spellStart"/>
      <w:r w:rsidRPr="006D40F0">
        <w:t>Raftohuset</w:t>
      </w:r>
      <w:proofErr w:type="spellEnd"/>
      <w:r w:rsidRPr="006D40F0">
        <w:t xml:space="preserve"> vil gi flere elever og skoler mulighet til å delta i opplæringen </w:t>
      </w:r>
      <w:proofErr w:type="spellStart"/>
      <w:r w:rsidRPr="006D40F0">
        <w:t>Raftostiftelsen</w:t>
      </w:r>
      <w:proofErr w:type="spellEnd"/>
      <w:r w:rsidRPr="006D40F0">
        <w:t xml:space="preserve"> tilbyr. Prosjektet vil også gjøre lokalene universelt utformet. Regjeringen foreslår en fullmakt til å kunne pådra staten forpliktelser utover gitte bevilgninger ved å gi </w:t>
      </w:r>
      <w:proofErr w:type="spellStart"/>
      <w:r w:rsidRPr="006D40F0">
        <w:t>Raftostiftelsen</w:t>
      </w:r>
      <w:proofErr w:type="spellEnd"/>
      <w:r w:rsidRPr="006D40F0">
        <w:t xml:space="preserve"> tilsagn om tilskudd for å gjennomføre prosjektet, jf. forslag til romertallsfullmakt. </w:t>
      </w:r>
      <w:proofErr w:type="spellStart"/>
      <w:r w:rsidRPr="006D40F0">
        <w:t>Raftostiftelsen</w:t>
      </w:r>
      <w:proofErr w:type="spellEnd"/>
      <w:r w:rsidRPr="006D40F0">
        <w:t xml:space="preserve"> gis da anledning til å kunne inngå kontrakter på inntil 85 mill. kroner dvs. 70 mill. kroner ut over allerede gitte bevilgninger til formålet. En slik fullmakt vil gi stiftelsen tydelige og forutsigbare rammer slik at de kan sette i gang arbeidet med oppgradering og utvidelse av </w:t>
      </w:r>
      <w:proofErr w:type="spellStart"/>
      <w:r w:rsidRPr="006D40F0">
        <w:t>Raftohuset</w:t>
      </w:r>
      <w:proofErr w:type="spellEnd"/>
      <w:r w:rsidRPr="006D40F0">
        <w:t>.</w:t>
      </w:r>
    </w:p>
    <w:p w14:paraId="0362BC5B" w14:textId="77777777" w:rsidR="00575AC3" w:rsidRPr="006D40F0" w:rsidRDefault="00575AC3" w:rsidP="006D40F0">
      <w:pPr>
        <w:pStyle w:val="avsnitt-undertittel"/>
      </w:pPr>
      <w:r w:rsidRPr="006D40F0">
        <w:t>Retur- EU</w:t>
      </w:r>
    </w:p>
    <w:p w14:paraId="7DE095CB" w14:textId="77777777" w:rsidR="00575AC3" w:rsidRPr="006D40F0" w:rsidRDefault="00575AC3" w:rsidP="006D40F0">
      <w:r w:rsidRPr="006D40F0">
        <w:t xml:space="preserve">Regjeringen foreslår at den årlige rammen på 500 mill. kroner til Retur-EU i Forskningsrådet oppheves. Dette medfører at Forskningsrådet kan gå utover dagens ramme på 500 mill. kroner, </w:t>
      </w:r>
      <w:r w:rsidRPr="006D40F0">
        <w:lastRenderedPageBreak/>
        <w:t xml:space="preserve">noe som gir mer fleksibilitet og kan bidra til at søknadsaktiviteten til Horisont Europa opprettholdes. Regjeringen ønsker å tilby gode økonomiske </w:t>
      </w:r>
      <w:proofErr w:type="spellStart"/>
      <w:r w:rsidRPr="006D40F0">
        <w:t>insentivordninger</w:t>
      </w:r>
      <w:proofErr w:type="spellEnd"/>
      <w:r w:rsidRPr="006D40F0">
        <w:t xml:space="preserve"> for å stimulere til deltakelse i Horisont Europa og sørge for at norske forskningsmiljø henter forskningsmidler hjem til Norge. Instituttsektorens deltakelse er avgjørende for å nå regjeringens mål om en returandel på 2,8 pst. av de konkurranseutsatte midlene fra Horisont Europa.</w:t>
      </w:r>
    </w:p>
    <w:p w14:paraId="2BDF896E" w14:textId="77777777" w:rsidR="00575AC3" w:rsidRPr="006D40F0" w:rsidRDefault="00575AC3" w:rsidP="006D40F0">
      <w:pPr>
        <w:pStyle w:val="avsnitt-undertittel"/>
      </w:pPr>
      <w:r w:rsidRPr="006D40F0">
        <w:t xml:space="preserve">Omorganisering av </w:t>
      </w:r>
      <w:proofErr w:type="spellStart"/>
      <w:r w:rsidRPr="006D40F0">
        <w:t>Norce</w:t>
      </w:r>
      <w:proofErr w:type="spellEnd"/>
      <w:r w:rsidRPr="006D40F0">
        <w:t xml:space="preserve"> Norwegian Research Center AS</w:t>
      </w:r>
    </w:p>
    <w:p w14:paraId="39A7FE07" w14:textId="77777777" w:rsidR="00575AC3" w:rsidRPr="006D40F0" w:rsidRDefault="00575AC3" w:rsidP="006D40F0">
      <w:r w:rsidRPr="006D40F0">
        <w:t>Gjennom behandlingen av Prop. 129 S (2016–2017) fikk Universitetet i Agder (</w:t>
      </w:r>
      <w:proofErr w:type="spellStart"/>
      <w:r w:rsidRPr="006D40F0">
        <w:t>UiA</w:t>
      </w:r>
      <w:proofErr w:type="spellEnd"/>
      <w:r w:rsidRPr="006D40F0">
        <w:t>), Universitetet i Bergen (UiB) og Universitetet i Stavanger (</w:t>
      </w:r>
      <w:proofErr w:type="spellStart"/>
      <w:r w:rsidRPr="006D40F0">
        <w:t>UiS</w:t>
      </w:r>
      <w:proofErr w:type="spellEnd"/>
      <w:r w:rsidRPr="006D40F0">
        <w:t xml:space="preserve">) fullmakt til å bruke aksjene de eide i </w:t>
      </w:r>
      <w:proofErr w:type="spellStart"/>
      <w:r w:rsidRPr="006D40F0">
        <w:t>Uni</w:t>
      </w:r>
      <w:proofErr w:type="spellEnd"/>
      <w:r w:rsidRPr="006D40F0">
        <w:t xml:space="preserve"> Research AS, Christian Michelsen Research AS, International Research </w:t>
      </w:r>
      <w:proofErr w:type="spellStart"/>
      <w:r w:rsidRPr="006D40F0">
        <w:t>Institute</w:t>
      </w:r>
      <w:proofErr w:type="spellEnd"/>
      <w:r w:rsidRPr="006D40F0">
        <w:t xml:space="preserve"> </w:t>
      </w:r>
      <w:proofErr w:type="spellStart"/>
      <w:r w:rsidRPr="006D40F0">
        <w:t>of</w:t>
      </w:r>
      <w:proofErr w:type="spellEnd"/>
      <w:r w:rsidRPr="006D40F0">
        <w:t xml:space="preserve"> Stavanger AS, Agderforskning AS og </w:t>
      </w:r>
      <w:proofErr w:type="spellStart"/>
      <w:r w:rsidRPr="006D40F0">
        <w:t>Teknova</w:t>
      </w:r>
      <w:proofErr w:type="spellEnd"/>
      <w:r w:rsidRPr="006D40F0">
        <w:t xml:space="preserve"> AS som </w:t>
      </w:r>
      <w:proofErr w:type="spellStart"/>
      <w:r w:rsidRPr="006D40F0">
        <w:t>tingsinnskudd</w:t>
      </w:r>
      <w:proofErr w:type="spellEnd"/>
      <w:r w:rsidRPr="006D40F0">
        <w:t xml:space="preserve"> med formål om å fusjonere disse selskapene. Dette resulterte i opprettelsen av </w:t>
      </w:r>
      <w:proofErr w:type="spellStart"/>
      <w:r w:rsidRPr="006D40F0">
        <w:t>Norce</w:t>
      </w:r>
      <w:proofErr w:type="spellEnd"/>
      <w:r w:rsidRPr="006D40F0">
        <w:t xml:space="preserve"> Norwegian Research Centre AS. Universitetet i Tromsø (UiT) ervervet 35 aksjer i </w:t>
      </w:r>
      <w:proofErr w:type="spellStart"/>
      <w:r w:rsidRPr="006D40F0">
        <w:t>Norce</w:t>
      </w:r>
      <w:proofErr w:type="spellEnd"/>
      <w:r w:rsidRPr="006D40F0">
        <w:t xml:space="preserve"> Norwegian Research Centre AS i november 2018. I 2023 ble selskapsstrukturen i </w:t>
      </w:r>
      <w:proofErr w:type="spellStart"/>
      <w:r w:rsidRPr="006D40F0">
        <w:t>Norce</w:t>
      </w:r>
      <w:proofErr w:type="spellEnd"/>
      <w:r w:rsidRPr="006D40F0">
        <w:t xml:space="preserve"> endret ved at det ble etablert et nytt holdingselskap, </w:t>
      </w:r>
      <w:proofErr w:type="spellStart"/>
      <w:r w:rsidRPr="006D40F0">
        <w:t>Norce</w:t>
      </w:r>
      <w:proofErr w:type="spellEnd"/>
      <w:r w:rsidRPr="006D40F0">
        <w:t xml:space="preserve"> </w:t>
      </w:r>
      <w:proofErr w:type="spellStart"/>
      <w:r w:rsidRPr="006D40F0">
        <w:t>Holding</w:t>
      </w:r>
      <w:proofErr w:type="spellEnd"/>
      <w:r w:rsidRPr="006D40F0">
        <w:t xml:space="preserve"> AS, som eier samtlige aksjer av </w:t>
      </w:r>
      <w:proofErr w:type="spellStart"/>
      <w:r w:rsidRPr="006D40F0">
        <w:t>Norce</w:t>
      </w:r>
      <w:proofErr w:type="spellEnd"/>
      <w:r w:rsidRPr="006D40F0">
        <w:t xml:space="preserve"> Norwegian Research Centre AS, </w:t>
      </w:r>
      <w:proofErr w:type="spellStart"/>
      <w:r w:rsidRPr="006D40F0">
        <w:t>Norce</w:t>
      </w:r>
      <w:proofErr w:type="spellEnd"/>
      <w:r w:rsidRPr="006D40F0">
        <w:t xml:space="preserve"> </w:t>
      </w:r>
      <w:proofErr w:type="spellStart"/>
      <w:r w:rsidRPr="006D40F0">
        <w:t>Innovation</w:t>
      </w:r>
      <w:proofErr w:type="spellEnd"/>
      <w:r w:rsidRPr="006D40F0">
        <w:t xml:space="preserve"> AS og </w:t>
      </w:r>
      <w:proofErr w:type="spellStart"/>
      <w:r w:rsidRPr="006D40F0">
        <w:t>Norce</w:t>
      </w:r>
      <w:proofErr w:type="spellEnd"/>
      <w:r w:rsidRPr="006D40F0">
        <w:t xml:space="preserve"> Risavika Eiendom AS. Alle aksjonærene i </w:t>
      </w:r>
      <w:proofErr w:type="spellStart"/>
      <w:r w:rsidRPr="006D40F0">
        <w:t>Norce</w:t>
      </w:r>
      <w:proofErr w:type="spellEnd"/>
      <w:r w:rsidRPr="006D40F0">
        <w:t xml:space="preserve"> Norwegian Research Centre AS har skutt inn sine aksjer og fått en tilsvarende eierandel i </w:t>
      </w:r>
      <w:proofErr w:type="spellStart"/>
      <w:r w:rsidRPr="006D40F0">
        <w:t>Norce</w:t>
      </w:r>
      <w:proofErr w:type="spellEnd"/>
      <w:r w:rsidRPr="006D40F0">
        <w:t xml:space="preserve"> </w:t>
      </w:r>
      <w:proofErr w:type="spellStart"/>
      <w:r w:rsidRPr="006D40F0">
        <w:t>Holding</w:t>
      </w:r>
      <w:proofErr w:type="spellEnd"/>
      <w:r w:rsidRPr="006D40F0">
        <w:t xml:space="preserve"> AS. UiB og UiT har benyttet sine aksjer i </w:t>
      </w:r>
      <w:proofErr w:type="spellStart"/>
      <w:r w:rsidRPr="006D40F0">
        <w:t>Norce</w:t>
      </w:r>
      <w:proofErr w:type="spellEnd"/>
      <w:r w:rsidRPr="006D40F0">
        <w:t xml:space="preserve"> Norwegian Research Centre AS som </w:t>
      </w:r>
      <w:proofErr w:type="spellStart"/>
      <w:r w:rsidRPr="006D40F0">
        <w:t>tingsinnskudd</w:t>
      </w:r>
      <w:proofErr w:type="spellEnd"/>
      <w:r w:rsidRPr="006D40F0">
        <w:t xml:space="preserve"> ved etableringen av </w:t>
      </w:r>
      <w:proofErr w:type="spellStart"/>
      <w:r w:rsidRPr="006D40F0">
        <w:t>Norce</w:t>
      </w:r>
      <w:proofErr w:type="spellEnd"/>
      <w:r w:rsidRPr="006D40F0">
        <w:t xml:space="preserve"> </w:t>
      </w:r>
      <w:proofErr w:type="spellStart"/>
      <w:r w:rsidRPr="006D40F0">
        <w:t>Holding</w:t>
      </w:r>
      <w:proofErr w:type="spellEnd"/>
      <w:r w:rsidRPr="006D40F0">
        <w:t xml:space="preserve"> AS. </w:t>
      </w:r>
      <w:proofErr w:type="spellStart"/>
      <w:r w:rsidRPr="006D40F0">
        <w:t>UiA</w:t>
      </w:r>
      <w:proofErr w:type="spellEnd"/>
      <w:r w:rsidRPr="006D40F0">
        <w:t xml:space="preserve"> og </w:t>
      </w:r>
      <w:proofErr w:type="spellStart"/>
      <w:r w:rsidRPr="006D40F0">
        <w:t>UiS</w:t>
      </w:r>
      <w:proofErr w:type="spellEnd"/>
      <w:r w:rsidRPr="006D40F0">
        <w:t xml:space="preserve"> etablerte egne holdingselskaper i 2018, og det var disse selskapene som inngikk i omorganiseringen av eierstrukturen i 2023.</w:t>
      </w:r>
    </w:p>
    <w:p w14:paraId="7CC92DCD" w14:textId="77777777" w:rsidR="00575AC3" w:rsidRPr="006D40F0" w:rsidRDefault="00575AC3" w:rsidP="006D40F0">
      <w:r w:rsidRPr="006D40F0">
        <w:t xml:space="preserve">Fullmakten som Stortinget har gitt til universitetene for å opprette selskaper, åpner i utgangspunktet ikke for å benytte </w:t>
      </w:r>
      <w:proofErr w:type="spellStart"/>
      <w:r w:rsidRPr="006D40F0">
        <w:t>tingsinnskudd</w:t>
      </w:r>
      <w:proofErr w:type="spellEnd"/>
      <w:r w:rsidRPr="006D40F0">
        <w:t xml:space="preserve"> ved opprettelse av nye selskaper. Bakgrunnen for at fullmakten ikke åpner for </w:t>
      </w:r>
      <w:proofErr w:type="spellStart"/>
      <w:r w:rsidRPr="006D40F0">
        <w:t>tingsinnskudd</w:t>
      </w:r>
      <w:proofErr w:type="spellEnd"/>
      <w:r w:rsidRPr="006D40F0">
        <w:t xml:space="preserve"> er å hindre at eiendeler som er finansiert med statlig bevilgning, benyttes til å opprette selskaper uten Stortingets samtykke. Ved opprettelsen av </w:t>
      </w:r>
      <w:proofErr w:type="spellStart"/>
      <w:r w:rsidRPr="006D40F0">
        <w:t>Norce</w:t>
      </w:r>
      <w:proofErr w:type="spellEnd"/>
      <w:r w:rsidRPr="006D40F0">
        <w:t xml:space="preserve"> </w:t>
      </w:r>
      <w:proofErr w:type="spellStart"/>
      <w:r w:rsidRPr="006D40F0">
        <w:t>Holding</w:t>
      </w:r>
      <w:proofErr w:type="spellEnd"/>
      <w:r w:rsidRPr="006D40F0">
        <w:t xml:space="preserve"> AS er det kun aksjene i </w:t>
      </w:r>
      <w:proofErr w:type="spellStart"/>
      <w:r w:rsidRPr="006D40F0">
        <w:t>Norce</w:t>
      </w:r>
      <w:proofErr w:type="spellEnd"/>
      <w:r w:rsidRPr="006D40F0">
        <w:t xml:space="preserve"> Norwegian Research Centre AS som er benyttet som </w:t>
      </w:r>
      <w:proofErr w:type="spellStart"/>
      <w:r w:rsidRPr="006D40F0">
        <w:t>tingsinnskudd</w:t>
      </w:r>
      <w:proofErr w:type="spellEnd"/>
      <w:r w:rsidRPr="006D40F0">
        <w:t xml:space="preserve">. Departementet legger til grunn at det har vært hensiktsmessig at institusjonene i dette tilfellet har benyttet aksjene i </w:t>
      </w:r>
      <w:proofErr w:type="spellStart"/>
      <w:r w:rsidRPr="006D40F0">
        <w:t>Norce</w:t>
      </w:r>
      <w:proofErr w:type="spellEnd"/>
      <w:r w:rsidRPr="006D40F0">
        <w:t xml:space="preserve"> Norwegian Research Centre AS som motytelse for erverv av aksjer i det nye holdingsselskapet. Universitetene har ikke benyttet midler fra bevilgningen de får over Kunnskapsdepartementets budsjett i denne omorganiseringen, og realiteten i omstruktureringen av konsernet er at institusjonenes eierandeler opprettholdes. Departementet vil følge opp overfor institusjonene at denne type disponering av aksjeposter som </w:t>
      </w:r>
      <w:proofErr w:type="spellStart"/>
      <w:r w:rsidRPr="006D40F0">
        <w:t>tingsinnskudd</w:t>
      </w:r>
      <w:proofErr w:type="spellEnd"/>
      <w:r w:rsidRPr="006D40F0">
        <w:t>, for fremtiden avklares med departementet i forkant og skjer i tråd med gjeldende fullmakter.</w:t>
      </w:r>
    </w:p>
    <w:p w14:paraId="4CEF1AD1" w14:textId="77777777" w:rsidR="00575AC3" w:rsidRPr="006D40F0" w:rsidRDefault="00575AC3" w:rsidP="006D40F0">
      <w:pPr>
        <w:pStyle w:val="avsnitt-undertittel"/>
      </w:pPr>
      <w:r w:rsidRPr="006D40F0">
        <w:t>Justering av kostnadsrammen for Livsvitenskapsbygget som følge av valutakursendringer</w:t>
      </w:r>
    </w:p>
    <w:p w14:paraId="0BE49BD2" w14:textId="77777777" w:rsidR="00575AC3" w:rsidRPr="006D40F0" w:rsidRDefault="00575AC3" w:rsidP="006D40F0">
      <w:r w:rsidRPr="006D40F0">
        <w:t>Regjeringen foreslår at kostnadsrammen for prosjektet Livsvitenskapsbygget blir justert årlig for valutakursendringer. Se omtale under Digitaliserings- og forvaltningsdepartementet, kap. 1530, post 33.</w:t>
      </w:r>
    </w:p>
    <w:p w14:paraId="5C3A7D3C" w14:textId="77777777" w:rsidR="00575AC3" w:rsidRPr="006D40F0" w:rsidRDefault="00575AC3" w:rsidP="006D40F0">
      <w:pPr>
        <w:pStyle w:val="avsnitt-undertittel"/>
      </w:pPr>
      <w:r w:rsidRPr="006D40F0">
        <w:t>Nytt vikingtidsmuseum ved universitetet i Oslo</w:t>
      </w:r>
    </w:p>
    <w:p w14:paraId="4AE35E9B" w14:textId="77777777" w:rsidR="00575AC3" w:rsidRPr="006D40F0" w:rsidRDefault="00575AC3" w:rsidP="006D40F0">
      <w:r w:rsidRPr="006D40F0">
        <w:t>Det er behov for å øke styringsrammen for prosjektet Nytt vikingtidsmuseum ved Universitet i Oslo. Se omtale under Digitaliserings- og forvaltningsdepartementet.</w:t>
      </w:r>
    </w:p>
    <w:p w14:paraId="0FB14B29" w14:textId="77777777" w:rsidR="00575AC3" w:rsidRPr="006D40F0" w:rsidRDefault="00575AC3" w:rsidP="006D40F0">
      <w:pPr>
        <w:pStyle w:val="avsnitt-undertittel"/>
      </w:pPr>
      <w:r w:rsidRPr="006D40F0">
        <w:lastRenderedPageBreak/>
        <w:t>Oppfølging av anmodningsvedtak om fuskesaker</w:t>
      </w:r>
    </w:p>
    <w:p w14:paraId="1F9D181F" w14:textId="77777777" w:rsidR="00575AC3" w:rsidRPr="006D40F0" w:rsidRDefault="00575AC3" w:rsidP="006D40F0">
      <w:r w:rsidRPr="006D40F0">
        <w:t>Vedtak nr. 474 (2023–2024), 6. februar 2024:</w:t>
      </w:r>
    </w:p>
    <w:p w14:paraId="68B327E3" w14:textId="77777777" w:rsidR="00575AC3" w:rsidRPr="006D40F0" w:rsidRDefault="00575AC3" w:rsidP="006D40F0">
      <w:pPr>
        <w:pStyle w:val="blokksit"/>
      </w:pPr>
      <w:r w:rsidRPr="006D40F0">
        <w:t>«Stortinget ber regjeringen komme tilbake til Stortinget våren 2024 med en vurdering av forslag om hvordan studenter som selv ønsker det, kan få utsatt iverksettelse av vedtak om utestenging fram til eventuelle klager på vedtak er avgjort.»</w:t>
      </w:r>
    </w:p>
    <w:p w14:paraId="3C0E2C5F" w14:textId="77777777" w:rsidR="00575AC3" w:rsidRPr="006D40F0" w:rsidRDefault="00575AC3" w:rsidP="006D40F0">
      <w:r w:rsidRPr="006D40F0">
        <w:t xml:space="preserve">Anmodningsvedtaket ble fattet i forbindelse med behandlingen av Prop. 126 L (2022–2023) </w:t>
      </w:r>
      <w:r w:rsidRPr="00575AC3">
        <w:rPr>
          <w:rStyle w:val="kursiv"/>
        </w:rPr>
        <w:t>Lov om universiteter og høyskoler (universitets- og høyskoleloven).</w:t>
      </w:r>
    </w:p>
    <w:p w14:paraId="06C90A7D" w14:textId="77777777" w:rsidR="00575AC3" w:rsidRPr="006D40F0" w:rsidRDefault="00575AC3" w:rsidP="006D40F0">
      <w:r w:rsidRPr="006D40F0">
        <w:t>Dersom studenter skal kunne kreve utsatt iverksettelse av vedtak om utestenging i fuskesaker, må det fastsettes en særregel i universitets- og høyskoleloven som fraviker hovedregelen i forvaltningsloven om et enkeltvedtak skal iverksettes straks. En gjennomgang av klagesakene de siste årene viser at det endelige vedtaket blir det samme som det opprinnelige vedtaket i om lag 80 pst. av fuskesakene. Det er bare et fåtall vedtak som oppheves av klageinstansen, og i de fleste tilfellene hvor utestengingsperioden reduseres er det på grunn av lang saksbehandlingstid. En utsettelse av utestengingsvedtaket, innebærer at utestengingen må gjennomføres senere dersom vedtaket opprettholdes. En utestenging på et senere tidspunkt kan være mer belastende for studenten fordi studenten da kan være godt i gang med videre utdanning som da vil måtte avbrytes. Dersom resultatet uansett blir utestenging, antar departementet at det vil være bedre for studenten å kunne gjøre seg ferdig med utestengingsperioden med en gang. Ettersom de fleste vedtakene opprettholdes, vil en mulighet for utsatt iverksettelse i de fleste tilfeller ikke være til studentenes fordel.</w:t>
      </w:r>
    </w:p>
    <w:p w14:paraId="69A405F2" w14:textId="77777777" w:rsidR="00575AC3" w:rsidRPr="006D40F0" w:rsidRDefault="00575AC3" w:rsidP="006D40F0">
      <w:r w:rsidRPr="006D40F0">
        <w:t>En ordning med utsatt iverksettelse kan gi uheldige insentiver ved at studenter som er sent i studieløpet, vil være tjent med å klage på vedtak og be om utsatt iverksettelse. Studentene vil da kunne ta opp den annullerte eksamenen og vil i realiteten kunne unndra seg utestengingsvedtaket dersom det iverksettes først etter at studenten er ferdig. En slik ordning kan dermed føre til forskjellsbehandling av studentene ut fra hvor langt de har kommet i studieløpet og dessuten føre til en økning i antall klager og økt saksbehandlingstid.</w:t>
      </w:r>
    </w:p>
    <w:p w14:paraId="5484F904" w14:textId="77777777" w:rsidR="00575AC3" w:rsidRPr="006D40F0" w:rsidRDefault="00575AC3" w:rsidP="006D40F0">
      <w:r w:rsidRPr="006D40F0">
        <w:t>Departementet mener på denne bakgrunn at det ikke bør innføres en særregel om at studenter kan få utsatt iverksettelse av utestengingsvedtak i fuskesaker. Departementet mener at det, i samsvar med de ordinære reglene i forvaltningsloven, bør være opp til den enkelte institusjon å velge om det skal gis utsatt iverksettelse av utestengingsvedtak.</w:t>
      </w:r>
    </w:p>
    <w:p w14:paraId="0C520212" w14:textId="77777777" w:rsidR="00575AC3" w:rsidRPr="006D40F0" w:rsidRDefault="00575AC3" w:rsidP="006D40F0">
      <w:r w:rsidRPr="006D40F0">
        <w:t xml:space="preserve">Departementet viser </w:t>
      </w:r>
      <w:proofErr w:type="gramStart"/>
      <w:r w:rsidRPr="006D40F0">
        <w:t>for øvrig</w:t>
      </w:r>
      <w:proofErr w:type="gramEnd"/>
      <w:r w:rsidRPr="006D40F0">
        <w:t xml:space="preserve"> til at det allerede er flere mekanismer som bidrar til å ivareta studentenes rettssikkerhet i fuskesaker. For det første behandles slike saker av nemnder hvor det deltar studentrepresentanter. For det andre gjelder det et skjerpet beviskrav i utestengingsvedtak i fuskesaker, noe som er understreket i forarbeidene til den nye universitets- og høyskoleloven. For det tredje har studentene rett til gratis advokat fra en sak om utestenging i fuskesak er reist ved institusjonen til saken er ferdigbehandlet i tingretten. Med den nye loven gis det dessuten føringer om en mer nyansert reaksjonsbruk, og dermed mildere reaksjoner i de minst alvorlige tilfellene. Ved en mer nyansert reaksjonspraksis er det grunn til å forvente at det i mindre grad vil brukes utestenging som reaksjon i mindre alvorlige tilfeller. Det vil trolig dermed også være mindre risiko for at studenter blir utestengt uten at de har gjort en fuskehandling som tilsier bruk av slik reaksjon.</w:t>
      </w:r>
    </w:p>
    <w:p w14:paraId="41262A6E" w14:textId="77777777" w:rsidR="00575AC3" w:rsidRPr="006D40F0" w:rsidRDefault="00575AC3" w:rsidP="006D40F0">
      <w:r w:rsidRPr="006D40F0">
        <w:lastRenderedPageBreak/>
        <w:t>Studenter som ønsker utsatt iverksettelse av et vedtak om utestenging, kan uansett fremme dette i forbindelse med behandling av en klage på vedtak om utestenging, jf. forvaltningsloven § 42. Førsteinstansen eller klageinstansen må da gjøre en vurdering av om det er forhold i den aktuelle saken som tilsier utsatt iverksettelse.</w:t>
      </w:r>
    </w:p>
    <w:p w14:paraId="70369925" w14:textId="77777777" w:rsidR="00575AC3" w:rsidRPr="006D40F0" w:rsidRDefault="00575AC3" w:rsidP="006D40F0">
      <w:pPr>
        <w:pStyle w:val="avsnitt-undertittel"/>
      </w:pPr>
      <w:proofErr w:type="spellStart"/>
      <w:r w:rsidRPr="006D40F0">
        <w:t>Statped</w:t>
      </w:r>
      <w:proofErr w:type="spellEnd"/>
      <w:r w:rsidRPr="006D40F0">
        <w:t xml:space="preserve"> gis fullmakt til å selge leilighet i </w:t>
      </w:r>
      <w:proofErr w:type="spellStart"/>
      <w:r w:rsidRPr="006D40F0">
        <w:t>Midteggen</w:t>
      </w:r>
      <w:proofErr w:type="spellEnd"/>
      <w:r w:rsidRPr="006D40F0">
        <w:t xml:space="preserve"> borettslag</w:t>
      </w:r>
    </w:p>
    <w:p w14:paraId="799E22D0" w14:textId="77777777" w:rsidR="00575AC3" w:rsidRPr="006D40F0" w:rsidRDefault="00575AC3" w:rsidP="006D40F0">
      <w:proofErr w:type="spellStart"/>
      <w:r w:rsidRPr="006D40F0">
        <w:t>Statped</w:t>
      </w:r>
      <w:proofErr w:type="spellEnd"/>
      <w:r w:rsidRPr="006D40F0">
        <w:t xml:space="preserve"> ønsker å selge borettslagsleiligheten de eier i Trondheim. Regjeringen foreslår å gi </w:t>
      </w:r>
      <w:proofErr w:type="spellStart"/>
      <w:r w:rsidRPr="006D40F0">
        <w:t>Statped</w:t>
      </w:r>
      <w:proofErr w:type="spellEnd"/>
      <w:r w:rsidRPr="006D40F0">
        <w:t xml:space="preserve"> i 2024 fullmakt slik at de kan gjøre det, jf. forslag til romertallsvedtak.</w:t>
      </w:r>
    </w:p>
    <w:p w14:paraId="42AA87DD" w14:textId="77777777" w:rsidR="00575AC3" w:rsidRPr="006D40F0" w:rsidRDefault="00575AC3" w:rsidP="006D40F0">
      <w:pPr>
        <w:pStyle w:val="Overskrift2"/>
      </w:pPr>
      <w:r w:rsidRPr="006D40F0">
        <w:t>Kultur- og likestillingsdepartementet</w:t>
      </w:r>
    </w:p>
    <w:p w14:paraId="232AFE55" w14:textId="77777777" w:rsidR="00575AC3" w:rsidRPr="006D40F0" w:rsidRDefault="00575AC3" w:rsidP="006D40F0">
      <w:pPr>
        <w:pStyle w:val="b-budkaptit"/>
      </w:pPr>
      <w:r w:rsidRPr="006D40F0">
        <w:t>Kap. 300 Kultur- og likestillingsdepartementet</w:t>
      </w:r>
    </w:p>
    <w:p w14:paraId="436BBC93" w14:textId="77777777" w:rsidR="00575AC3" w:rsidRPr="006D40F0" w:rsidRDefault="00575AC3" w:rsidP="006D40F0">
      <w:pPr>
        <w:pStyle w:val="b-post"/>
      </w:pPr>
      <w:r w:rsidRPr="006D40F0">
        <w:t>Post 79 Til disposisjon</w:t>
      </w:r>
    </w:p>
    <w:p w14:paraId="172E2800" w14:textId="77777777" w:rsidR="00575AC3" w:rsidRPr="006D40F0" w:rsidRDefault="00575AC3" w:rsidP="006D40F0">
      <w:r w:rsidRPr="006D40F0">
        <w:t>Bevilgningen på posten skal dekke utgifter ved nye behov som oppstår i budsjettåret og tilskudd til enkelttiltak og prosjekter som i sin karakter ikke hører hjemme under andre tilskuddsposter på Kultur- og likestillingsdepartementets budsjett.</w:t>
      </w:r>
    </w:p>
    <w:p w14:paraId="60C13E3F" w14:textId="77777777" w:rsidR="00575AC3" w:rsidRPr="006D40F0" w:rsidRDefault="00575AC3" w:rsidP="006D40F0">
      <w:r w:rsidRPr="006D40F0">
        <w:t xml:space="preserve">Bevilgningen på posten foreslås økt med 2 mill. kroner, hvorav 1 mill. kroner skal nyttes til et særskilt tilskudd til </w:t>
      </w:r>
      <w:proofErr w:type="spellStart"/>
      <w:r w:rsidRPr="006D40F0">
        <w:t>Rørosmartnan</w:t>
      </w:r>
      <w:proofErr w:type="spellEnd"/>
      <w:r w:rsidRPr="006D40F0">
        <w:t xml:space="preserve"> og 600 000 kroner til prosjektet «</w:t>
      </w:r>
      <w:proofErr w:type="spellStart"/>
      <w:r w:rsidRPr="006D40F0">
        <w:t>Sagatun</w:t>
      </w:r>
      <w:proofErr w:type="spellEnd"/>
      <w:r w:rsidRPr="006D40F0">
        <w:t xml:space="preserve"> historiske senter».</w:t>
      </w:r>
    </w:p>
    <w:p w14:paraId="707DE434" w14:textId="77777777" w:rsidR="00575AC3" w:rsidRPr="006D40F0" w:rsidRDefault="00575AC3" w:rsidP="006D40F0">
      <w:pPr>
        <w:pStyle w:val="b-budkaptit"/>
      </w:pPr>
      <w:r w:rsidRPr="006D40F0">
        <w:t>Kap. 315 Frivillighetsformål</w:t>
      </w:r>
    </w:p>
    <w:p w14:paraId="28A89F9F" w14:textId="77777777" w:rsidR="00575AC3" w:rsidRPr="006D40F0" w:rsidRDefault="00575AC3" w:rsidP="006D40F0">
      <w:pPr>
        <w:pStyle w:val="b-post"/>
      </w:pPr>
      <w:r w:rsidRPr="006D40F0">
        <w:t>Post 21 Forskning, utredning og spesielle driftsutgifter, kan overføres</w:t>
      </w:r>
    </w:p>
    <w:p w14:paraId="68004CA2" w14:textId="77777777" w:rsidR="00575AC3" w:rsidRPr="006D40F0" w:rsidRDefault="00575AC3" w:rsidP="006D40F0">
      <w:r w:rsidRPr="006D40F0">
        <w:t>Bevilgningen på posten skal dekke utgifter til forsknings-, utrednings- og utviklingsoppgaver på frivillighetsområdet.</w:t>
      </w:r>
    </w:p>
    <w:p w14:paraId="6E88D3B1" w14:textId="77777777" w:rsidR="00575AC3" w:rsidRPr="006D40F0" w:rsidRDefault="00575AC3" w:rsidP="006D40F0">
      <w:r w:rsidRPr="006D40F0">
        <w:t>Innenfor rammen av bevilgningen som er satt av til oppfølging av tiltak i regjeringens handlingsplan for deltakelse i kultur-, idretts- og fritidsaktiviteter vil det bli igangsatt ulike forsknings- og utviklingsprosjekter. Det er utgifter som ut fra sin art skal belastes en driftspost. Bevilgningen på posten foreslås på denne bakgrunn økt med 2 mill. kroner, mot tilsvarende reduksjon i bevilgningen på kap. 315, post 78, jf. omtale nedenfor.</w:t>
      </w:r>
    </w:p>
    <w:p w14:paraId="122E1C46" w14:textId="77777777" w:rsidR="00575AC3" w:rsidRPr="006D40F0" w:rsidRDefault="00575AC3" w:rsidP="006D40F0">
      <w:pPr>
        <w:pStyle w:val="b-post"/>
      </w:pPr>
      <w:r w:rsidRPr="006D40F0">
        <w:t>Post 78 Frivillighetstiltak</w:t>
      </w:r>
    </w:p>
    <w:p w14:paraId="0DFF5D5C" w14:textId="77777777" w:rsidR="00575AC3" w:rsidRPr="006D40F0" w:rsidRDefault="00575AC3" w:rsidP="006D40F0">
      <w:r w:rsidRPr="006D40F0">
        <w:t>Bevilgningen på posten dekker tilskudd til frivillighetstiltak.</w:t>
      </w:r>
    </w:p>
    <w:p w14:paraId="18AD412E" w14:textId="77777777" w:rsidR="00575AC3" w:rsidRPr="006D40F0" w:rsidRDefault="00575AC3" w:rsidP="006D40F0">
      <w:r w:rsidRPr="006D40F0">
        <w:t>I 2024 er det bevilget 10 mill. kroner på posten til oppfølging av tiltak i regjeringens handlingsplan for deltakelse i kultur-, idretts- og friluftslivsaktiviteter. Handlingsplanen ble lansert 30. april 2024.</w:t>
      </w:r>
    </w:p>
    <w:p w14:paraId="49AA4260" w14:textId="77777777" w:rsidR="00575AC3" w:rsidRPr="006D40F0" w:rsidRDefault="00575AC3" w:rsidP="006D40F0">
      <w:r w:rsidRPr="006D40F0">
        <w:t>Deler av disse midlene skal nyttes til å dekke utgifter til forsknings- og utviklingsprosjekter for deltakelse i kultur-, idretts- og fritidsaktiviteter. Bevilgningen på posten foreslås på denne bakgrunn redusert med 2 mill. kroner, mot tilsvarende økning på post 21, jf. omtale over.</w:t>
      </w:r>
    </w:p>
    <w:p w14:paraId="23C12D5A" w14:textId="77777777" w:rsidR="00575AC3" w:rsidRPr="006D40F0" w:rsidRDefault="00575AC3" w:rsidP="006D40F0">
      <w:r w:rsidRPr="006D40F0">
        <w:lastRenderedPageBreak/>
        <w:t xml:space="preserve">Av de resterende midlene på posten vil 5 mill. kroner fordeles av Kulturtanken til et </w:t>
      </w:r>
      <w:r w:rsidRPr="00575AC3">
        <w:rPr>
          <w:rStyle w:val="kursiv"/>
        </w:rPr>
        <w:t>Krafttak for mangfold og inkludering i kulturfrivilligheten</w:t>
      </w:r>
      <w:r w:rsidRPr="006D40F0">
        <w:t>. Videre vil 1 mill. kroner nyttes til en tilskuddsordning til medvirkningstiltak for barn og unge knyttet til fritidsaktiviteter. 1 mill. kroner av avsetningen vil bli tildelt KS og Frivillighet Norge til utforsking av fellesløsninger for digital aktivitetsinformasjon, og 1 mill. kroner vil bli tildelt som tilskudd til Norges frivilligsentraler for å styrke sentralenes kompetanse som bindeledd mellom kommunene og frivillig sektor.</w:t>
      </w:r>
    </w:p>
    <w:p w14:paraId="44F58C51" w14:textId="77777777" w:rsidR="00575AC3" w:rsidRPr="006D40F0" w:rsidRDefault="00575AC3" w:rsidP="006D40F0">
      <w:pPr>
        <w:pStyle w:val="b-post"/>
      </w:pPr>
      <w:r w:rsidRPr="006D40F0">
        <w:t>Post 82 Merverdiavgiftskompensasjon ved bygging av idrettsanlegg</w:t>
      </w:r>
    </w:p>
    <w:p w14:paraId="1B14E93A" w14:textId="77777777" w:rsidR="00575AC3" w:rsidRPr="006D40F0" w:rsidRDefault="00575AC3" w:rsidP="006D40F0">
      <w:r w:rsidRPr="006D40F0">
        <w:t>Bevilgningen på posten skal kompensere for kostnader som idrettslag og foreninger har til merverdiavgift ved bygging av idrettsanlegg. Lotteri- og stiftelsestilsynet, som forvalter ordningen, har i 2024 mottatt søknader for lavere beløp enn forventet. Søknadsbehandlingen er ikke avsluttet, men godkjente søknader og pågående klagebehandling tilsier at det maksimale beløpet som vil bli belastet på posten er 322 mill. kroner. Det er 65 mill. kroner lavere enn bevilgningen på posten. Bevilgningen på posten foreslås redusert med tilsvarende beløp.</w:t>
      </w:r>
    </w:p>
    <w:p w14:paraId="0C441BD5" w14:textId="77777777" w:rsidR="00575AC3" w:rsidRPr="006D40F0" w:rsidRDefault="00575AC3" w:rsidP="006D40F0">
      <w:pPr>
        <w:pStyle w:val="b-budkaptit"/>
      </w:pPr>
      <w:r w:rsidRPr="006D40F0">
        <w:t>Kap. 323 Musikk og scenekunst</w:t>
      </w:r>
    </w:p>
    <w:p w14:paraId="2BEC71FA" w14:textId="77777777" w:rsidR="00575AC3" w:rsidRPr="006D40F0" w:rsidRDefault="00575AC3" w:rsidP="006D40F0">
      <w:pPr>
        <w:pStyle w:val="b-post"/>
      </w:pPr>
      <w:r w:rsidRPr="006D40F0">
        <w:t>Post 70 Musikk og scenekunstinstitusjoner</w:t>
      </w:r>
    </w:p>
    <w:p w14:paraId="28DD551F" w14:textId="77777777" w:rsidR="00575AC3" w:rsidRPr="006D40F0" w:rsidRDefault="00575AC3" w:rsidP="006D40F0">
      <w:r w:rsidRPr="006D40F0">
        <w:t>Bevilgningen på posten dekker driftstilskudd til institusjoner på musikk- og scenekunstfeltet.</w:t>
      </w:r>
    </w:p>
    <w:p w14:paraId="4E173CCF" w14:textId="77777777" w:rsidR="00575AC3" w:rsidRPr="006D40F0" w:rsidRDefault="00575AC3" w:rsidP="006D40F0">
      <w:r w:rsidRPr="006D40F0">
        <w:t>Tilskuddet til Det Norske Teatret foreslås økt med 9 mill. kroner som et ekstraordinært driftstilskudd for 2024. Bevilgningen på posten foreslås økt med tilsvarende beløp.</w:t>
      </w:r>
    </w:p>
    <w:p w14:paraId="6C84B407" w14:textId="77777777" w:rsidR="00575AC3" w:rsidRPr="006D40F0" w:rsidRDefault="00575AC3" w:rsidP="006D40F0">
      <w:pPr>
        <w:pStyle w:val="b-budkaptit"/>
      </w:pPr>
      <w:r w:rsidRPr="006D40F0">
        <w:t>Kap. 326 Språk- og bibliotekformål</w:t>
      </w:r>
    </w:p>
    <w:p w14:paraId="39FB60C9" w14:textId="77777777" w:rsidR="00575AC3" w:rsidRPr="006D40F0" w:rsidRDefault="00575AC3" w:rsidP="006D40F0">
      <w:pPr>
        <w:pStyle w:val="b-post"/>
      </w:pPr>
      <w:r w:rsidRPr="006D40F0">
        <w:t>Post 01 Driftsutgifter</w:t>
      </w:r>
    </w:p>
    <w:p w14:paraId="7BBCDCC0" w14:textId="77777777" w:rsidR="00575AC3" w:rsidRPr="006D40F0" w:rsidRDefault="00575AC3" w:rsidP="006D40F0">
      <w:r w:rsidRPr="006D40F0">
        <w:t>I forbindelse med at Jon Fosse ble tildelt nobelprisen i litteratur for 2023 besluttet regjeringen at det skal legges til rette for et nytt årlig tiltak som hedrer forfatteren. Kultur- og likestillingsdepartementet vil opprette et årlig Jon Fosse-stipend som skal gå til en som oversetter norsk litteratur til andre språk. Det skal også holdes en årlig Fosse-forelesning med tilhørende arrangement i regi av Nasjonalbiblioteket.</w:t>
      </w:r>
    </w:p>
    <w:p w14:paraId="176DBADF" w14:textId="77777777" w:rsidR="00575AC3" w:rsidRPr="006D40F0" w:rsidRDefault="00575AC3" w:rsidP="006D40F0">
      <w:r w:rsidRPr="006D40F0">
        <w:t>Bevilgningen på posten foreslås økt med 4 mill. kroner for å dekke utgiftene til stipend og arrangement i 2024.</w:t>
      </w:r>
    </w:p>
    <w:p w14:paraId="67A6C012" w14:textId="77777777" w:rsidR="00575AC3" w:rsidRPr="006D40F0" w:rsidRDefault="00575AC3" w:rsidP="006D40F0">
      <w:pPr>
        <w:pStyle w:val="b-budkaptit"/>
      </w:pPr>
      <w:r w:rsidRPr="006D40F0">
        <w:t>Kap. 334 Film- og dataspillformål</w:t>
      </w:r>
    </w:p>
    <w:p w14:paraId="03236230" w14:textId="77777777" w:rsidR="00575AC3" w:rsidRPr="006D40F0" w:rsidRDefault="00575AC3" w:rsidP="006D40F0">
      <w:pPr>
        <w:pStyle w:val="b-post"/>
      </w:pPr>
      <w:r w:rsidRPr="006D40F0">
        <w:t>Post 01 Driftsutgifter</w:t>
      </w:r>
    </w:p>
    <w:p w14:paraId="7F7A7146" w14:textId="77777777" w:rsidR="00575AC3" w:rsidRPr="006D40F0" w:rsidRDefault="00575AC3" w:rsidP="006D40F0">
      <w:r w:rsidRPr="006D40F0">
        <w:t>Bevilgningen skal dekke lønns- og driftsutgifter for Norsk filminstitutt (NFI).</w:t>
      </w:r>
    </w:p>
    <w:p w14:paraId="17588039" w14:textId="77777777" w:rsidR="00575AC3" w:rsidRPr="006D40F0" w:rsidRDefault="00575AC3" w:rsidP="006D40F0">
      <w:r w:rsidRPr="006D40F0">
        <w:t>Bevilgningen på posten foreslås økt med 1 mill. kroner for å dekke økte driftsutgifter i NFI, mot tilsvarende reduksjon i bevilgningen på kap. 334, post 73, jf. nedenfor.</w:t>
      </w:r>
    </w:p>
    <w:p w14:paraId="393BC394" w14:textId="77777777" w:rsidR="00575AC3" w:rsidRPr="006D40F0" w:rsidRDefault="00575AC3" w:rsidP="006D40F0">
      <w:pPr>
        <w:pStyle w:val="b-post"/>
      </w:pPr>
      <w:r w:rsidRPr="006D40F0">
        <w:lastRenderedPageBreak/>
        <w:t>Post 50 Filmfondet</w:t>
      </w:r>
    </w:p>
    <w:p w14:paraId="44CAD96F" w14:textId="77777777" w:rsidR="00575AC3" w:rsidRPr="006D40F0" w:rsidRDefault="00575AC3" w:rsidP="006D40F0">
      <w:r w:rsidRPr="006D40F0">
        <w:t>Bevilgningen på posten omfatter tilskudd til film- og dataspillfeltet.</w:t>
      </w:r>
    </w:p>
    <w:p w14:paraId="35045AE8" w14:textId="77777777" w:rsidR="00575AC3" w:rsidRPr="006D40F0" w:rsidRDefault="00575AC3" w:rsidP="006D40F0">
      <w:r w:rsidRPr="006D40F0">
        <w:t>Bevilgningen på posten foreslås redusert med 3 mill. kroner mot tilsvarende økning på kap. 334, post 75 for å dekke tilskudd til et solidaritetsfond for filmskapere fra Ukraina og til pilotprogram for samproduksjon av TV-serier som er etablert av Europarådet, jf. omtale under post 75.</w:t>
      </w:r>
    </w:p>
    <w:p w14:paraId="0320391F" w14:textId="77777777" w:rsidR="00575AC3" w:rsidRPr="006D40F0" w:rsidRDefault="00575AC3" w:rsidP="006D40F0">
      <w:pPr>
        <w:pStyle w:val="b-post"/>
      </w:pPr>
      <w:r w:rsidRPr="006D40F0">
        <w:t>Post 73 Regionale filmvirksomheter, kan overføres</w:t>
      </w:r>
    </w:p>
    <w:p w14:paraId="063C0EA4" w14:textId="77777777" w:rsidR="00575AC3" w:rsidRPr="006D40F0" w:rsidRDefault="00575AC3" w:rsidP="006D40F0">
      <w:r w:rsidRPr="006D40F0">
        <w:t>Bevilgningen på posten omfatter tilskudd til regionale filmvirksomheter.</w:t>
      </w:r>
    </w:p>
    <w:p w14:paraId="490A5BC8" w14:textId="77777777" w:rsidR="00575AC3" w:rsidRPr="006D40F0" w:rsidRDefault="00575AC3" w:rsidP="006D40F0">
      <w:r w:rsidRPr="006D40F0">
        <w:t>Bevilgningen på posten foreslås redusert med 1 mill. kroner, mot tilsvarende økning på kap. 334, post 01, jf. omtale ovenfor.</w:t>
      </w:r>
    </w:p>
    <w:p w14:paraId="2D6FECF4" w14:textId="77777777" w:rsidR="00575AC3" w:rsidRPr="006D40F0" w:rsidRDefault="00575AC3" w:rsidP="006D40F0">
      <w:pPr>
        <w:pStyle w:val="b-post"/>
      </w:pPr>
      <w:r w:rsidRPr="006D40F0">
        <w:t>Post 75 Internasjonale film- og medieavtaler, kan overføres</w:t>
      </w:r>
    </w:p>
    <w:p w14:paraId="39E20703" w14:textId="77777777" w:rsidR="00575AC3" w:rsidRPr="006D40F0" w:rsidRDefault="00575AC3" w:rsidP="006D40F0">
      <w:r w:rsidRPr="006D40F0">
        <w:t>Bevilgningen på posten skal dekke tilskudd til tiltak som er forankret i internasjonale film- og medieavtaler.</w:t>
      </w:r>
    </w:p>
    <w:p w14:paraId="2F33C4AC" w14:textId="77777777" w:rsidR="00575AC3" w:rsidRPr="006D40F0" w:rsidRDefault="00575AC3" w:rsidP="006D40F0">
      <w:r w:rsidRPr="006D40F0">
        <w:t xml:space="preserve">Norge er invitert til å slutte seg til et pilotprogram for samproduksjon av TV-serier etter modell av </w:t>
      </w:r>
      <w:proofErr w:type="spellStart"/>
      <w:r w:rsidRPr="006D40F0">
        <w:t>Eurimages</w:t>
      </w:r>
      <w:proofErr w:type="spellEnd"/>
      <w:r w:rsidRPr="006D40F0">
        <w:t>. En norsk tilslutning vil gjøre det mulig for norske selskaper å søke tilskudd fra fondet. Regjeringen foreslår at Norge slutter seg til fondet fra 2024 gjennom et bidrag på 2 mill. kroner.</w:t>
      </w:r>
    </w:p>
    <w:p w14:paraId="700CD85E" w14:textId="77777777" w:rsidR="00575AC3" w:rsidRPr="006D40F0" w:rsidRDefault="00575AC3" w:rsidP="006D40F0">
      <w:r w:rsidRPr="006D40F0">
        <w:t>I 2023 bidro Norge med 0,5 mill. kroner til et solidaritetsfond for filmskapere fra Ukraina, jf. Prop. 118 (2022–2023). Fondet, som administreres av det franske filmfondet CNC, er forlenget med ett år. Norges bidrag vil utgjøre 1 mill. kroner i 2024.</w:t>
      </w:r>
    </w:p>
    <w:p w14:paraId="37D57ED7" w14:textId="77777777" w:rsidR="00575AC3" w:rsidRPr="006D40F0" w:rsidRDefault="00575AC3" w:rsidP="006D40F0">
      <w:r w:rsidRPr="006D40F0">
        <w:t>Samlet foreslås bevilgningen på posten økt med 3 mill. kroner, mot tilsvarende reduksjon i bevilgningen på kap. 334, post 50, jf. omtale over.</w:t>
      </w:r>
    </w:p>
    <w:p w14:paraId="146FDF24" w14:textId="77777777" w:rsidR="00575AC3" w:rsidRPr="006D40F0" w:rsidRDefault="00575AC3" w:rsidP="006D40F0">
      <w:pPr>
        <w:pStyle w:val="b-budkaptit"/>
      </w:pPr>
      <w:r w:rsidRPr="006D40F0">
        <w:t>Kap. 350 Sekretariatet for Diskrimineringsnemnda</w:t>
      </w:r>
    </w:p>
    <w:p w14:paraId="22D0242C" w14:textId="77777777" w:rsidR="00575AC3" w:rsidRPr="006D40F0" w:rsidRDefault="00575AC3" w:rsidP="006D40F0">
      <w:pPr>
        <w:pStyle w:val="b-post"/>
      </w:pPr>
      <w:r w:rsidRPr="006D40F0">
        <w:t>Post 01 Driftsutgifter</w:t>
      </w:r>
    </w:p>
    <w:p w14:paraId="26087963" w14:textId="77777777" w:rsidR="00575AC3" w:rsidRPr="006D40F0" w:rsidRDefault="00575AC3" w:rsidP="006D40F0">
      <w:r w:rsidRPr="006D40F0">
        <w:t>Bevilgningen på posten skal dekke driftsutgifter ved sekretariatet, i tillegg dekker posten godtgjørelse til nemndsmedlemmer, vitner og sakkyndige.</w:t>
      </w:r>
    </w:p>
    <w:p w14:paraId="2E2596CB" w14:textId="77777777" w:rsidR="00575AC3" w:rsidRPr="006D40F0" w:rsidRDefault="00575AC3" w:rsidP="006D40F0">
      <w:r w:rsidRPr="006D40F0">
        <w:t>Bevilgningen på posten foreslås økt med 1,2 mill. kroner mot tilsvarende reduksjon i bevilgningen på kap. 352, post 21, jf. omtale nedenfor. Økningen skal dekke utgifter i Sekretariatet for Diskrimineringsnemnda til en ettårig prosjektstilling innen universell utforming av IKT.</w:t>
      </w:r>
    </w:p>
    <w:p w14:paraId="7316BCB0" w14:textId="77777777" w:rsidR="00575AC3" w:rsidRPr="006D40F0" w:rsidRDefault="00575AC3" w:rsidP="006D40F0">
      <w:pPr>
        <w:pStyle w:val="b-budkaptit"/>
      </w:pPr>
      <w:r w:rsidRPr="006D40F0">
        <w:t>Kap. 351 Likestilling</w:t>
      </w:r>
    </w:p>
    <w:p w14:paraId="4A51AF10" w14:textId="77777777" w:rsidR="00575AC3" w:rsidRPr="006D40F0" w:rsidRDefault="00575AC3" w:rsidP="006D40F0">
      <w:pPr>
        <w:pStyle w:val="b-post"/>
      </w:pPr>
      <w:r w:rsidRPr="006D40F0">
        <w:t>Post 21 Forskning, utredning og spesielle driftsutgifter, kan overføres, kan nyttes under post 70</w:t>
      </w:r>
    </w:p>
    <w:p w14:paraId="3AB5CDDB" w14:textId="77777777" w:rsidR="00575AC3" w:rsidRPr="006D40F0" w:rsidRDefault="00575AC3" w:rsidP="006D40F0">
      <w:r w:rsidRPr="006D40F0">
        <w:t>Bevilgningen på posten skal dekke utgifter til forsknings- og utviklingsprosjekter for fremme av likestilling og for å hindre diskriminering.</w:t>
      </w:r>
    </w:p>
    <w:p w14:paraId="6BA72A9D" w14:textId="77777777" w:rsidR="00575AC3" w:rsidRPr="006D40F0" w:rsidRDefault="00575AC3" w:rsidP="006D40F0">
      <w:r w:rsidRPr="006D40F0">
        <w:lastRenderedPageBreak/>
        <w:t>Innenfor rammen av bevilgningen på posten er det i 2024 satt av midler til etablering av et femte likestillingssenter. Det er nå lagt til rette for å kunne opprette et femte senter i region vest. Det nye senteret skal driftes av stiftelsen Likestillingssenteret KUN, og utgiftene skal dekkes gjennom tilskudd til stiftelsen. Bevilgningen på posten foreslås på denne bakgrunn redusert med 4 mill. kroner, mot tilsvarende økning på kap. 351, post 73, jf. omtale nedenfor.</w:t>
      </w:r>
    </w:p>
    <w:p w14:paraId="071AC3FF" w14:textId="77777777" w:rsidR="00575AC3" w:rsidRPr="006D40F0" w:rsidRDefault="00575AC3" w:rsidP="006D40F0">
      <w:pPr>
        <w:pStyle w:val="b-post"/>
      </w:pPr>
      <w:r w:rsidRPr="006D40F0">
        <w:t>Post 70 Tilskudd til likestilling</w:t>
      </w:r>
    </w:p>
    <w:p w14:paraId="28DDC3F6" w14:textId="77777777" w:rsidR="00575AC3" w:rsidRPr="006D40F0" w:rsidRDefault="00575AC3" w:rsidP="006D40F0">
      <w:r w:rsidRPr="006D40F0">
        <w:t>Bevilgningen på posten omfatter tilskuddsordningene til familie- og likestillingspolitiske organisasjoner og til tiltak mot rasisme, diskriminering og hatefulle ytringer.</w:t>
      </w:r>
    </w:p>
    <w:p w14:paraId="5EB3824B" w14:textId="77777777" w:rsidR="00575AC3" w:rsidRPr="006D40F0" w:rsidRDefault="00575AC3" w:rsidP="006D40F0">
      <w:r w:rsidRPr="006D40F0">
        <w:t>Det er behov for å styrke innsatsen for tiltak som skal forebygge rasisme, diskriminering og hatefulle ytringer på grunn av etnisitet, religion og livssyn. Bevilgningen på posten foreslås på denne bakgrunn økt med 2 mill. kroner, mot tilsvarende reduksjon i bevilgningen på kap. 352, post 21, jf. omtale nedenfor.</w:t>
      </w:r>
    </w:p>
    <w:p w14:paraId="279A4D7E" w14:textId="77777777" w:rsidR="00575AC3" w:rsidRPr="006D40F0" w:rsidRDefault="00575AC3" w:rsidP="006D40F0">
      <w:pPr>
        <w:pStyle w:val="b-post"/>
      </w:pPr>
      <w:r w:rsidRPr="006D40F0">
        <w:t>Post 73 Likestillingssentre</w:t>
      </w:r>
    </w:p>
    <w:p w14:paraId="659B90DF" w14:textId="77777777" w:rsidR="00575AC3" w:rsidRPr="006D40F0" w:rsidRDefault="00575AC3" w:rsidP="006D40F0">
      <w:r w:rsidRPr="006D40F0">
        <w:t>Bevilgningen på posten skal dekke grunntilskudd til regionale likestillingssentre i Norge. Sentrene skal frembringe erfaringsbasert kunnskapsgrunnlag og forvalte kompetanse om praktisk likestillingsarbeid.</w:t>
      </w:r>
    </w:p>
    <w:p w14:paraId="1C119A66" w14:textId="77777777" w:rsidR="00575AC3" w:rsidRPr="006D40F0" w:rsidRDefault="00575AC3" w:rsidP="006D40F0">
      <w:r w:rsidRPr="006D40F0">
        <w:t>Regjeringen vil legge til rette for opprettelse av et femte likestillingssenter i region vest. Etableringen av det femte senteret vil sikre et landsdekkende arbeid med likestilling og aktiviteter i alle landets regioner. Det nye senteret skal driftes av stiftelsen Likestillingssenteret KUN.</w:t>
      </w:r>
    </w:p>
    <w:p w14:paraId="6A5CF74B" w14:textId="77777777" w:rsidR="00575AC3" w:rsidRPr="006D40F0" w:rsidRDefault="00575AC3" w:rsidP="006D40F0">
      <w:r w:rsidRPr="006D40F0">
        <w:t>Bevilgningen på posten foreslås økt med 4 mill. kroner i tilskudd til stiftelsen Likestillingssenteret KUN til opprettelse av et nytt likestillingssenter i region vest, jf. omtale under post 21 ovenfor.</w:t>
      </w:r>
    </w:p>
    <w:p w14:paraId="0B87F9F3" w14:textId="77777777" w:rsidR="00575AC3" w:rsidRPr="006D40F0" w:rsidRDefault="00575AC3" w:rsidP="006D40F0">
      <w:pPr>
        <w:pStyle w:val="b-budkaptit"/>
      </w:pPr>
      <w:r w:rsidRPr="006D40F0">
        <w:t>Kap. 352 Nedsatt funksjonsevne</w:t>
      </w:r>
    </w:p>
    <w:p w14:paraId="7A8CA2DC" w14:textId="77777777" w:rsidR="00575AC3" w:rsidRPr="006D40F0" w:rsidRDefault="00575AC3" w:rsidP="006D40F0">
      <w:pPr>
        <w:pStyle w:val="b-post"/>
      </w:pPr>
      <w:r w:rsidRPr="006D40F0">
        <w:t>Post 21 Forskning, utredning og spesielle driftsutgifter, kan overføres, kan nyttes under post 71</w:t>
      </w:r>
    </w:p>
    <w:p w14:paraId="0050CBFC" w14:textId="77777777" w:rsidR="00575AC3" w:rsidRPr="006D40F0" w:rsidRDefault="00575AC3" w:rsidP="006D40F0">
      <w:r w:rsidRPr="006D40F0">
        <w:t>Bevilgningen på posten skal finansiere forsknings- og utviklingstiltak på området nedsatt funksjonsevne, herunder til gjennomføringen av handlingsplanen for universell utforming.</w:t>
      </w:r>
    </w:p>
    <w:p w14:paraId="36AE31FA" w14:textId="77777777" w:rsidR="00575AC3" w:rsidRPr="006D40F0" w:rsidRDefault="00575AC3" w:rsidP="006D40F0">
      <w:r w:rsidRPr="006D40F0">
        <w:t>Bevilgningen på posten foreslås redusert med 1,2 mill. kroner, for å dekke tilsvarende økning i bevilgningen til sekretariatet for Diskrimineringsnemnda, jf. omtale under kap. 350, post 01 ovenfor. Videre foreslås bevilgningen redusert med 2 mill. kroner, mot tilsvarende økning i bevilgningen på kap. 351, post 70, jf. omtale under denne posten.</w:t>
      </w:r>
    </w:p>
    <w:p w14:paraId="53C01CD6" w14:textId="77777777" w:rsidR="00575AC3" w:rsidRPr="006D40F0" w:rsidRDefault="00575AC3" w:rsidP="006D40F0">
      <w:r w:rsidRPr="006D40F0">
        <w:t>Samlet foreslås bevilgningen på posten redusert med 3,2 mill. kroner.</w:t>
      </w:r>
    </w:p>
    <w:p w14:paraId="0C1F1DE1" w14:textId="77777777" w:rsidR="00575AC3" w:rsidRPr="006D40F0" w:rsidRDefault="00575AC3" w:rsidP="006D40F0">
      <w:pPr>
        <w:pStyle w:val="Overskrift2"/>
      </w:pPr>
      <w:r w:rsidRPr="006D40F0">
        <w:lastRenderedPageBreak/>
        <w:t>Justis- og beredskapsdepartementet</w:t>
      </w:r>
    </w:p>
    <w:p w14:paraId="20C9F5F1" w14:textId="77777777" w:rsidR="00575AC3" w:rsidRPr="006D40F0" w:rsidRDefault="00575AC3" w:rsidP="006D40F0">
      <w:pPr>
        <w:pStyle w:val="b-budkaptit"/>
      </w:pPr>
      <w:r w:rsidRPr="006D40F0">
        <w:t>Kap. 61 Høyesterett</w:t>
      </w:r>
    </w:p>
    <w:p w14:paraId="7EECD0AD" w14:textId="77777777" w:rsidR="00575AC3" w:rsidRPr="006D40F0" w:rsidRDefault="00575AC3" w:rsidP="006D40F0">
      <w:pPr>
        <w:pStyle w:val="b-post"/>
      </w:pPr>
      <w:r w:rsidRPr="006D40F0">
        <w:t>Post 01 Driftsutgifter, kan nyttes under kap. 410, post 1 og kap. 411, post 1</w:t>
      </w:r>
    </w:p>
    <w:p w14:paraId="5E0E6A8B" w14:textId="77777777" w:rsidR="00575AC3" w:rsidRPr="006D40F0" w:rsidRDefault="00575AC3" w:rsidP="006D40F0">
      <w:pPr>
        <w:pStyle w:val="avsnitt-undertittel"/>
      </w:pPr>
      <w:r w:rsidRPr="006D40F0">
        <w:t>Lønnsjustering for dommere</w:t>
      </w:r>
    </w:p>
    <w:p w14:paraId="6A1A2D56" w14:textId="77777777" w:rsidR="00575AC3" w:rsidRPr="006D40F0" w:rsidRDefault="00575AC3" w:rsidP="006D40F0">
      <w:r w:rsidRPr="006D40F0">
        <w:t>Lønnsjustering for dommere i Høyesterett var ikke fastsatt da budsjettforslaget for 2024 ble lagt frem, og det er ikke tatt høyde for det i saldert budsjett. Endringene har virkning fra 1. oktober 2023 og er beregnet til å utgjøre 3,2 mill. kroner for perioden 1. oktober 2023 til 31. desember 2024, medregnet arbeidsgiveravgift, ferielønnstillegg og fremtidige pensjonsforpliktelser.</w:t>
      </w:r>
    </w:p>
    <w:p w14:paraId="094A2A17" w14:textId="77777777" w:rsidR="00575AC3" w:rsidRPr="006D40F0" w:rsidRDefault="00575AC3" w:rsidP="006D40F0">
      <w:r w:rsidRPr="006D40F0">
        <w:t>Det foreslås på denne bakgrunn å øke bevilgningen på posten med 3,2 mill. kroner.</w:t>
      </w:r>
    </w:p>
    <w:p w14:paraId="7D3D72C4" w14:textId="77777777" w:rsidR="00575AC3" w:rsidRPr="006D40F0" w:rsidRDefault="00575AC3" w:rsidP="006D40F0">
      <w:pPr>
        <w:pStyle w:val="avsnitt-undertittel"/>
      </w:pPr>
      <w:r w:rsidRPr="006D40F0">
        <w:t>Økt kapasitet i Høyesterett</w:t>
      </w:r>
    </w:p>
    <w:p w14:paraId="3968D52B" w14:textId="77777777" w:rsidR="00575AC3" w:rsidRPr="006D40F0" w:rsidRDefault="00575AC3" w:rsidP="006D40F0">
      <w:r w:rsidRPr="006D40F0">
        <w:t>Arbeidsbyrden i Høyesteretts ankeutvalg har økt betydelig. Regjeringen er opptatt av at Høyesterett skal ha de nødvendige rammene for å behandle saker på en forsvarlig og effektiv måte og foreslår derfor å styrke det administrative og juridiske støtteapparatet i Høyesterett.</w:t>
      </w:r>
    </w:p>
    <w:p w14:paraId="05C6B827" w14:textId="77777777" w:rsidR="00575AC3" w:rsidRPr="006D40F0" w:rsidRDefault="00575AC3" w:rsidP="006D40F0">
      <w:r w:rsidRPr="006D40F0">
        <w:t>Det foreslås på denne bakgrunn å øke bevilgningen på posten med 1,1 mill. kroner. Helårseffekten av tiltaket i 2025 er 2,2 mill. kroner.</w:t>
      </w:r>
    </w:p>
    <w:p w14:paraId="3393685E" w14:textId="77777777" w:rsidR="00575AC3" w:rsidRPr="006D40F0" w:rsidRDefault="00575AC3" w:rsidP="006D40F0">
      <w:pPr>
        <w:pStyle w:val="avsnitt-undertittel"/>
      </w:pPr>
      <w:r w:rsidRPr="006D40F0">
        <w:t>Oppsummering</w:t>
      </w:r>
    </w:p>
    <w:p w14:paraId="39179A77" w14:textId="77777777" w:rsidR="00575AC3" w:rsidRPr="006D40F0" w:rsidRDefault="00575AC3" w:rsidP="006D40F0">
      <w:r w:rsidRPr="006D40F0">
        <w:t>Samlet foreslås det å øke bevilgningen på kap. 61, post 01 med 4,3 mill. kroner.</w:t>
      </w:r>
    </w:p>
    <w:p w14:paraId="598DA989" w14:textId="77777777" w:rsidR="00575AC3" w:rsidRPr="006D40F0" w:rsidRDefault="00575AC3" w:rsidP="006D40F0">
      <w:pPr>
        <w:pStyle w:val="b-budkaptit"/>
      </w:pPr>
      <w:r w:rsidRPr="006D40F0">
        <w:t>Kap. 400 Justis- og beredskapsdepartementet</w:t>
      </w:r>
    </w:p>
    <w:p w14:paraId="2AADD299" w14:textId="77777777" w:rsidR="00575AC3" w:rsidRPr="006D40F0" w:rsidRDefault="00575AC3" w:rsidP="006D40F0">
      <w:pPr>
        <w:pStyle w:val="b-post"/>
      </w:pPr>
      <w:r w:rsidRPr="006D40F0">
        <w:t>Post 01 Driftsutgifter</w:t>
      </w:r>
    </w:p>
    <w:p w14:paraId="69750BA6" w14:textId="77777777" w:rsidR="00575AC3" w:rsidRPr="006D40F0" w:rsidRDefault="00575AC3" w:rsidP="006D40F0">
      <w:pPr>
        <w:pStyle w:val="avsnitt-undertittel"/>
      </w:pPr>
      <w:r w:rsidRPr="006D40F0">
        <w:t xml:space="preserve">Omdisponering av </w:t>
      </w:r>
      <w:proofErr w:type="spellStart"/>
      <w:r w:rsidRPr="006D40F0">
        <w:t>mindreforbruk</w:t>
      </w:r>
      <w:proofErr w:type="spellEnd"/>
      <w:r w:rsidRPr="006D40F0">
        <w:t xml:space="preserve"> på post 23</w:t>
      </w:r>
    </w:p>
    <w:p w14:paraId="4A4CD7DD" w14:textId="77777777" w:rsidR="00575AC3" w:rsidRPr="006D40F0" w:rsidRDefault="00575AC3" w:rsidP="006D40F0">
      <w:r w:rsidRPr="006D40F0">
        <w:t>Det foreslås å øke bevilgningen på kap. 400, post 01 med 2,5 mill. kroner, mot en tilsvarende reduksjon av bevilgningen på kap. 400, post 23.</w:t>
      </w:r>
    </w:p>
    <w:p w14:paraId="01021D18" w14:textId="77777777" w:rsidR="00575AC3" w:rsidRPr="006D40F0" w:rsidRDefault="00575AC3" w:rsidP="006D40F0">
      <w:pPr>
        <w:pStyle w:val="avsnitt-undertittel"/>
      </w:pPr>
      <w:r w:rsidRPr="006D40F0">
        <w:t>Husleiereduksjon</w:t>
      </w:r>
    </w:p>
    <w:p w14:paraId="4922D319" w14:textId="77777777" w:rsidR="00575AC3" w:rsidRPr="006D40F0" w:rsidRDefault="00575AC3" w:rsidP="006D40F0">
      <w:r w:rsidRPr="006D40F0">
        <w:t>Da Justis- og beredskapsdepartementet flyttet til Gullhaug torg 4 i 2012 ble det gjennomført omfattende spesialtilpasninger, primært sikringstiltak. Sikringstiltakene vil være nedbetalt i august 2024 og husleien blir da redusert. Som følge av dette foreslås det å redusere bevilgningen med 23,5 mill. kroner.</w:t>
      </w:r>
    </w:p>
    <w:p w14:paraId="58093475" w14:textId="77777777" w:rsidR="00575AC3" w:rsidRPr="006D40F0" w:rsidRDefault="00575AC3" w:rsidP="006D40F0">
      <w:pPr>
        <w:pStyle w:val="avsnitt-undertittel"/>
      </w:pPr>
      <w:r w:rsidRPr="006D40F0">
        <w:lastRenderedPageBreak/>
        <w:t>Overføring av arbeidsoppgaver fra Utenriksdepartementet til Justis- og beredskapsdepartementet</w:t>
      </w:r>
    </w:p>
    <w:p w14:paraId="742E51A7" w14:textId="77777777" w:rsidR="00575AC3" w:rsidRPr="006D40F0" w:rsidRDefault="00575AC3" w:rsidP="006D40F0">
      <w:r w:rsidRPr="006D40F0">
        <w:t xml:space="preserve">Koordineringsansvaret for FNs konvensjon om økonomiske, sosiale og kulturelle rettigheter (ØSK) overføres fra Utenriksdepartementet til Justis- og beredskapsdepartementet. Samtidig overføres også nasjonal rapportering på den periodiske universelle gjennomgangen (Universal </w:t>
      </w:r>
      <w:proofErr w:type="spellStart"/>
      <w:r w:rsidRPr="006D40F0">
        <w:t>Periodic</w:t>
      </w:r>
      <w:proofErr w:type="spellEnd"/>
      <w:r w:rsidRPr="006D40F0">
        <w:t xml:space="preserve"> </w:t>
      </w:r>
      <w:proofErr w:type="spellStart"/>
      <w:r w:rsidRPr="006D40F0">
        <w:t>Review</w:t>
      </w:r>
      <w:proofErr w:type="spellEnd"/>
      <w:r w:rsidRPr="006D40F0">
        <w:t xml:space="preserve"> – UPR), og oppdatering av Norges tilhørende kjernedokument (</w:t>
      </w:r>
      <w:proofErr w:type="spellStart"/>
      <w:r w:rsidRPr="006D40F0">
        <w:t>Common</w:t>
      </w:r>
      <w:proofErr w:type="spellEnd"/>
      <w:r w:rsidRPr="006D40F0">
        <w:t xml:space="preserve"> </w:t>
      </w:r>
      <w:proofErr w:type="spellStart"/>
      <w:r w:rsidRPr="006D40F0">
        <w:t>Core</w:t>
      </w:r>
      <w:proofErr w:type="spellEnd"/>
      <w:r w:rsidRPr="006D40F0">
        <w:t xml:space="preserve"> </w:t>
      </w:r>
      <w:proofErr w:type="spellStart"/>
      <w:r w:rsidRPr="006D40F0">
        <w:t>Document</w:t>
      </w:r>
      <w:proofErr w:type="spellEnd"/>
      <w:r w:rsidRPr="006D40F0">
        <w:t xml:space="preserve">) om menneskerettigheter i Norge. Det foreslås å rammeoverføre midler tilsvarende ett årsverk fra Utenriksdepartementet til Justis- og beredskapsdepartementet, med virkning fra 1. april 2024. Som følge av dette foreslås bevilgningen økt med 1 mill. kroner i 2024. </w:t>
      </w:r>
    </w:p>
    <w:p w14:paraId="2FFF7C1D" w14:textId="77777777" w:rsidR="00575AC3" w:rsidRPr="006D40F0" w:rsidRDefault="00575AC3" w:rsidP="006D40F0">
      <w:pPr>
        <w:pStyle w:val="avsnitt-undertittel"/>
      </w:pPr>
      <w:r w:rsidRPr="006D40F0">
        <w:t>Flytting av tilskuddsforvaltning til HRS</w:t>
      </w:r>
    </w:p>
    <w:p w14:paraId="77493588" w14:textId="77777777" w:rsidR="00575AC3" w:rsidRPr="006D40F0" w:rsidRDefault="00575AC3" w:rsidP="006D40F0">
      <w:r w:rsidRPr="006D40F0">
        <w:t>Fra og med 1. januar 2024 er ansvaret for forvaltningen av tilskuddsordninger under redningstjenesten flyttet fra Justis- og beredskapsdepartementet til Hovedredningssentralen. På denne bakgrunn foreslås det å øke bevilgningen på kap. 455, post 01 med 845 000 kroner mot en tilsvarende reduksjon av bevilgningen på kap. 400, post 01.</w:t>
      </w:r>
    </w:p>
    <w:p w14:paraId="4E9789CF" w14:textId="77777777" w:rsidR="00575AC3" w:rsidRPr="006D40F0" w:rsidRDefault="00575AC3" w:rsidP="006D40F0">
      <w:pPr>
        <w:pStyle w:val="avsnitt-undertittel"/>
      </w:pPr>
      <w:r w:rsidRPr="006D40F0">
        <w:t>Retting av feil</w:t>
      </w:r>
    </w:p>
    <w:p w14:paraId="268E9727" w14:textId="77777777" w:rsidR="00575AC3" w:rsidRPr="006D40F0" w:rsidRDefault="00575AC3" w:rsidP="006D40F0">
      <w:r w:rsidRPr="006D40F0">
        <w:t>Det foreslås å øke bevilgningen på kap. 400, post 01 med 5 mill. kroner mot en tilsvarende reduksjon av bevilgningen på kap. 440, post 01. Bakgrunnen er at utgifter som er belastet kap. 400, blant annet knyttet til utvalgsarbeid, skulle vært belastet kap. 440, post 01.</w:t>
      </w:r>
    </w:p>
    <w:p w14:paraId="47497B8C" w14:textId="77777777" w:rsidR="00575AC3" w:rsidRPr="006D40F0" w:rsidRDefault="00575AC3" w:rsidP="006D40F0">
      <w:pPr>
        <w:pStyle w:val="avsnitt-undertittel"/>
      </w:pPr>
      <w:r w:rsidRPr="006D40F0">
        <w:t>Oppsummering</w:t>
      </w:r>
    </w:p>
    <w:p w14:paraId="69159587" w14:textId="77777777" w:rsidR="00575AC3" w:rsidRPr="006D40F0" w:rsidRDefault="00575AC3" w:rsidP="006D40F0">
      <w:r w:rsidRPr="006D40F0">
        <w:t>Samlet foreslås det å redusere bevilgningen på kap. 400, post 01 med 15,9 mill. kroner.</w:t>
      </w:r>
    </w:p>
    <w:p w14:paraId="7C165CEB" w14:textId="77777777" w:rsidR="00575AC3" w:rsidRPr="006D40F0" w:rsidRDefault="00575AC3" w:rsidP="006D40F0">
      <w:pPr>
        <w:pStyle w:val="b-post"/>
      </w:pPr>
      <w:r w:rsidRPr="006D40F0">
        <w:t>Post 23 Spesielle driftsutgifter, forskning, evaluering og kunnskapsinnhenting, kan overføres</w:t>
      </w:r>
    </w:p>
    <w:p w14:paraId="00F78D66" w14:textId="77777777" w:rsidR="00575AC3" w:rsidRPr="006D40F0" w:rsidRDefault="00575AC3" w:rsidP="006D40F0">
      <w:pPr>
        <w:pStyle w:val="avsnitt-undertittel"/>
      </w:pPr>
      <w:proofErr w:type="spellStart"/>
      <w:r w:rsidRPr="006D40F0">
        <w:t>Forskningsstudie</w:t>
      </w:r>
      <w:proofErr w:type="spellEnd"/>
      <w:r w:rsidRPr="006D40F0">
        <w:t xml:space="preserve"> </w:t>
      </w:r>
    </w:p>
    <w:p w14:paraId="33F8366E" w14:textId="77777777" w:rsidR="00575AC3" w:rsidRPr="006D40F0" w:rsidRDefault="00575AC3" w:rsidP="006D40F0">
      <w:r w:rsidRPr="006D40F0">
        <w:t xml:space="preserve">Nasjonalt kunnskapssenter om vold og traumatisk stress (NKVTS) skal gjennomføre en </w:t>
      </w:r>
      <w:proofErr w:type="spellStart"/>
      <w:r w:rsidRPr="006D40F0">
        <w:t>forskningsstudie</w:t>
      </w:r>
      <w:proofErr w:type="spellEnd"/>
      <w:r w:rsidRPr="006D40F0">
        <w:t xml:space="preserve"> i samarbeid med Støttegruppa 25. juni om rammede og berørte etter terrorangrepet 25. juni 2022. Formålet med studien er å fremskaffe kunnskap om sammenhenger mellom samfunnsrespons, konsekvenser og samfunnssikkerhet over tid etter terror. På denne bakgrunn foreslås det å øke bevilgningen til NKVTS med 4 mill. kroner.</w:t>
      </w:r>
    </w:p>
    <w:p w14:paraId="544CF287" w14:textId="77777777" w:rsidR="00575AC3" w:rsidRPr="006D40F0" w:rsidRDefault="00575AC3" w:rsidP="006D40F0">
      <w:pPr>
        <w:pStyle w:val="avsnitt-undertittel"/>
      </w:pPr>
      <w:r w:rsidRPr="006D40F0">
        <w:t xml:space="preserve">Omdisponering av </w:t>
      </w:r>
      <w:proofErr w:type="spellStart"/>
      <w:r w:rsidRPr="006D40F0">
        <w:t>mindreforbruk</w:t>
      </w:r>
      <w:proofErr w:type="spellEnd"/>
    </w:p>
    <w:p w14:paraId="2700FED9" w14:textId="77777777" w:rsidR="00575AC3" w:rsidRPr="006D40F0" w:rsidRDefault="00575AC3" w:rsidP="006D40F0">
      <w:r w:rsidRPr="006D40F0">
        <w:t>Det foreslås å redusere bevilgningen på kap. 400, post 23 med 2,5 mill. kroner, mot en tilsvarende økning av bevilgningen på kap. 400, post 01.</w:t>
      </w:r>
    </w:p>
    <w:p w14:paraId="6C3D85E0" w14:textId="77777777" w:rsidR="00575AC3" w:rsidRPr="006D40F0" w:rsidRDefault="00575AC3" w:rsidP="006D40F0">
      <w:pPr>
        <w:pStyle w:val="avsnitt-undertittel"/>
      </w:pPr>
      <w:r w:rsidRPr="006D40F0">
        <w:t>Oppsummering</w:t>
      </w:r>
    </w:p>
    <w:p w14:paraId="0F45C150" w14:textId="77777777" w:rsidR="00575AC3" w:rsidRPr="006D40F0" w:rsidRDefault="00575AC3" w:rsidP="006D40F0">
      <w:r w:rsidRPr="006D40F0">
        <w:t>Samlet foreslås det å øke bevilgningen på kap. 400, post 23 med 1,5 mill. kroner.</w:t>
      </w:r>
    </w:p>
    <w:p w14:paraId="0215D2F0" w14:textId="77777777" w:rsidR="00575AC3" w:rsidRPr="006D40F0" w:rsidRDefault="00575AC3" w:rsidP="006D40F0">
      <w:pPr>
        <w:pStyle w:val="b-post"/>
      </w:pPr>
      <w:r w:rsidRPr="006D40F0">
        <w:lastRenderedPageBreak/>
        <w:t>Post 71 Tilskudd til internasjonale organisasjoner</w:t>
      </w:r>
    </w:p>
    <w:p w14:paraId="1A49EF7F" w14:textId="77777777" w:rsidR="00575AC3" w:rsidRPr="006D40F0" w:rsidRDefault="00575AC3" w:rsidP="006D40F0">
      <w:r w:rsidRPr="006D40F0">
        <w:t xml:space="preserve">Norges kontingent for deltakelse i </w:t>
      </w:r>
      <w:proofErr w:type="spellStart"/>
      <w:r w:rsidRPr="006D40F0">
        <w:t>the</w:t>
      </w:r>
      <w:proofErr w:type="spellEnd"/>
      <w:r w:rsidRPr="006D40F0">
        <w:t xml:space="preserve"> European Union </w:t>
      </w:r>
      <w:proofErr w:type="spellStart"/>
      <w:r w:rsidRPr="006D40F0">
        <w:t>Agency</w:t>
      </w:r>
      <w:proofErr w:type="spellEnd"/>
      <w:r w:rsidRPr="006D40F0">
        <w:t xml:space="preserve"> for </w:t>
      </w:r>
      <w:proofErr w:type="spellStart"/>
      <w:r w:rsidRPr="006D40F0">
        <w:t>Cybersecurity</w:t>
      </w:r>
      <w:proofErr w:type="spellEnd"/>
      <w:r w:rsidRPr="006D40F0">
        <w:t xml:space="preserve"> (ENISA) påvirkes av en proporsjonalitetsfaktor. EFTA-statenes bidrag blir bestemt av størrelsen på disse landenes BNP i forhold til samlet BNP i det europeiske samarbeidsområdet. Norges kontingent er økt som følge av endring i proporsjonalitetsfaktoren.</w:t>
      </w:r>
    </w:p>
    <w:p w14:paraId="2175985C" w14:textId="77777777" w:rsidR="00575AC3" w:rsidRPr="006D40F0" w:rsidRDefault="00575AC3" w:rsidP="006D40F0">
      <w:r w:rsidRPr="006D40F0">
        <w:t>På denne bakgrunn foreslås det å øke bevilgningen på kap. 400, post 71 med 1,8 mill. kroner. Se også kap. 1541, post 70 under Digitaliserings- og forvaltningsdepartementet.</w:t>
      </w:r>
    </w:p>
    <w:p w14:paraId="3762B4E6" w14:textId="77777777" w:rsidR="00575AC3" w:rsidRPr="006D40F0" w:rsidRDefault="00575AC3" w:rsidP="006D40F0">
      <w:pPr>
        <w:pStyle w:val="b-budkaptit"/>
      </w:pPr>
      <w:r w:rsidRPr="006D40F0">
        <w:t>Kap. 3400 Justis- og beredskapsdepartementet</w:t>
      </w:r>
    </w:p>
    <w:p w14:paraId="60C2AD3A" w14:textId="77777777" w:rsidR="00575AC3" w:rsidRPr="006D40F0" w:rsidRDefault="00575AC3" w:rsidP="006D40F0">
      <w:pPr>
        <w:pStyle w:val="b-post"/>
      </w:pPr>
      <w:r w:rsidRPr="006D40F0">
        <w:t>Post 02 Refusjon av ODA-godkjente utgifter</w:t>
      </w:r>
    </w:p>
    <w:p w14:paraId="277C6376" w14:textId="77777777" w:rsidR="00575AC3" w:rsidRPr="006D40F0" w:rsidRDefault="00575AC3" w:rsidP="006D40F0">
      <w:r w:rsidRPr="006D40F0">
        <w:t>Det finansieres ikke lenger ODA-godkjente utgifter på kap. 400, post 23. Anslaget for ODA-refusjon på tilhørende inntektspost settes dermed til null.</w:t>
      </w:r>
    </w:p>
    <w:p w14:paraId="6A007417" w14:textId="77777777" w:rsidR="00575AC3" w:rsidRPr="006D40F0" w:rsidRDefault="00575AC3" w:rsidP="006D40F0">
      <w:r w:rsidRPr="006D40F0">
        <w:t>Det foreslås å redusere bevilgningen på posten med 1,1 mill. kroner.</w:t>
      </w:r>
    </w:p>
    <w:p w14:paraId="2E728879" w14:textId="77777777" w:rsidR="00575AC3" w:rsidRPr="006D40F0" w:rsidRDefault="00575AC3" w:rsidP="006D40F0">
      <w:pPr>
        <w:pStyle w:val="b-budkaptit"/>
      </w:pPr>
      <w:r w:rsidRPr="006D40F0">
        <w:t>Kap. 410 Domstolene</w:t>
      </w:r>
    </w:p>
    <w:p w14:paraId="7AEA55EE" w14:textId="77777777" w:rsidR="00575AC3" w:rsidRPr="006D40F0" w:rsidRDefault="00575AC3" w:rsidP="006D40F0">
      <w:r w:rsidRPr="006D40F0">
        <w:t>Regjeringen ønsker å legge til rette for god rettssikkerhet og tilgjengelige juridiske tjenester for innbyggerne i hele landet. Regjeringen foreslår derfor å øke bevilgningene til domstolene og andre aktører og instanser, herunder Kontoret for voldsoffererstatning, Kommisjonen for gjenopptakelse av straffesaker og Spesialenheten for politisaker, samt å øke rettshjelpsatsen. Det vises til omtale under kap. 414, postene 01 og 21, kap. 460, post 01, kap. 466, post 01, kap. 468, post 01, kap. 470, post 01 og kap. 473, post 21. Samlet foreslås det å øke bevilgningene til disse virksomhetene med 166,4 mill. kroner i 2024. I 2025 vil utgiftene som følger av tiltakene utgjøre 234,5 mill. kroner.</w:t>
      </w:r>
    </w:p>
    <w:p w14:paraId="0AEF92B6" w14:textId="77777777" w:rsidR="00575AC3" w:rsidRPr="006D40F0" w:rsidRDefault="00575AC3" w:rsidP="006D40F0">
      <w:pPr>
        <w:pStyle w:val="avsnitt-undertittel"/>
      </w:pPr>
      <w:proofErr w:type="spellStart"/>
      <w:r w:rsidRPr="006D40F0">
        <w:t>Domstolsråd</w:t>
      </w:r>
      <w:proofErr w:type="spellEnd"/>
    </w:p>
    <w:p w14:paraId="23DBFE5A" w14:textId="77777777" w:rsidR="00575AC3" w:rsidRPr="006D40F0" w:rsidRDefault="00575AC3" w:rsidP="006D40F0">
      <w:r w:rsidRPr="006D40F0">
        <w:t xml:space="preserve">Regjeringen vil fortsette arbeidet med oppfølging av Domstolkommisjonens NOU 2020: 11 </w:t>
      </w:r>
      <w:r w:rsidRPr="00575AC3">
        <w:rPr>
          <w:rStyle w:val="kursiv"/>
        </w:rPr>
        <w:t>Den tredje statsmakt – domstolene i endring</w:t>
      </w:r>
      <w:r w:rsidRPr="006D40F0">
        <w:t xml:space="preserve">, for å ivareta domstolenes og dommernes uavhengighet, herunder utredning og høring av </w:t>
      </w:r>
      <w:proofErr w:type="spellStart"/>
      <w:r w:rsidRPr="006D40F0">
        <w:t>domstolsrådmodellen</w:t>
      </w:r>
      <w:proofErr w:type="spellEnd"/>
      <w:r w:rsidRPr="006D40F0">
        <w:t>.</w:t>
      </w:r>
    </w:p>
    <w:p w14:paraId="49B978F1" w14:textId="77777777" w:rsidR="00575AC3" w:rsidRPr="006D40F0" w:rsidRDefault="00575AC3" w:rsidP="006D40F0">
      <w:pPr>
        <w:pStyle w:val="avsnitt-undertittel"/>
      </w:pPr>
      <w:r w:rsidRPr="006D40F0">
        <w:t>Lovfesting av tingrettene og faste rettssteder</w:t>
      </w:r>
    </w:p>
    <w:p w14:paraId="6B61A2DE" w14:textId="77777777" w:rsidR="00575AC3" w:rsidRPr="006D40F0" w:rsidRDefault="00575AC3" w:rsidP="006D40F0">
      <w:r w:rsidRPr="006D40F0">
        <w:t>Det er et politisk ansvar å sørge for at innbyggerne i hele landet har like god rettsikkerhet og tilgang til domstolene. Stortingsrepresentanter er valgt inn for å representere sitt valgdistrikt, og til sammen representerer Stortinget hele Norge. Ansvaret for domstolstrukturen bør etter regjeringens syn ikke ligge til den til enhver tid sittende regjering, men i stedet overføres til Stortinget ved at rettsstedene fastsettes i lov. Det vil bety at fremtidige endringer i strukturen vil kreve flertall i Stortinget, noe som vil sikre rettsstedene en sterkere demokratisk forankring og et bedre vern mot fremtidige nedleggelser enn det rettsstedene har i dag.</w:t>
      </w:r>
    </w:p>
    <w:p w14:paraId="1BB21F61" w14:textId="77777777" w:rsidR="00575AC3" w:rsidRPr="006D40F0" w:rsidRDefault="00575AC3" w:rsidP="006D40F0">
      <w:r w:rsidRPr="006D40F0">
        <w:t>Regjeringen vil derfor sende på høring et forslag om å lovfeste tingrettenes faste rettssteder, slik at myndigheten til å fastsette rettsstedene overføres til Stortinget.</w:t>
      </w:r>
    </w:p>
    <w:p w14:paraId="1B6A821D" w14:textId="77777777" w:rsidR="00575AC3" w:rsidRPr="006D40F0" w:rsidRDefault="00575AC3" w:rsidP="006D40F0">
      <w:pPr>
        <w:pStyle w:val="avsnitt-undertittel"/>
      </w:pPr>
      <w:r w:rsidRPr="006D40F0">
        <w:lastRenderedPageBreak/>
        <w:t>Nasjonalt kunnskapssenter for voldserstatning</w:t>
      </w:r>
    </w:p>
    <w:p w14:paraId="600E5D03" w14:textId="77777777" w:rsidR="00575AC3" w:rsidRPr="006D40F0" w:rsidRDefault="00575AC3" w:rsidP="006D40F0">
      <w:r w:rsidRPr="006D40F0">
        <w:t>Regjeringen vil utrede etableringen av kontoret for voldsoffererstatning som et nasjonalt kunnskapssenter for voldserstatning.</w:t>
      </w:r>
    </w:p>
    <w:p w14:paraId="22132B10" w14:textId="77777777" w:rsidR="00575AC3" w:rsidRPr="006D40F0" w:rsidRDefault="00575AC3" w:rsidP="006D40F0">
      <w:pPr>
        <w:pStyle w:val="avsnitt-undertittel"/>
      </w:pPr>
      <w:r w:rsidRPr="006D40F0">
        <w:t>Barnehussatellitter</w:t>
      </w:r>
    </w:p>
    <w:p w14:paraId="5467B8A9" w14:textId="77777777" w:rsidR="00575AC3" w:rsidRPr="006D40F0" w:rsidRDefault="00575AC3" w:rsidP="006D40F0">
      <w:r w:rsidRPr="006D40F0">
        <w:t>Regjeringen vil legge til rette for at det på sikt etableres flere satellitter av Statens barnehus, på steder med store geografiske avstander. Der det ikke er barnehus i dag bør det etableres tilrettelagte lokaliteter som er egnet for å gjennomføre tilrettelagte avhør og for at ansatte ved barnehuset skal kunne gjennomføre nødvendig oppfølging. Formålet med etableringene er å minske belastningen for de som er fornærmede og som trenger særskilt oppfølging. Noen barn har svært lang vei til Barnehusene. For barn som har vært utsatt for eller vært vitne til vold og overgrep er lang reisevei en stor tilleggsbelastning. Det er derfor viktig at barn har trygge og gode tilbud nær seg. Aktuelle steder for slike etableringer er Kristiansund, Harstad, Nord-Trøndelag, Nordland, Nord-Gudbrandsdal, Hedmark (Nord-Østerdal), Buskerud (Hallingdal) og Telemark (Øvre Telemark). Regjeringen vil komme tilbake til endelig plassering og prosess.</w:t>
      </w:r>
    </w:p>
    <w:p w14:paraId="2A241FE9" w14:textId="77777777" w:rsidR="00575AC3" w:rsidRPr="006D40F0" w:rsidRDefault="00575AC3" w:rsidP="006D40F0">
      <w:pPr>
        <w:pStyle w:val="b-post"/>
      </w:pPr>
      <w:r w:rsidRPr="006D40F0">
        <w:t>Post 01 Driftsutgifter, kan nyttes under kap. 61, post 1 og kap. 411, post 1</w:t>
      </w:r>
    </w:p>
    <w:p w14:paraId="46E8F26E" w14:textId="77777777" w:rsidR="00575AC3" w:rsidRPr="006D40F0" w:rsidRDefault="00575AC3" w:rsidP="006D40F0">
      <w:pPr>
        <w:pStyle w:val="avsnitt-undertittel"/>
      </w:pPr>
      <w:r w:rsidRPr="006D40F0">
        <w:t>Lønnsendringer for dommere i tingrettene og lagmannsrettene</w:t>
      </w:r>
    </w:p>
    <w:p w14:paraId="71A9360E" w14:textId="77777777" w:rsidR="00575AC3" w:rsidRPr="006D40F0" w:rsidRDefault="00575AC3" w:rsidP="006D40F0">
      <w:r w:rsidRPr="006D40F0">
        <w:t>Lønnsendringer for dommere i tingrettene og lagmannsrettene var ikke fastsatt da budsjettforslaget for 2024 ble lagt frem, og det er ikke tatt høyde for det i saldert budsjett. Endringene har virkning fra 1. oktober 2023 og er beregnet til å utgjøre 68 mill. kroner for perioden 1. oktober 2023 til 31. desember 2024, medregnet arbeidsgiveravgift, ferielønnstillegg og fremtidige pensjonsforpliktelser.</w:t>
      </w:r>
    </w:p>
    <w:p w14:paraId="038BBDF6" w14:textId="77777777" w:rsidR="00575AC3" w:rsidRPr="006D40F0" w:rsidRDefault="00575AC3" w:rsidP="006D40F0">
      <w:r w:rsidRPr="006D40F0">
        <w:t>Det foreslås på denne bakgrunn å øke bevilgningen på posten med 68 mill. kroner.</w:t>
      </w:r>
    </w:p>
    <w:p w14:paraId="2303380C" w14:textId="77777777" w:rsidR="00575AC3" w:rsidRPr="006D40F0" w:rsidRDefault="00575AC3" w:rsidP="006D40F0">
      <w:pPr>
        <w:pStyle w:val="avsnitt-undertittel"/>
      </w:pPr>
      <w:r w:rsidRPr="006D40F0">
        <w:t>Sikker og stabil drift av IT-systemer</w:t>
      </w:r>
    </w:p>
    <w:p w14:paraId="4D89E83E" w14:textId="77777777" w:rsidR="00575AC3" w:rsidRPr="006D40F0" w:rsidRDefault="00575AC3" w:rsidP="006D40F0">
      <w:r w:rsidRPr="006D40F0">
        <w:t>Domstolene står overfor nye, hyppigere og mer alvorlige sikkerhetsutfordringer knyttet til risiko for nedetid i domstolenes kjernesystemer, sikkerhetsavvik og personavvik. For å legge til rette for forsvarlig drift av den tredje statsmakt er det nødvendig å sørge for videre digitalisering og modernisering av teknologi og infrastruktur i domstolene. Sikre og stabile plattformer er en forutsetning for innføring av lyd- og bildeopptak i domstolene.</w:t>
      </w:r>
    </w:p>
    <w:p w14:paraId="3E9F8218" w14:textId="77777777" w:rsidR="00575AC3" w:rsidRPr="006D40F0" w:rsidRDefault="00575AC3" w:rsidP="006D40F0">
      <w:r w:rsidRPr="006D40F0">
        <w:t>Metier har gjennomført en budsjettanalyse som viser at domstolene har store budsjettbehov knyttet blant annet til digitalt utstyr og domstollokaler som det ikke er rom for å finansiere innenfor dagens bevilgning uten å redusere bemanningen betydelig.</w:t>
      </w:r>
    </w:p>
    <w:p w14:paraId="084E97F5" w14:textId="77777777" w:rsidR="00575AC3" w:rsidRPr="006D40F0" w:rsidRDefault="00575AC3" w:rsidP="006D40F0">
      <w:r w:rsidRPr="006D40F0">
        <w:t>Regjeringen foreslår derfor å øke domstolenes driftsbudsjett med 25 mill. kroner til stabil og sikker drift av IT-systemer i domstolene.</w:t>
      </w:r>
    </w:p>
    <w:p w14:paraId="4A283F2F" w14:textId="77777777" w:rsidR="00575AC3" w:rsidRPr="006D40F0" w:rsidRDefault="00575AC3" w:rsidP="006D40F0">
      <w:r w:rsidRPr="006D40F0">
        <w:t>Helårseffekten av tiltaket i 2025 er 50 mill. kroner.</w:t>
      </w:r>
    </w:p>
    <w:p w14:paraId="050CDC39" w14:textId="77777777" w:rsidR="00575AC3" w:rsidRPr="006D40F0" w:rsidRDefault="00575AC3" w:rsidP="006D40F0">
      <w:pPr>
        <w:pStyle w:val="avsnitt-undertittel"/>
      </w:pPr>
      <w:r w:rsidRPr="006D40F0">
        <w:lastRenderedPageBreak/>
        <w:t>Utrulling av utstyr til lyd- og bildeopptak ved alle rettssteder</w:t>
      </w:r>
    </w:p>
    <w:p w14:paraId="59692AA2" w14:textId="77777777" w:rsidR="00575AC3" w:rsidRPr="006D40F0" w:rsidRDefault="00575AC3" w:rsidP="006D40F0">
      <w:r w:rsidRPr="006D40F0">
        <w:t>I 2024 er det bevilget 15 mill. kroner for å legge til rette for lyd- og bildeopptak i domstolene. Bevilgningen legger til rette for at det i løpet av 2025 skal være mulig å ta opptak ved minimum ett rettssted i hver rettskrets. Regjeringen foreslår å rulle ut ytterligere utstyr til lyd- og bildeopptak, slik at det kan tas opptak ved alle rettssteder. Tiltaket vil bidra til å øke rettssikkerheten i hele landet.</w:t>
      </w:r>
    </w:p>
    <w:p w14:paraId="32955DF9" w14:textId="77777777" w:rsidR="00575AC3" w:rsidRPr="006D40F0" w:rsidRDefault="00575AC3" w:rsidP="006D40F0">
      <w:r w:rsidRPr="006D40F0">
        <w:t>Det foreslås på denne bakgrunn å øke bevilgningen på posten med 6,5 mill. kroner. Helårseffekten av tiltaket i 2025 er 6,5 mill. kroner.</w:t>
      </w:r>
    </w:p>
    <w:p w14:paraId="2742DA1F" w14:textId="77777777" w:rsidR="00575AC3" w:rsidRPr="006D40F0" w:rsidRDefault="00575AC3" w:rsidP="006D40F0">
      <w:pPr>
        <w:pStyle w:val="avsnitt-undertittel"/>
      </w:pPr>
      <w:r w:rsidRPr="006D40F0">
        <w:t>Trygge rettslokaler</w:t>
      </w:r>
    </w:p>
    <w:p w14:paraId="4AB6A7BC" w14:textId="77777777" w:rsidR="00575AC3" w:rsidRPr="006D40F0" w:rsidRDefault="00575AC3" w:rsidP="006D40F0">
      <w:r w:rsidRPr="006D40F0">
        <w:t xml:space="preserve">Domstoladministrasjonen forvalter om lag 100 leieobjekter med til sammen i overkant av 400 rettssaler. Det er et betydelig etterslep på investeringer i domstollokaler og mange leiekontrakter er i ferd med å utløpe. Det er behov for å inngå nye leiekontrakter og gjøre oppgraderinger for å sørge for tilfredsstillende standard og trygge rettslokaler i hele landet. </w:t>
      </w:r>
    </w:p>
    <w:p w14:paraId="5C4DB448" w14:textId="77777777" w:rsidR="00575AC3" w:rsidRPr="006D40F0" w:rsidRDefault="00575AC3" w:rsidP="006D40F0">
      <w:r w:rsidRPr="006D40F0">
        <w:t>Det foreslås på denne bakgrunn å øke bevilgningen med 68 mill. kroner. Helårseffekten av tiltaket i 2025 er 19,5 mill. kroner.</w:t>
      </w:r>
    </w:p>
    <w:p w14:paraId="2C0A17F5" w14:textId="77777777" w:rsidR="00575AC3" w:rsidRPr="006D40F0" w:rsidRDefault="00575AC3" w:rsidP="006D40F0">
      <w:pPr>
        <w:pStyle w:val="avsnitt-undertittel"/>
      </w:pPr>
      <w:r w:rsidRPr="006D40F0">
        <w:t>Endringer i domstolstruktur</w:t>
      </w:r>
    </w:p>
    <w:p w14:paraId="1A45D7C4" w14:textId="77777777" w:rsidR="00575AC3" w:rsidRPr="006D40F0" w:rsidRDefault="00575AC3" w:rsidP="006D40F0">
      <w:r w:rsidRPr="006D40F0">
        <w:t>Justis- og beredskapsdepartementet har hatt på høring et forslag om endringer i domstolstruktur, med høringsfrist 26. april 2022. Departementet mottok i overkant av 400 høringssvar. På bakgrunn av en konkret og helhetlig vurdering foreslår regjeringen enkelte endringer i domstolstrukturen. Målet er å ivareta borgernes rettssikkerhet og sikre selvstendige domstoler med stedlig ledelse.</w:t>
      </w:r>
    </w:p>
    <w:p w14:paraId="047331CE" w14:textId="77777777" w:rsidR="00575AC3" w:rsidRPr="006D40F0" w:rsidRDefault="00575AC3" w:rsidP="006D40F0">
      <w:r w:rsidRPr="006D40F0">
        <w:t>Regjeringen foreslår følgende endringer:</w:t>
      </w:r>
    </w:p>
    <w:p w14:paraId="524A56C5" w14:textId="77777777" w:rsidR="00575AC3" w:rsidRPr="006D40F0" w:rsidRDefault="00575AC3" w:rsidP="006D40F0">
      <w:r w:rsidRPr="006D40F0">
        <w:t>Vestre Innlandet tingrett deles i to rettskretser: Gudbrandsdal tingrett, med rettssteder i Lillehammer og Vågåmo, og Gjøvik og Valdres tingrett, med rettssteder i Fagernes og Gjøvik. Østre Innlandet tingrett endrer samtidig navn til Hedmark tingrett.</w:t>
      </w:r>
    </w:p>
    <w:p w14:paraId="08EFA07B" w14:textId="77777777" w:rsidR="00575AC3" w:rsidRPr="006D40F0" w:rsidRDefault="00575AC3" w:rsidP="006D40F0">
      <w:r w:rsidRPr="006D40F0">
        <w:t>Telemark tingrett deles i to rettskretser: Øvre Telemark tingrett, med rettssteder i Kviteseid og Notodden, og Nedre Telemark tingrett, med rettssted i Skien.</w:t>
      </w:r>
    </w:p>
    <w:p w14:paraId="6BEC4B26" w14:textId="77777777" w:rsidR="00575AC3" w:rsidRPr="006D40F0" w:rsidRDefault="00575AC3" w:rsidP="006D40F0">
      <w:r w:rsidRPr="006D40F0">
        <w:t>Buskerud tingrett og Ringerike, Asker og Bærum tingrett deles i tre rettskretser: Buskerud tingrett, med rettssteder i Drammen, Kongsberg og Hokksund, Ringerike og Hallingdal tingrett, med rettssteder i Hønefoss og Nesbyen, og Asker og Bærum tingrett med rettssted i Sandvika.</w:t>
      </w:r>
    </w:p>
    <w:p w14:paraId="630BE10C" w14:textId="77777777" w:rsidR="00575AC3" w:rsidRPr="006D40F0" w:rsidRDefault="00575AC3" w:rsidP="006D40F0">
      <w:r w:rsidRPr="006D40F0">
        <w:t>Møre og Romsdal tingrett deles i to rettskretser: Sunnmøre- og Søre Sunnmøre tingrett med rettssteder i Ålesund og Volda, og Nordmøre og Romsdal tingrett, med rettssteder i Kristiansund og Molde.</w:t>
      </w:r>
    </w:p>
    <w:p w14:paraId="59C56718" w14:textId="77777777" w:rsidR="00575AC3" w:rsidRPr="006D40F0" w:rsidRDefault="00575AC3" w:rsidP="006D40F0">
      <w:r w:rsidRPr="006D40F0">
        <w:t xml:space="preserve">Hordaland tingrett deles i to rettskretser: Hordaland tingrett, med rettssted i Bergen, og Hardanger tingrett, med rettssted i Lofthus. Voss </w:t>
      </w:r>
      <w:proofErr w:type="spellStart"/>
      <w:r w:rsidRPr="006D40F0">
        <w:t>herad</w:t>
      </w:r>
      <w:proofErr w:type="spellEnd"/>
      <w:r w:rsidRPr="006D40F0">
        <w:t xml:space="preserve"> og Samnanger kommune foreslås overført fra rettskretsen til Hordaland tingrett til rettskretsen til Hardanger tingrett. I tillegg etableres et nytt ubemannet rettssted på Voss, samlokalisert med Hordaland jordskifterett.</w:t>
      </w:r>
    </w:p>
    <w:p w14:paraId="0510E67A" w14:textId="77777777" w:rsidR="00575AC3" w:rsidRPr="006D40F0" w:rsidRDefault="00575AC3" w:rsidP="006D40F0">
      <w:r w:rsidRPr="006D40F0">
        <w:lastRenderedPageBreak/>
        <w:t>Forslaget innebærer fem flere tingretter og seks nye sorenskrivere.</w:t>
      </w:r>
    </w:p>
    <w:p w14:paraId="7466993A" w14:textId="77777777" w:rsidR="00575AC3" w:rsidRPr="006D40F0" w:rsidRDefault="00575AC3" w:rsidP="006D40F0">
      <w:r w:rsidRPr="006D40F0">
        <w:t>Det foreslås på denne bakgrunn å øke bevilgningen med 10,3 mill. kroner til forberedelse av implementering av strukturendringene, herunder endringer i IT-systemer, rekruttering av nye sorenskrivere, etablering av et ubemannet rettssted på Voss mv. Helårseffekten av tiltaket i 2025 er 50,3 mill. kroner.</w:t>
      </w:r>
    </w:p>
    <w:p w14:paraId="1F114E24" w14:textId="77777777" w:rsidR="00575AC3" w:rsidRPr="006D40F0" w:rsidRDefault="00575AC3" w:rsidP="006D40F0">
      <w:pPr>
        <w:pStyle w:val="avsnitt-undertittel"/>
      </w:pPr>
      <w:r w:rsidRPr="006D40F0">
        <w:t>Minimum to embetsdommere ved hvert rettssted</w:t>
      </w:r>
    </w:p>
    <w:p w14:paraId="75EF8F85" w14:textId="77777777" w:rsidR="00575AC3" w:rsidRPr="006D40F0" w:rsidRDefault="00575AC3" w:rsidP="006D40F0">
      <w:r w:rsidRPr="006D40F0">
        <w:t>I 2022 ble det bevilget 20 mill. kroner til nye dommerstillinger ved mindre rettssteder, for å redusere sårbarheten og andelen dommerfullmektiger. Regjeringen ønsker å sørge for at det er minimum to embetsdommere ved hvert rettssted.</w:t>
      </w:r>
    </w:p>
    <w:p w14:paraId="0261D65C" w14:textId="77777777" w:rsidR="00575AC3" w:rsidRPr="006D40F0" w:rsidRDefault="00575AC3" w:rsidP="006D40F0">
      <w:r w:rsidRPr="006D40F0">
        <w:t>Det foreslås på denne bakgrunn å øke bevilgningen med 5,4 mill. kroner. Helårseffekten av tiltaket i 2025 er 10,8 mill. kroner.</w:t>
      </w:r>
    </w:p>
    <w:p w14:paraId="7E693067" w14:textId="77777777" w:rsidR="00575AC3" w:rsidRPr="006D40F0" w:rsidRDefault="00575AC3" w:rsidP="006D40F0">
      <w:pPr>
        <w:pStyle w:val="avsnitt-undertittel"/>
      </w:pPr>
      <w:r w:rsidRPr="006D40F0">
        <w:t>Oppsummering</w:t>
      </w:r>
    </w:p>
    <w:p w14:paraId="2472ED56" w14:textId="77777777" w:rsidR="00575AC3" w:rsidRPr="006D40F0" w:rsidRDefault="00575AC3" w:rsidP="006D40F0">
      <w:r w:rsidRPr="006D40F0">
        <w:t>Samlet foreslås det å øke bevilgningen på kap. 410, post 01 med 183,2 mill. kroner.</w:t>
      </w:r>
    </w:p>
    <w:p w14:paraId="6807C7D8" w14:textId="77777777" w:rsidR="00575AC3" w:rsidRPr="006D40F0" w:rsidRDefault="00575AC3" w:rsidP="006D40F0">
      <w:pPr>
        <w:pStyle w:val="b-budkaptit"/>
      </w:pPr>
      <w:r w:rsidRPr="006D40F0">
        <w:t xml:space="preserve">Kap. 414 Forliksråd og andre </w:t>
      </w:r>
      <w:proofErr w:type="spellStart"/>
      <w:r w:rsidRPr="006D40F0">
        <w:t>domsutgifter</w:t>
      </w:r>
      <w:proofErr w:type="spellEnd"/>
    </w:p>
    <w:p w14:paraId="0D8A8DE0" w14:textId="77777777" w:rsidR="00575AC3" w:rsidRPr="006D40F0" w:rsidRDefault="00575AC3" w:rsidP="006D40F0">
      <w:pPr>
        <w:pStyle w:val="b-post"/>
      </w:pPr>
      <w:r w:rsidRPr="006D40F0">
        <w:t>Post 01 Driftsutgifter</w:t>
      </w:r>
    </w:p>
    <w:p w14:paraId="17718D24" w14:textId="77777777" w:rsidR="00575AC3" w:rsidRPr="006D40F0" w:rsidRDefault="00575AC3" w:rsidP="006D40F0">
      <w:r w:rsidRPr="006D40F0">
        <w:t>Bevilgningen på posten dekker godtgjøring og tapt arbeidsfortjeneste til meddommere, enkelte sakkyndige, vitner m.m. og deres reiseutgifter. Videre dekker bevilgningen utgifter til tolker i sivile saker der partene har krav på tolk.</w:t>
      </w:r>
    </w:p>
    <w:p w14:paraId="7A404B7B" w14:textId="77777777" w:rsidR="00575AC3" w:rsidRPr="006D40F0" w:rsidRDefault="00575AC3" w:rsidP="006D40F0">
      <w:r w:rsidRPr="006D40F0">
        <w:t>Rettshjelpssatsen foreslås økt fra 1 215 til 1 265 kroner, jf. omtale under kap. 466, post 01.</w:t>
      </w:r>
    </w:p>
    <w:p w14:paraId="0F9CB0BD" w14:textId="77777777" w:rsidR="00575AC3" w:rsidRPr="006D40F0" w:rsidRDefault="00575AC3" w:rsidP="006D40F0">
      <w:r w:rsidRPr="006D40F0">
        <w:t>Det foreslås på denne bakgrunn å øke bevilgningen med 4,1 mill. kroner. Helårseffekten av tiltaket i 2025 er 8,2 mill. kroner.</w:t>
      </w:r>
    </w:p>
    <w:p w14:paraId="0934EA4D" w14:textId="77777777" w:rsidR="00575AC3" w:rsidRPr="006D40F0" w:rsidRDefault="00575AC3" w:rsidP="006D40F0">
      <w:pPr>
        <w:pStyle w:val="b-post"/>
      </w:pPr>
      <w:r w:rsidRPr="006D40F0">
        <w:t>Post 21 Spesielle driftsutgifter</w:t>
      </w:r>
    </w:p>
    <w:p w14:paraId="4E0D42D2" w14:textId="77777777" w:rsidR="00575AC3" w:rsidRPr="006D40F0" w:rsidRDefault="00575AC3" w:rsidP="006D40F0">
      <w:r w:rsidRPr="006D40F0">
        <w:t>Bevilgningen på posten dekker utgifter til godtgjøring til medlemmer av forliksrådene. Medlemmene i forliksrådene godtgjøres per sak med utgangspunkt i den til enhver tid gjeldende rettshjelpssats. Rettshjelpssatsen er foreslått økt fra 1 215 kroner til 1 265 kroner, jf. omtale under kap. 466, post 01. Det foreslås på denne bakgrunn å øke bevilgningen med 0,5 mill. kroner. Helårseffekten av tiltaket i 2025 er 1,0 mill. kroner.</w:t>
      </w:r>
    </w:p>
    <w:p w14:paraId="6DC94AA1" w14:textId="77777777" w:rsidR="00575AC3" w:rsidRPr="006D40F0" w:rsidRDefault="00575AC3" w:rsidP="006D40F0">
      <w:pPr>
        <w:pStyle w:val="b-budkaptit"/>
      </w:pPr>
      <w:r w:rsidRPr="006D40F0">
        <w:t>Kap. 430 Kriminalomsorgen</w:t>
      </w:r>
    </w:p>
    <w:p w14:paraId="5E40E23F" w14:textId="77777777" w:rsidR="00575AC3" w:rsidRPr="006D40F0" w:rsidRDefault="00575AC3" w:rsidP="006D40F0">
      <w:pPr>
        <w:pStyle w:val="b-post"/>
      </w:pPr>
      <w:r w:rsidRPr="006D40F0">
        <w:t>Post 01 Driftsutgifter, kan nyttes under kap. 431, post 1</w:t>
      </w:r>
    </w:p>
    <w:p w14:paraId="7A346A1E" w14:textId="77777777" w:rsidR="00575AC3" w:rsidRPr="006D40F0" w:rsidRDefault="00575AC3" w:rsidP="006D40F0">
      <w:pPr>
        <w:pStyle w:val="avsnitt-undertittel"/>
      </w:pPr>
      <w:r w:rsidRPr="006D40F0">
        <w:t>Forprosjekt for utvidelse av Ilseng fengsel som erstatning for Oslo fengsel</w:t>
      </w:r>
    </w:p>
    <w:p w14:paraId="47D7FBEE" w14:textId="77777777" w:rsidR="00575AC3" w:rsidRPr="006D40F0" w:rsidRDefault="00575AC3" w:rsidP="006D40F0">
      <w:r w:rsidRPr="006D40F0">
        <w:t xml:space="preserve">Regjeringen har konkludert med at det skal arbeides videre med å erstatte Oslo fengsel, gjennom å etablere høysikkerhetsplasser på de tre lokasjonene Ullersmo, Ilseng og Oslo (Grønland). </w:t>
      </w:r>
      <w:r w:rsidRPr="006D40F0">
        <w:lastRenderedPageBreak/>
        <w:t xml:space="preserve">Statsbygg har, i samarbeid med Kriminalomsorgsdirektoratet (KDI), fått i oppdrag å arbeide med et forprosjekt for utvidelse av Ilseng fengsel. Det foreslås å øke bevilgningen med 5 mill. kroner til dekning av </w:t>
      </w:r>
      <w:proofErr w:type="spellStart"/>
      <w:r w:rsidRPr="006D40F0">
        <w:t>KDIs</w:t>
      </w:r>
      <w:proofErr w:type="spellEnd"/>
      <w:r w:rsidRPr="006D40F0">
        <w:t xml:space="preserve"> utgifter til forprosjektarbeidet i 2024.</w:t>
      </w:r>
    </w:p>
    <w:p w14:paraId="43E8BD31" w14:textId="77777777" w:rsidR="00575AC3" w:rsidRPr="006D40F0" w:rsidRDefault="00575AC3" w:rsidP="006D40F0">
      <w:pPr>
        <w:pStyle w:val="avsnitt-undertittel"/>
      </w:pPr>
      <w:r w:rsidRPr="006D40F0">
        <w:t>Økt bevilgning til kriminalomsorgen og utredning av nytt kvinnefengsel</w:t>
      </w:r>
    </w:p>
    <w:p w14:paraId="52AED193" w14:textId="77777777" w:rsidR="00575AC3" w:rsidRPr="006D40F0" w:rsidRDefault="00575AC3" w:rsidP="006D40F0">
      <w:r w:rsidRPr="006D40F0">
        <w:t>Det har vært en krevende økonomisk situasjon i kriminalomsorgen de siste årene. For å bedre den økonomiske situasjonen, foreslår regjeringen 50 mill. kroner til kriminalomsorgen. Midlene skal blant annet dekke utgifter på om lag 10 mill. kroner til å gjennomføre en utredning for et nytt kvinnefengsel på Østlandet. Bredtveit fengsel og forvaringsanstalt stengte midlertidig 1. mars 2024 etter en brannteknisk gjennomgang som viser at opphold i bygget representerer en fare for liv og helse. Det er viktig å få etablert en langsiktig løsning for denne type soningsplasser for kvinner på Østlandet.</w:t>
      </w:r>
    </w:p>
    <w:p w14:paraId="17AAC6E7" w14:textId="77777777" w:rsidR="00575AC3" w:rsidRPr="006D40F0" w:rsidRDefault="00575AC3" w:rsidP="006D40F0">
      <w:r w:rsidRPr="006D40F0">
        <w:t>Ettersom Bredtveit fengsel og forvaringsanstalt er midlertidig stengt foreslår regjeringen at ubrukte midler som er bevilget til fengselet i 2023 og 2024, går til å bedre kvinners soningsforhold i stort.</w:t>
      </w:r>
    </w:p>
    <w:p w14:paraId="0D9D3EDF" w14:textId="77777777" w:rsidR="00575AC3" w:rsidRPr="006D40F0" w:rsidRDefault="00575AC3" w:rsidP="006D40F0">
      <w:pPr>
        <w:pStyle w:val="avsnitt-undertittel"/>
      </w:pPr>
      <w:r w:rsidRPr="006D40F0">
        <w:t>Oppsummering</w:t>
      </w:r>
    </w:p>
    <w:p w14:paraId="6481B844" w14:textId="77777777" w:rsidR="00575AC3" w:rsidRPr="006D40F0" w:rsidRDefault="00575AC3" w:rsidP="006D40F0">
      <w:r w:rsidRPr="006D40F0">
        <w:t>Det foreslås samlet å øke bevilgningen under kap. 430, post 01 med 55 mill. kroner.</w:t>
      </w:r>
    </w:p>
    <w:p w14:paraId="5F86FEF0" w14:textId="77777777" w:rsidR="00575AC3" w:rsidRPr="006D40F0" w:rsidRDefault="00575AC3" w:rsidP="006D40F0">
      <w:pPr>
        <w:pStyle w:val="b-budkaptit"/>
      </w:pPr>
      <w:r w:rsidRPr="006D40F0">
        <w:t>Kap. 432 Kriminalomsorgens høgskole og utdanningssenter</w:t>
      </w:r>
    </w:p>
    <w:p w14:paraId="58EF2F27" w14:textId="77777777" w:rsidR="00575AC3" w:rsidRPr="006D40F0" w:rsidRDefault="00575AC3" w:rsidP="006D40F0">
      <w:pPr>
        <w:pStyle w:val="b-post"/>
      </w:pPr>
      <w:r w:rsidRPr="006D40F0">
        <w:t>Post 01 Driftsutgifter</w:t>
      </w:r>
    </w:p>
    <w:p w14:paraId="6AF0CF92" w14:textId="77777777" w:rsidR="00575AC3" w:rsidRPr="006D40F0" w:rsidRDefault="00575AC3" w:rsidP="006D40F0">
      <w:r w:rsidRPr="006D40F0">
        <w:t>Kap. 3430, post 04 omfatter tilskudd til deltakelse i internasjonalt fengselssamarbeid og inntekter fra prosjekter kriminalomsorgen gjennomfører i samarbeid med internasjonale organisasjoner eller andre land. Justis- og beredskapsdepartementet har i 2024 fullmakt til å overskride bevilgningene på kap. 430, post 01, og kap. 431, post 01 mot tilsvarende merinntekter på kap. 3430, post 04, jf. Prop. 1 S (2023–2024).</w:t>
      </w:r>
    </w:p>
    <w:p w14:paraId="3357FD2A" w14:textId="77777777" w:rsidR="00575AC3" w:rsidRPr="006D40F0" w:rsidRDefault="00575AC3" w:rsidP="006D40F0">
      <w:r w:rsidRPr="006D40F0">
        <w:t>Kriminalomsorgens høgskole og utdanningssenter (KRUS) (kap. 432, post 01) deltar også i, og har utgifter til, disse internasjonale prosjektene. Gjeldende merinntektsfullmakt gjelder imidlertid ikke kap. 432, post 01. Det foreslås at også kap. 432, post 01 tilføyes i eksisterende merinntektsfullmakt, jf. forslag til romertallsvedtak.</w:t>
      </w:r>
    </w:p>
    <w:p w14:paraId="5198081A" w14:textId="77777777" w:rsidR="00575AC3" w:rsidRPr="006D40F0" w:rsidRDefault="00575AC3" w:rsidP="006D40F0">
      <w:pPr>
        <w:pStyle w:val="b-budkaptit"/>
      </w:pPr>
      <w:r w:rsidRPr="006D40F0">
        <w:t>Kap. 440 Politiet</w:t>
      </w:r>
    </w:p>
    <w:p w14:paraId="507BB119" w14:textId="77777777" w:rsidR="00575AC3" w:rsidRPr="006D40F0" w:rsidRDefault="00575AC3" w:rsidP="006D40F0">
      <w:pPr>
        <w:pStyle w:val="b-post"/>
      </w:pPr>
      <w:r w:rsidRPr="006D40F0">
        <w:t>Post 01 Driftsutgifter, kan nyttes under kap. 441, post 1 og kap. 443, post 1</w:t>
      </w:r>
    </w:p>
    <w:p w14:paraId="3445FC40" w14:textId="77777777" w:rsidR="00575AC3" w:rsidRPr="006D40F0" w:rsidRDefault="00575AC3" w:rsidP="006D40F0">
      <w:pPr>
        <w:pStyle w:val="avsnitt-undertittel"/>
      </w:pPr>
      <w:r w:rsidRPr="006D40F0">
        <w:t>Økt bevilgning til politiets driftsbudsjett – trygghet i Norge og innsats mot organisert kriminalitet, kriminelle gjenger og kriminelle nettverk</w:t>
      </w:r>
    </w:p>
    <w:p w14:paraId="7BEAF9DD" w14:textId="77777777" w:rsidR="00575AC3" w:rsidRPr="006D40F0" w:rsidRDefault="00575AC3" w:rsidP="006D40F0">
      <w:r w:rsidRPr="006D40F0">
        <w:t xml:space="preserve">Regjeringen mener </w:t>
      </w:r>
      <w:proofErr w:type="gramStart"/>
      <w:r w:rsidRPr="006D40F0">
        <w:t>trygghet</w:t>
      </w:r>
      <w:proofErr w:type="gramEnd"/>
      <w:r w:rsidRPr="006D40F0">
        <w:t xml:space="preserve"> og beredskap er viktig for å trygge Norge og foreslår derfor en økt bevilgning til politiet på til sammen 1 635 mill. kroner i 2024. Sammen med forslag om 115 mill. kroner til politiets registreringskapasitet (se omtale under) og 150 mill. kroner til Politiets </w:t>
      </w:r>
      <w:r w:rsidRPr="006D40F0">
        <w:lastRenderedPageBreak/>
        <w:t>sikkerhetstjeneste (PST, se omtale under kap. 444, post 01), innebærer dette at driftsbudsjettene til politiet og PST foreslås økt med totalt 1,9 mrd. kroner.</w:t>
      </w:r>
    </w:p>
    <w:p w14:paraId="00809298" w14:textId="77777777" w:rsidR="00575AC3" w:rsidRPr="006D40F0" w:rsidRDefault="00575AC3" w:rsidP="006D40F0">
      <w:r w:rsidRPr="006D40F0">
        <w:t xml:space="preserve">Regjeringen er opptatt av at politiet skal ha de rammebetingelsene som er nødvendig for å løse hele sitt samfunnsoppdrag og være til stede i lokalsamfunn i hele landet. Regjeringen ønsker derfor å styrke politiets driftsbudsjett. Samtidig vil regjeringen igangsette et arbeid for å forbedre etatsstyringen av og virksomhetsstyringen i politiet, se også omtale av den gjennomførte områdegjennomgangen av økonomistyringen i politiet under </w:t>
      </w:r>
      <w:r w:rsidRPr="00575AC3">
        <w:rPr>
          <w:rStyle w:val="kursiv"/>
        </w:rPr>
        <w:t>Andre saker</w:t>
      </w:r>
      <w:r w:rsidRPr="006D40F0">
        <w:t>.</w:t>
      </w:r>
    </w:p>
    <w:p w14:paraId="5F8475B5" w14:textId="77777777" w:rsidR="00575AC3" w:rsidRPr="006D40F0" w:rsidRDefault="00575AC3" w:rsidP="006D40F0">
      <w:r w:rsidRPr="006D40F0">
        <w:t>Som varslet i supplerende tildelingsbrev nr. 2 til politiet av 14. februar 2024 foreslår regjeringen å øke bevilgningen til politiet med 635 mill. kroner for å opprettholde drift og det nasjonale bemanningsnivået på ansatte i politistillinger per 31. desember 2023, som en varig økning. I tillegg foreslås en økt bevilgning på 1 000 mill. kroner for å bidra til styrket grunnfinansiering av politiets virksomhet og øke innsatsen mot organisert kriminalitet, kriminelle gjenger og kriminelle nettverk, blant annet gjennom økt bemanning. Samlet helårseffekt av denne satsingen er 1 735 mill. kroner.</w:t>
      </w:r>
    </w:p>
    <w:p w14:paraId="77A48C33" w14:textId="77777777" w:rsidR="00575AC3" w:rsidRPr="006D40F0" w:rsidRDefault="00575AC3" w:rsidP="006D40F0">
      <w:r w:rsidRPr="006D40F0">
        <w:t>Som en del av den samlede satsingen foreslår regjeringen å øke innsatsen mot organisert kriminalitet, kriminelle gjenger og kriminelle nettverk med 300 mill. kroner i 2024. Dette tiltaket har en helårseffekt på 600 mill. kroner fra 2025. Politiet har gjennom en nasjonal operasjon mot kriminelle nettverk fått et langt bedre situasjonsbilde når det gjelder kriminalitetsutfordringene. Per i dag er det identifisert omtrent 100 kriminelle nettverk og 1 200 personer i Norge som er knyttet til et nettverk.</w:t>
      </w:r>
    </w:p>
    <w:p w14:paraId="7EA377F6" w14:textId="77777777" w:rsidR="00575AC3" w:rsidRPr="006D40F0" w:rsidRDefault="00575AC3" w:rsidP="006D40F0">
      <w:r w:rsidRPr="006D40F0">
        <w:t>Regjeringen vil styrke innsatsen for å bekjempe de kriminelle nettverkenes evne og mulighet til å få fotfeste, og forhindre en tilsvarende negativ utvikling som man erfarer i flere europeiske land. Innsatsen skal styrkes blant annet gjennom økt forebygging, tilstedeværelse og beredskap i prioriterte områder og økt evne til å bekjempe organisert kriminalitet nasjonalt. Forslaget innebærer en betydelig styrking av området, i politidistrikter og særorgan, med en satsing på etterretning, etterforskning og inndragning av utbytte.</w:t>
      </w:r>
    </w:p>
    <w:p w14:paraId="603E06E3" w14:textId="77777777" w:rsidR="00575AC3" w:rsidRPr="006D40F0" w:rsidRDefault="00575AC3" w:rsidP="006D40F0">
      <w:r w:rsidRPr="006D40F0">
        <w:t>For å lykkes i kampen om å bekjempe kriminalitet er det også nødvendig å styrke grunnfinansieringen av politiets virksomhet og sette politiet i stand til å dekke sine utgifter knyttet blant annet til investeringer i politioperative verktøy og teknologi.</w:t>
      </w:r>
    </w:p>
    <w:p w14:paraId="469B094F" w14:textId="77777777" w:rsidR="00575AC3" w:rsidRPr="006D40F0" w:rsidRDefault="00575AC3" w:rsidP="006D40F0">
      <w:r w:rsidRPr="006D40F0">
        <w:t>Den økte bevilgningen bidrar til at politiet kan dekke sine utgifter til sikker og stabil drift av politiets IT-systemer, eiendom, samt investering og bruk av nødvendig utstyr for å sikre godt politioperativt arbeid, herunder spesialutstyr som skarpskytter- og støttevåpen, skuddbeskyttende kjøretøy, tekniske løsninger som kroppskamera og droner mv. Bevilgningen legger videre til rette for at politiet kan dekke sine utgifter knyttet til de nasjonale bistandsressursene ved Politiets nasjonale beredskapssenter.</w:t>
      </w:r>
    </w:p>
    <w:p w14:paraId="44C0E32E" w14:textId="77777777" w:rsidR="00575AC3" w:rsidRPr="006D40F0" w:rsidRDefault="00575AC3" w:rsidP="006D40F0">
      <w:r w:rsidRPr="006D40F0">
        <w:t>Regjeringen foreslår at 10 mill. kroner av bevilgningen skal benyttes til to ekspertgrupper for barn og unge som begår gjentatt og alvorlig kriminalitet.</w:t>
      </w:r>
    </w:p>
    <w:p w14:paraId="36D8407E" w14:textId="77777777" w:rsidR="00575AC3" w:rsidRPr="006D40F0" w:rsidRDefault="00575AC3" w:rsidP="006D40F0">
      <w:r w:rsidRPr="006D40F0">
        <w:t>Regjeringen vil legge til rette for bedre beskyttelse av voldsutsatte kvinner, som en del av opptrappingsplanen mot vold og overgrep mot barn og vold i nære relasjoner. Bevilgningen skal bidra til at politiet i større grad kan følge opp bruken av omvendt voldsalarm (besøksforbud med elektronisk kontroll) i lys av nye lovhjemler som trådte i kraft 8. april 2024.</w:t>
      </w:r>
    </w:p>
    <w:p w14:paraId="212EE104" w14:textId="77777777" w:rsidR="00575AC3" w:rsidRPr="006D40F0" w:rsidRDefault="00575AC3" w:rsidP="006D40F0">
      <w:r w:rsidRPr="006D40F0">
        <w:lastRenderedPageBreak/>
        <w:t>På denne bakgrunn foreslås det å øke kap. 440, post 01 med 1 635 mill. kroner.</w:t>
      </w:r>
    </w:p>
    <w:p w14:paraId="1E7B159F" w14:textId="77777777" w:rsidR="00575AC3" w:rsidRPr="006D40F0" w:rsidRDefault="00575AC3" w:rsidP="006D40F0">
      <w:pPr>
        <w:pStyle w:val="avsnitt-undertittel"/>
      </w:pPr>
      <w:r w:rsidRPr="006D40F0">
        <w:t>Pass og ID-kort</w:t>
      </w:r>
    </w:p>
    <w:p w14:paraId="72F92CF5" w14:textId="77777777" w:rsidR="00575AC3" w:rsidRPr="006D40F0" w:rsidRDefault="00575AC3" w:rsidP="006D40F0">
      <w:r w:rsidRPr="006D40F0">
        <w:t>Politiets utgifter knyttet til pass og ID-kort føres på posten. Det foreslås at årsverkene og alle tilhørende kostnader knyttet til gebyrmodellen for pass og ID-kort samordnes på kap. 440, post 01. På denne bakgrunn foreslås det å øke bevilgningen på posten med 8,6 mill. kroner, mot en tilsvarende reduksjon på kap. 441, post 01.</w:t>
      </w:r>
    </w:p>
    <w:p w14:paraId="5C3E95AF" w14:textId="77777777" w:rsidR="00575AC3" w:rsidRPr="006D40F0" w:rsidRDefault="00575AC3" w:rsidP="006D40F0">
      <w:pPr>
        <w:pStyle w:val="avsnitt-undertittel"/>
      </w:pPr>
      <w:r w:rsidRPr="006D40F0">
        <w:t>Håndtering av asylankomster</w:t>
      </w:r>
    </w:p>
    <w:p w14:paraId="68013CF4" w14:textId="77777777" w:rsidR="00575AC3" w:rsidRPr="006D40F0" w:rsidRDefault="00575AC3" w:rsidP="006D40F0">
      <w:r w:rsidRPr="006D40F0">
        <w:t>Det foreslås å øke bevilgningen til registreringskapasitet i politiet for å håndtere høye ankomster fra Ukraina. På denne bakgrunn foreslås det å øke bevilgningen på posten med 114,9 mill. kroner.</w:t>
      </w:r>
    </w:p>
    <w:p w14:paraId="128C4971" w14:textId="77777777" w:rsidR="00575AC3" w:rsidRPr="006D40F0" w:rsidRDefault="00575AC3" w:rsidP="006D40F0">
      <w:pPr>
        <w:pStyle w:val="avsnitt-undertittel"/>
      </w:pPr>
      <w:r w:rsidRPr="006D40F0">
        <w:t>Utdanningstilbud ved Politihøgskolen – flytting av en stilling</w:t>
      </w:r>
    </w:p>
    <w:p w14:paraId="2AEA1DA3" w14:textId="77777777" w:rsidR="00575AC3" w:rsidRPr="006D40F0" w:rsidRDefault="00575AC3" w:rsidP="006D40F0">
      <w:r w:rsidRPr="006D40F0">
        <w:t>For å sikre kontinuitet til et utdanningsløp om krisehåndtering, foreslås det å redusere bevilgningen på posten med 735 000 kroner, mot en tilsvarende økning på kap. 442, post 01.</w:t>
      </w:r>
    </w:p>
    <w:p w14:paraId="727FC8C8" w14:textId="77777777" w:rsidR="00575AC3" w:rsidRPr="006D40F0" w:rsidRDefault="00575AC3" w:rsidP="006D40F0">
      <w:pPr>
        <w:pStyle w:val="avsnitt-undertittel"/>
      </w:pPr>
      <w:r w:rsidRPr="006D40F0">
        <w:t xml:space="preserve">Innføring av inn- og utreisesystem – </w:t>
      </w:r>
      <w:proofErr w:type="spellStart"/>
      <w:r w:rsidRPr="006D40F0">
        <w:t>køreduserende</w:t>
      </w:r>
      <w:proofErr w:type="spellEnd"/>
      <w:r w:rsidRPr="006D40F0">
        <w:t xml:space="preserve"> tiltak</w:t>
      </w:r>
    </w:p>
    <w:p w14:paraId="2B46A74E" w14:textId="77777777" w:rsidR="00575AC3" w:rsidRPr="006D40F0" w:rsidRDefault="00575AC3" w:rsidP="006D40F0">
      <w:r w:rsidRPr="006D40F0">
        <w:t xml:space="preserve">Inn- og utreisesystemet </w:t>
      </w:r>
      <w:proofErr w:type="spellStart"/>
      <w:r w:rsidRPr="006D40F0">
        <w:t>Entry</w:t>
      </w:r>
      <w:proofErr w:type="spellEnd"/>
      <w:r w:rsidRPr="006D40F0">
        <w:t>/Exit System er planlagt innført i fjerde kvartal 2024. Systemet gir økt kvalitet i grensekontrollen, men gjør også at kontroll av reisende tar noe lengre tid. Det vil derfor iverksettes tiltak som bidrar til å redusere køene som kan oppstå i grensekontrollen. Tiltakene iverksettes ved Avinor AS sine lufthavner som har flygninger til og fra land utenfor Schengen-området, og finansieres ved en økning i passasjeravgiften, og Avinor AS vil bli fakturert for kostnadene i 2024. På denne bakgrunn foreslås det å øke bevilgningen på posten med 30 mill. kroner, jf. tilsvarende økning på kap. 3440, post 02.</w:t>
      </w:r>
    </w:p>
    <w:p w14:paraId="508D1E8C" w14:textId="77777777" w:rsidR="00575AC3" w:rsidRPr="006D40F0" w:rsidRDefault="00575AC3" w:rsidP="006D40F0">
      <w:pPr>
        <w:pStyle w:val="avsnitt-undertittel"/>
      </w:pPr>
      <w:r w:rsidRPr="006D40F0">
        <w:t>Retting av feil</w:t>
      </w:r>
    </w:p>
    <w:p w14:paraId="50D9B813" w14:textId="77777777" w:rsidR="00575AC3" w:rsidRPr="006D40F0" w:rsidRDefault="00575AC3" w:rsidP="006D40F0">
      <w:r w:rsidRPr="006D40F0">
        <w:t>Det foreslås å redusere bevilgningen på kap. 440, post 01 med 5 mill. kroner mot en tilsvarende økning av bevilgningen på kap. 400, post 01. Bakgrunnen er at utgifter som er belastet kap. 400, blant annet knyttet til utvalgsarbeid, skulle vært belastet kap. 440, post 01.</w:t>
      </w:r>
    </w:p>
    <w:p w14:paraId="4B779B3A" w14:textId="77777777" w:rsidR="00575AC3" w:rsidRPr="006D40F0" w:rsidRDefault="00575AC3" w:rsidP="006D40F0">
      <w:pPr>
        <w:pStyle w:val="avsnitt-undertittel"/>
      </w:pPr>
      <w:r w:rsidRPr="006D40F0">
        <w:t>Oppsummering</w:t>
      </w:r>
    </w:p>
    <w:p w14:paraId="468AD03E" w14:textId="77777777" w:rsidR="00575AC3" w:rsidRPr="006D40F0" w:rsidRDefault="00575AC3" w:rsidP="006D40F0">
      <w:r w:rsidRPr="006D40F0">
        <w:t>Samlet foreslås det å øke bevilgningen på kap. 440, post 01 med 1 782,8 mill. kroner.</w:t>
      </w:r>
    </w:p>
    <w:p w14:paraId="5663C200" w14:textId="77777777" w:rsidR="00575AC3" w:rsidRPr="006D40F0" w:rsidRDefault="00575AC3" w:rsidP="006D40F0">
      <w:pPr>
        <w:pStyle w:val="b-post"/>
      </w:pPr>
      <w:r w:rsidRPr="006D40F0">
        <w:t>Post 25 Variable utgifter ved ankomst, mottak og retur i politiets utlendingsforvaltning</w:t>
      </w:r>
    </w:p>
    <w:p w14:paraId="4C164DEB" w14:textId="77777777" w:rsidR="00575AC3" w:rsidRPr="006D40F0" w:rsidRDefault="00575AC3" w:rsidP="006D40F0">
      <w:r w:rsidRPr="006D40F0">
        <w:t>I 2024 er det anslått om lag 30 000 ankomster fra Ukraina, en økning på 10 000 sammenlignet med prognosen som ligger til grunn for bevilgningen. Anslaget er svært usikkert. Høyere ankomster fører til merutgifter til tolking, forpleining, transport, overtid og andre variable driftskostnader knyttet til registrering av asylankomster.</w:t>
      </w:r>
    </w:p>
    <w:p w14:paraId="0EB81AFF" w14:textId="77777777" w:rsidR="00575AC3" w:rsidRPr="006D40F0" w:rsidRDefault="00575AC3" w:rsidP="006D40F0">
      <w:r w:rsidRPr="006D40F0">
        <w:t>Det foreslås på denne bakgrunn å øke bevilgningen på posten med 40,8 mill. kroner.</w:t>
      </w:r>
    </w:p>
    <w:p w14:paraId="47F06E52" w14:textId="77777777" w:rsidR="00575AC3" w:rsidRPr="006D40F0" w:rsidRDefault="00575AC3" w:rsidP="006D40F0">
      <w:pPr>
        <w:pStyle w:val="b-post"/>
      </w:pPr>
      <w:r w:rsidRPr="006D40F0">
        <w:lastRenderedPageBreak/>
        <w:t>Post 45 Større utstyrsanskaffelser og vedlikehold, kan overføres</w:t>
      </w:r>
    </w:p>
    <w:p w14:paraId="6DC516C7" w14:textId="77777777" w:rsidR="00575AC3" w:rsidRPr="006D40F0" w:rsidRDefault="00575AC3" w:rsidP="006D40F0">
      <w:r w:rsidRPr="006D40F0">
        <w:t>Ny leveranseplan for prosjektet Fremtidens innkreving medfører endringer i periodiseringen av tildelingen. For 2024 er det ventet utgifter tilsvarende 11 mill. kroner. Det foreslås på denne bakgrunn å øke bevilgningen på posten med 11 mill. kroner.</w:t>
      </w:r>
    </w:p>
    <w:p w14:paraId="3D07CC13" w14:textId="77777777" w:rsidR="00575AC3" w:rsidRPr="006D40F0" w:rsidRDefault="00575AC3" w:rsidP="006D40F0">
      <w:pPr>
        <w:pStyle w:val="b-post"/>
      </w:pPr>
      <w:r w:rsidRPr="006D40F0">
        <w:t>Post 46 Investeringer i Schengen IT-systemer, kan overføres</w:t>
      </w:r>
    </w:p>
    <w:p w14:paraId="6F2CD170" w14:textId="77777777" w:rsidR="00575AC3" w:rsidRPr="006D40F0" w:rsidRDefault="00575AC3" w:rsidP="006D40F0">
      <w:pPr>
        <w:pStyle w:val="avsnitt-undertittel"/>
      </w:pPr>
      <w:r w:rsidRPr="006D40F0">
        <w:t>Schengen IT- forsinkelser i EU – endret periodisering</w:t>
      </w:r>
    </w:p>
    <w:p w14:paraId="256B9C0B" w14:textId="77777777" w:rsidR="00575AC3" w:rsidRPr="006D40F0" w:rsidRDefault="00575AC3" w:rsidP="006D40F0">
      <w:r w:rsidRPr="006D40F0">
        <w:t xml:space="preserve">Forsinkelser i EU fører til at det forventes kostnadsforskyvning knyttet til prosjektene Schengen informasjonssystem (SIS), Interoperabilitet (IO) og Visuminformasjonssystemet (VIS) og </w:t>
      </w:r>
      <w:proofErr w:type="spellStart"/>
      <w:r w:rsidRPr="006D40F0">
        <w:t>Eurodac</w:t>
      </w:r>
      <w:proofErr w:type="spellEnd"/>
      <w:r w:rsidRPr="006D40F0">
        <w:t xml:space="preserve"> (European </w:t>
      </w:r>
      <w:proofErr w:type="spellStart"/>
      <w:r w:rsidRPr="006D40F0">
        <w:t>Asylum</w:t>
      </w:r>
      <w:proofErr w:type="spellEnd"/>
      <w:r w:rsidRPr="006D40F0">
        <w:t xml:space="preserve"> </w:t>
      </w:r>
      <w:proofErr w:type="spellStart"/>
      <w:r w:rsidRPr="006D40F0">
        <w:t>Dactyloscopy</w:t>
      </w:r>
      <w:proofErr w:type="spellEnd"/>
      <w:r w:rsidRPr="006D40F0">
        <w:t>) i 2024. Det foreslås på denne bakgrunn å redusere bevilgningen på posten med 91,3 mill. kroner mot tilsvarende økning senere år.</w:t>
      </w:r>
    </w:p>
    <w:p w14:paraId="2C4E0A45" w14:textId="77777777" w:rsidR="00575AC3" w:rsidRPr="006D40F0" w:rsidRDefault="00575AC3" w:rsidP="006D40F0">
      <w:r w:rsidRPr="006D40F0">
        <w:t>Forsinkelser gjør også at midler som skal benyttes til tilrettelegging av SIS for kystvakten og redningstjenesten må flyttes fra 2024 til 2025. Det foreslås på denne bakgrunn å redusere bevilgningen på posten med 8 mill. kroner, mot en tilsvarende oppjustering i 2025.</w:t>
      </w:r>
    </w:p>
    <w:p w14:paraId="48ECBC5A" w14:textId="77777777" w:rsidR="00575AC3" w:rsidRPr="006D40F0" w:rsidRDefault="00575AC3" w:rsidP="006D40F0">
      <w:r w:rsidRPr="006D40F0">
        <w:t>Samlet foreslås det å redusere bevilgningen på kap. 440, post 46 med 99,3 mill. kroner.</w:t>
      </w:r>
    </w:p>
    <w:p w14:paraId="3D02A6E1" w14:textId="77777777" w:rsidR="00575AC3" w:rsidRPr="006D40F0" w:rsidRDefault="00575AC3" w:rsidP="006D40F0">
      <w:pPr>
        <w:pStyle w:val="b-post"/>
      </w:pPr>
      <w:r w:rsidRPr="006D40F0">
        <w:t>Post 48 Tildeling fra EUs grense- og visumfinansieringsordninger, kan overføres</w:t>
      </w:r>
    </w:p>
    <w:p w14:paraId="29C8EBF1" w14:textId="77777777" w:rsidR="00575AC3" w:rsidRPr="006D40F0" w:rsidRDefault="00575AC3" w:rsidP="006D40F0">
      <w:r w:rsidRPr="006D40F0">
        <w:t xml:space="preserve">Det er gjort justeringer i BMVI-tildelingen på møte i BMVI-komiteen som samlet fører til en reduksjon på 45,1 mill. kroner i 2024. Endringene gjelder tildelingen til </w:t>
      </w:r>
      <w:r w:rsidRPr="00575AC3">
        <w:rPr>
          <w:rStyle w:val="kursiv"/>
        </w:rPr>
        <w:t>Interoperabilitet</w:t>
      </w:r>
      <w:r w:rsidRPr="006D40F0">
        <w:t xml:space="preserve"> (-11, 7 mill. kroner) og tildelingen til </w:t>
      </w:r>
      <w:proofErr w:type="spellStart"/>
      <w:r w:rsidRPr="00575AC3">
        <w:rPr>
          <w:rStyle w:val="kursiv"/>
        </w:rPr>
        <w:t>Specific</w:t>
      </w:r>
      <w:proofErr w:type="spellEnd"/>
      <w:r w:rsidRPr="00575AC3">
        <w:rPr>
          <w:rStyle w:val="kursiv"/>
        </w:rPr>
        <w:t xml:space="preserve"> Action </w:t>
      </w:r>
      <w:proofErr w:type="spellStart"/>
      <w:r w:rsidRPr="00575AC3">
        <w:rPr>
          <w:rStyle w:val="kursiv"/>
        </w:rPr>
        <w:t>Interoperability</w:t>
      </w:r>
      <w:proofErr w:type="spellEnd"/>
      <w:r w:rsidRPr="006D40F0">
        <w:t xml:space="preserve"> (-33,8 mill. kroner).</w:t>
      </w:r>
    </w:p>
    <w:p w14:paraId="1C104D1A" w14:textId="77777777" w:rsidR="00575AC3" w:rsidRPr="006D40F0" w:rsidRDefault="00575AC3" w:rsidP="006D40F0">
      <w:r w:rsidRPr="006D40F0">
        <w:t>På bakgrunn av regnskapstall foreslås det å redusere bevilgningen på posten med 45,1 mill. kroner.</w:t>
      </w:r>
    </w:p>
    <w:p w14:paraId="386A9C0A" w14:textId="77777777" w:rsidR="00575AC3" w:rsidRPr="006D40F0" w:rsidRDefault="00575AC3" w:rsidP="006D40F0">
      <w:pPr>
        <w:pStyle w:val="b-budkaptit"/>
      </w:pPr>
      <w:r w:rsidRPr="006D40F0">
        <w:t>Kap. 3440 Politiet</w:t>
      </w:r>
    </w:p>
    <w:p w14:paraId="6CF0EAF2" w14:textId="77777777" w:rsidR="00575AC3" w:rsidRPr="006D40F0" w:rsidRDefault="00575AC3" w:rsidP="006D40F0">
      <w:pPr>
        <w:pStyle w:val="b-post"/>
      </w:pPr>
      <w:r w:rsidRPr="006D40F0">
        <w:t>Post 02 Refusjoner mv.</w:t>
      </w:r>
    </w:p>
    <w:p w14:paraId="71723268" w14:textId="77777777" w:rsidR="00575AC3" w:rsidRPr="006D40F0" w:rsidRDefault="00575AC3" w:rsidP="006D40F0">
      <w:r w:rsidRPr="006D40F0">
        <w:t xml:space="preserve">Det vises til omtale under kap. 440, post 01. </w:t>
      </w:r>
      <w:proofErr w:type="spellStart"/>
      <w:r w:rsidRPr="006D40F0">
        <w:t>Køreduserende</w:t>
      </w:r>
      <w:proofErr w:type="spellEnd"/>
      <w:r w:rsidRPr="006D40F0">
        <w:t xml:space="preserve"> tiltak gir økte refusjoner, og det foreslås derfor å øke bevilgningen på posten med 30 mill. kroner.</w:t>
      </w:r>
    </w:p>
    <w:p w14:paraId="4504C095" w14:textId="77777777" w:rsidR="00575AC3" w:rsidRPr="006D40F0" w:rsidRDefault="00575AC3" w:rsidP="006D40F0">
      <w:pPr>
        <w:pStyle w:val="b-post"/>
      </w:pPr>
      <w:r w:rsidRPr="006D40F0">
        <w:t>Post 06 Gebyr –utlendingssaker</w:t>
      </w:r>
    </w:p>
    <w:p w14:paraId="625CF742" w14:textId="77777777" w:rsidR="00575AC3" w:rsidRPr="006D40F0" w:rsidRDefault="00575AC3" w:rsidP="006D40F0">
      <w:r w:rsidRPr="006D40F0">
        <w:t>Oppdaterte prognoser tilsier at gebyrinntektene for utlendingssaker blir høyere enn lagt til grunn i saldert budsjett 2024. Økningen skyldes i hovedsak økte gebyrsatser i flere sakstyper, blant annet i søknader om familieinnvandring og søknad om fornyelse av reisedokument.</w:t>
      </w:r>
    </w:p>
    <w:p w14:paraId="238684BB" w14:textId="77777777" w:rsidR="00575AC3" w:rsidRPr="006D40F0" w:rsidRDefault="00575AC3" w:rsidP="006D40F0">
      <w:r w:rsidRPr="006D40F0">
        <w:t>Det foreslås på denne bakgrunn å øke bevilgningen på posten med 45,8 mill. kroner.</w:t>
      </w:r>
    </w:p>
    <w:p w14:paraId="7A9EC708" w14:textId="77777777" w:rsidR="00575AC3" w:rsidRPr="006D40F0" w:rsidRDefault="00575AC3" w:rsidP="006D40F0">
      <w:pPr>
        <w:pStyle w:val="b-post"/>
      </w:pPr>
      <w:r w:rsidRPr="006D40F0">
        <w:lastRenderedPageBreak/>
        <w:t>Post 07 Gebyr – sivile gjøremål</w:t>
      </w:r>
    </w:p>
    <w:p w14:paraId="38467A96" w14:textId="77777777" w:rsidR="00575AC3" w:rsidRPr="006D40F0" w:rsidRDefault="00575AC3" w:rsidP="006D40F0">
      <w:r w:rsidRPr="006D40F0">
        <w:t>Bevilgningen på posten dekker gebyrinntekter i forbindelse med den sivile rettspleie på grunnplanet, det vil si gebyr fra tvangsforretninger og forliksrådsbehandling. Det forventes mindre gebyrinntekter enn det som ble lagt til grunn i saldert budsjett, blant annet på grunn av endringer som er foreslått i rettsgebyrloven, jf. Prop. 80 L (2023–2024).</w:t>
      </w:r>
    </w:p>
    <w:p w14:paraId="02D9AFED" w14:textId="77777777" w:rsidR="00575AC3" w:rsidRPr="006D40F0" w:rsidRDefault="00575AC3" w:rsidP="006D40F0">
      <w:r w:rsidRPr="006D40F0">
        <w:t>Det foreslås å redusere bevilgningen på kap. 3440, post 07 med 14,3 mill. kroner.</w:t>
      </w:r>
    </w:p>
    <w:p w14:paraId="743ECBFF" w14:textId="77777777" w:rsidR="00575AC3" w:rsidRPr="006D40F0" w:rsidRDefault="00575AC3" w:rsidP="006D40F0">
      <w:pPr>
        <w:pStyle w:val="b-budkaptit"/>
      </w:pPr>
      <w:r w:rsidRPr="006D40F0">
        <w:t>Kap. 441 Politidirektoratet</w:t>
      </w:r>
    </w:p>
    <w:p w14:paraId="2824D89F" w14:textId="77777777" w:rsidR="00575AC3" w:rsidRPr="006D40F0" w:rsidRDefault="00575AC3" w:rsidP="006D40F0">
      <w:pPr>
        <w:pStyle w:val="b-post"/>
      </w:pPr>
      <w:r w:rsidRPr="006D40F0">
        <w:t>Post 01 Driftsutgifter, kan nyttes under kap. 440, post 1</w:t>
      </w:r>
    </w:p>
    <w:p w14:paraId="28971438" w14:textId="77777777" w:rsidR="00575AC3" w:rsidRPr="006D40F0" w:rsidRDefault="00575AC3" w:rsidP="006D40F0">
      <w:r w:rsidRPr="006D40F0">
        <w:t>Politiets utgifter til pass og ID-kort føres på kap. 440, post 01. Det foreslås at årsverkene og alle tilhørende kostnader knyttet til gebyrmodellen for pass og ID-kort samordnes på kap. 440, post 01. På denne bakgrunn foreslås det å redusere bevilgningen på posten med 8,6 mill. kroner, mot en tilsvarende økning på kap. 440, post 01.</w:t>
      </w:r>
    </w:p>
    <w:p w14:paraId="46EF749F" w14:textId="77777777" w:rsidR="00575AC3" w:rsidRPr="006D40F0" w:rsidRDefault="00575AC3" w:rsidP="006D40F0">
      <w:pPr>
        <w:pStyle w:val="b-budkaptit"/>
      </w:pPr>
      <w:r w:rsidRPr="006D40F0">
        <w:t>Kap. 442 Politihøgskolen</w:t>
      </w:r>
    </w:p>
    <w:p w14:paraId="6B59CE27" w14:textId="77777777" w:rsidR="00575AC3" w:rsidRPr="006D40F0" w:rsidRDefault="00575AC3" w:rsidP="006D40F0">
      <w:pPr>
        <w:pStyle w:val="b-post"/>
      </w:pPr>
      <w:r w:rsidRPr="006D40F0">
        <w:t>Post 01 Driftsutgifter</w:t>
      </w:r>
    </w:p>
    <w:p w14:paraId="6F469890" w14:textId="77777777" w:rsidR="00575AC3" w:rsidRPr="006D40F0" w:rsidRDefault="00575AC3" w:rsidP="006D40F0">
      <w:r w:rsidRPr="006D40F0">
        <w:t>Det vises til omtale under kap. 440, post 01. Politihøgskolen har et utdanningsløp om krisehåndtering. På denne bakgrunn foreslås det å øke bevilgningen på posten med 735 000 kroner, mot en tilsvarende reduksjon på kap. 440, post 01.</w:t>
      </w:r>
    </w:p>
    <w:p w14:paraId="0257C9D2" w14:textId="77777777" w:rsidR="00575AC3" w:rsidRPr="006D40F0" w:rsidRDefault="00575AC3" w:rsidP="006D40F0">
      <w:pPr>
        <w:pStyle w:val="b-budkaptit"/>
      </w:pPr>
      <w:r w:rsidRPr="006D40F0">
        <w:t>Kap. 444 Politiets sikkerhetstjeneste (PST)</w:t>
      </w:r>
    </w:p>
    <w:p w14:paraId="7CE63A5A" w14:textId="77777777" w:rsidR="00575AC3" w:rsidRPr="006D40F0" w:rsidRDefault="00575AC3" w:rsidP="006D40F0">
      <w:pPr>
        <w:pStyle w:val="b-post"/>
      </w:pPr>
      <w:r w:rsidRPr="006D40F0">
        <w:t>Post 01 Driftsutgifter</w:t>
      </w:r>
    </w:p>
    <w:p w14:paraId="27599053" w14:textId="77777777" w:rsidR="00575AC3" w:rsidRPr="006D40F0" w:rsidRDefault="00575AC3" w:rsidP="006D40F0">
      <w:r w:rsidRPr="006D40F0">
        <w:t>Den sikkerhetspolitiske situasjonen og utvikling i trusselbildet gjør at PST opplever økt aktivitet innen alle sine virksomhetsområder. Regjeringen er opptatt av at PST skal ha de rammebetingelsene som er nødvendig for å løse hele sitt samfunnsoppdrag, og foreslår derfor å øke PST sitt driftsbudsjett i 2024.</w:t>
      </w:r>
    </w:p>
    <w:p w14:paraId="320293D9" w14:textId="77777777" w:rsidR="00575AC3" w:rsidRPr="006D40F0" w:rsidRDefault="00575AC3" w:rsidP="006D40F0">
      <w:r w:rsidRPr="006D40F0">
        <w:t>Det foreslås på denne bakgrunn å øke bevilgningen på posten med 150 mill. kroner.</w:t>
      </w:r>
    </w:p>
    <w:p w14:paraId="27EEC18D" w14:textId="77777777" w:rsidR="00575AC3" w:rsidRPr="006D40F0" w:rsidRDefault="00575AC3" w:rsidP="006D40F0">
      <w:pPr>
        <w:pStyle w:val="b-budkaptit"/>
      </w:pPr>
      <w:r w:rsidRPr="006D40F0">
        <w:t>Kap. 445 Den høyere påtalemyndighet</w:t>
      </w:r>
    </w:p>
    <w:p w14:paraId="0D841046" w14:textId="77777777" w:rsidR="00575AC3" w:rsidRPr="006D40F0" w:rsidRDefault="00575AC3" w:rsidP="006D40F0">
      <w:pPr>
        <w:pStyle w:val="b-post"/>
      </w:pPr>
      <w:r w:rsidRPr="006D40F0">
        <w:t>Post 01 Driftsutgifter</w:t>
      </w:r>
    </w:p>
    <w:p w14:paraId="1E70FCF0" w14:textId="77777777" w:rsidR="00575AC3" w:rsidRPr="006D40F0" w:rsidRDefault="00575AC3" w:rsidP="006D40F0">
      <w:r w:rsidRPr="006D40F0">
        <w:t xml:space="preserve">Jf. Prop. 133 L (2022–2023) </w:t>
      </w:r>
      <w:r w:rsidRPr="00575AC3">
        <w:rPr>
          <w:rStyle w:val="kursiv"/>
        </w:rPr>
        <w:t>Endringer i forsvarsloven mv. (militær disiplinærmyndighet)</w:t>
      </w:r>
      <w:r w:rsidRPr="006D40F0">
        <w:t xml:space="preserve"> er det vedtatt at Generaladvokatembetet blir avviklet, og at oppgaver, personell og kompetanse blir videreført hos Forsvaret, mens den den sivile påtalemyndigheten blir videreført hos Riksadvokaten.</w:t>
      </w:r>
    </w:p>
    <w:p w14:paraId="6FA43CCE" w14:textId="77777777" w:rsidR="00575AC3" w:rsidRPr="006D40F0" w:rsidRDefault="00575AC3" w:rsidP="006D40F0">
      <w:r w:rsidRPr="006D40F0">
        <w:t>Det foreslås på denne bakgrunn å øke bevilgningen på posten med 1,3 mill. kroner. Det vises også til omtale under kap. 446, post 01.</w:t>
      </w:r>
    </w:p>
    <w:p w14:paraId="0ABD9ED4" w14:textId="77777777" w:rsidR="00575AC3" w:rsidRPr="006D40F0" w:rsidRDefault="00575AC3" w:rsidP="006D40F0">
      <w:pPr>
        <w:pStyle w:val="b-budkaptit"/>
      </w:pPr>
      <w:r w:rsidRPr="006D40F0">
        <w:lastRenderedPageBreak/>
        <w:t>Kap. 446 Den militære påtalemyndighet</w:t>
      </w:r>
    </w:p>
    <w:p w14:paraId="2782E563" w14:textId="77777777" w:rsidR="00575AC3" w:rsidRPr="006D40F0" w:rsidRDefault="00575AC3" w:rsidP="006D40F0">
      <w:pPr>
        <w:pStyle w:val="b-post"/>
      </w:pPr>
      <w:r w:rsidRPr="006D40F0">
        <w:t>Post 01 Driftsutgifter</w:t>
      </w:r>
    </w:p>
    <w:p w14:paraId="63A6CD8C" w14:textId="77777777" w:rsidR="00575AC3" w:rsidRPr="006D40F0" w:rsidRDefault="00575AC3" w:rsidP="006D40F0">
      <w:r w:rsidRPr="006D40F0">
        <w:t xml:space="preserve">Jf. Prop. 133 L (2022–2023) </w:t>
      </w:r>
      <w:r w:rsidRPr="00575AC3">
        <w:rPr>
          <w:rStyle w:val="kursiv"/>
        </w:rPr>
        <w:t>Endringer i forsvarsloven mv. (militær disiplinærmyndighet)</w:t>
      </w:r>
      <w:r w:rsidRPr="006D40F0">
        <w:t xml:space="preserve"> er det vedtatt at Generaladvokatembetet blir avviklet, og at oppgaver, personell og kompetanse blir videreført hos Forsvaret, mens den den sivile påtalemyndigheten blir videreført hos Riksadvokaten. Fordi det vil påløpe diverse omstillingskostnader i forbindelse med avviklingen foreslås det at det settes av 600 000 kroner til formålet.</w:t>
      </w:r>
    </w:p>
    <w:p w14:paraId="112851BF" w14:textId="77777777" w:rsidR="00575AC3" w:rsidRPr="006D40F0" w:rsidRDefault="00575AC3" w:rsidP="006D40F0">
      <w:r w:rsidRPr="006D40F0">
        <w:t>Det foreslås på denne bakgrunn å redusere bevilgningen på posten med 4,3 mill. kroner, og øke bevilgning på kap. 445, post 01 med 1,3 mill. kroner og øke kap. 1720, post 01 med 3,6 mill. kroner.</w:t>
      </w:r>
    </w:p>
    <w:p w14:paraId="52D4D6B7" w14:textId="77777777" w:rsidR="00575AC3" w:rsidRPr="006D40F0" w:rsidRDefault="00575AC3" w:rsidP="006D40F0">
      <w:pPr>
        <w:pStyle w:val="b-budkaptit"/>
      </w:pPr>
      <w:r w:rsidRPr="006D40F0">
        <w:t>Kap. 451 Direktoratet for samfunnssikkerhet og beredskap</w:t>
      </w:r>
    </w:p>
    <w:p w14:paraId="4A3E0B83" w14:textId="77777777" w:rsidR="00575AC3" w:rsidRPr="006D40F0" w:rsidRDefault="00575AC3" w:rsidP="006D40F0">
      <w:pPr>
        <w:pStyle w:val="b-post"/>
      </w:pPr>
      <w:r w:rsidRPr="006D40F0">
        <w:t>Post 01 Driftsutgifter</w:t>
      </w:r>
    </w:p>
    <w:p w14:paraId="494C830C" w14:textId="77777777" w:rsidR="00575AC3" w:rsidRPr="006D40F0" w:rsidRDefault="00575AC3" w:rsidP="006D40F0">
      <w:pPr>
        <w:pStyle w:val="avsnitt-undertittel"/>
      </w:pPr>
      <w:r w:rsidRPr="006D40F0">
        <w:t>DSBs utlegg i forbindelse med EUs ordning for sivil beredskap og håndteringen av Ukraina-krigen</w:t>
      </w:r>
    </w:p>
    <w:p w14:paraId="174C30C3" w14:textId="77777777" w:rsidR="00575AC3" w:rsidRPr="006D40F0" w:rsidRDefault="00575AC3" w:rsidP="006D40F0">
      <w:r w:rsidRPr="006D40F0">
        <w:t>Direktoratet for samfunnssikkerhet og beredskap (DSB) har i 2023 hatt 31,2 mill. kroner i utgifter til oppgaver innen EUs ordning for sivil beredskap og håndteringen av konsekvensene av Russlands krigføring mot Ukraina. Beløpet forventes refundert av EU i 2024.</w:t>
      </w:r>
    </w:p>
    <w:p w14:paraId="60F774AA" w14:textId="77777777" w:rsidR="00575AC3" w:rsidRPr="006D40F0" w:rsidRDefault="00575AC3" w:rsidP="006D40F0">
      <w:r w:rsidRPr="006D40F0">
        <w:t>På denne bakgrunn foreslås det å øke bevilgningen på posten med 31,2 mill. kroner, mot en tilsvarende økning på kap. 3451, post 07.</w:t>
      </w:r>
    </w:p>
    <w:p w14:paraId="10439712" w14:textId="77777777" w:rsidR="00575AC3" w:rsidRPr="006D40F0" w:rsidRDefault="00575AC3" w:rsidP="006D40F0">
      <w:pPr>
        <w:pStyle w:val="avsnitt-undertittel"/>
      </w:pPr>
      <w:r w:rsidRPr="006D40F0">
        <w:t>Studenthybler i tilknytning til ny fagskole for brann og redning</w:t>
      </w:r>
    </w:p>
    <w:p w14:paraId="0C0743F1" w14:textId="77777777" w:rsidR="00575AC3" w:rsidRPr="006D40F0" w:rsidRDefault="00575AC3" w:rsidP="006D40F0">
      <w:r w:rsidRPr="006D40F0">
        <w:t>I 2024 starter ny fagskoleutdanning for brann- og redningspersonell opp ved brann- og redningsskolen i Tjeldsund. I henhold til fremdriftsplan skal studenthybler i tilknytning til fagskolen ferdigstilles i løpet av 2024. Fra studiestart i august til hyblene er ferdige vil studentene innkvarteres i midlertidige hybler.</w:t>
      </w:r>
    </w:p>
    <w:p w14:paraId="0DC62316" w14:textId="77777777" w:rsidR="00575AC3" w:rsidRPr="006D40F0" w:rsidRDefault="00575AC3" w:rsidP="006D40F0">
      <w:r w:rsidRPr="006D40F0">
        <w:t>Det foreslås å øke bevilgningen på posten med 25,5 mill. kroner for å dekke midlertidig innkvartering av studentene frem til nye hybler er ferdigstilte, brukerutstyr og innredning av de nye hyblene, og husleiekompensasjon til DSB for leie av permanente hybelbygg.</w:t>
      </w:r>
    </w:p>
    <w:p w14:paraId="053CAEC1" w14:textId="77777777" w:rsidR="00575AC3" w:rsidRPr="006D40F0" w:rsidRDefault="00575AC3" w:rsidP="006D40F0">
      <w:pPr>
        <w:pStyle w:val="avsnitt-undertittel"/>
      </w:pPr>
      <w:r w:rsidRPr="006D40F0">
        <w:t>Beskyttelsestiltak sikker infrastruktur</w:t>
      </w:r>
    </w:p>
    <w:p w14:paraId="0408D897" w14:textId="77777777" w:rsidR="00575AC3" w:rsidRPr="006D40F0" w:rsidRDefault="00575AC3" w:rsidP="006D40F0">
      <w:r w:rsidRPr="006D40F0">
        <w:t>Den sikkerhetspolitiske situasjonen har medført økt behov for investeringer i sikker infrastruktur og drift av denne. Det foreslås derfor å øke bevilgningen på posten med 10 mill. kroner til dette formål.</w:t>
      </w:r>
    </w:p>
    <w:p w14:paraId="6269CE5A" w14:textId="77777777" w:rsidR="00575AC3" w:rsidRPr="006D40F0" w:rsidRDefault="00575AC3" w:rsidP="006D40F0">
      <w:pPr>
        <w:pStyle w:val="avsnitt-undertittel"/>
      </w:pPr>
      <w:r w:rsidRPr="006D40F0">
        <w:t>Oppsummering</w:t>
      </w:r>
    </w:p>
    <w:p w14:paraId="101E4710" w14:textId="77777777" w:rsidR="00575AC3" w:rsidRPr="006D40F0" w:rsidRDefault="00575AC3" w:rsidP="006D40F0">
      <w:r w:rsidRPr="006D40F0">
        <w:t>Samlet foreslås det å øke bevilgningen på kap. 451, post 01 med 66,7 mill. kroner.</w:t>
      </w:r>
    </w:p>
    <w:p w14:paraId="7498E7A8" w14:textId="77777777" w:rsidR="00575AC3" w:rsidRPr="006D40F0" w:rsidRDefault="00575AC3" w:rsidP="006D40F0">
      <w:pPr>
        <w:pStyle w:val="b-post"/>
      </w:pPr>
      <w:r w:rsidRPr="006D40F0">
        <w:lastRenderedPageBreak/>
        <w:t>Post 45 Større utstyrsanskaffelser og vedlikehold, kan overføres</w:t>
      </w:r>
    </w:p>
    <w:p w14:paraId="28FC16BD" w14:textId="77777777" w:rsidR="00575AC3" w:rsidRPr="006D40F0" w:rsidRDefault="00575AC3" w:rsidP="006D40F0">
      <w:r w:rsidRPr="006D40F0">
        <w:t>Den sikkerhetspolitiske situasjonen har medført økt behov for investeringer i sikker infrastruktur og drift av denne. Det foreslås derfor å øke bevilgningen på posten med 12,8 mill. kroner.</w:t>
      </w:r>
    </w:p>
    <w:p w14:paraId="6A010A21" w14:textId="77777777" w:rsidR="00575AC3" w:rsidRPr="006D40F0" w:rsidRDefault="00575AC3" w:rsidP="006D40F0">
      <w:pPr>
        <w:pStyle w:val="b-budkaptit"/>
      </w:pPr>
      <w:r w:rsidRPr="006D40F0">
        <w:t>Kap. 3451 Direktoratet for samfunnssikkerhet og beredskap</w:t>
      </w:r>
    </w:p>
    <w:p w14:paraId="44EE7A0A" w14:textId="77777777" w:rsidR="00575AC3" w:rsidRPr="006D40F0" w:rsidRDefault="00575AC3" w:rsidP="006D40F0">
      <w:pPr>
        <w:pStyle w:val="b-post"/>
      </w:pPr>
      <w:r w:rsidRPr="006D40F0">
        <w:t>Post 07 Refusjoner fra EU i forbindelse med variable utgifter knyttet til EUs ordning for sivil beredskap</w:t>
      </w:r>
    </w:p>
    <w:p w14:paraId="0BCCBA9C" w14:textId="77777777" w:rsidR="00575AC3" w:rsidRPr="006D40F0" w:rsidRDefault="00575AC3" w:rsidP="006D40F0">
      <w:r w:rsidRPr="006D40F0">
        <w:t>Direktoratet for samfunnssikkerhet og beredskap (DSB) har i 2023 hatt 31,2 mill. kroner i utgifter til oppgaver innen EUs ordning for sivil beredskap og håndteringen av konsekvensene av Russlands krigføring mot Ukraina på kap. 451, post 01. Beløpet forventes refundert av EU i 2024.</w:t>
      </w:r>
    </w:p>
    <w:p w14:paraId="481FB881" w14:textId="77777777" w:rsidR="00575AC3" w:rsidRPr="006D40F0" w:rsidRDefault="00575AC3" w:rsidP="006D40F0">
      <w:r w:rsidRPr="006D40F0">
        <w:t>På denne bakgrunn foreslås det å øke bevilgningen på posten med 31,2 mill. kroner, mot en tilsvarende økning på kap. 451, post 01 Driftsutgifter.</w:t>
      </w:r>
    </w:p>
    <w:p w14:paraId="03F611CC" w14:textId="77777777" w:rsidR="00575AC3" w:rsidRPr="006D40F0" w:rsidRDefault="00575AC3" w:rsidP="006D40F0">
      <w:pPr>
        <w:pStyle w:val="b-budkaptit"/>
      </w:pPr>
      <w:r w:rsidRPr="006D40F0">
        <w:t>Kap. 454 Redningshelikoptertjenesten</w:t>
      </w:r>
    </w:p>
    <w:p w14:paraId="121565ED" w14:textId="77777777" w:rsidR="00575AC3" w:rsidRPr="006D40F0" w:rsidRDefault="00575AC3" w:rsidP="006D40F0">
      <w:pPr>
        <w:pStyle w:val="b-post"/>
      </w:pPr>
      <w:r w:rsidRPr="006D40F0">
        <w:t>Post 01 Driftsutgifter</w:t>
      </w:r>
    </w:p>
    <w:p w14:paraId="59F3EC05" w14:textId="77777777" w:rsidR="00575AC3" w:rsidRPr="006D40F0" w:rsidRDefault="00575AC3" w:rsidP="006D40F0">
      <w:pPr>
        <w:pStyle w:val="avsnitt-undertittel"/>
      </w:pPr>
      <w:r w:rsidRPr="006D40F0">
        <w:t>Ordinær redningshelikoptertjeneste</w:t>
      </w:r>
    </w:p>
    <w:p w14:paraId="7DB25B1F" w14:textId="77777777" w:rsidR="00575AC3" w:rsidRPr="006D40F0" w:rsidRDefault="00575AC3" w:rsidP="006D40F0">
      <w:r w:rsidRPr="006D40F0">
        <w:t>Utgiftene til leverandøren ansvarlig for helikoptertilgjengeligheten på basene som driftes med de nye redningshelikoptrene SAR Queen forventes å bli 10 mill. kroner lavere enn anslått i Saldert budsjett 2024. Bevilgningen foreslås derfor redusert tilsvarende.</w:t>
      </w:r>
    </w:p>
    <w:p w14:paraId="3E5EB643" w14:textId="77777777" w:rsidR="00575AC3" w:rsidRPr="006D40F0" w:rsidRDefault="00575AC3" w:rsidP="006D40F0">
      <w:r w:rsidRPr="006D40F0">
        <w:t>Som følge av reduserte valutakurser foreslås det også å redusere bevilgningen til driften av den sivile redningshelikopterbasen i Tromsø med 4,2 mill. kroner.</w:t>
      </w:r>
    </w:p>
    <w:p w14:paraId="528307DF" w14:textId="77777777" w:rsidR="00575AC3" w:rsidRPr="006D40F0" w:rsidRDefault="00575AC3" w:rsidP="006D40F0">
      <w:pPr>
        <w:pStyle w:val="avsnitt-undertittel"/>
      </w:pPr>
      <w:r w:rsidRPr="006D40F0">
        <w:t>Prosjektet for anskaffelse av nye redningshelikoptre</w:t>
      </w:r>
    </w:p>
    <w:p w14:paraId="07D1E68F" w14:textId="77777777" w:rsidR="00575AC3" w:rsidRPr="006D40F0" w:rsidRDefault="00575AC3" w:rsidP="006D40F0">
      <w:r w:rsidRPr="006D40F0">
        <w:t>Det foreslås å øke bevilgningen med 14,5 mill. kroner. Endringen skyldes forsinkelse i prosjektet som medfører økte prosjektkostnader.</w:t>
      </w:r>
    </w:p>
    <w:p w14:paraId="1A86A8AF" w14:textId="77777777" w:rsidR="00575AC3" w:rsidRPr="006D40F0" w:rsidRDefault="00575AC3" w:rsidP="006D40F0">
      <w:pPr>
        <w:pStyle w:val="avsnitt-undertittel"/>
      </w:pPr>
      <w:r w:rsidRPr="006D40F0">
        <w:t>Oppsummering</w:t>
      </w:r>
    </w:p>
    <w:p w14:paraId="3B0205E9" w14:textId="77777777" w:rsidR="00575AC3" w:rsidRPr="006D40F0" w:rsidRDefault="00575AC3" w:rsidP="006D40F0">
      <w:r w:rsidRPr="006D40F0">
        <w:t>Samlet foreslås det å øke bevilgningen på kap. 454, post 01 med 249 000 kroner.</w:t>
      </w:r>
    </w:p>
    <w:p w14:paraId="57A9884C" w14:textId="77777777" w:rsidR="00575AC3" w:rsidRPr="006D40F0" w:rsidRDefault="00575AC3" w:rsidP="006D40F0">
      <w:pPr>
        <w:pStyle w:val="b-post"/>
      </w:pPr>
      <w:r w:rsidRPr="006D40F0">
        <w:t>Post 45 Større utstyrsanskaffelser og vedlikehold, kan overføres</w:t>
      </w:r>
    </w:p>
    <w:p w14:paraId="1DDE9E7C" w14:textId="77777777" w:rsidR="00575AC3" w:rsidRPr="006D40F0" w:rsidRDefault="00575AC3" w:rsidP="006D40F0">
      <w:pPr>
        <w:pStyle w:val="avsnitt-undertittel"/>
      </w:pPr>
      <w:r w:rsidRPr="006D40F0">
        <w:t>Anskaffelse av nye redningshelikoptre</w:t>
      </w:r>
    </w:p>
    <w:p w14:paraId="0072AA7B" w14:textId="77777777" w:rsidR="00575AC3" w:rsidRPr="006D40F0" w:rsidRDefault="00575AC3" w:rsidP="006D40F0">
      <w:r w:rsidRPr="006D40F0">
        <w:t xml:space="preserve">Det er inngått kontrakt for anskaffelse av 16 nye redningshelikoptre. Alle de nye redningshelikoptrene skal etter planen være i drift i løpet av 2024. Per i dag er SAR Queen satt i drift på fem av seks baser. I tillegg til nye redningshelikoptre omfatter kostnadsrammen utgifter til blant annet </w:t>
      </w:r>
      <w:r w:rsidRPr="006D40F0">
        <w:lastRenderedPageBreak/>
        <w:t>bygningsmessige tilpasninger ved redningshelikopterbasene og tilpasning av landingsmulighetene ved enkelte sykehus.</w:t>
      </w:r>
    </w:p>
    <w:p w14:paraId="4A02E356" w14:textId="77777777" w:rsidR="00575AC3" w:rsidRPr="006D40F0" w:rsidRDefault="00575AC3" w:rsidP="006D40F0">
      <w:r w:rsidRPr="006D40F0">
        <w:t>Grunnet forsinkelser i prosjektet er milepæler og dermed kostnader forskjøvet fra 2023 til 2024. Sammen med endringer i utgiftene til blant annet helikopterleverandøren, oppgradering av landingsplasser ved sykehus, eiendom, bygg og anlegg, innfasingsprosjektet i Forsvaret, IKT og dagbøter, fører dette til at kostnadene i 2024 blir noe høyere enn forventet. Det foreslås å øke bevilgningen med til sammen 27,4 mill. kroner.</w:t>
      </w:r>
    </w:p>
    <w:p w14:paraId="6BD82BFD" w14:textId="77777777" w:rsidR="00575AC3" w:rsidRPr="006D40F0" w:rsidRDefault="00575AC3" w:rsidP="006D40F0">
      <w:pPr>
        <w:pStyle w:val="avsnitt-undertittel"/>
      </w:pPr>
      <w:r w:rsidRPr="006D40F0">
        <w:t>Bygging av ny redningshelikopterbase i Bodø</w:t>
      </w:r>
    </w:p>
    <w:p w14:paraId="5F1C74BB" w14:textId="77777777" w:rsidR="00575AC3" w:rsidRPr="006D40F0" w:rsidRDefault="00575AC3" w:rsidP="006D40F0">
      <w:r w:rsidRPr="006D40F0">
        <w:t>Flyttingen av Bodø Lufthavn er igangsatt. Det foreslås å redusere bevilgningen med 14,4 mill. kroner i forbindelse med byggingen av den nye redningshelikopterbasen i Bodø. Dette skyldes forskyvning av utbetalinger til senere år.</w:t>
      </w:r>
    </w:p>
    <w:p w14:paraId="61B71275" w14:textId="77777777" w:rsidR="00575AC3" w:rsidRPr="006D40F0" w:rsidRDefault="00575AC3" w:rsidP="006D40F0">
      <w:pPr>
        <w:pStyle w:val="avsnitt-undertittel"/>
      </w:pPr>
      <w:r w:rsidRPr="006D40F0">
        <w:t>Oppsummering</w:t>
      </w:r>
    </w:p>
    <w:p w14:paraId="474BFB41" w14:textId="77777777" w:rsidR="00575AC3" w:rsidRPr="006D40F0" w:rsidRDefault="00575AC3" w:rsidP="006D40F0">
      <w:r w:rsidRPr="006D40F0">
        <w:t>Samlet foreslås det å øke bevilgningen på kap. 454, post 45 med 13 mill. kroner.</w:t>
      </w:r>
    </w:p>
    <w:p w14:paraId="48F2C3E8" w14:textId="77777777" w:rsidR="00575AC3" w:rsidRPr="006D40F0" w:rsidRDefault="00575AC3" w:rsidP="006D40F0">
      <w:pPr>
        <w:pStyle w:val="b-budkaptit"/>
      </w:pPr>
      <w:r w:rsidRPr="006D40F0">
        <w:t>Kap. 455 Redningstjenesten</w:t>
      </w:r>
    </w:p>
    <w:p w14:paraId="24526636" w14:textId="77777777" w:rsidR="00575AC3" w:rsidRPr="006D40F0" w:rsidRDefault="00575AC3" w:rsidP="006D40F0">
      <w:pPr>
        <w:pStyle w:val="b-post"/>
      </w:pPr>
      <w:r w:rsidRPr="006D40F0">
        <w:t>Post 01 Driftsutgifter</w:t>
      </w:r>
    </w:p>
    <w:p w14:paraId="0827F1AC" w14:textId="77777777" w:rsidR="00575AC3" w:rsidRPr="006D40F0" w:rsidRDefault="00575AC3" w:rsidP="006D40F0">
      <w:r w:rsidRPr="006D40F0">
        <w:t>Fra og med 1. januar 2024 er forvaltningen av tilskuddsordninger under redningstjenesten flyttet fra Justis- og beredskapsdepartementet til Hovedredningssentralen. På denne bakgrunn foreslås det å øke bevilgningen på kap. 455, post 01 med 845 000 kroner mot en tilsvarende reduksjon av bevilgningen på kap. 400, post 01.</w:t>
      </w:r>
    </w:p>
    <w:p w14:paraId="7F6F14F8" w14:textId="77777777" w:rsidR="00575AC3" w:rsidRPr="006D40F0" w:rsidRDefault="00575AC3" w:rsidP="006D40F0">
      <w:pPr>
        <w:pStyle w:val="b-budkaptit"/>
      </w:pPr>
      <w:r w:rsidRPr="006D40F0">
        <w:t>Kap. 457 Nasjonal sikkerhetsmyndighet</w:t>
      </w:r>
    </w:p>
    <w:p w14:paraId="638464DA" w14:textId="77777777" w:rsidR="00575AC3" w:rsidRPr="006D40F0" w:rsidRDefault="00575AC3" w:rsidP="006D40F0">
      <w:pPr>
        <w:pStyle w:val="b-post"/>
      </w:pPr>
      <w:r w:rsidRPr="006D40F0">
        <w:t>Post 01 Driftsutgifter</w:t>
      </w:r>
    </w:p>
    <w:p w14:paraId="691DFBA6" w14:textId="77777777" w:rsidR="00575AC3" w:rsidRPr="006D40F0" w:rsidRDefault="00575AC3" w:rsidP="006D40F0">
      <w:pPr>
        <w:pStyle w:val="avsnitt-undertittel"/>
      </w:pPr>
      <w:r w:rsidRPr="006D40F0">
        <w:t>Økte driftsutgifter i NSM</w:t>
      </w:r>
    </w:p>
    <w:p w14:paraId="3E4C0431" w14:textId="77777777" w:rsidR="00575AC3" w:rsidRPr="006D40F0" w:rsidRDefault="00575AC3" w:rsidP="006D40F0">
      <w:r w:rsidRPr="006D40F0">
        <w:t xml:space="preserve">I forbindelse med Stortingets behandling av </w:t>
      </w:r>
      <w:proofErr w:type="spellStart"/>
      <w:r w:rsidRPr="006D40F0">
        <w:t>Innst</w:t>
      </w:r>
      <w:proofErr w:type="spellEnd"/>
      <w:r w:rsidRPr="006D40F0">
        <w:t xml:space="preserve">. 143 S (2023–2024), jf. Prop. 19 S (2023–2024) </w:t>
      </w:r>
      <w:proofErr w:type="spellStart"/>
      <w:r w:rsidRPr="00575AC3">
        <w:rPr>
          <w:rStyle w:val="kursiv"/>
        </w:rPr>
        <w:t>Endringar</w:t>
      </w:r>
      <w:proofErr w:type="spellEnd"/>
      <w:r w:rsidRPr="00575AC3">
        <w:rPr>
          <w:rStyle w:val="kursiv"/>
        </w:rPr>
        <w:t xml:space="preserve"> i statsbudsjettet under Justis- og beredskapsdepartementet</w:t>
      </w:r>
      <w:r w:rsidRPr="006D40F0">
        <w:t>, ble det vedtatt å øke bevilgningen til NSM med 20 mill. kroner for å unngå et uhjemlet merforbruk. Årsaken var et svært høyt aktivitetsnivå i 2023, blant annet som følge av krigen i Ukraina og gjennomføring av tiltak i Prop. 78 S (2021–2022) («Ukraina-proposisjonen»). Aktivitetsnivået var høyere enn det budsjettet ga rom for, uten at direktoratet klarte å redusere utgiftene i tilstrekkelig grad.</w:t>
      </w:r>
    </w:p>
    <w:p w14:paraId="0549B36E" w14:textId="77777777" w:rsidR="00575AC3" w:rsidRPr="006D40F0" w:rsidRDefault="00575AC3" w:rsidP="006D40F0">
      <w:r w:rsidRPr="006D40F0">
        <w:t xml:space="preserve">Nasjonal sikkerhetsmyndighet er i 2024 i ferd med å gjennomgå sin interne forvaltning med sikte på å bygge opp god intern styring og kontroll. NSM har i 2022 og 2023 innrettet egen virksomhet etter en forventning om økte økonomiske rammer i fremtidige budsjettvedtak, jf. rapporten «NSMs leie av Snarøyveien 36» (Gjedrem-rapporten) av 1. mars 2024. Virksomheten har utløst forpliktelser til lønn og husleie som langt overstiger bevilgningen for 2024. Virksomheten viderefører og gjennomfører betydelige kostnadsreduserende tiltak i 2024 for å bidra til å bringe </w:t>
      </w:r>
      <w:r w:rsidRPr="006D40F0">
        <w:lastRenderedPageBreak/>
        <w:t>forbruket i samsvar med bevilget budsjett. Tiltakene vil imidlertid ikke gi store nok innsparinger til å bringe budsjettet for 2024 i balanse. For at NSM fortsatt skal kunne ivareta sitt samfunnsoppdrag foreslår derfor regjeringen å øke bevilgningen på kap. 457, post 01 med 90 mill. kroner i 2024.</w:t>
      </w:r>
    </w:p>
    <w:p w14:paraId="77753E73" w14:textId="77777777" w:rsidR="00575AC3" w:rsidRPr="006D40F0" w:rsidRDefault="00575AC3" w:rsidP="006D40F0">
      <w:pPr>
        <w:pStyle w:val="b-budkaptit"/>
      </w:pPr>
      <w:r w:rsidRPr="006D40F0">
        <w:t>Kap. 460 Spesialenheten for politisaker</w:t>
      </w:r>
    </w:p>
    <w:p w14:paraId="67E9CA85" w14:textId="77777777" w:rsidR="00575AC3" w:rsidRPr="006D40F0" w:rsidRDefault="00575AC3" w:rsidP="006D40F0">
      <w:pPr>
        <w:pStyle w:val="b-post"/>
      </w:pPr>
      <w:r w:rsidRPr="006D40F0">
        <w:t>Post 01 Driftsutgifter</w:t>
      </w:r>
    </w:p>
    <w:p w14:paraId="0F0B3D31" w14:textId="77777777" w:rsidR="00575AC3" w:rsidRPr="006D40F0" w:rsidRDefault="00575AC3" w:rsidP="006D40F0">
      <w:r w:rsidRPr="006D40F0">
        <w:t>Bevilgningen på posten skal dekke driftsutgifter til Spesialenheten for politisaker som lønn, godtgjøring til advokater på verv, husleie og andre administrative utgifter. Spesialenheten har høyere kostnader enn forventet, blant annet til å dekke nødvendige IT-investeringer.</w:t>
      </w:r>
    </w:p>
    <w:p w14:paraId="3D37315B" w14:textId="77777777" w:rsidR="00575AC3" w:rsidRPr="006D40F0" w:rsidRDefault="00575AC3" w:rsidP="006D40F0">
      <w:r w:rsidRPr="006D40F0">
        <w:t>Det foreslås på denne bakgrunn å øke bevilgningen på posten med 4 mill. kroner. Helårseffekten av tiltaket i 2025 er 4 mill. kroner.</w:t>
      </w:r>
    </w:p>
    <w:p w14:paraId="096D3E83" w14:textId="77777777" w:rsidR="00575AC3" w:rsidRPr="006D40F0" w:rsidRDefault="00575AC3" w:rsidP="006D40F0">
      <w:pPr>
        <w:pStyle w:val="b-budkaptit"/>
      </w:pPr>
      <w:r w:rsidRPr="006D40F0">
        <w:t>Kap. 466 Særskilte straffesaksutgifter m.m.</w:t>
      </w:r>
    </w:p>
    <w:p w14:paraId="3F03E1E2" w14:textId="77777777" w:rsidR="00575AC3" w:rsidRPr="006D40F0" w:rsidRDefault="00575AC3" w:rsidP="006D40F0">
      <w:pPr>
        <w:pStyle w:val="b-post"/>
      </w:pPr>
      <w:r w:rsidRPr="006D40F0">
        <w:t>Post 01 Driftsutgifter</w:t>
      </w:r>
    </w:p>
    <w:p w14:paraId="12FD8115" w14:textId="77777777" w:rsidR="00575AC3" w:rsidRPr="006D40F0" w:rsidRDefault="00575AC3" w:rsidP="006D40F0">
      <w:r w:rsidRPr="006D40F0">
        <w:t xml:space="preserve">Bevilgningen dekker i hovedsak utgifter til juridisk bistand i straffesaker til personer som har rett til advokatbistand i </w:t>
      </w:r>
      <w:proofErr w:type="gramStart"/>
      <w:r w:rsidRPr="006D40F0">
        <w:t>medhold av</w:t>
      </w:r>
      <w:proofErr w:type="gramEnd"/>
      <w:r w:rsidRPr="006D40F0">
        <w:t xml:space="preserve"> straffeprosessloven kap. 9 og 9a. Videre dekker bevilgningen på posten utgifter til salær og reise- og kostgodtgjørelse til forsvarere, bistandsadvokater, tolker og sakkyndige oppnevnt av retten eller Kommisjonen for gjenopptakelse av straffesaker.</w:t>
      </w:r>
    </w:p>
    <w:p w14:paraId="224DBE46" w14:textId="77777777" w:rsidR="00575AC3" w:rsidRPr="006D40F0" w:rsidRDefault="00575AC3" w:rsidP="006D40F0">
      <w:r w:rsidRPr="006D40F0">
        <w:t>Rettshjelpssatsen foreslås økt fra 1 215 kroner til 1 265 kroner fra og med 1. juli 2024. Det foreslås på denne bakgrunn å øke bevilgningen på posten med 22,8 mill. kroner. Helårseffekten av tiltaket i 2025 er 45,6 mill. kroner.</w:t>
      </w:r>
    </w:p>
    <w:p w14:paraId="1B894D63" w14:textId="77777777" w:rsidR="00575AC3" w:rsidRPr="006D40F0" w:rsidRDefault="00575AC3" w:rsidP="006D40F0">
      <w:pPr>
        <w:pStyle w:val="b-budkaptit"/>
      </w:pPr>
      <w:r w:rsidRPr="006D40F0">
        <w:t>Kap. 467 Norsk Lovtidend</w:t>
      </w:r>
    </w:p>
    <w:p w14:paraId="7D6A8D27" w14:textId="77777777" w:rsidR="00575AC3" w:rsidRPr="006D40F0" w:rsidRDefault="00575AC3" w:rsidP="006D40F0">
      <w:pPr>
        <w:pStyle w:val="b-post"/>
      </w:pPr>
      <w:r w:rsidRPr="006D40F0">
        <w:t>Post 01 Driftsutgifter</w:t>
      </w:r>
    </w:p>
    <w:p w14:paraId="7BB6083A" w14:textId="77777777" w:rsidR="00575AC3" w:rsidRPr="006D40F0" w:rsidRDefault="00575AC3" w:rsidP="006D40F0">
      <w:r w:rsidRPr="006D40F0">
        <w:t>Bevilgningen på posten dekker utgifter til bearbeiding av manuskripter og arbeidet med den elektroniske utgaven av Norsk Lovtidend. Produksjonen i 2024 er høyere enn det som ble lagt til grunn i saldert budsjett.</w:t>
      </w:r>
    </w:p>
    <w:p w14:paraId="11668B0A" w14:textId="77777777" w:rsidR="00575AC3" w:rsidRPr="006D40F0" w:rsidRDefault="00575AC3" w:rsidP="006D40F0">
      <w:r w:rsidRPr="006D40F0">
        <w:t>Det foreslås på denne bakgrunn å øke bevilgningen med 300 000 kroner.</w:t>
      </w:r>
    </w:p>
    <w:p w14:paraId="25F0BCC0" w14:textId="77777777" w:rsidR="00575AC3" w:rsidRPr="006D40F0" w:rsidRDefault="00575AC3" w:rsidP="006D40F0">
      <w:pPr>
        <w:pStyle w:val="b-budkaptit"/>
      </w:pPr>
      <w:r w:rsidRPr="006D40F0">
        <w:t>Kap. 468 Kommisjonen for gjenopptakelse av straffesaker</w:t>
      </w:r>
    </w:p>
    <w:p w14:paraId="1F85DB7B" w14:textId="77777777" w:rsidR="00575AC3" w:rsidRPr="006D40F0" w:rsidRDefault="00575AC3" w:rsidP="006D40F0">
      <w:pPr>
        <w:pStyle w:val="b-post"/>
      </w:pPr>
      <w:r w:rsidRPr="006D40F0">
        <w:t>Post 01 Driftsutgifter</w:t>
      </w:r>
    </w:p>
    <w:p w14:paraId="6D41CD54" w14:textId="77777777" w:rsidR="00575AC3" w:rsidRPr="006D40F0" w:rsidRDefault="00575AC3" w:rsidP="006D40F0">
      <w:r w:rsidRPr="006D40F0">
        <w:t>Bevilgningen på posten dekker driftsutgifter til medlemmene av Kommisjonen for gjenopptakelse av straffesaker, lønn til ansatte i sekretariatet og andre driftsutgifter for kommisjonen og sekretariatet.</w:t>
      </w:r>
    </w:p>
    <w:p w14:paraId="106F12F1" w14:textId="77777777" w:rsidR="00575AC3" w:rsidRPr="006D40F0" w:rsidRDefault="00575AC3" w:rsidP="006D40F0">
      <w:r w:rsidRPr="006D40F0">
        <w:t>Kommisjonen har de senere årene opplevd en stor økning i antall innkomne begjæringer om gjenåpning, og saksbehandlingstiden har derfor økt.</w:t>
      </w:r>
    </w:p>
    <w:p w14:paraId="1036721C" w14:textId="77777777" w:rsidR="00575AC3" w:rsidRPr="006D40F0" w:rsidRDefault="00575AC3" w:rsidP="006D40F0">
      <w:r w:rsidRPr="006D40F0">
        <w:lastRenderedPageBreak/>
        <w:t>Regjeringen foreslår derfor å øke bevilgningen i årene 2024–2026 til et midlertidig prosjekt for å arbeide ned restanser og redusere saksbehandlingstiden i kommisjonen.</w:t>
      </w:r>
    </w:p>
    <w:p w14:paraId="13C44563" w14:textId="77777777" w:rsidR="00575AC3" w:rsidRPr="006D40F0" w:rsidRDefault="00575AC3" w:rsidP="006D40F0">
      <w:r w:rsidRPr="006D40F0">
        <w:t>Det foreslås på denne bakgrunn å øke bevilgningen på posten med 3,5 mill. kroner i 2024. Helårseffekten av tiltaket i 2025 er 6 mill. kroner.</w:t>
      </w:r>
    </w:p>
    <w:p w14:paraId="6BA696B1" w14:textId="77777777" w:rsidR="00575AC3" w:rsidRPr="006D40F0" w:rsidRDefault="00575AC3" w:rsidP="006D40F0">
      <w:pPr>
        <w:pStyle w:val="b-budkaptit"/>
      </w:pPr>
      <w:r w:rsidRPr="006D40F0">
        <w:t>Kap. 470 Fri rettshjelp</w:t>
      </w:r>
    </w:p>
    <w:p w14:paraId="70EFF930" w14:textId="77777777" w:rsidR="00575AC3" w:rsidRPr="006D40F0" w:rsidRDefault="00575AC3" w:rsidP="006D40F0">
      <w:pPr>
        <w:pStyle w:val="b-post"/>
      </w:pPr>
      <w:r w:rsidRPr="006D40F0">
        <w:t>Post 01 Driftsutgifter</w:t>
      </w:r>
    </w:p>
    <w:p w14:paraId="41378E10" w14:textId="77777777" w:rsidR="00575AC3" w:rsidRPr="006D40F0" w:rsidRDefault="00575AC3" w:rsidP="006D40F0">
      <w:r w:rsidRPr="006D40F0">
        <w:t>Bevilgningen på posten skal dekke utgifter til advokat, sakkyndige og meddommere mfl. i saker der det er gitt fri sakførsel etter reglene i rettshjelploven. I tillegg dekker bevilgningen utgifter til advokat og rettshjelp i saker der det helt eller delvis er bevilget fritt rettsråd etter reglene i rettshjelploven.</w:t>
      </w:r>
    </w:p>
    <w:p w14:paraId="0B51DDBF" w14:textId="77777777" w:rsidR="00575AC3" w:rsidRPr="006D40F0" w:rsidRDefault="00575AC3" w:rsidP="006D40F0">
      <w:r w:rsidRPr="006D40F0">
        <w:t>Rettshjelpssatsen foreslås økt fra 1 215 kroner til 1 265 kroner, jf. omtale under kap. 466, post 01. Det foreslås på denne bakgrunn å øke bevilgningen på posten med 12,8 mill. kroner. Helårseffekten av tiltaket i 2025 er 25,6 mill. kroner.</w:t>
      </w:r>
    </w:p>
    <w:p w14:paraId="5EB4AB5F" w14:textId="77777777" w:rsidR="00575AC3" w:rsidRPr="006D40F0" w:rsidRDefault="00575AC3" w:rsidP="006D40F0">
      <w:pPr>
        <w:pStyle w:val="b-budkaptit"/>
      </w:pPr>
      <w:r w:rsidRPr="006D40F0">
        <w:t>Kap. 471 Statens erstatningsansvar og Stortingets rettferdsvederlagsordning</w:t>
      </w:r>
    </w:p>
    <w:p w14:paraId="541F4430" w14:textId="77777777" w:rsidR="00575AC3" w:rsidRPr="006D40F0" w:rsidRDefault="00575AC3" w:rsidP="006D40F0">
      <w:pPr>
        <w:pStyle w:val="b-post"/>
      </w:pPr>
      <w:r w:rsidRPr="006D40F0">
        <w:t xml:space="preserve">Post 72 Erstatning i anledning av </w:t>
      </w:r>
      <w:proofErr w:type="spellStart"/>
      <w:r w:rsidRPr="006D40F0">
        <w:t>straffeforfølging</w:t>
      </w:r>
      <w:proofErr w:type="spellEnd"/>
      <w:r w:rsidRPr="006D40F0">
        <w:t>, overslagsbevilgning</w:t>
      </w:r>
    </w:p>
    <w:p w14:paraId="4E87B5C3" w14:textId="77777777" w:rsidR="00575AC3" w:rsidRPr="006D40F0" w:rsidRDefault="00575AC3" w:rsidP="006D40F0">
      <w:r w:rsidRPr="006D40F0">
        <w:t>Etter straffeprosessloven kapittel 31 har en siktet rett til erstatning for økonomisk tap og til oppreisning etter faste satser for krenkelse eller annen skade av ikke-økonomisk art dersom vedkommende blir frifunnet, forfølgningen mot vedkommende blir innstilt, eller vedkommende har vært pågrepet eller fengslet i strid med sentrale menneskerettighetskonvensjoner.</w:t>
      </w:r>
    </w:p>
    <w:p w14:paraId="4754C8E4" w14:textId="77777777" w:rsidR="00575AC3" w:rsidRPr="006D40F0" w:rsidRDefault="00575AC3" w:rsidP="006D40F0">
      <w:r w:rsidRPr="006D40F0">
        <w:t>Det er usikkerhet knyttet til fremtidige utbetalinger. Det skyldes hovedsakelig at en del større erstatningskrav er under forvaltningsmessig behandling eller brakt inn for domstolen. Videre er det forventet flere erstatningskrav i saker etter den uriktige praktiseringen av EØS-regelverket og saker om bøtesoning.</w:t>
      </w:r>
    </w:p>
    <w:p w14:paraId="1AAB9E82" w14:textId="77777777" w:rsidR="00575AC3" w:rsidRPr="006D40F0" w:rsidRDefault="00575AC3" w:rsidP="006D40F0">
      <w:r w:rsidRPr="006D40F0">
        <w:t>Det foreslås på denne bakgrunn å øke bevilgningen med 46,3 mill. kroner.</w:t>
      </w:r>
    </w:p>
    <w:p w14:paraId="44ECA63C" w14:textId="77777777" w:rsidR="00575AC3" w:rsidRPr="006D40F0" w:rsidRDefault="00575AC3" w:rsidP="006D40F0">
      <w:pPr>
        <w:pStyle w:val="b-budkaptit"/>
      </w:pPr>
      <w:r w:rsidRPr="006D40F0">
        <w:t>Kap. 473 Statens sivilrettsforvaltning</w:t>
      </w:r>
    </w:p>
    <w:p w14:paraId="45B230CD" w14:textId="77777777" w:rsidR="00575AC3" w:rsidRPr="006D40F0" w:rsidRDefault="00575AC3" w:rsidP="006D40F0">
      <w:pPr>
        <w:pStyle w:val="b-post"/>
      </w:pPr>
      <w:r w:rsidRPr="006D40F0">
        <w:t>Post 01 Driftsutgifter</w:t>
      </w:r>
    </w:p>
    <w:p w14:paraId="6006FC9E" w14:textId="77777777" w:rsidR="00575AC3" w:rsidRPr="006D40F0" w:rsidRDefault="00575AC3" w:rsidP="006D40F0">
      <w:r w:rsidRPr="006D40F0">
        <w:t>Kontoret for voldsoffererstatning (KFV) har store restanser av ubehandlede saker etter den tidligere voldsoffererstatningsloven og dermed lang saksbehandlingstid.</w:t>
      </w:r>
    </w:p>
    <w:p w14:paraId="07161291" w14:textId="77777777" w:rsidR="00575AC3" w:rsidRPr="006D40F0" w:rsidRDefault="00575AC3" w:rsidP="006D40F0">
      <w:r w:rsidRPr="006D40F0">
        <w:t>Regjeringen foreslår derfor å øke bevilgningen i årene 2024–2025 til et midlertidig prosjekt for å arbeide ned restanser og redusere saksbehandlingstiden ved kontoret.</w:t>
      </w:r>
    </w:p>
    <w:p w14:paraId="74D2FDFE" w14:textId="77777777" w:rsidR="00575AC3" w:rsidRPr="006D40F0" w:rsidRDefault="00575AC3" w:rsidP="006D40F0">
      <w:r w:rsidRPr="006D40F0">
        <w:t>Det foreslås på denne bakgrunn å øke bevilgningen med 2 mill. kroner. Helårseffekten i 2025 er 4 mill. kroner.</w:t>
      </w:r>
    </w:p>
    <w:p w14:paraId="5D66F7C0" w14:textId="77777777" w:rsidR="00575AC3" w:rsidRPr="006D40F0" w:rsidRDefault="00575AC3" w:rsidP="006D40F0">
      <w:pPr>
        <w:pStyle w:val="b-post"/>
      </w:pPr>
      <w:r w:rsidRPr="006D40F0">
        <w:lastRenderedPageBreak/>
        <w:t>Post 21 Spesielle driftsutgifter</w:t>
      </w:r>
    </w:p>
    <w:p w14:paraId="523B71F7" w14:textId="77777777" w:rsidR="00575AC3" w:rsidRPr="006D40F0" w:rsidRDefault="00575AC3" w:rsidP="006D40F0">
      <w:r w:rsidRPr="006D40F0">
        <w:t>Bevilgningen på posten dekker godtgjøring og utgiftsdekning til verger, jf. vergemålsloven § 30, og til representanter for enslige mindreårige asylsøkere i tillegg til nødvendige utgifter til tolk. Rettshjelpssatsen foreslås økt til 1 265 kroner, jf. omtale under kap. 466, post 01. Det foreslås på denne bakgrunn å øke bevilgningen på posten med 528 000 kroner i 2024. Helårseffekten av tiltaket er 1 mill. kroner fra 2025.</w:t>
      </w:r>
    </w:p>
    <w:p w14:paraId="4D8FFC2D" w14:textId="77777777" w:rsidR="00575AC3" w:rsidRPr="006D40F0" w:rsidRDefault="00575AC3" w:rsidP="006D40F0">
      <w:pPr>
        <w:pStyle w:val="b-post"/>
      </w:pPr>
      <w:r w:rsidRPr="006D40F0">
        <w:t>Post 70 Erstatning til voldsofre, overslagsbevilgning</w:t>
      </w:r>
    </w:p>
    <w:p w14:paraId="27CA3652" w14:textId="77777777" w:rsidR="00575AC3" w:rsidRPr="006D40F0" w:rsidRDefault="00575AC3" w:rsidP="006D40F0">
      <w:r w:rsidRPr="006D40F0">
        <w:t>Bevilgningen på posten skal dekke erstatning til voldsofre. Bevilgningen på posten er regelstyrt og er en overslagsbevilgning.</w:t>
      </w:r>
    </w:p>
    <w:p w14:paraId="1392B7D1" w14:textId="77777777" w:rsidR="00575AC3" w:rsidRPr="006D40F0" w:rsidRDefault="00575AC3" w:rsidP="006D40F0">
      <w:r w:rsidRPr="006D40F0">
        <w:t>Ny voldserstatningslov ble innført 1. januar 2023. Kontoret for voldsoffererstatning (KFV) har fortsatt store restanser av saker etter gammel lov. Det er usikkerhet knyttet til fremtidige utbetalinger, og det har vært en del enkeltsaker med store utbetalinger. Det er usikkert om dette er en del av en generell tendens eller et mer tilfeldig utslag.</w:t>
      </w:r>
    </w:p>
    <w:p w14:paraId="7EA28019" w14:textId="77777777" w:rsidR="00575AC3" w:rsidRPr="006D40F0" w:rsidRDefault="00575AC3" w:rsidP="006D40F0">
      <w:r w:rsidRPr="006D40F0">
        <w:t>Det foreslås på denne bakgrunn å øke bevilgningen på posten med 65,8 mill. kroner.</w:t>
      </w:r>
    </w:p>
    <w:p w14:paraId="3B19419C" w14:textId="77777777" w:rsidR="00575AC3" w:rsidRPr="006D40F0" w:rsidRDefault="00575AC3" w:rsidP="006D40F0">
      <w:pPr>
        <w:pStyle w:val="b-budkaptit"/>
      </w:pPr>
      <w:r w:rsidRPr="006D40F0">
        <w:t>Kap. 480 Svalbardbudsjettet</w:t>
      </w:r>
    </w:p>
    <w:p w14:paraId="52F6C155" w14:textId="77777777" w:rsidR="00575AC3" w:rsidRPr="006D40F0" w:rsidRDefault="00575AC3" w:rsidP="006D40F0">
      <w:pPr>
        <w:pStyle w:val="b-post"/>
      </w:pPr>
      <w:r w:rsidRPr="006D40F0">
        <w:t>Post 50 Tilskudd</w:t>
      </w:r>
    </w:p>
    <w:p w14:paraId="5F63B48A" w14:textId="77777777" w:rsidR="00575AC3" w:rsidRPr="006D40F0" w:rsidRDefault="00575AC3" w:rsidP="006D40F0">
      <w:pPr>
        <w:pStyle w:val="avsnitt-undertittel"/>
      </w:pPr>
      <w:r w:rsidRPr="006D40F0">
        <w:t>Endring av postomtalen på Svalbardbudsjettet kap. 0006 post 01 – Akutt bistand ifm. energiforsyningen i Longyearbyen</w:t>
      </w:r>
    </w:p>
    <w:p w14:paraId="0F120A19" w14:textId="77777777" w:rsidR="00575AC3" w:rsidRPr="006D40F0" w:rsidRDefault="00575AC3" w:rsidP="006D40F0">
      <w:r w:rsidRPr="006D40F0">
        <w:t>De fleste budsjettpostene på svalbardbudsjettet er bundet opp av kontraktsforhold, og finansierer i stor grad lønn og husleie til ulike virksomheter på Svalbard. Kap. 0006 Sysselmesterens transporttjeneste har et større innslag av variable kostnader, blant annet i forbindelse med utgifter til bruk av fartøy og helikopter. JD anbefaler av den grunn at det opprettes mulighet for å benytte denne posten i forbindelse med utgifter til akutte og/eller kritiske hendelser på Svalbard, og foreslår at svalbardbudsjettet kap. 0006 post 01 også kan brukes i forbindelse med hendelser som krever raske avklaringer av utgifter og betalinger, for eksempel i sammenheng med samfunnssikkerhet og beredskap.</w:t>
      </w:r>
    </w:p>
    <w:p w14:paraId="421A0D24" w14:textId="77777777" w:rsidR="00575AC3" w:rsidRPr="006D40F0" w:rsidRDefault="00575AC3" w:rsidP="006D40F0">
      <w:pPr>
        <w:pStyle w:val="avsnitt-undertittel"/>
      </w:pPr>
      <w:r w:rsidRPr="006D40F0">
        <w:t>Støtte til reduserte energipriser i Longyearbyen</w:t>
      </w:r>
    </w:p>
    <w:p w14:paraId="7C76F06C" w14:textId="77777777" w:rsidR="00575AC3" w:rsidRPr="006D40F0" w:rsidRDefault="00575AC3" w:rsidP="006D40F0">
      <w:r w:rsidRPr="006D40F0">
        <w:t>Energiprisene i Longyearbyen har økt betydelig etter avviklingen av kullkraftverket og overgang til diesel som energibærer. For å legge til rette for reduserte energipriser i Longyearbyen foreslås det å øke bevilgningen med 125,0 mill. kroner. Bevilgningen skal legge til rette for stabil energiforsyning og reduserte energipriser for blant annet husholdninger og næringsliv i Longyearbyen. Midlene vil plasseres på svalbardbudsjettet kap. 0003 post 50 Tilskudd til Longyearbyen lokalstyre.</w:t>
      </w:r>
    </w:p>
    <w:p w14:paraId="79F250F9" w14:textId="77777777" w:rsidR="00575AC3" w:rsidRPr="006D40F0" w:rsidRDefault="00575AC3" w:rsidP="006D40F0">
      <w:pPr>
        <w:pStyle w:val="avsnitt-undertittel"/>
      </w:pPr>
      <w:r w:rsidRPr="006D40F0">
        <w:lastRenderedPageBreak/>
        <w:t>Styrket redundans og forsyningssikkerhet for energi i Longyearbyen</w:t>
      </w:r>
    </w:p>
    <w:p w14:paraId="60195678" w14:textId="77777777" w:rsidR="00575AC3" w:rsidRPr="006D40F0" w:rsidRDefault="00575AC3" w:rsidP="006D40F0">
      <w:r w:rsidRPr="006D40F0">
        <w:t>Det er behov for å styrke redundansen og forsyningssikkerheten for energi i Longyearbyen i forkant av neste vinter. Det må av den grunn gjennomføres investeringer og tiltak i ulike typer infrastruktur i energiforsyningen. Det foreslås å øke bevilgningen med 42,0 mill. kroner til støtte til investeringer som øker redundansen og forsyningssikkerheten for energi.</w:t>
      </w:r>
    </w:p>
    <w:p w14:paraId="471716BB" w14:textId="77777777" w:rsidR="00575AC3" w:rsidRPr="006D40F0" w:rsidRDefault="00575AC3" w:rsidP="006D40F0">
      <w:r w:rsidRPr="006D40F0">
        <w:t>Midlene vil bli plassert på svalbardbudsjettet kap. 0003 Tilskudd til Longyearbyen lokalstyre.</w:t>
      </w:r>
    </w:p>
    <w:p w14:paraId="5BCFD54E" w14:textId="77777777" w:rsidR="00575AC3" w:rsidRPr="006D40F0" w:rsidRDefault="00575AC3" w:rsidP="006D40F0">
      <w:pPr>
        <w:pStyle w:val="avsnitt-undertittel"/>
      </w:pPr>
      <w:r w:rsidRPr="006D40F0">
        <w:t>Reservedrikkevann Longyearbyen</w:t>
      </w:r>
    </w:p>
    <w:p w14:paraId="4F36F537" w14:textId="77777777" w:rsidR="00575AC3" w:rsidRPr="006D40F0" w:rsidRDefault="00575AC3" w:rsidP="006D40F0">
      <w:r w:rsidRPr="006D40F0">
        <w:t>Det foreslås å øke bevilgningen med 3,0 mill. kroner til statlig medfinansiering av forprosjekt for etablering av reservedrikkevannskilde i Longyearbyen. Midlene vil bli plassert på svalbardbudsjettet kap. 0003 post 50 Tilskudd til Longyearbyen lokalstyre.</w:t>
      </w:r>
    </w:p>
    <w:p w14:paraId="0A6A1DB2" w14:textId="77777777" w:rsidR="00575AC3" w:rsidRPr="006D40F0" w:rsidRDefault="00575AC3" w:rsidP="006D40F0">
      <w:pPr>
        <w:pStyle w:val="avsnitt-undertittel"/>
      </w:pPr>
      <w:r w:rsidRPr="006D40F0">
        <w:t>Sikringstiltak i Longyearbyen</w:t>
      </w:r>
    </w:p>
    <w:p w14:paraId="2401D98F" w14:textId="77777777" w:rsidR="00575AC3" w:rsidRPr="006D40F0" w:rsidRDefault="00575AC3" w:rsidP="006D40F0">
      <w:r w:rsidRPr="006D40F0">
        <w:t xml:space="preserve">Det foreslås å øke bevilgningen med 15,0 mill. kroner til å ferdigstille arbeidet med skredsikring i Vannledningsdalen i Longyearbyen. Det vises til tilsvarende økt bestillingsfullmakt for 2023, jf. Prop. 19 S (2023–2024) og </w:t>
      </w:r>
      <w:proofErr w:type="spellStart"/>
      <w:r w:rsidRPr="006D40F0">
        <w:t>Innst</w:t>
      </w:r>
      <w:proofErr w:type="spellEnd"/>
      <w:r w:rsidRPr="006D40F0">
        <w:t>. 136 S (2023–2024). Midlene vil bli plassert på svalbardbudsjettet kap. 0007 Tilfeldige utgifter, post 30 Skred- og boligtiltak.</w:t>
      </w:r>
    </w:p>
    <w:p w14:paraId="7603F6A6" w14:textId="77777777" w:rsidR="00575AC3" w:rsidRPr="006D40F0" w:rsidRDefault="00575AC3" w:rsidP="006D40F0">
      <w:pPr>
        <w:pStyle w:val="avsnitt-undertittel"/>
      </w:pPr>
      <w:r w:rsidRPr="006D40F0">
        <w:t>Oppsummering</w:t>
      </w:r>
    </w:p>
    <w:p w14:paraId="111A24E2" w14:textId="77777777" w:rsidR="00575AC3" w:rsidRPr="006D40F0" w:rsidRDefault="00575AC3" w:rsidP="006D40F0">
      <w:r w:rsidRPr="006D40F0">
        <w:t>Samlet foreslås det å øke bevilgningen på kap. 480, post 50 med 185,0 mill. kroner.</w:t>
      </w:r>
    </w:p>
    <w:p w14:paraId="3305BF34" w14:textId="77777777" w:rsidR="00575AC3" w:rsidRPr="006D40F0" w:rsidRDefault="00575AC3" w:rsidP="006D40F0">
      <w:pPr>
        <w:pStyle w:val="b-budkaptit"/>
      </w:pPr>
      <w:r w:rsidRPr="006D40F0">
        <w:t>Kap. 490 Utlendingsdirektoratet</w:t>
      </w:r>
    </w:p>
    <w:p w14:paraId="7E850434" w14:textId="77777777" w:rsidR="00575AC3" w:rsidRPr="006D40F0" w:rsidRDefault="00575AC3" w:rsidP="006D40F0">
      <w:pPr>
        <w:pStyle w:val="b-post"/>
      </w:pPr>
      <w:r w:rsidRPr="006D40F0">
        <w:t>Post 01 Driftsutgifter</w:t>
      </w:r>
    </w:p>
    <w:p w14:paraId="4FFF48AF" w14:textId="77777777" w:rsidR="00575AC3" w:rsidRPr="006D40F0" w:rsidRDefault="00575AC3" w:rsidP="006D40F0">
      <w:r w:rsidRPr="006D40F0">
        <w:t>Som følge av at kvoten for overføringsflyktninger ble justert fra 2 000 plasser i 2023 til 1 000 plasser i 2024 ble bevilgningen redusert med 14,7 mill. kroner. Oppdaterte beregninger viser at budsjettreduksjonen skulle ha vært 10,5 mill. kroner.</w:t>
      </w:r>
    </w:p>
    <w:p w14:paraId="0F943CEA" w14:textId="77777777" w:rsidR="00575AC3" w:rsidRPr="006D40F0" w:rsidRDefault="00575AC3" w:rsidP="006D40F0">
      <w:r w:rsidRPr="006D40F0">
        <w:t>For å korrigere for dette foreslås det å øke bevilgningen på posten med 4,2 mill. kroner.</w:t>
      </w:r>
    </w:p>
    <w:p w14:paraId="44F1A098" w14:textId="77777777" w:rsidR="00575AC3" w:rsidRPr="006D40F0" w:rsidRDefault="00575AC3" w:rsidP="006D40F0">
      <w:pPr>
        <w:pStyle w:val="b-post"/>
      </w:pPr>
      <w:r w:rsidRPr="006D40F0">
        <w:t>Post 21 Spesielle driftsutgifter, asylmottak</w:t>
      </w:r>
    </w:p>
    <w:p w14:paraId="04AABAEB" w14:textId="77777777" w:rsidR="00575AC3" w:rsidRPr="006D40F0" w:rsidRDefault="00575AC3" w:rsidP="006D40F0">
      <w:r w:rsidRPr="006D40F0">
        <w:t>Høye ankomster av fordrevne fra Ukraina innebærer et betydelig behov for innkvartering av fordrevne og andre asylsøkere i asylmottak. I bevilgningen for posten i saldert budsjett er det tatt høyde for at det skulle komme 25 000 asylsøkere i 2024, medregnet 20 000 fra Ukraina. Ankomstene har derimot økt, og det legges nå til grunn at det skal komme 35 000 asylsøkere i 2024, inkludert 30 000 fra Ukraina. Det er stor usikkerhet knyttet til anslagene. Dette medfører behov for å drifte mer mottakskapasitet enn tidligere forutsatt, samt at enkelte mottaksplasser blir dyrere.</w:t>
      </w:r>
    </w:p>
    <w:p w14:paraId="24D178BA" w14:textId="77777777" w:rsidR="00575AC3" w:rsidRPr="006D40F0" w:rsidRDefault="00575AC3" w:rsidP="006D40F0">
      <w:r w:rsidRPr="006D40F0">
        <w:t>Det foreslås å øke bevilgningen på kap. 490, post 21, med 1 187,6 mill. kroner.</w:t>
      </w:r>
    </w:p>
    <w:p w14:paraId="1311499F" w14:textId="77777777" w:rsidR="00575AC3" w:rsidRPr="006D40F0" w:rsidRDefault="00575AC3" w:rsidP="006D40F0">
      <w:pPr>
        <w:pStyle w:val="b-post"/>
      </w:pPr>
      <w:r w:rsidRPr="006D40F0">
        <w:lastRenderedPageBreak/>
        <w:t>Post 22 Spesielle driftsutgifter, tolk og oversettelser</w:t>
      </w:r>
    </w:p>
    <w:p w14:paraId="19420845" w14:textId="77777777" w:rsidR="00575AC3" w:rsidRPr="006D40F0" w:rsidRDefault="00575AC3" w:rsidP="006D40F0">
      <w:r w:rsidRPr="006D40F0">
        <w:t>Det er et redusert behov for tolketjenester i forbindelse med vedtakssamtaler enn tidligere lagt til grunn. UDI har utarbeidet video- og informasjonsmateriale på en rekke ulike språk som i stor grad erstatter individuelle samtaler i forbindelse med innvilget asylsøknad.</w:t>
      </w:r>
    </w:p>
    <w:p w14:paraId="1543F8B0" w14:textId="77777777" w:rsidR="00575AC3" w:rsidRPr="006D40F0" w:rsidRDefault="00575AC3" w:rsidP="006D40F0">
      <w:r w:rsidRPr="006D40F0">
        <w:t>Det foreslås å redusere bevilgningen på kap. 490, post 22, med 4 mill. kroner.</w:t>
      </w:r>
    </w:p>
    <w:p w14:paraId="6BA84590" w14:textId="77777777" w:rsidR="00575AC3" w:rsidRPr="006D40F0" w:rsidRDefault="00575AC3" w:rsidP="006D40F0">
      <w:pPr>
        <w:pStyle w:val="b-post"/>
      </w:pPr>
      <w:r w:rsidRPr="006D40F0">
        <w:t>Post 46 Investeringer i Schengen IT-systemer, kan overføres</w:t>
      </w:r>
    </w:p>
    <w:p w14:paraId="3181860C" w14:textId="77777777" w:rsidR="00575AC3" w:rsidRPr="006D40F0" w:rsidRDefault="00575AC3" w:rsidP="006D40F0">
      <w:r w:rsidRPr="006D40F0">
        <w:t xml:space="preserve">Det er forsinkelser sentralt i EU knyttet til ferdigstillelse av </w:t>
      </w:r>
      <w:proofErr w:type="spellStart"/>
      <w:r w:rsidRPr="006D40F0">
        <w:t>Entry</w:t>
      </w:r>
      <w:proofErr w:type="spellEnd"/>
      <w:r w:rsidRPr="006D40F0">
        <w:t>/Exit System (EES). Dette medfører økte kostnader i UDIs program med driftssikkerhet, testing og implementering av systemene.</w:t>
      </w:r>
    </w:p>
    <w:p w14:paraId="51004104" w14:textId="77777777" w:rsidR="00575AC3" w:rsidRPr="006D40F0" w:rsidRDefault="00575AC3" w:rsidP="006D40F0">
      <w:r w:rsidRPr="006D40F0">
        <w:t>På denne bakgrunn foreslås det å øke bevilgningen på kap. 490, post 46, med 4 mill. kroner.</w:t>
      </w:r>
    </w:p>
    <w:p w14:paraId="11CB1B4F" w14:textId="77777777" w:rsidR="00575AC3" w:rsidRPr="006D40F0" w:rsidRDefault="00575AC3" w:rsidP="006D40F0">
      <w:pPr>
        <w:pStyle w:val="b-post"/>
      </w:pPr>
      <w:r w:rsidRPr="006D40F0">
        <w:t>Post 60 Tilskudd til vertskommuner for asylmottak</w:t>
      </w:r>
    </w:p>
    <w:p w14:paraId="37E36BE8" w14:textId="77777777" w:rsidR="00575AC3" w:rsidRPr="006D40F0" w:rsidRDefault="00575AC3" w:rsidP="006D40F0">
      <w:r w:rsidRPr="006D40F0">
        <w:t xml:space="preserve">Isolert sett er det et merbehov til plasstilskudd som følge av at mottakskapasiteten forutsettes å øke i 2024 sammenlignet med det som ligger til grunn for saldert budsjett. Det er likevel i sum et </w:t>
      </w:r>
      <w:proofErr w:type="spellStart"/>
      <w:r w:rsidRPr="006D40F0">
        <w:t>mindrebehov</w:t>
      </w:r>
      <w:proofErr w:type="spellEnd"/>
      <w:r w:rsidRPr="006D40F0">
        <w:t xml:space="preserve"> på posten som følge av at ordningen med å gi tilskudd til kommuner for å innkvartere ukrainere privat i mottaksfasen har blitt avviklet (Midlertidig alternativ mottaksplassering – MAMOT).</w:t>
      </w:r>
    </w:p>
    <w:p w14:paraId="2AAF84B1" w14:textId="77777777" w:rsidR="00575AC3" w:rsidRPr="006D40F0" w:rsidRDefault="00575AC3" w:rsidP="006D40F0">
      <w:r w:rsidRPr="006D40F0">
        <w:t>Det foreslås å redusere bevilgningen på kap. 490, post 60, med 65,4 mill. kroner.</w:t>
      </w:r>
    </w:p>
    <w:p w14:paraId="2A8232E0" w14:textId="77777777" w:rsidR="00575AC3" w:rsidRPr="006D40F0" w:rsidRDefault="00575AC3" w:rsidP="006D40F0">
      <w:pPr>
        <w:pStyle w:val="b-post"/>
      </w:pPr>
      <w:r w:rsidRPr="006D40F0">
        <w:t>Post 70 Stønader til beboere i asylmottak</w:t>
      </w:r>
    </w:p>
    <w:p w14:paraId="5FE6742B" w14:textId="77777777" w:rsidR="00575AC3" w:rsidRPr="006D40F0" w:rsidRDefault="00575AC3" w:rsidP="006D40F0">
      <w:r w:rsidRPr="006D40F0">
        <w:t xml:space="preserve">På grunn av den økte ankomstprognosen og </w:t>
      </w:r>
      <w:proofErr w:type="spellStart"/>
      <w:r w:rsidRPr="006D40F0">
        <w:t>beleggsprognosen</w:t>
      </w:r>
      <w:proofErr w:type="spellEnd"/>
      <w:r w:rsidRPr="006D40F0">
        <w:t xml:space="preserve"> i asylmottak er det et merbehov på posten.</w:t>
      </w:r>
    </w:p>
    <w:p w14:paraId="270389B0" w14:textId="77777777" w:rsidR="00575AC3" w:rsidRPr="006D40F0" w:rsidRDefault="00575AC3" w:rsidP="006D40F0">
      <w:r w:rsidRPr="006D40F0">
        <w:t>Det foreslås å øke bevilgningen på kap. 490, post 70, med 122 mill. kroner.</w:t>
      </w:r>
    </w:p>
    <w:p w14:paraId="4DC5E646" w14:textId="77777777" w:rsidR="00575AC3" w:rsidRPr="006D40F0" w:rsidRDefault="00575AC3" w:rsidP="006D40F0">
      <w:pPr>
        <w:pStyle w:val="b-post"/>
      </w:pPr>
      <w:r w:rsidRPr="006D40F0">
        <w:t>Post 72 Assistert retur og reintegrering i hjemlandet, kan overføres</w:t>
      </w:r>
    </w:p>
    <w:p w14:paraId="3C1FF441" w14:textId="77777777" w:rsidR="00575AC3" w:rsidRPr="006D40F0" w:rsidRDefault="00575AC3" w:rsidP="006D40F0">
      <w:r w:rsidRPr="006D40F0">
        <w:t>I bevilgningen på posten i saldert budsjett 2024 er det lagt til grunn 140 assisterte returer og 400 tilbakevendinger. Det legges nå til grunn at det vil gjennomføres 200 assisterte returer og 700 tilbakevendinger i år. Som følge av dette øker bevilgningsbehovet på posten.</w:t>
      </w:r>
    </w:p>
    <w:p w14:paraId="30EA3FE0" w14:textId="77777777" w:rsidR="00575AC3" w:rsidRPr="006D40F0" w:rsidRDefault="00575AC3" w:rsidP="006D40F0">
      <w:r w:rsidRPr="006D40F0">
        <w:t>Det foreslås å øke bevilgningen på kap. 490, post 72, med 6,2 mill. kroner.</w:t>
      </w:r>
    </w:p>
    <w:p w14:paraId="25A13B2F" w14:textId="77777777" w:rsidR="00575AC3" w:rsidRPr="006D40F0" w:rsidRDefault="00575AC3" w:rsidP="006D40F0">
      <w:pPr>
        <w:pStyle w:val="b-post"/>
      </w:pPr>
      <w:r w:rsidRPr="006D40F0">
        <w:t>Post 75 Reiseutgifter for flyktninger fra utlandet, kan overføres</w:t>
      </w:r>
    </w:p>
    <w:p w14:paraId="35684681" w14:textId="77777777" w:rsidR="00575AC3" w:rsidRPr="006D40F0" w:rsidRDefault="00575AC3" w:rsidP="006D40F0">
      <w:r w:rsidRPr="006D40F0">
        <w:t xml:space="preserve">Det er anslått et </w:t>
      </w:r>
      <w:proofErr w:type="spellStart"/>
      <w:r w:rsidRPr="006D40F0">
        <w:t>mindrebehov</w:t>
      </w:r>
      <w:proofErr w:type="spellEnd"/>
      <w:r w:rsidRPr="006D40F0">
        <w:t xml:space="preserve"> på posten som skyldes redusert dollarkurs og lavere enhetspris for reisene enn lagt til grunn i saldert budsjett 2024.</w:t>
      </w:r>
    </w:p>
    <w:p w14:paraId="7C6580D3" w14:textId="77777777" w:rsidR="00575AC3" w:rsidRPr="006D40F0" w:rsidRDefault="00575AC3" w:rsidP="006D40F0">
      <w:r w:rsidRPr="006D40F0">
        <w:t>Det foreslås å redusere bevilgningen på kap. 490, post 75, med 1,8 mill. kroner.</w:t>
      </w:r>
    </w:p>
    <w:p w14:paraId="5D0C272C" w14:textId="77777777" w:rsidR="00575AC3" w:rsidRPr="006D40F0" w:rsidRDefault="00575AC3" w:rsidP="006D40F0">
      <w:pPr>
        <w:pStyle w:val="b-budkaptit"/>
      </w:pPr>
      <w:r w:rsidRPr="006D40F0">
        <w:lastRenderedPageBreak/>
        <w:t>Kap. 3490 Utlendingsdirektoratet</w:t>
      </w:r>
    </w:p>
    <w:p w14:paraId="36479B07" w14:textId="77777777" w:rsidR="00575AC3" w:rsidRPr="006D40F0" w:rsidRDefault="00575AC3" w:rsidP="006D40F0">
      <w:pPr>
        <w:pStyle w:val="b-post"/>
      </w:pPr>
      <w:r w:rsidRPr="006D40F0">
        <w:t>Post 01 Assistert retur fra Norge for asylsøkere med avslag, ODA-godkjente utgifter</w:t>
      </w:r>
    </w:p>
    <w:p w14:paraId="74131F6D" w14:textId="77777777" w:rsidR="00575AC3" w:rsidRPr="006D40F0" w:rsidRDefault="00575AC3" w:rsidP="006D40F0">
      <w:r w:rsidRPr="006D40F0">
        <w:t>Det foreslås å øke bevilgningen på kap. 3490, post 01, med 3,7 mill. kroner på grunn av økt prognose på returer (basert på endring på kap. 490, post 72) og en økning i andel returer til ODA-land.</w:t>
      </w:r>
    </w:p>
    <w:p w14:paraId="1CA9882B" w14:textId="77777777" w:rsidR="00575AC3" w:rsidRPr="006D40F0" w:rsidRDefault="00575AC3" w:rsidP="006D40F0">
      <w:pPr>
        <w:pStyle w:val="b-post"/>
      </w:pPr>
      <w:r w:rsidRPr="006D40F0">
        <w:t>Post 03 Reiseutgifter for flyktninger fra utlandet, ODA-godkjente utgifter</w:t>
      </w:r>
    </w:p>
    <w:p w14:paraId="2ED99EEE" w14:textId="77777777" w:rsidR="00575AC3" w:rsidRPr="006D40F0" w:rsidRDefault="00575AC3" w:rsidP="006D40F0">
      <w:r w:rsidRPr="006D40F0">
        <w:t>Det foreslås å redusere bevilgningen på kap. 3490, post 03, med 2,5 mill. kroner på grunn av endringer i pris og valuta (basert på endringer på kap. 490, post 01 og 75).</w:t>
      </w:r>
    </w:p>
    <w:p w14:paraId="6DB2EAF9" w14:textId="77777777" w:rsidR="00575AC3" w:rsidRPr="006D40F0" w:rsidRDefault="00575AC3" w:rsidP="006D40F0">
      <w:pPr>
        <w:pStyle w:val="b-post"/>
      </w:pPr>
      <w:r w:rsidRPr="006D40F0">
        <w:t>Post 04 Asylmottak, ODA-godkjente utgifter</w:t>
      </w:r>
    </w:p>
    <w:p w14:paraId="03ED3C7C" w14:textId="77777777" w:rsidR="00575AC3" w:rsidRPr="006D40F0" w:rsidRDefault="00575AC3" w:rsidP="006D40F0">
      <w:r w:rsidRPr="006D40F0">
        <w:t>Det foreslås å øke bevilgningen på kap. 3490, post 04, med 1 138,1 mill. kroner som følge av økte utgifter til innkvartering i asylmottak (basert på endringer på kap. 490, post 21, 60 og 70).</w:t>
      </w:r>
    </w:p>
    <w:p w14:paraId="3F36156C" w14:textId="77777777" w:rsidR="00575AC3" w:rsidRPr="006D40F0" w:rsidRDefault="00575AC3" w:rsidP="006D40F0">
      <w:pPr>
        <w:pStyle w:val="b-post"/>
      </w:pPr>
      <w:r w:rsidRPr="006D40F0">
        <w:t>Post 07 Tolk og oversettelse, ODA-godkjente utgifter</w:t>
      </w:r>
    </w:p>
    <w:p w14:paraId="18E0A8CD" w14:textId="77777777" w:rsidR="00575AC3" w:rsidRPr="006D40F0" w:rsidRDefault="00575AC3" w:rsidP="006D40F0">
      <w:r w:rsidRPr="006D40F0">
        <w:t>Det foreslås å redusere bevilgningen på kap. 3490, post 07, med 3,3 mill. kroner som følge av en reduksjon i behov for tolketjenester (basert på endring på kap. 490, post 22).</w:t>
      </w:r>
    </w:p>
    <w:p w14:paraId="7DB88EC5" w14:textId="77777777" w:rsidR="00575AC3" w:rsidRPr="006D40F0" w:rsidRDefault="00575AC3" w:rsidP="006D40F0">
      <w:pPr>
        <w:pStyle w:val="b-post"/>
      </w:pPr>
      <w:r w:rsidRPr="006D40F0">
        <w:t>Post 08 Internasjonalt migrasjonsarbeid og reintegrering i hjemlandet, ODA-godkjente utgifter</w:t>
      </w:r>
    </w:p>
    <w:p w14:paraId="2C4A14A7" w14:textId="77777777" w:rsidR="00575AC3" w:rsidRPr="006D40F0" w:rsidRDefault="00575AC3" w:rsidP="006D40F0">
      <w:r w:rsidRPr="006D40F0">
        <w:t>Det foreslås å øke bevilgningen på kap. 3490, post 08, med 6,1 mill. kroner som følge av økt prognose på tilbakevending (basert på endring på kap. 490, post 72).</w:t>
      </w:r>
    </w:p>
    <w:p w14:paraId="31071287" w14:textId="77777777" w:rsidR="00575AC3" w:rsidRPr="006D40F0" w:rsidRDefault="00575AC3" w:rsidP="006D40F0">
      <w:pPr>
        <w:pStyle w:val="Undertittel"/>
      </w:pPr>
      <w:r w:rsidRPr="006D40F0">
        <w:t>Andre saker</w:t>
      </w:r>
    </w:p>
    <w:p w14:paraId="775E7FEF" w14:textId="77777777" w:rsidR="00575AC3" w:rsidRPr="006D40F0" w:rsidRDefault="00575AC3" w:rsidP="006D40F0">
      <w:pPr>
        <w:pStyle w:val="avsnitt-undertittel"/>
      </w:pPr>
      <w:r w:rsidRPr="006D40F0">
        <w:t>Budsjettsituasjonen og økonomistyringen i politiet</w:t>
      </w:r>
    </w:p>
    <w:p w14:paraId="7F5EEB2E" w14:textId="77777777" w:rsidR="00575AC3" w:rsidRPr="006D40F0" w:rsidRDefault="00575AC3" w:rsidP="006D40F0">
      <w:r w:rsidRPr="006D40F0">
        <w:t xml:space="preserve">Politiet har de siste årene måtte håndtere et mer komplekst og alvorlig trusselbilde her hjemme, samtidig med midlertidige oppdrag i forbindelse med koronapandemien og konsekvensene av krigen i Ukraina. Dette, kombinert med håndtering av </w:t>
      </w:r>
      <w:proofErr w:type="spellStart"/>
      <w:r w:rsidRPr="006D40F0">
        <w:t>mindreforbruk</w:t>
      </w:r>
      <w:proofErr w:type="spellEnd"/>
      <w:r w:rsidRPr="006D40F0">
        <w:t xml:space="preserve"> etter pandemien, høy prisvekst og merutgifter blant annet til nødvendig drift av politiets IT-systemer, har resultert i en krevende og uforutsigbar situasjon for politiet.</w:t>
      </w:r>
    </w:p>
    <w:p w14:paraId="7771518C" w14:textId="77777777" w:rsidR="00575AC3" w:rsidRPr="006D40F0" w:rsidRDefault="00575AC3" w:rsidP="006D40F0">
      <w:r w:rsidRPr="006D40F0">
        <w:t xml:space="preserve">Til tross for store bevilgningsøkninger de siste årene for å håndtere denne krevende situasjonen, rapporterer politiet om en vanskelig budsjettsituasjon. I løpet av budsjettåret 2023 ble politiets driftsbudsjett økt med til sammen mer enn én mrd. kroner for å oppnå budsjettbalanse og opprettholde bemannings- og aktivitetsnivået. For å bidra til en felles forståelse av situasjonen i politiet har regjeringen fått gjennomført en kort og spisset områdegjennomgang av budsjettsituasjonen og økonomistyringen i politiet. Et sentralt mål med gjennomgangen har vært å foreslå tiltak som kan forbedre beslutningsgrunnlaget for politiet, JD og regjeringen, og med det bidra </w:t>
      </w:r>
      <w:r w:rsidRPr="006D40F0">
        <w:lastRenderedPageBreak/>
        <w:t>til bedre styring av etaten fremover. Rapporten redegjør for budsjett- og ressursutviklingen i politiet under skiftende regjeringer, i perioden 2019-2023. I tillegg inneholder rapporten en vurdering av økonomistyringen i og av politiet, som en del av etats- og virksomhetsstyringen.</w:t>
      </w:r>
    </w:p>
    <w:p w14:paraId="51526237" w14:textId="77777777" w:rsidR="00575AC3" w:rsidRPr="006D40F0" w:rsidRDefault="00575AC3" w:rsidP="006D40F0">
      <w:r w:rsidRPr="006D40F0">
        <w:t xml:space="preserve">Det er naturlig å se denne rapporten, og oppfølgingen av den, i sammenheng med </w:t>
      </w:r>
      <w:proofErr w:type="spellStart"/>
      <w:r w:rsidRPr="006D40F0">
        <w:t>DFØs</w:t>
      </w:r>
      <w:proofErr w:type="spellEnd"/>
      <w:r w:rsidRPr="006D40F0">
        <w:t xml:space="preserve"> rapport fra mars 2023 </w:t>
      </w:r>
      <w:proofErr w:type="spellStart"/>
      <w:r w:rsidRPr="00575AC3">
        <w:rPr>
          <w:rStyle w:val="kursiv"/>
        </w:rPr>
        <w:t>Direktoratsrollen</w:t>
      </w:r>
      <w:proofErr w:type="spellEnd"/>
      <w:r w:rsidRPr="00575AC3">
        <w:rPr>
          <w:rStyle w:val="kursiv"/>
        </w:rPr>
        <w:t xml:space="preserve"> i utvikling – en gjennomgang av Politidirektoratet </w:t>
      </w:r>
      <w:r w:rsidRPr="006D40F0">
        <w:t xml:space="preserve">og Riksrevisjonen sin undersøkelse av digitalisering i politiet, </w:t>
      </w:r>
      <w:r w:rsidRPr="00575AC3">
        <w:rPr>
          <w:rStyle w:val="kursiv"/>
        </w:rPr>
        <w:t>Dokument 3:7 (2023–2024)</w:t>
      </w:r>
      <w:r w:rsidRPr="006D40F0">
        <w:t>, som peker på et stort digitalt etterslep i politiet i perioden 2015-2023.</w:t>
      </w:r>
    </w:p>
    <w:p w14:paraId="608EC9A5" w14:textId="77777777" w:rsidR="00575AC3" w:rsidRPr="006D40F0" w:rsidRDefault="00575AC3" w:rsidP="006D40F0">
      <w:r w:rsidRPr="006D40F0">
        <w:t xml:space="preserve">Rapporten fra områdegjennomgangen gir flere anbefalinger om tiltak i JD, POD og i skjæringspunktet mellom JD og POD. Det pekes i rapporten på at manglende helhetlig, overordnet og langsiktig styring over tid har redusert politiets mulighet til å utnytte ressursene slik at samfunnsoppdraget løses best mulig. Det anbefales i rapporten at styringen i større grad enn i dag bør vektlegge bruker- og samfunnseffekter, og i mindre grad innsatsfaktorer. Både Stortinget, skiftende regjeringer, politiet selv, politiets fagforeninger, media og andre har i analyseperioden hatt stor oppmerksomhet på innsatsfaktorer som bemanningsnivået i politiet. Rapporten viser at det er behov for økt fleksibilitet i budsjettet for å møte endringer i kriminalitetsbildet og ventede merbehov knyttet blant annet til nødvendige IT-investeringer og eiendom. Rapporten har også avdekket at viktig styringsinformasjon mangler i etaten, til tross for at POD har </w:t>
      </w:r>
      <w:proofErr w:type="gramStart"/>
      <w:r w:rsidRPr="006D40F0">
        <w:t>implementert</w:t>
      </w:r>
      <w:proofErr w:type="gramEnd"/>
      <w:r w:rsidRPr="006D40F0">
        <w:t xml:space="preserve"> ny økonomimodell og statlige regnskapsstandarder (SRS). Det foreligger fortsatt for lite informasjon om sammenhengen mellom ressursbruk og måloppnåelse, og det pågår derfor et kontinuerlig arbeid med å heve kvaliteten på dataene og videreutvikle økonomimodellen.</w:t>
      </w:r>
    </w:p>
    <w:p w14:paraId="60DAADD5" w14:textId="77777777" w:rsidR="00575AC3" w:rsidRPr="006D40F0" w:rsidRDefault="00575AC3" w:rsidP="006D40F0">
      <w:r w:rsidRPr="006D40F0">
        <w:t>På bakgrunn av funnene fra områdegjennomgangen vil regjeringen styrke arbeidet med etatsstyringen av og virksomhetsstyringen i politiet. Justis- og beredskapsdepartementet vil legge til rette for en mer langsiktig og helhetlig styring av politiet basert på effektmål knyttet til politiets samfunnsoppdrag, samtidig som det også må ses hen til politiske prioriteringer ut ifra samfunnets forventninger til politiet. Videre skal politiet, i samråd med Justis- og beredskapsdepartementet, bidra til at styringsgrunnlaget for departementet og beslutningsgrunnlaget for regjering og storting er tilstrekkelig for å ivareta en mer langsiktig og helhetlig styring av politiet. Regjeringen vil komme tilbake med en omtale av dette arbeidet i forbindelse med fremleggelsen av 2025-budsjettet til høsten.</w:t>
      </w:r>
    </w:p>
    <w:p w14:paraId="404BBDFD" w14:textId="77777777" w:rsidR="00575AC3" w:rsidRPr="006D40F0" w:rsidRDefault="00575AC3" w:rsidP="006D40F0">
      <w:r w:rsidRPr="006D40F0">
        <w:t>Regjeringen er opptatt av at politiet skal ha de rammebetingelsene som er nødvendig for å løse hele sitt samfunnsoppdrag og være til stede i lokalsamfunn i hele landet. Regjeringen vil sikre mest mulig politikraft ut av de pengene som bevilges. I tillegg til arbeidet med å forbedre styringen, følger regjeringen derfor opp anbefalingene fra områdegjennomgangen ved å styrke grunnfinansieringen av politiet, og med det gi bedre og mer fleksible rammebetingelser, samtidig som regjeringen prioriterer en betydelig permanent innsats mot organisert kriminalitet. Regjeringen foreslår på denne bakgrunn å øke politiets driftsbudsjett, se omtale av bevilgningsforslag under kap. 440, post 01.</w:t>
      </w:r>
    </w:p>
    <w:p w14:paraId="34C4652F" w14:textId="77777777" w:rsidR="00575AC3" w:rsidRPr="006D40F0" w:rsidRDefault="00575AC3" w:rsidP="006D40F0">
      <w:pPr>
        <w:pStyle w:val="Overskrift2"/>
      </w:pPr>
      <w:r w:rsidRPr="006D40F0">
        <w:lastRenderedPageBreak/>
        <w:t>Kommunal- og distriktsdepartementet</w:t>
      </w:r>
    </w:p>
    <w:p w14:paraId="6D6A807B" w14:textId="77777777" w:rsidR="00575AC3" w:rsidRPr="006D40F0" w:rsidRDefault="00575AC3" w:rsidP="006D40F0">
      <w:pPr>
        <w:pStyle w:val="b-budkaptit"/>
      </w:pPr>
      <w:r w:rsidRPr="006D40F0">
        <w:t>Kap. 500 Kommunal- og distriktsdepartementet</w:t>
      </w:r>
    </w:p>
    <w:p w14:paraId="29CFE8AB" w14:textId="77777777" w:rsidR="00575AC3" w:rsidRPr="006D40F0" w:rsidRDefault="00575AC3" w:rsidP="006D40F0">
      <w:pPr>
        <w:pStyle w:val="b-post"/>
      </w:pPr>
      <w:r w:rsidRPr="006D40F0">
        <w:t>Post 21 Spesielle driftsutgifter, kan overføres, kan nyttes under post 70</w:t>
      </w:r>
    </w:p>
    <w:p w14:paraId="281DB6DF" w14:textId="77777777" w:rsidR="00575AC3" w:rsidRPr="006D40F0" w:rsidRDefault="00575AC3" w:rsidP="006D40F0">
      <w:r w:rsidRPr="006D40F0">
        <w:t xml:space="preserve">Bevilgningen dekker Kommunal- og </w:t>
      </w:r>
      <w:proofErr w:type="spellStart"/>
      <w:r w:rsidRPr="006D40F0">
        <w:t>distriktsdepartementets</w:t>
      </w:r>
      <w:proofErr w:type="spellEnd"/>
      <w:r w:rsidRPr="006D40F0">
        <w:t xml:space="preserve"> kjøp av statistikk, data, utredninger, evalueringer og formidling av kunnskap og gjennomføring av midlertidige tiltak og prosjekt.</w:t>
      </w:r>
    </w:p>
    <w:p w14:paraId="16FD5F2F" w14:textId="77777777" w:rsidR="00575AC3" w:rsidRPr="006D40F0" w:rsidRDefault="00575AC3" w:rsidP="006D40F0">
      <w:r w:rsidRPr="006D40F0">
        <w:t>Våren 2024 vil staten inngå fem bygdevekstavtaler med til sammen 17 kommuner. Statsforvalter skal være en ressurs for kommunene i handlingsplanarbeidet samtidig som de har et overordnet koordineringsansvar med å følge opp avtalene, i samarbeid med fylkeskommunen. Det foreslås å øke bevilgningen med 700 000 kroner mot en tilsvarende reduksjon på kap. 553, post 66.</w:t>
      </w:r>
    </w:p>
    <w:p w14:paraId="11393D35" w14:textId="77777777" w:rsidR="00575AC3" w:rsidRPr="006D40F0" w:rsidRDefault="00575AC3" w:rsidP="006D40F0">
      <w:pPr>
        <w:pStyle w:val="b-post"/>
      </w:pPr>
      <w:r w:rsidRPr="006D40F0">
        <w:t>Post 50 Forskningsmidler til Norges forskningsråd m.m.</w:t>
      </w:r>
    </w:p>
    <w:p w14:paraId="5BEDD765" w14:textId="77777777" w:rsidR="00575AC3" w:rsidRPr="006D40F0" w:rsidRDefault="00575AC3" w:rsidP="006D40F0">
      <w:r w:rsidRPr="006D40F0">
        <w:t xml:space="preserve">Bevilgningen dekker Kommunal- og </w:t>
      </w:r>
      <w:proofErr w:type="spellStart"/>
      <w:r w:rsidRPr="006D40F0">
        <w:t>distriktsdepartementets</w:t>
      </w:r>
      <w:proofErr w:type="spellEnd"/>
      <w:r w:rsidRPr="006D40F0">
        <w:t xml:space="preserve"> behov for langsiktig kunnskapsoppbygging i regi av Norges Forskningsråd.</w:t>
      </w:r>
    </w:p>
    <w:p w14:paraId="4E6D1FEC" w14:textId="77777777" w:rsidR="00575AC3" w:rsidRPr="006D40F0" w:rsidRDefault="00575AC3" w:rsidP="006D40F0">
      <w:r w:rsidRPr="006D40F0">
        <w:t xml:space="preserve">Kommunal- og distriktsdepartementet og Digitaliserings- og forvaltningsdepartementet har for 2024 gitt Forskningsrådet i oppdrag å innhente kunnskapsgrunnlag for vurdering av videre satsing på forskning på </w:t>
      </w:r>
      <w:proofErr w:type="spellStart"/>
      <w:r w:rsidRPr="006D40F0">
        <w:t>distriktsutfordringer</w:t>
      </w:r>
      <w:proofErr w:type="spellEnd"/>
      <w:r w:rsidRPr="006D40F0">
        <w:t xml:space="preserve"> og regional utvikling fra 2025.</w:t>
      </w:r>
    </w:p>
    <w:p w14:paraId="4B6E7F98" w14:textId="77777777" w:rsidR="00575AC3" w:rsidRPr="006D40F0" w:rsidRDefault="00575AC3" w:rsidP="006D40F0">
      <w:r w:rsidRPr="006D40F0">
        <w:t>I tråd med retningslinjene for styring av virksomhetskostnader i Forskningsrådet foreslås det å redusere bevilgningen med 1 mill. kroner mot en tilsvarende økning på kap. 285, post 55 under Kunnskapsdepartementet.</w:t>
      </w:r>
    </w:p>
    <w:p w14:paraId="6921C268" w14:textId="77777777" w:rsidR="00575AC3" w:rsidRPr="006D40F0" w:rsidRDefault="00575AC3" w:rsidP="006D40F0">
      <w:pPr>
        <w:pStyle w:val="b-budkaptit"/>
      </w:pPr>
      <w:r w:rsidRPr="006D40F0">
        <w:t>Kap. 553 Regional- og distriktsutvikling</w:t>
      </w:r>
    </w:p>
    <w:p w14:paraId="4F2C07F7" w14:textId="77777777" w:rsidR="00575AC3" w:rsidRPr="006D40F0" w:rsidRDefault="00575AC3" w:rsidP="006D40F0">
      <w:pPr>
        <w:pStyle w:val="b-post"/>
      </w:pPr>
      <w:r w:rsidRPr="006D40F0">
        <w:t>Post 61 Mobiliserende og kvalifiserende næringsutvikling</w:t>
      </w:r>
    </w:p>
    <w:p w14:paraId="673A760E" w14:textId="77777777" w:rsidR="00575AC3" w:rsidRPr="006D40F0" w:rsidRDefault="00575AC3" w:rsidP="006D40F0">
      <w:r w:rsidRPr="006D40F0">
        <w:t>Bevilgningen går til fylkeskommunene som gir oppdrag til Innovasjon Norge og Siva for en portefølje av næringsrettede virkemidler, med mål om innovasjon og næringsutvikling lokalt og regionalt. Virkemidlene inkluderer låne- og tilskuddsordninger, veiledning og nettverk.</w:t>
      </w:r>
    </w:p>
    <w:p w14:paraId="48CFE36F" w14:textId="77777777" w:rsidR="00575AC3" w:rsidRPr="006D40F0" w:rsidRDefault="00575AC3" w:rsidP="006D40F0">
      <w:pPr>
        <w:pStyle w:val="avsnitt-undertittel"/>
      </w:pPr>
      <w:r w:rsidRPr="006D40F0">
        <w:t>Tiltak for næringsutvikling i Øst-Finnmark</w:t>
      </w:r>
    </w:p>
    <w:p w14:paraId="6A54E5D3" w14:textId="77777777" w:rsidR="00575AC3" w:rsidRPr="006D40F0" w:rsidRDefault="00575AC3" w:rsidP="006D40F0">
      <w:r w:rsidRPr="006D40F0">
        <w:t xml:space="preserve">I forbindelse med den ekstraordinære tiltakspakken til Øst-Finnmark, ble bevilgningen i juni 2023 økt med 20 mill. kroner til to låneordninger hos Innovasjon Norge rettet mot næringslivet i regionen, jf. </w:t>
      </w:r>
      <w:proofErr w:type="spellStart"/>
      <w:r w:rsidRPr="006D40F0">
        <w:t>Innst</w:t>
      </w:r>
      <w:proofErr w:type="spellEnd"/>
      <w:r w:rsidRPr="006D40F0">
        <w:t>. 490 S (2022–2023). Låneordningene er to av flere virkemidler på posten.</w:t>
      </w:r>
    </w:p>
    <w:p w14:paraId="5601BAF3" w14:textId="77777777" w:rsidR="00575AC3" w:rsidRPr="006D40F0" w:rsidRDefault="00575AC3" w:rsidP="006D40F0">
      <w:r w:rsidRPr="006D40F0">
        <w:t>Kommunal- og distriktsdepartementet har fått tilbakemelding fra Innovasjon Norge og Finnmark fylkeskommune om at etterspørselen etter låneordningene er svært lav i Øst-Finnmark. Den lave etterspørselen har sammenheng med det lokale næringslivets kapital- og risikosituasjon. Fra næringslivet i regionen er spesielt tilskuddsordningene på posten etterspurt.</w:t>
      </w:r>
    </w:p>
    <w:p w14:paraId="1B6DDA51" w14:textId="77777777" w:rsidR="00575AC3" w:rsidRPr="006D40F0" w:rsidRDefault="00575AC3" w:rsidP="006D40F0">
      <w:r w:rsidRPr="006D40F0">
        <w:t>Det foreslås derfor at bevilgningen til næringsrettede tiltak i Øst-Finnmark over kap. 553 post 61 på 20 mill. kroner kan nyttes av Innovasjon Norge til næringsrettede tiltak i regionen gjennom alle virkemidlene under kap. 553, post 61.</w:t>
      </w:r>
    </w:p>
    <w:p w14:paraId="605D0754" w14:textId="77777777" w:rsidR="00575AC3" w:rsidRPr="006D40F0" w:rsidRDefault="00575AC3" w:rsidP="006D40F0">
      <w:r w:rsidRPr="006D40F0">
        <w:lastRenderedPageBreak/>
        <w:t>Endringen ses i sammenheng med forslag til nytt virkemiddel omtalt under.</w:t>
      </w:r>
    </w:p>
    <w:p w14:paraId="6BEEFA4E" w14:textId="77777777" w:rsidR="00575AC3" w:rsidRPr="006D40F0" w:rsidRDefault="00575AC3" w:rsidP="006D40F0">
      <w:pPr>
        <w:pStyle w:val="avsnitt-undertittel"/>
      </w:pPr>
      <w:r w:rsidRPr="006D40F0">
        <w:t>Kommunale næringsfond</w:t>
      </w:r>
    </w:p>
    <w:p w14:paraId="4A05658A" w14:textId="77777777" w:rsidR="00575AC3" w:rsidRPr="006D40F0" w:rsidRDefault="00575AC3" w:rsidP="006D40F0">
      <w:r w:rsidRPr="006D40F0">
        <w:t xml:space="preserve">I juni 2020 ble bevilgningen økt med 600 mill. kroner til kommuner som ble særlig hardt rammet av høy arbeidsledighet som følge av koronapandemien, jf. Prop. 127 S (2019–2020) og </w:t>
      </w:r>
      <w:proofErr w:type="spellStart"/>
      <w:r w:rsidRPr="006D40F0">
        <w:t>Innst</w:t>
      </w:r>
      <w:proofErr w:type="spellEnd"/>
      <w:r w:rsidRPr="006D40F0">
        <w:t>. 360 S (2019–2020). Midlene skulle sette kommunene i stand til å legge til rette for økt aktivitet, sysselsetting og verdiskaping basert på lokale utfordringer.</w:t>
      </w:r>
    </w:p>
    <w:p w14:paraId="4C154BDA" w14:textId="77777777" w:rsidR="00575AC3" w:rsidRPr="006D40F0" w:rsidRDefault="00575AC3" w:rsidP="006D40F0">
      <w:r w:rsidRPr="006D40F0">
        <w:t>Midlene ble utbetalt til kommunene, uten krav om tilbakebetaling. Kommunal- og distriktsdepartementet fikk i løpet av 2023 flere henvendelser om at kommuner hadde gjenstående midler av ekstrabevilgningen. Fra 2023 har det vært vanskelig å lyse ut midlene på nytt, jf. at formålet med midlene (</w:t>
      </w:r>
      <w:proofErr w:type="spellStart"/>
      <w:r w:rsidRPr="006D40F0">
        <w:t>covid</w:t>
      </w:r>
      <w:proofErr w:type="spellEnd"/>
      <w:r w:rsidRPr="006D40F0">
        <w:t>-utbruddet) er borte.</w:t>
      </w:r>
    </w:p>
    <w:p w14:paraId="680BD989" w14:textId="77777777" w:rsidR="00575AC3" w:rsidRPr="006D40F0" w:rsidRDefault="00575AC3" w:rsidP="006D40F0">
      <w:r w:rsidRPr="006D40F0">
        <w:t>Det foreslås at kommuner som har gjenstående midler per 1. juli 2024 skal tilbakebetale disse innen 30. september 2024. Det settes en nedre grense for tilbakebetaling på 10 000 kroner, for å gjennomføre innbetalingen uten for store administrasjonskostnader. Det foreslås at kommuner som får beholde midler kan bruke disse på ordinære kommunale næringsfond.</w:t>
      </w:r>
    </w:p>
    <w:p w14:paraId="29A559D4" w14:textId="77777777" w:rsidR="00575AC3" w:rsidRPr="006D40F0" w:rsidRDefault="00575AC3" w:rsidP="006D40F0">
      <w:r w:rsidRPr="006D40F0">
        <w:t>Departementet vil sende eget brev til alle berørte kommuner om hvordan de skal gå frem for å tilbakebetale midlene. Kommunene vil bli bedt om å fortløpende tilbakebetale eventuelle midler som kommer inn etter fristen.</w:t>
      </w:r>
    </w:p>
    <w:p w14:paraId="4773D38F" w14:textId="77777777" w:rsidR="00575AC3" w:rsidRPr="006D40F0" w:rsidRDefault="00575AC3" w:rsidP="006D40F0">
      <w:pPr>
        <w:pStyle w:val="avsnitt-undertittel"/>
      </w:pPr>
      <w:r w:rsidRPr="006D40F0">
        <w:t>Utviklingstilskudd for Øst-Finnmark</w:t>
      </w:r>
    </w:p>
    <w:p w14:paraId="418801F8" w14:textId="77777777" w:rsidR="00575AC3" w:rsidRPr="006D40F0" w:rsidRDefault="00575AC3" w:rsidP="006D40F0">
      <w:r w:rsidRPr="006D40F0">
        <w:t xml:space="preserve">Det foreslås å opprette et nytt fast virkemiddel innenfor bevilgningen på posten, rettet mot lokal næringsutvikling i Øst-Finnmark. Bakgrunnen er situasjonen næringslivet i regionen står overfor, blant annet som følge av sanksjoner mot Russland. Et nytt virkemiddel gjør at man kan </w:t>
      </w:r>
      <w:proofErr w:type="spellStart"/>
      <w:r w:rsidRPr="006D40F0">
        <w:t>målrette</w:t>
      </w:r>
      <w:proofErr w:type="spellEnd"/>
      <w:r w:rsidRPr="006D40F0">
        <w:t xml:space="preserve"> innsatsen mot Øst-Finnmark.</w:t>
      </w:r>
    </w:p>
    <w:p w14:paraId="19C06BF3" w14:textId="77777777" w:rsidR="00575AC3" w:rsidRPr="006D40F0" w:rsidRDefault="00575AC3" w:rsidP="006D40F0">
      <w:r w:rsidRPr="006D40F0">
        <w:t>Virkemiddelet kommer i tillegg til eksisterende virkemidler under posten, og er forbeholdt Finnmark fylkeskommune til bruk i kommunene i Øst-Finnmark (Sør-Varanger, Vardø, Vadsø, Lebesby, Gamvik, Berlevåg, Tana, Nesseby, Båtsfjord). Virkemiddelet forvaltes av Innovasjon Norge og innebærer investeringstilskudd til bedrifter, med mål om verdiskaping, sysselsetting og utvikling av næringslivet lokalt og regionalt. Prosjektenes betydning for lokalsamfunnene vil vektlegges. Det vil være krav til bedriftsøkonomisk lønnsomhet, men ikke til innovasjonshøyde. Øvrige føringer og retningslinjer for posten vil gjelde for virkemiddelet.</w:t>
      </w:r>
    </w:p>
    <w:p w14:paraId="05FA0F7D" w14:textId="77777777" w:rsidR="00575AC3" w:rsidRPr="006D40F0" w:rsidRDefault="00575AC3" w:rsidP="006D40F0">
      <w:pPr>
        <w:pStyle w:val="b-post"/>
      </w:pPr>
      <w:r w:rsidRPr="006D40F0">
        <w:t xml:space="preserve">Post 65 Omstilling og utvikling i områder med særlige </w:t>
      </w:r>
      <w:proofErr w:type="spellStart"/>
      <w:r w:rsidRPr="006D40F0">
        <w:t>distriktsutfordringer</w:t>
      </w:r>
      <w:proofErr w:type="spellEnd"/>
    </w:p>
    <w:p w14:paraId="6530E974" w14:textId="77777777" w:rsidR="00575AC3" w:rsidRPr="006D40F0" w:rsidRDefault="00575AC3" w:rsidP="006D40F0">
      <w:r w:rsidRPr="006D40F0">
        <w:t>Bevilgningen omfatter tilskudd til kommuner med langvarig nedgang i befolkning og sysselsetting av særlig omfattende grad, og tilskudd til omstilling i kommuner eller regioner med vesentlig fall i sysselsettingen over relativt kort tid.</w:t>
      </w:r>
    </w:p>
    <w:p w14:paraId="2078E614" w14:textId="77777777" w:rsidR="00575AC3" w:rsidRPr="006D40F0" w:rsidRDefault="00575AC3" w:rsidP="006D40F0">
      <w:pPr>
        <w:pStyle w:val="avsnitt-undertittel"/>
      </w:pPr>
      <w:r w:rsidRPr="006D40F0">
        <w:t>Næringsareal i Sør-Varanger (KILA)</w:t>
      </w:r>
    </w:p>
    <w:p w14:paraId="591F460F" w14:textId="77777777" w:rsidR="00575AC3" w:rsidRPr="006D40F0" w:rsidRDefault="00575AC3" w:rsidP="006D40F0">
      <w:r w:rsidRPr="006D40F0">
        <w:t xml:space="preserve">I forbindelse med den ekstraordinære tiltakspakken til Øst-Finnmark, ble bevilgningen i juni 2023 økt med 8 mill. kroner til utvikling av næringsarealer i Kirkenes. I </w:t>
      </w:r>
      <w:proofErr w:type="spellStart"/>
      <w:r w:rsidRPr="006D40F0">
        <w:t>Innst</w:t>
      </w:r>
      <w:proofErr w:type="spellEnd"/>
      <w:r w:rsidRPr="006D40F0">
        <w:t>. 490 S (2022–</w:t>
      </w:r>
      <w:r w:rsidRPr="006D40F0">
        <w:lastRenderedPageBreak/>
        <w:t xml:space="preserve">2023) fremgår det at økningen skal </w:t>
      </w:r>
      <w:r w:rsidRPr="00575AC3">
        <w:rPr>
          <w:rStyle w:val="kursiv"/>
        </w:rPr>
        <w:t xml:space="preserve">«bidra til næringsutvikling ved å sette Sør-Varanger kommune i stand til å klargjøre mer næringsareal. Kirkenes </w:t>
      </w:r>
      <w:proofErr w:type="spellStart"/>
      <w:r w:rsidRPr="00575AC3">
        <w:rPr>
          <w:rStyle w:val="kursiv"/>
        </w:rPr>
        <w:t>Industrial</w:t>
      </w:r>
      <w:proofErr w:type="spellEnd"/>
      <w:r w:rsidRPr="00575AC3">
        <w:rPr>
          <w:rStyle w:val="kursiv"/>
        </w:rPr>
        <w:t xml:space="preserve"> </w:t>
      </w:r>
      <w:proofErr w:type="spellStart"/>
      <w:r w:rsidRPr="00575AC3">
        <w:rPr>
          <w:rStyle w:val="kursiv"/>
        </w:rPr>
        <w:t>Logistics</w:t>
      </w:r>
      <w:proofErr w:type="spellEnd"/>
      <w:r w:rsidRPr="00575AC3">
        <w:rPr>
          <w:rStyle w:val="kursiv"/>
        </w:rPr>
        <w:t xml:space="preserve"> Area (KILA) er et planlagt område på et tidligere slamdeponi utenfor Kirkenes. Området er tenkt utviklet som et offentlig-privat samarbeid. Flertallet viser til at midlene kan også sette kommunen i stand til å tilby tomter til gunstige betingelser så lenge det er godt begrunnet og i tråd med reglene om offentlig støtte».</w:t>
      </w:r>
    </w:p>
    <w:p w14:paraId="1FCFA184" w14:textId="77777777" w:rsidR="00575AC3" w:rsidRPr="006D40F0" w:rsidRDefault="00575AC3" w:rsidP="006D40F0">
      <w:r w:rsidRPr="006D40F0">
        <w:t>Fylkeskommunen og kommunen ønsker å bruke midlene på generelle tiltak for utvikling av næringsarealer i kommunen, og melder om stort behov for slike tiltak. Det er videre knyttet usikkerhet til gjennomføring og fremdrift i KILA-prosjektet. Det foreslås derfor at formålet med midlene endres slik at Sør-Varanger kommune kan bruke midlene til å planlegge, regulere og klargjøre mer næringsareal i kommunen.</w:t>
      </w:r>
    </w:p>
    <w:p w14:paraId="7B74064A" w14:textId="77777777" w:rsidR="00575AC3" w:rsidRPr="006D40F0" w:rsidRDefault="00575AC3" w:rsidP="006D40F0">
      <w:pPr>
        <w:pStyle w:val="b-post"/>
      </w:pPr>
      <w:r w:rsidRPr="006D40F0">
        <w:t>Post 66 Bygdevekstavtaler, kan overføres</w:t>
      </w:r>
    </w:p>
    <w:p w14:paraId="2D222DB5" w14:textId="77777777" w:rsidR="00575AC3" w:rsidRPr="006D40F0" w:rsidRDefault="00575AC3" w:rsidP="006D40F0">
      <w:r w:rsidRPr="006D40F0">
        <w:t>Bevilgningen går til en pilotordning for bygdevekstavtaler i de minst sentrale delene av Distrikts-Norge. Tilskuddsordningen skal støtte ulike deler av prosessen før en avtale er inngått, samt konkrete tiltak i de påfølgende handlingsplanene.</w:t>
      </w:r>
    </w:p>
    <w:p w14:paraId="13405717" w14:textId="77777777" w:rsidR="00575AC3" w:rsidRPr="006D40F0" w:rsidRDefault="00575AC3" w:rsidP="006D40F0">
      <w:r w:rsidRPr="006D40F0">
        <w:t>Våren 2024 vil staten inngå fem bygdevekstavtaler med til sammen 17 kommuner. Tre av avtalene er i Finnmark og to i Trøndelag.</w:t>
      </w:r>
    </w:p>
    <w:p w14:paraId="2659DB22" w14:textId="77777777" w:rsidR="00575AC3" w:rsidRPr="006D40F0" w:rsidRDefault="00575AC3" w:rsidP="006D40F0">
      <w:r w:rsidRPr="006D40F0">
        <w:t>Avtaleinngåelsene innebærer at det er gitt tilleggsoppdrag i 2024 til Statsforvalter og Husbanken. Statsforvalter har fått eget oppdrag i tildelingsbrevet for 2024, og skal være en ressurs for kommunene i handlingsplanarbeidet samtidig som de har et overordnet koordineringsansvar med å følge opp avtalene, i samarbeid med fylkeskommunen. Husbanken skal som samarbeidspart inn i alle avtalene, bistå kommunene med kapasitet og kompetanse på boligtematikken og bidra konkret inn i handlingsplanarbeidet.</w:t>
      </w:r>
    </w:p>
    <w:p w14:paraId="60386FA8" w14:textId="77777777" w:rsidR="00575AC3" w:rsidRPr="006D40F0" w:rsidRDefault="00575AC3" w:rsidP="006D40F0">
      <w:r w:rsidRPr="006D40F0">
        <w:t>Det foreslås å redusere bevilgningen med 2,2 mill. kroner mot en økning på 700 000 kroner på kap. 500, post 21 og 1,5 mill. kroner på kap. 2412, post 01.</w:t>
      </w:r>
    </w:p>
    <w:p w14:paraId="702064BB" w14:textId="77777777" w:rsidR="00575AC3" w:rsidRPr="006D40F0" w:rsidRDefault="00575AC3" w:rsidP="006D40F0">
      <w:pPr>
        <w:pStyle w:val="b-budkaptit"/>
      </w:pPr>
      <w:r w:rsidRPr="006D40F0">
        <w:t>Kap. 560 Samiske formål</w:t>
      </w:r>
    </w:p>
    <w:p w14:paraId="25C55EEF" w14:textId="77777777" w:rsidR="00575AC3" w:rsidRPr="006D40F0" w:rsidRDefault="00575AC3" w:rsidP="006D40F0">
      <w:pPr>
        <w:pStyle w:val="b-post"/>
      </w:pPr>
      <w:r w:rsidRPr="006D40F0">
        <w:t>Post 50 Samisk språk, kultur og samfunnsliv</w:t>
      </w:r>
    </w:p>
    <w:p w14:paraId="1FD7BA30" w14:textId="77777777" w:rsidR="00575AC3" w:rsidRPr="006D40F0" w:rsidRDefault="00575AC3" w:rsidP="006D40F0">
      <w:r w:rsidRPr="006D40F0">
        <w:t>Bevilgningen forvaltes i sin helhet av Sametinget. Som resultat av meklingen i forbindelse med Fosen-saken, foreslår regjeringen en engangsbevilgning på 5 mill. kroner til oppretting av et sør-samisk kulturfond. Midlene skal kunne benyttes over flere år, og det tas sikte på at Sametinget utarbeider vedtekter for bruken av midlene i fondet.</w:t>
      </w:r>
    </w:p>
    <w:p w14:paraId="320E823B" w14:textId="77777777" w:rsidR="00575AC3" w:rsidRPr="006D40F0" w:rsidRDefault="00575AC3" w:rsidP="006D40F0">
      <w:r w:rsidRPr="006D40F0">
        <w:t>På bakgrunn av dette foreslås det å øke bevilgningen med 5 mill. kroner.</w:t>
      </w:r>
    </w:p>
    <w:p w14:paraId="71A6CD26" w14:textId="77777777" w:rsidR="00575AC3" w:rsidRPr="006D40F0" w:rsidRDefault="00575AC3" w:rsidP="006D40F0">
      <w:pPr>
        <w:pStyle w:val="b-budkaptit"/>
      </w:pPr>
      <w:r w:rsidRPr="006D40F0">
        <w:lastRenderedPageBreak/>
        <w:t>Kap. 572 Rammetilskudd til fylkeskommuner</w:t>
      </w:r>
    </w:p>
    <w:p w14:paraId="27192218" w14:textId="77777777" w:rsidR="00575AC3" w:rsidRPr="006D40F0" w:rsidRDefault="00575AC3" w:rsidP="006D40F0">
      <w:pPr>
        <w:pStyle w:val="b-post"/>
      </w:pPr>
      <w:r w:rsidRPr="006D40F0">
        <w:t>Post 60 Innbyggertilskudd</w:t>
      </w:r>
    </w:p>
    <w:p w14:paraId="0A3DACCB" w14:textId="77777777" w:rsidR="00575AC3" w:rsidRPr="006D40F0" w:rsidRDefault="00575AC3" w:rsidP="006D40F0">
      <w:pPr>
        <w:pStyle w:val="avsnitt-undertittel"/>
      </w:pPr>
      <w:r w:rsidRPr="006D40F0">
        <w:t>Trekk i innbyggertilskuddet til Rogaland fylkeskommune for ferjesamband som ikke er gratis i 2024</w:t>
      </w:r>
    </w:p>
    <w:p w14:paraId="7B1A9274" w14:textId="77777777" w:rsidR="00575AC3" w:rsidRPr="006D40F0" w:rsidRDefault="00575AC3" w:rsidP="006D40F0">
      <w:r w:rsidRPr="006D40F0">
        <w:t xml:space="preserve">Ordningen med gratis ferje gjaldt fra 1. juli 2022 for fylkeskommunale ferjesamband med under 100 000 passasjerer på årsbasis og på trafikksvake strekninger innenfor flerkantsamband som går til øyer og samfunn uten veiforbindelse til fastlandet, jf. Prop. 115 S (2021–2022) </w:t>
      </w:r>
      <w:r w:rsidRPr="00575AC3">
        <w:rPr>
          <w:rStyle w:val="kursiv"/>
        </w:rPr>
        <w:t>Tilleggsbevilgninger og omprioriteringer i statsbudsjettet 2022</w:t>
      </w:r>
      <w:r w:rsidRPr="006D40F0">
        <w:t>. Fra 16. august 2023 ble ordningen utvidet til å omfatte alle ferjesamband til øyer og andre samfunn uten veiforbindelse til fastlandet, jf. Prop. 1 S (2022–2023) for Samferdselsdepartementet og Prop. 1 S Tillegg 1 (2022–2023).</w:t>
      </w:r>
    </w:p>
    <w:p w14:paraId="45715A83" w14:textId="77777777" w:rsidR="00575AC3" w:rsidRPr="006D40F0" w:rsidRDefault="00575AC3" w:rsidP="006D40F0">
      <w:r w:rsidRPr="006D40F0">
        <w:t>Regjeringen har kompensert fylkeskommunene for ordningen med gratis ferjer til øyer og andre samfunn uten veiforbindelse til fastlandet gjennom en økning i rammetilskuddet til ferjefylkene.</w:t>
      </w:r>
    </w:p>
    <w:p w14:paraId="28AA1C7F" w14:textId="77777777" w:rsidR="00575AC3" w:rsidRPr="006D40F0" w:rsidRDefault="00575AC3" w:rsidP="006D40F0">
      <w:r w:rsidRPr="006D40F0">
        <w:t>Rogaland fylkeskommune vedtok 20. februar 2024 å gjeninnføre betaling for biler på fem ferjesamband i fylket som er omfattet av ordningen med gratis ferje. Dette gjelder ferjesambandene Mekjarvik–Kvitsøy, Stavanger–Vassøy, Haugesund–Utsira, Finnøyferjen og Ryfylkeferjen. Betalingen på sambandene ble satt i verk fra 15. april. I tillegg har ferjesambandet Lauvvik–Lysebotn i Rogaland aldri vært gratis.</w:t>
      </w:r>
    </w:p>
    <w:p w14:paraId="211403DD" w14:textId="77777777" w:rsidR="00575AC3" w:rsidRPr="006D40F0" w:rsidRDefault="00575AC3" w:rsidP="006D40F0">
      <w:r w:rsidRPr="006D40F0">
        <w:t>Regjeringen mener at det kun er særskilte trafikale forhold som tilsier at det kan være betaling på ferjesambandene som inngår i ordningen med gratis ferje. Rogaland fylkeskommune bryter derfor med hovedintensjonen for ordningen og bruker midlene som Stortinget bevilget til formålet, til andre tiltak. Regjeringen foreslår derfor et trekk i innbyggertilskuddet til Rogaland fylkeskommune for ferjesambandene som er omfattet av ordningen med gratis ferjer, men som ikke er gratis i 2024.</w:t>
      </w:r>
    </w:p>
    <w:p w14:paraId="17E4F2F4" w14:textId="77777777" w:rsidR="00575AC3" w:rsidRPr="006D40F0" w:rsidRDefault="00575AC3" w:rsidP="006D40F0">
      <w:r w:rsidRPr="006D40F0">
        <w:t>Kompensasjon for gratis ferjer ble i 2022 og 2023 gitt med særskilt fordeling (tabell C) i rammetilskuddet. Kompensasjon for gratis ferje i 2024 blir ikke lenger gitt med en særskilt fordeling, men den er fordelt etter en justert versjon av ferjekriteriet i kostnadsnøkkelen. Inntektsmodellen i ferjekriteriet er justert for å ta hensyn til det samlede inntektsbortfallet som følger av reduserte ferjetakster og innføring av gratis ferje. Med denne justeringen er det ikke mulig å beregne nøyaktig hvordan kompensasjon for gratis ferjer er fordelt til den enkelt fylkeskommune i 2024. For å beregne trekket for den enkelte fylkeskommune har Kommunal- og distriktsdepartementet gjort et anslag på hvor mye de ulike fylkeskommunene får til gratis ferje gjennom ferjekriteriet i 2024.</w:t>
      </w:r>
    </w:p>
    <w:p w14:paraId="454940EC" w14:textId="77777777" w:rsidR="00575AC3" w:rsidRPr="006D40F0" w:rsidRDefault="00575AC3" w:rsidP="006D40F0">
      <w:r w:rsidRPr="006D40F0">
        <w:t>Samlet trekk utgjør 9,2 mill. kroner for Rogaland fylkeskommune. Midlene som trekkes inn i 2024, omfordeles til de øvrige ferjefylkene etter delkostnadsnøkkelen for ferjer i 2024. I beregning av trekket for Rogaland er det tatt hensyn til at de aktuelle ferjesambandene var gratis frem til 15. april 2024.</w:t>
      </w:r>
    </w:p>
    <w:p w14:paraId="264C861D" w14:textId="77777777" w:rsidR="00575AC3" w:rsidRPr="006D40F0" w:rsidRDefault="00575AC3" w:rsidP="006D40F0">
      <w:r w:rsidRPr="006D40F0">
        <w:t>Regjeringen vil vurdere behovet for eventuelt å endre ordningen for gratis ferje frem mot statsbudsjettet for 2025.</w:t>
      </w:r>
    </w:p>
    <w:p w14:paraId="60C1BAFC" w14:textId="77777777" w:rsidR="00575AC3" w:rsidRPr="006D40F0" w:rsidRDefault="00575AC3" w:rsidP="006D40F0">
      <w:r w:rsidRPr="006D40F0">
        <w:lastRenderedPageBreak/>
        <w:t>Flertallet i Rogaland fylkesting vedtok 30. april at «Dersom Stortinget likevel vedtar regjeringens forslag om ytterligere kutt i Rogaland fylkeskommune sine frie inntekter i Kommuneproposisjonen 2025/Revidert nasjonalbudsjett 2024 fordi en har innført betaling for kjøretøy på ferjer, så vil fylkeskommunen gjøre nytt vedtak.»</w:t>
      </w:r>
    </w:p>
    <w:p w14:paraId="032F3516" w14:textId="77777777" w:rsidR="00575AC3" w:rsidRPr="006D40F0" w:rsidRDefault="00575AC3" w:rsidP="006D40F0">
      <w:pPr>
        <w:pStyle w:val="b-budkaptit"/>
      </w:pPr>
      <w:r w:rsidRPr="006D40F0">
        <w:t>Kap. 581 Bolig- og bomiljøtiltak</w:t>
      </w:r>
    </w:p>
    <w:p w14:paraId="451430CF" w14:textId="77777777" w:rsidR="00575AC3" w:rsidRPr="006D40F0" w:rsidRDefault="00575AC3" w:rsidP="006D40F0">
      <w:pPr>
        <w:pStyle w:val="b-post"/>
      </w:pPr>
      <w:r w:rsidRPr="006D40F0">
        <w:t>Post 70 Bostøtte, overslagsbevilgning</w:t>
      </w:r>
    </w:p>
    <w:p w14:paraId="32A1484C" w14:textId="77777777" w:rsidR="00575AC3" w:rsidRPr="006D40F0" w:rsidRDefault="00575AC3" w:rsidP="006D40F0">
      <w:r w:rsidRPr="006D40F0">
        <w:t>Posten dekker utbetaling av bostøtte til husstander med lav inntekt og høye boutgifter. Etter forliket om statsbudsjettet 2024 omfatter bevilgningen skjerming av bostøtte mot etterbetalinger etter trygdeoppgjøret, jf. anmodningsvedtak 930 fra 16. juni 2023.</w:t>
      </w:r>
    </w:p>
    <w:p w14:paraId="705F66F2" w14:textId="77777777" w:rsidR="00575AC3" w:rsidRPr="006D40F0" w:rsidRDefault="00575AC3" w:rsidP="006D40F0">
      <w:pPr>
        <w:pStyle w:val="avsnitt-undertittel"/>
      </w:pPr>
      <w:r w:rsidRPr="006D40F0">
        <w:t>Flere mottakere</w:t>
      </w:r>
    </w:p>
    <w:p w14:paraId="16FD3BDE" w14:textId="77777777" w:rsidR="00575AC3" w:rsidRPr="006D40F0" w:rsidRDefault="00575AC3" w:rsidP="006D40F0">
      <w:r w:rsidRPr="006D40F0">
        <w:t>Hittil i 2024 har flere husstander mottatt bostøtte enn tidligere forutsett, hovedsakelig som følge av det høye antallet bosatte flyktninger. Økningen har vært særlig stor blant husstander med midlertidige trygdeytelser eller helt uten trygdeytelser. Mange av disse har svært lav eller ingen skattepliktig inntekt, og høy gjennomsnittlig utbetaling av bostøtte. Dette øker bevilgningsbehovet med 232 mill. kroner.</w:t>
      </w:r>
    </w:p>
    <w:p w14:paraId="0BEE6122" w14:textId="77777777" w:rsidR="00575AC3" w:rsidRPr="006D40F0" w:rsidRDefault="00575AC3" w:rsidP="006D40F0">
      <w:pPr>
        <w:pStyle w:val="avsnitt-undertittel"/>
      </w:pPr>
      <w:r w:rsidRPr="006D40F0">
        <w:t>Anmodningsvedtak nr. 931, 16. juni 2023 om en mer treffsikker bostøtteordning</w:t>
      </w:r>
    </w:p>
    <w:p w14:paraId="531112A4" w14:textId="77777777" w:rsidR="00575AC3" w:rsidRPr="006D40F0" w:rsidRDefault="00575AC3" w:rsidP="006D40F0">
      <w:pPr>
        <w:pStyle w:val="blokksit"/>
      </w:pPr>
      <w:r w:rsidRPr="006D40F0">
        <w:t>«Stortinget ber regjeringen i statsbudsjettet for 2024 fremme forslag om endringer i bostøtteregelverket som gjør ordningen mer treffsikker for husholdninger med lave inntekter og høye boutgifter.»</w:t>
      </w:r>
    </w:p>
    <w:p w14:paraId="51050DBF" w14:textId="77777777" w:rsidR="00575AC3" w:rsidRPr="006D40F0" w:rsidRDefault="00575AC3" w:rsidP="006D40F0">
      <w:r w:rsidRPr="006D40F0">
        <w:t>Regjeringen har våren 2024 lagt frem en boligmelding, der noen av utfordringene ved dagens bostøtteordning som ble beskrevet i rapporten «Bostøtten – opprydning og forankring» drøftes. Rapporten er utarbeidet av en ekspertgruppe som ble satt ned i 2020. Rapporten beskriver innretning, utvikling og historien til bostøtten. I tillegg beskrives tilgrensende ordninger og hvordan bostøtten er innrettet i andre nordiske land. Ekspertgruppen mener at dagens bostøtte er unødvendig kompleks, og anbefaler opprydding og bedre forankring av utregningsreglene. Blant de endringene som løftes frem er at boutgiftstakene i større grad må speile de faktiske boutgiftene i ulike deler av landet og at søkere med sært lave inntekter ikke bør betale noen egenandel. Ekspertgruppen diskuterer også fordeler og ulemper ved å overføre ansvaret for bostøtten til kommunene, men har ikke gitt noen anbefaling. Regjeringen mener det er viktig med en god bostøtteordning, som gjør det enklere for husstander med lave inntekter å skaffe seg og beholde en egnet bolig. Regjeringen vil arbeide videre med å forenkle og forbedre bostøtteordningen. Endringer i ordningen kan ha store konsekvenser, særlig for mottakerne. Det er derfor viktig at vi gjør det nødvendige arbeidet på tvers av velferdsområdene med en helhetlig vurdering av mulige endringer i ordningen. Regjeringen kommer tilbake med status på arbeidet i statsbudsjettet i 2025.</w:t>
      </w:r>
    </w:p>
    <w:p w14:paraId="49ED2F01" w14:textId="77777777" w:rsidR="00575AC3" w:rsidRPr="006D40F0" w:rsidRDefault="00575AC3" w:rsidP="006D40F0">
      <w:pPr>
        <w:pStyle w:val="avsnitt-undertittel"/>
      </w:pPr>
      <w:r w:rsidRPr="006D40F0">
        <w:t>Oppsummering</w:t>
      </w:r>
    </w:p>
    <w:p w14:paraId="2B31124E" w14:textId="77777777" w:rsidR="00575AC3" w:rsidRPr="006D40F0" w:rsidRDefault="00575AC3" w:rsidP="006D40F0">
      <w:r w:rsidRPr="006D40F0">
        <w:t>Det foreslås å øke bevilgningen med 232 mill. kroner.</w:t>
      </w:r>
    </w:p>
    <w:p w14:paraId="1498051E" w14:textId="77777777" w:rsidR="00575AC3" w:rsidRPr="006D40F0" w:rsidRDefault="00575AC3" w:rsidP="006D40F0">
      <w:pPr>
        <w:pStyle w:val="b-post"/>
      </w:pPr>
      <w:r w:rsidRPr="006D40F0">
        <w:lastRenderedPageBreak/>
        <w:t>Post 76 Utleieboliger og forsøk med nye boligmodeller, kan overføres</w:t>
      </w:r>
    </w:p>
    <w:p w14:paraId="27090E04" w14:textId="77777777" w:rsidR="00575AC3" w:rsidRPr="006D40F0" w:rsidRDefault="00575AC3" w:rsidP="006D40F0">
      <w:r w:rsidRPr="006D40F0">
        <w:t>Posten dekker tilskudd til utleieboliger for vanskeligstilte på boligmarkedet og tilskudd til istandsetting av utleieboliger. Saldert budsjett 2024 er 162,7 mill. kroner. Posten budsjetteres med tilsagnsramme, tilsagnsfullmakt og bevilgning. Tilskuddet er avviklet fra og med 2024.</w:t>
      </w:r>
    </w:p>
    <w:p w14:paraId="216B792F" w14:textId="77777777" w:rsidR="00575AC3" w:rsidRPr="006D40F0" w:rsidRDefault="00575AC3" w:rsidP="006D40F0">
      <w:r w:rsidRPr="006D40F0">
        <w:t>Det foreslås å øke bevilgningen med 15,1 mill. kroner som følge av at tilsagnsrammen ble midlertidig økt med 44,4 mill. kroner i forbindelse med nysalderingen av 2023-budsjettet. Det foreslås en økning i tilsagnsfullmakten på 7,5 mill. kroner til 84,8 mill. kroner, jf. forslag til romertallsvedtak. Bevilgningen og tilsagnsfullmakten er knyttet til tilskudd som det er gitt tilsagn om i 2023 og tidligere.</w:t>
      </w:r>
    </w:p>
    <w:p w14:paraId="3314CFB9" w14:textId="77777777" w:rsidR="00575AC3" w:rsidRPr="006D40F0" w:rsidRDefault="00575AC3" w:rsidP="006D40F0">
      <w:pPr>
        <w:pStyle w:val="b-budkaptit"/>
      </w:pPr>
      <w:r w:rsidRPr="006D40F0">
        <w:t xml:space="preserve">Kap. 587 Direktoratet for </w:t>
      </w:r>
      <w:proofErr w:type="spellStart"/>
      <w:r w:rsidRPr="006D40F0">
        <w:t>byggkvalitet</w:t>
      </w:r>
      <w:proofErr w:type="spellEnd"/>
    </w:p>
    <w:p w14:paraId="4071C945" w14:textId="77777777" w:rsidR="00575AC3" w:rsidRPr="006D40F0" w:rsidRDefault="00575AC3" w:rsidP="006D40F0">
      <w:pPr>
        <w:pStyle w:val="b-post"/>
      </w:pPr>
      <w:r w:rsidRPr="006D40F0">
        <w:t>Post 01 Driftsutgifter</w:t>
      </w:r>
    </w:p>
    <w:p w14:paraId="68432678" w14:textId="77777777" w:rsidR="00575AC3" w:rsidRPr="006D40F0" w:rsidRDefault="00575AC3" w:rsidP="006D40F0">
      <w:r w:rsidRPr="006D40F0">
        <w:t xml:space="preserve">Posten dekker lønn, husleie og andre utgifter for Direktoratet for </w:t>
      </w:r>
      <w:proofErr w:type="spellStart"/>
      <w:r w:rsidRPr="006D40F0">
        <w:t>byggkvalitet</w:t>
      </w:r>
      <w:proofErr w:type="spellEnd"/>
      <w:r w:rsidRPr="006D40F0">
        <w:t xml:space="preserve"> (</w:t>
      </w:r>
      <w:proofErr w:type="spellStart"/>
      <w:r w:rsidRPr="006D40F0">
        <w:t>DiBK</w:t>
      </w:r>
      <w:proofErr w:type="spellEnd"/>
      <w:r w:rsidRPr="006D40F0">
        <w:t>). Posten dekker også drift av den sentrale godkjenningsordningen for foretak med ansvarsrett. Ordningen er selvfinansierende, jf. kap. 3587, post 04.</w:t>
      </w:r>
    </w:p>
    <w:p w14:paraId="7327B197" w14:textId="77777777" w:rsidR="00575AC3" w:rsidRPr="006D40F0" w:rsidRDefault="00575AC3" w:rsidP="006D40F0">
      <w:r w:rsidRPr="006D40F0">
        <w:t>Det foreslås å redusere bevilgningen med 1,5 mill. kroner som følge av færre registrerte foretak i den sentrale godkjenningsordningen for foretak med ansvarsrett, enn lagt til grunn i saldert budsjett. Det tilsvarer reduksjonen i gebyrinntektene på kap. 3587, post 04.</w:t>
      </w:r>
    </w:p>
    <w:p w14:paraId="54D4F28D" w14:textId="77777777" w:rsidR="00575AC3" w:rsidRPr="006D40F0" w:rsidRDefault="00575AC3" w:rsidP="006D40F0">
      <w:pPr>
        <w:pStyle w:val="b-budkaptit"/>
      </w:pPr>
      <w:r w:rsidRPr="006D40F0">
        <w:t xml:space="preserve">Kap. 3587 Direktoratet for </w:t>
      </w:r>
      <w:proofErr w:type="spellStart"/>
      <w:r w:rsidRPr="006D40F0">
        <w:t>byggkvalitet</w:t>
      </w:r>
      <w:proofErr w:type="spellEnd"/>
    </w:p>
    <w:p w14:paraId="0869FF71" w14:textId="77777777" w:rsidR="00575AC3" w:rsidRPr="006D40F0" w:rsidRDefault="00575AC3" w:rsidP="006D40F0">
      <w:pPr>
        <w:pStyle w:val="b-post"/>
      </w:pPr>
      <w:r w:rsidRPr="006D40F0">
        <w:t>Post 04 Gebyrer</w:t>
      </w:r>
    </w:p>
    <w:p w14:paraId="65793AF6" w14:textId="77777777" w:rsidR="00575AC3" w:rsidRPr="006D40F0" w:rsidRDefault="00575AC3" w:rsidP="006D40F0">
      <w:r w:rsidRPr="006D40F0">
        <w:t>Posten omfatter gebyrinntekter fra den sentrale godkjenningsordningen for foretak med ansvarsrett. Gebyret er på 3 650 kroner per foretak. Ordningen er selvfinansierende, jf. omtale under kap. 587, post 01. Det forventes at om lag 11 300 betalende foretak vil være registrert i ordningen i 2024. Dette er 400 færre foretak enn det som ble lagt til grunn i saldert budsjett.</w:t>
      </w:r>
    </w:p>
    <w:p w14:paraId="76D7CFF2" w14:textId="77777777" w:rsidR="00575AC3" w:rsidRPr="006D40F0" w:rsidRDefault="00575AC3" w:rsidP="006D40F0">
      <w:r w:rsidRPr="006D40F0">
        <w:t>Det foreslås derfor å redusere bevilgningen med 1,5 mill. kroner i 2024.</w:t>
      </w:r>
    </w:p>
    <w:p w14:paraId="50517C49" w14:textId="77777777" w:rsidR="00575AC3" w:rsidRPr="006D40F0" w:rsidRDefault="00575AC3" w:rsidP="006D40F0">
      <w:pPr>
        <w:pStyle w:val="b-budkaptit"/>
      </w:pPr>
      <w:r w:rsidRPr="006D40F0">
        <w:t>Kap. 2412 Husbanken</w:t>
      </w:r>
    </w:p>
    <w:p w14:paraId="6119E2A5" w14:textId="77777777" w:rsidR="00575AC3" w:rsidRPr="006D40F0" w:rsidRDefault="00575AC3" w:rsidP="006D40F0">
      <w:pPr>
        <w:pStyle w:val="b-post"/>
      </w:pPr>
      <w:r w:rsidRPr="006D40F0">
        <w:t>Post 01 Driftsutgifter</w:t>
      </w:r>
    </w:p>
    <w:p w14:paraId="3918C3E3" w14:textId="77777777" w:rsidR="00575AC3" w:rsidRPr="006D40F0" w:rsidRDefault="00575AC3" w:rsidP="006D40F0">
      <w:r w:rsidRPr="006D40F0">
        <w:t>Posten dekker lønn, husleie og andre faste utgifter til drift for Husbanken.</w:t>
      </w:r>
    </w:p>
    <w:p w14:paraId="061F9D2E" w14:textId="77777777" w:rsidR="00575AC3" w:rsidRPr="006D40F0" w:rsidRDefault="00575AC3" w:rsidP="006D40F0">
      <w:pPr>
        <w:pStyle w:val="avsnitt-undertittel"/>
      </w:pPr>
      <w:r w:rsidRPr="006D40F0">
        <w:t>Arbeid med bygdevekstavtaler</w:t>
      </w:r>
    </w:p>
    <w:p w14:paraId="05DDACA8" w14:textId="77777777" w:rsidR="00575AC3" w:rsidRPr="006D40F0" w:rsidRDefault="00575AC3" w:rsidP="006D40F0">
      <w:r w:rsidRPr="006D40F0">
        <w:t>Våren 2024 vil staten inngå fem bygdevekstavtaler med til sammen 17 kommuner. Husbanken skal som samarbeidspart inn i alle avtalene, bistå kommunene med kapasitet og kompetanse på boligtematikk og bidra inn i handlingsplanarbeidet. Det foreslås å øke bevilgningen med 1,5 mill. kroner i 2024, mot en tilsvarende reduksjon på kap. 553, post 66. Se nærmere omtale under kap. 553, post 66.</w:t>
      </w:r>
    </w:p>
    <w:p w14:paraId="24354C53" w14:textId="77777777" w:rsidR="00575AC3" w:rsidRPr="006D40F0" w:rsidRDefault="00575AC3" w:rsidP="006D40F0">
      <w:pPr>
        <w:pStyle w:val="avsnitt-undertittel"/>
      </w:pPr>
      <w:r w:rsidRPr="006D40F0">
        <w:lastRenderedPageBreak/>
        <w:t>Nytt låneforvaltningssystem i Husbanken</w:t>
      </w:r>
    </w:p>
    <w:p w14:paraId="2BBDD4D6" w14:textId="77777777" w:rsidR="00575AC3" w:rsidRPr="006D40F0" w:rsidRDefault="00575AC3" w:rsidP="006D40F0">
      <w:r w:rsidRPr="006D40F0">
        <w:t>I 2020 inngikk Husbanken en kontrakt med en ekstern leverandør av et nytt lånesystem. Det nye systemet skulle opprinnelig vært levert høsten 2021. Etter reforhandlinger, reduksjon av avtalens omfang og betydelig mer egeninnsats enn forutsatt, vurderte Husbanken at usikkerheten om fremdriften var for stor og har derfor avsluttet avtalen med leverandøren. Forsinkelsene har medført betydelige merkostnader. Husbanken legger opp til å forlenge levetiden på eksisterende systemer.</w:t>
      </w:r>
    </w:p>
    <w:p w14:paraId="2C9AD090" w14:textId="77777777" w:rsidR="00575AC3" w:rsidRPr="006D40F0" w:rsidRDefault="00575AC3" w:rsidP="006D40F0">
      <w:pPr>
        <w:pStyle w:val="avsnitt-undertittel"/>
      </w:pPr>
      <w:r w:rsidRPr="006D40F0">
        <w:t>Oppsummering</w:t>
      </w:r>
    </w:p>
    <w:p w14:paraId="4A3FEE57" w14:textId="77777777" w:rsidR="00575AC3" w:rsidRPr="006D40F0" w:rsidRDefault="00575AC3" w:rsidP="006D40F0">
      <w:r w:rsidRPr="006D40F0">
        <w:t>Det foreslås å øke bevilgningen med 1,5 mill. kroner.</w:t>
      </w:r>
    </w:p>
    <w:p w14:paraId="11A76B21" w14:textId="77777777" w:rsidR="00575AC3" w:rsidRPr="006D40F0" w:rsidRDefault="00575AC3" w:rsidP="006D40F0">
      <w:pPr>
        <w:pStyle w:val="b-post"/>
      </w:pPr>
      <w:r w:rsidRPr="006D40F0">
        <w:t>Post 90 Nye lån, overslagsbevilgning</w:t>
      </w:r>
    </w:p>
    <w:p w14:paraId="5EC59D90" w14:textId="77777777" w:rsidR="00575AC3" w:rsidRPr="006D40F0" w:rsidRDefault="00575AC3" w:rsidP="006D40F0">
      <w:r w:rsidRPr="006D40F0">
        <w:t>Bevilgningen dekker utbetaling av nye lån, i tillegg til beregnede, opptjente, ikke betalte renter på lånene. Det foreslås å øke bevilgningen med 697 mill. kroner i 2024 som følge av høyere renteforutsetninger og et høyere nivå på opptjente, ikke betalte renter enn lagt til grunn i saldert budsjett.</w:t>
      </w:r>
    </w:p>
    <w:p w14:paraId="5E3A8F94" w14:textId="77777777" w:rsidR="00575AC3" w:rsidRPr="006D40F0" w:rsidRDefault="00575AC3" w:rsidP="006D40F0">
      <w:pPr>
        <w:pStyle w:val="b-budkaptit"/>
      </w:pPr>
      <w:r w:rsidRPr="006D40F0">
        <w:t>Kap. 5312 Husbanken</w:t>
      </w:r>
    </w:p>
    <w:p w14:paraId="07A2FAAF" w14:textId="77777777" w:rsidR="00575AC3" w:rsidRPr="006D40F0" w:rsidRDefault="00575AC3" w:rsidP="006D40F0">
      <w:pPr>
        <w:pStyle w:val="b-post"/>
      </w:pPr>
      <w:r w:rsidRPr="006D40F0">
        <w:t>Post 90 Avdrag</w:t>
      </w:r>
    </w:p>
    <w:p w14:paraId="1277BDDB" w14:textId="77777777" w:rsidR="00575AC3" w:rsidRPr="006D40F0" w:rsidRDefault="00575AC3" w:rsidP="006D40F0">
      <w:r w:rsidRPr="006D40F0">
        <w:t>Posten omfatter ordinære og ekstraordinære avdrag og andre innbetalinger, tilbakebetaling av opptjente, ikke betalte renter og tap. Det foreslås å redusere bevilgningen med 492 mill. kroner i 2024 som følge av at ordinære avdrag var lavere enn tidligere antatt i 2023.</w:t>
      </w:r>
    </w:p>
    <w:p w14:paraId="16BB2977" w14:textId="77777777" w:rsidR="00575AC3" w:rsidRPr="006D40F0" w:rsidRDefault="00575AC3" w:rsidP="006D40F0">
      <w:pPr>
        <w:pStyle w:val="b-budkaptit"/>
      </w:pPr>
      <w:r w:rsidRPr="006D40F0">
        <w:t>Kap. 5615 Husbanken</w:t>
      </w:r>
    </w:p>
    <w:p w14:paraId="253288D5" w14:textId="77777777" w:rsidR="00575AC3" w:rsidRPr="006D40F0" w:rsidRDefault="00575AC3" w:rsidP="006D40F0">
      <w:pPr>
        <w:pStyle w:val="b-post"/>
      </w:pPr>
      <w:r w:rsidRPr="006D40F0">
        <w:t>Post 80 Renter</w:t>
      </w:r>
    </w:p>
    <w:p w14:paraId="1EB81B9D" w14:textId="77777777" w:rsidR="00575AC3" w:rsidRPr="006D40F0" w:rsidRDefault="00575AC3" w:rsidP="006D40F0">
      <w:r w:rsidRPr="006D40F0">
        <w:t>Posten omfatter betalte renter på lån, opptjente ikke betalte renter og rentestøtte. Det foreslås å øke bevilgningen med 1 392 mill. kroner i 2024 som følge av økte renteforutsetninger.</w:t>
      </w:r>
    </w:p>
    <w:p w14:paraId="18080D69" w14:textId="77777777" w:rsidR="00575AC3" w:rsidRPr="006D40F0" w:rsidRDefault="00575AC3" w:rsidP="006D40F0">
      <w:pPr>
        <w:pStyle w:val="b-budkaptit"/>
      </w:pPr>
      <w:r w:rsidRPr="006D40F0">
        <w:t>Kap. 595 Statens kartverk</w:t>
      </w:r>
    </w:p>
    <w:p w14:paraId="07F7318A" w14:textId="77777777" w:rsidR="00575AC3" w:rsidRPr="006D40F0" w:rsidRDefault="00575AC3" w:rsidP="006D40F0">
      <w:pPr>
        <w:pStyle w:val="b-post"/>
      </w:pPr>
      <w:r w:rsidRPr="006D40F0">
        <w:t>Post 01 Driftsutgifter, kan nyttes under post 21 og 45</w:t>
      </w:r>
    </w:p>
    <w:p w14:paraId="31343E0C" w14:textId="77777777" w:rsidR="00575AC3" w:rsidRPr="006D40F0" w:rsidRDefault="00575AC3" w:rsidP="006D40F0">
      <w:r w:rsidRPr="006D40F0">
        <w:t>Bevilgningen dekker Kartverkets utgifter til lønn og andre faste driftsutgifter.</w:t>
      </w:r>
    </w:p>
    <w:p w14:paraId="3C3D0DB4" w14:textId="77777777" w:rsidR="00575AC3" w:rsidRPr="006D40F0" w:rsidRDefault="00575AC3" w:rsidP="006D40F0">
      <w:r w:rsidRPr="006D40F0">
        <w:t>Som følge av ny forskrift om opptak og annen bruk av informasjon om bestemte angitte bunnforhold, har Kartverket fått en utvidet rolle på vegne av Forsvaret i saker som gjelder innsamling og frigivelse av dybdedata. Det foreslås derfor å øke bevilgningen med 3,6 mill. kroner, mot en tilsvarende reduksjon på kap. 1720, post 01 under Forsvarsdepartementet.</w:t>
      </w:r>
    </w:p>
    <w:p w14:paraId="0D4386D7" w14:textId="77777777" w:rsidR="00575AC3" w:rsidRPr="006D40F0" w:rsidRDefault="00575AC3" w:rsidP="006D40F0">
      <w:pPr>
        <w:pStyle w:val="b-post"/>
      </w:pPr>
      <w:r w:rsidRPr="006D40F0">
        <w:lastRenderedPageBreak/>
        <w:t>Post 21 Spesielle driftsutgifter, kan overføres, kan nyttes under post 1 og 45</w:t>
      </w:r>
    </w:p>
    <w:p w14:paraId="72988E6A" w14:textId="77777777" w:rsidR="00575AC3" w:rsidRPr="006D40F0" w:rsidRDefault="00575AC3" w:rsidP="006D40F0">
      <w:r w:rsidRPr="006D40F0">
        <w:t>Bevilgningen dekker i hovedsak Kartverkets tidsavgrensede prosjekter og kjøp av tjenester fra private leverandører.</w:t>
      </w:r>
    </w:p>
    <w:p w14:paraId="619C6E12" w14:textId="77777777" w:rsidR="00575AC3" w:rsidRPr="006D40F0" w:rsidRDefault="00575AC3" w:rsidP="006D40F0">
      <w:r w:rsidRPr="006D40F0">
        <w:t>Kartverket har driftsansvaret for den internasjonale elektroniske sjøkarttjenesten PRIMAR. En liten del av inntektene fra salg av elektroniske sjøkart dekker drift og utvikling, mens hoveddelen utbetales til medlemslandene som royalties.</w:t>
      </w:r>
    </w:p>
    <w:p w14:paraId="4937823A" w14:textId="77777777" w:rsidR="00575AC3" w:rsidRPr="006D40F0" w:rsidRDefault="00575AC3" w:rsidP="006D40F0">
      <w:r w:rsidRPr="006D40F0">
        <w:t>Medlemslandene ønsker å øke utviklingsarbeidet knyttet til elektroniske sjøkart. Det foreslås derfor en parallell økning av inntektene og utgiftene på 8,3 mill. kroner, jf. omtale under kap. 3595, post 02.</w:t>
      </w:r>
    </w:p>
    <w:p w14:paraId="718BD52B" w14:textId="77777777" w:rsidR="00575AC3" w:rsidRPr="006D40F0" w:rsidRDefault="00575AC3" w:rsidP="006D40F0">
      <w:pPr>
        <w:pStyle w:val="b-budkaptit"/>
      </w:pPr>
      <w:r w:rsidRPr="006D40F0">
        <w:t>Kap. 3595 Statens kartverk</w:t>
      </w:r>
    </w:p>
    <w:p w14:paraId="1C7DB441" w14:textId="77777777" w:rsidR="00575AC3" w:rsidRPr="006D40F0" w:rsidRDefault="00575AC3" w:rsidP="006D40F0">
      <w:pPr>
        <w:pStyle w:val="b-post"/>
      </w:pPr>
      <w:r w:rsidRPr="006D40F0">
        <w:t>Post 01 Gebyrinntekter tinglysing</w:t>
      </w:r>
    </w:p>
    <w:p w14:paraId="1D78EF2B" w14:textId="77777777" w:rsidR="00575AC3" w:rsidRPr="006D40F0" w:rsidRDefault="00575AC3" w:rsidP="006D40F0">
      <w:r w:rsidRPr="006D40F0">
        <w:t>På posten føres inntekter fra gebyr for rettsregistrering av boretter og tinglysing i fast eiendom.</w:t>
      </w:r>
    </w:p>
    <w:p w14:paraId="437BF806" w14:textId="77777777" w:rsidR="00575AC3" w:rsidRPr="006D40F0" w:rsidRDefault="00575AC3" w:rsidP="006D40F0">
      <w:r w:rsidRPr="006D40F0">
        <w:t>Saldert budsjett for 2024 er 477,7 mill. kroner. Kartverket anslår nå at gebyrinntektene vil bli om lag 425 mill. kroner, grunnet lavere aktivitet i boligmarkedet. Det foreslås å redusere bevilgningen med 52,7 mill. kroner.</w:t>
      </w:r>
    </w:p>
    <w:p w14:paraId="05E6C8E3" w14:textId="77777777" w:rsidR="00575AC3" w:rsidRPr="006D40F0" w:rsidRDefault="00575AC3" w:rsidP="006D40F0">
      <w:pPr>
        <w:pStyle w:val="b-post"/>
      </w:pPr>
      <w:r w:rsidRPr="006D40F0">
        <w:t>Post 02 Salg og abonnement m.m.</w:t>
      </w:r>
    </w:p>
    <w:p w14:paraId="01B5639E" w14:textId="77777777" w:rsidR="00575AC3" w:rsidRPr="006D40F0" w:rsidRDefault="00575AC3" w:rsidP="006D40F0">
      <w:r w:rsidRPr="006D40F0">
        <w:t>På posten føres inntekter fra ulike salg og abonnement i Kartverket. Som følge av høyere inntekter til PRIMAR, foreslås det å øke bevilgningen med 8,3 mill. kroner, jf. omtale under kap. 595, post 21.</w:t>
      </w:r>
    </w:p>
    <w:p w14:paraId="26BB4BE3" w14:textId="77777777" w:rsidR="00575AC3" w:rsidRPr="006D40F0" w:rsidRDefault="00575AC3" w:rsidP="006D40F0">
      <w:pPr>
        <w:pStyle w:val="b-budkaptit"/>
      </w:pPr>
      <w:r w:rsidRPr="006D40F0">
        <w:t>Kap. 5616 Kommunalbanken AS</w:t>
      </w:r>
    </w:p>
    <w:p w14:paraId="7A5B12BD" w14:textId="77777777" w:rsidR="00575AC3" w:rsidRPr="006D40F0" w:rsidRDefault="00575AC3" w:rsidP="006D40F0">
      <w:pPr>
        <w:pStyle w:val="b-post"/>
      </w:pPr>
      <w:r w:rsidRPr="006D40F0">
        <w:t>Post 85 Aksjeutbytte</w:t>
      </w:r>
    </w:p>
    <w:p w14:paraId="12EAD440" w14:textId="77777777" w:rsidR="00575AC3" w:rsidRPr="006D40F0" w:rsidRDefault="00575AC3" w:rsidP="006D40F0">
      <w:r w:rsidRPr="006D40F0">
        <w:t>Fra og med regnskapsåret 2023 har staten en langsiktig utbytteforventning for Kommunalbanken på om lag 55 pst. av kjerneresultatet etter skatt, gitt tilfredsstillende kapitaldekning. Langsiktig utbytteforventning gjelder for en periode på 4–5 år.</w:t>
      </w:r>
    </w:p>
    <w:p w14:paraId="55DD4AD4" w14:textId="77777777" w:rsidR="00575AC3" w:rsidRPr="006D40F0" w:rsidRDefault="00575AC3" w:rsidP="006D40F0">
      <w:r w:rsidRPr="006D40F0">
        <w:t>I Prop. 1 S (2023–2024) for Kommunal- og distriktsdepartementet ble utbytte for regnskapsåret 2023 på usikkert grunnlag anslått til 660 mill. kroner. Det ble varslet at oppdatert anslag ville bli lagt frem i forbindelse med revidert nasjonalbudsjett for 2024.</w:t>
      </w:r>
    </w:p>
    <w:p w14:paraId="258C8DF8" w14:textId="77777777" w:rsidR="00575AC3" w:rsidRPr="006D40F0" w:rsidRDefault="00575AC3" w:rsidP="006D40F0">
      <w:r w:rsidRPr="006D40F0">
        <w:t>Det foreslås at bevilgningen økes med 40 mill. kroner til 700 mill. kroner. Forslaget er i tråd med tilråding fra styret i Kommunalbanken til generalforsamlingen om utbytte for regnskapsåret 2023. Bakgrunnen for oppjusteringen er en gunstig markedssituasjon for Kommunalbankens produkter, som sammen med renteøkningen har medført god lønnsomhet og avkastning i 2023. Bankens kapitaldekning er tilfredsstillende. Utbyttet utgjør om lag 58 pst. av kjerneresultatet, dvs. noe over den langsiktige utbytteforventningen.</w:t>
      </w:r>
    </w:p>
    <w:p w14:paraId="1C2F2C9A" w14:textId="77777777" w:rsidR="00575AC3" w:rsidRPr="006D40F0" w:rsidRDefault="00575AC3" w:rsidP="006D40F0">
      <w:pPr>
        <w:pStyle w:val="Overskrift2"/>
      </w:pPr>
      <w:r w:rsidRPr="006D40F0">
        <w:lastRenderedPageBreak/>
        <w:t>Arbeids- og inkluderingsdepartementet</w:t>
      </w:r>
    </w:p>
    <w:p w14:paraId="58CECAB0" w14:textId="77777777" w:rsidR="00575AC3" w:rsidRPr="006D40F0" w:rsidRDefault="00575AC3" w:rsidP="006D40F0">
      <w:pPr>
        <w:pStyle w:val="b-budkaptit"/>
      </w:pPr>
      <w:r w:rsidRPr="006D40F0">
        <w:t>Kap. 600 Arbeids- og inkluderingsdepartementet</w:t>
      </w:r>
    </w:p>
    <w:p w14:paraId="1042AB5D" w14:textId="77777777" w:rsidR="00575AC3" w:rsidRPr="006D40F0" w:rsidRDefault="00575AC3" w:rsidP="006D40F0">
      <w:pPr>
        <w:pStyle w:val="b-post"/>
      </w:pPr>
      <w:r w:rsidRPr="006D40F0">
        <w:t>Post 01 Driftsutgifter</w:t>
      </w:r>
    </w:p>
    <w:p w14:paraId="68B4D810" w14:textId="77777777" w:rsidR="00575AC3" w:rsidRPr="006D40F0" w:rsidRDefault="00575AC3" w:rsidP="006D40F0">
      <w:r w:rsidRPr="006D40F0">
        <w:t>Bevilgningen på posten er 281,8 mill. kroner.</w:t>
      </w:r>
    </w:p>
    <w:p w14:paraId="7CD1D060" w14:textId="77777777" w:rsidR="00575AC3" w:rsidRPr="006D40F0" w:rsidRDefault="00575AC3" w:rsidP="006D40F0">
      <w:r w:rsidRPr="006D40F0">
        <w:t>Det foreslås å øke bevilgningen med 5 mill. kroner for å øke kapasiteten på sentrale fagområder, samtidig som aktiviteten og den løpende driften av departementet blir ivaretatt.</w:t>
      </w:r>
    </w:p>
    <w:p w14:paraId="1833E8AA" w14:textId="77777777" w:rsidR="00575AC3" w:rsidRPr="006D40F0" w:rsidRDefault="00575AC3" w:rsidP="006D40F0">
      <w:pPr>
        <w:pStyle w:val="b-budkaptit"/>
      </w:pPr>
      <w:r w:rsidRPr="006D40F0">
        <w:t>Kap. 601 Utredningsvirksomhet, forskning mv.</w:t>
      </w:r>
    </w:p>
    <w:p w14:paraId="1A7189EB" w14:textId="77777777" w:rsidR="00575AC3" w:rsidRPr="006D40F0" w:rsidRDefault="00575AC3" w:rsidP="006D40F0">
      <w:pPr>
        <w:pStyle w:val="b-post"/>
      </w:pPr>
      <w:r w:rsidRPr="006D40F0">
        <w:t>Post 21 Spesielle driftsutgifter, kan overføres</w:t>
      </w:r>
    </w:p>
    <w:p w14:paraId="10C4ACC7" w14:textId="77777777" w:rsidR="00575AC3" w:rsidRPr="006D40F0" w:rsidRDefault="00575AC3" w:rsidP="006D40F0">
      <w:r w:rsidRPr="006D40F0">
        <w:t>Bevilgningen på posten er 121,4 mill. kroner.</w:t>
      </w:r>
    </w:p>
    <w:p w14:paraId="64250ECE" w14:textId="77777777" w:rsidR="00575AC3" w:rsidRPr="006D40F0" w:rsidRDefault="00575AC3" w:rsidP="006D40F0">
      <w:r w:rsidRPr="006D40F0">
        <w:t>Det foreslås å redusere bevilgningen med 6,3 mill. kroner som følge av forsinkelser i aktiviteter og forskningsprosjekter.</w:t>
      </w:r>
    </w:p>
    <w:p w14:paraId="7CB5DDBB" w14:textId="77777777" w:rsidR="00575AC3" w:rsidRPr="006D40F0" w:rsidRDefault="00575AC3" w:rsidP="006D40F0">
      <w:pPr>
        <w:pStyle w:val="b-post"/>
      </w:pPr>
      <w:r w:rsidRPr="006D40F0">
        <w:t>Post 50 Norges forskningsråd</w:t>
      </w:r>
    </w:p>
    <w:p w14:paraId="68085A86" w14:textId="77777777" w:rsidR="00575AC3" w:rsidRPr="006D40F0" w:rsidRDefault="00575AC3" w:rsidP="006D40F0">
      <w:r w:rsidRPr="006D40F0">
        <w:t>Bevilgningen på posten er 172,7 mill. kroner.</w:t>
      </w:r>
    </w:p>
    <w:p w14:paraId="2385AFCE" w14:textId="77777777" w:rsidR="00575AC3" w:rsidRPr="006D40F0" w:rsidRDefault="00575AC3" w:rsidP="006D40F0">
      <w:r w:rsidRPr="006D40F0">
        <w:t xml:space="preserve">Det er satt av 7,5 mill. kroner til en satsing på </w:t>
      </w:r>
      <w:proofErr w:type="spellStart"/>
      <w:r w:rsidRPr="006D40F0">
        <w:t>forskningsstøttet</w:t>
      </w:r>
      <w:proofErr w:type="spellEnd"/>
      <w:r w:rsidRPr="006D40F0">
        <w:t xml:space="preserve"> digitalisering av arbeids- og velferdstjenestene.</w:t>
      </w:r>
    </w:p>
    <w:p w14:paraId="5AB6459B" w14:textId="77777777" w:rsidR="00575AC3" w:rsidRPr="006D40F0" w:rsidRDefault="00575AC3" w:rsidP="006D40F0">
      <w:r w:rsidRPr="006D40F0">
        <w:t>Tiltaket har vært planlagt som et samarbeid mellom Norges forskningsråd og Arbeids- og velferdsdirektoratet. Det vurderes som mest hensiktsmessig at Arbeids- og velferdsdirektoratet administrerer satsingen.</w:t>
      </w:r>
    </w:p>
    <w:p w14:paraId="1D9927FF" w14:textId="77777777" w:rsidR="00575AC3" w:rsidRPr="006D40F0" w:rsidRDefault="00575AC3" w:rsidP="006D40F0">
      <w:r w:rsidRPr="006D40F0">
        <w:t>Bevilgningen foreslås redusert med 7,5 mill. kroner mot tilsvarende økning i bevilgningen på kap. 605, post 22.</w:t>
      </w:r>
    </w:p>
    <w:p w14:paraId="17A02F91" w14:textId="77777777" w:rsidR="00575AC3" w:rsidRPr="006D40F0" w:rsidRDefault="00575AC3" w:rsidP="006D40F0">
      <w:pPr>
        <w:pStyle w:val="b-post"/>
      </w:pPr>
      <w:r w:rsidRPr="006D40F0">
        <w:t>Post 70 Tilskudd</w:t>
      </w:r>
    </w:p>
    <w:p w14:paraId="774D7D8D" w14:textId="77777777" w:rsidR="00575AC3" w:rsidRPr="006D40F0" w:rsidRDefault="00575AC3" w:rsidP="006D40F0">
      <w:r w:rsidRPr="006D40F0">
        <w:t>Bevilgningen på posten er 60,8 mill. kroner.</w:t>
      </w:r>
    </w:p>
    <w:p w14:paraId="72D68D0B" w14:textId="77777777" w:rsidR="00575AC3" w:rsidRPr="006D40F0" w:rsidRDefault="00575AC3" w:rsidP="006D40F0">
      <w:r w:rsidRPr="006D40F0">
        <w:t>Bevilgningen dekker tilskudd til institusjoner og organisasjoner på departementets politikkområde og departementets forpliktelser tilknyttet internasjonale avtaler.</w:t>
      </w:r>
    </w:p>
    <w:p w14:paraId="2BEDE4E5" w14:textId="77777777" w:rsidR="00575AC3" w:rsidRPr="006D40F0" w:rsidRDefault="00575AC3" w:rsidP="006D40F0">
      <w:r w:rsidRPr="006D40F0">
        <w:t>Over posten gis det blant annet tilskudd til Fair Play Bygg Norge, som blant annet jobber med å styrke partenes arbeid med informasjon og veiledning til utsatte arbeidsgivere og arbeidstakere. Flere kommuner har kuttet i støtten til Fair Play Bygg. For at Fair Play sitt viktige arbeid ikke skal bli utsatt, som en konsekvens av dette, foreslås det å øke tilskuddet til Fair Play Bygg med 2 mill. kroner.</w:t>
      </w:r>
    </w:p>
    <w:p w14:paraId="6072EF72" w14:textId="77777777" w:rsidR="00575AC3" w:rsidRPr="006D40F0" w:rsidRDefault="00575AC3" w:rsidP="006D40F0">
      <w:r w:rsidRPr="006D40F0">
        <w:t xml:space="preserve">Det er forsinkelser i prosessen knyttet til eventuell norsk deltakelse i European Labour </w:t>
      </w:r>
      <w:proofErr w:type="spellStart"/>
      <w:r w:rsidRPr="006D40F0">
        <w:t>Authority</w:t>
      </w:r>
      <w:proofErr w:type="spellEnd"/>
      <w:r w:rsidRPr="006D40F0">
        <w:t xml:space="preserve"> (ELA). Grunnet usikkerhet om når det blir inngått avtale om deltakelse, reduseres bevilgningen.</w:t>
      </w:r>
    </w:p>
    <w:p w14:paraId="3458C27B" w14:textId="77777777" w:rsidR="00575AC3" w:rsidRPr="006D40F0" w:rsidRDefault="00575AC3" w:rsidP="006D40F0">
      <w:r w:rsidRPr="006D40F0">
        <w:t>Det foreslås å redusere bevilgningen med 3,3 mill. kroner.</w:t>
      </w:r>
    </w:p>
    <w:p w14:paraId="4C29A8E6" w14:textId="77777777" w:rsidR="00575AC3" w:rsidRPr="006D40F0" w:rsidRDefault="00575AC3" w:rsidP="006D40F0">
      <w:pPr>
        <w:pStyle w:val="b-budkaptit"/>
      </w:pPr>
      <w:r w:rsidRPr="006D40F0">
        <w:lastRenderedPageBreak/>
        <w:t>Kap. 605 Arbeids- og velferdsetaten</w:t>
      </w:r>
    </w:p>
    <w:p w14:paraId="75414C94" w14:textId="77777777" w:rsidR="00575AC3" w:rsidRPr="006D40F0" w:rsidRDefault="00575AC3" w:rsidP="006D40F0">
      <w:pPr>
        <w:pStyle w:val="b-post"/>
      </w:pPr>
      <w:r w:rsidRPr="006D40F0">
        <w:t>Post 01 Driftsutgifter</w:t>
      </w:r>
    </w:p>
    <w:p w14:paraId="6523BF7A" w14:textId="77777777" w:rsidR="00575AC3" w:rsidRPr="006D40F0" w:rsidRDefault="00575AC3" w:rsidP="006D40F0">
      <w:r w:rsidRPr="006D40F0">
        <w:t>Bevilgningen på posten er 13 792,8 mill. kroner.</w:t>
      </w:r>
    </w:p>
    <w:p w14:paraId="277592F3" w14:textId="77777777" w:rsidR="00575AC3" w:rsidRPr="006D40F0" w:rsidRDefault="00575AC3" w:rsidP="006D40F0">
      <w:pPr>
        <w:pStyle w:val="avsnitt-undertittel"/>
      </w:pPr>
      <w:r w:rsidRPr="006D40F0">
        <w:t>Redusert saksbehandlingstid</w:t>
      </w:r>
    </w:p>
    <w:p w14:paraId="64932FC5" w14:textId="77777777" w:rsidR="00575AC3" w:rsidRPr="006D40F0" w:rsidRDefault="00575AC3" w:rsidP="006D40F0">
      <w:r w:rsidRPr="006D40F0">
        <w:t xml:space="preserve">Arbeids- og velferdsetaten har en omfattende oppgaveportefølje. NOU 2023: 11 </w:t>
      </w:r>
      <w:r w:rsidRPr="00575AC3">
        <w:rPr>
          <w:rStyle w:val="kursiv"/>
        </w:rPr>
        <w:t>Raskt og riktig</w:t>
      </w:r>
      <w:r w:rsidRPr="006D40F0">
        <w:t xml:space="preserve"> påpekte at saksbehandlingstiden i etaten er lang og at kvaliteten på vedtak bør forbedres. Det er fortsatt for lang saksbehandlingstid for enkelte ytelser. Det foreslås derfor å øke etatens bevilgning med 50 mill. kroner for å avhjelpe situasjonen.</w:t>
      </w:r>
    </w:p>
    <w:p w14:paraId="7D9C7AF2" w14:textId="77777777" w:rsidR="00575AC3" w:rsidRPr="006D40F0" w:rsidRDefault="00575AC3" w:rsidP="006D40F0">
      <w:pPr>
        <w:pStyle w:val="avsnitt-undertittel"/>
      </w:pPr>
      <w:r w:rsidRPr="006D40F0">
        <w:t>Arbeidsrettet oppfølging</w:t>
      </w:r>
    </w:p>
    <w:p w14:paraId="772582B5" w14:textId="77777777" w:rsidR="00575AC3" w:rsidRPr="006D40F0" w:rsidRDefault="00575AC3" w:rsidP="006D40F0">
      <w:r w:rsidRPr="006D40F0">
        <w:t>Det er behov for å styrke den arbeidsrettede oppfølgingen ved Nav-kontorene. Dette skyldes blant annet et økt behov for å bistå et stort antall ukrainske fordrevne ut i arbeid. Det tas sikte på å rette midlene til de Nav-kontorene som er mest presset. Det foreslås å øke bevilgningen til etaten med 25 mill. kroner.</w:t>
      </w:r>
    </w:p>
    <w:p w14:paraId="75145010" w14:textId="77777777" w:rsidR="00575AC3" w:rsidRPr="006D40F0" w:rsidRDefault="00575AC3" w:rsidP="006D40F0">
      <w:pPr>
        <w:pStyle w:val="avsnitt-undertittel"/>
      </w:pPr>
      <w:r w:rsidRPr="006D40F0">
        <w:t>Regler for etterbetaling av barnetrygd</w:t>
      </w:r>
    </w:p>
    <w:p w14:paraId="27506ED3" w14:textId="77777777" w:rsidR="00575AC3" w:rsidRPr="006D40F0" w:rsidRDefault="00575AC3" w:rsidP="006D40F0">
      <w:r w:rsidRPr="006D40F0">
        <w:t>Det vises til Prop. 72 L (2023–2024) med forslag om å erstatte gjeldende regel om etterbetaling av barnetrygd i opptil tre år med en ny hovedregel om etterbetaling i opptil tre måneder. Endringen er ett av flere tiltak som skal bidra til å utjevne ankomstene av fordrevne fra Ukraina til Norge til nivåer mer på linje med våre nordiske naboland. Se også omtale under Barne- og familiedepartementets kap. 845, post 70. Tiltaket krever endringer i Arbeids- og velferdsetatens systemer i innføringsåret, og medfører merutgifter på 2,5 mill. kroner. Det foreslås å øke bevilgningen med 2,5 mill. kroner for å kompensere for disse merutgiftene.</w:t>
      </w:r>
    </w:p>
    <w:p w14:paraId="53B8559D" w14:textId="77777777" w:rsidR="00575AC3" w:rsidRPr="006D40F0" w:rsidRDefault="00575AC3" w:rsidP="006D40F0">
      <w:pPr>
        <w:pStyle w:val="avsnitt-undertittel"/>
      </w:pPr>
      <w:r w:rsidRPr="006D40F0">
        <w:t>Innføring av botidskrav for engangsstønad</w:t>
      </w:r>
    </w:p>
    <w:p w14:paraId="61B95461" w14:textId="77777777" w:rsidR="00575AC3" w:rsidRPr="006D40F0" w:rsidRDefault="00575AC3" w:rsidP="006D40F0">
      <w:r w:rsidRPr="006D40F0">
        <w:t>Det foreslås å innføre krav om 12 måneders forutgående medlemskap i folketrygden for rett til engangsstønad ved fødsel og adopsjon, som del av innstrammende tiltak for å redusere ankomstene av fordrevne fra Ukraina. Se også omtale under kap. 2530, post 71. Det tas sikte på at endringen vil skje fra 1. oktober 2024. Denne endringen vil medføre økte administrative kostnader for etaten. Det er anslått at det vil være utgifter i 2024 på 6 mill. kroner, samt varige årlige administrative merutgifter på om lag 2 mill. kroner. Det foreslås å øke bevilgningen med 6 mill. kroner for å kompensere for disse merutgiftene.</w:t>
      </w:r>
    </w:p>
    <w:p w14:paraId="1DE7001B" w14:textId="77777777" w:rsidR="00575AC3" w:rsidRPr="006D40F0" w:rsidRDefault="00575AC3" w:rsidP="006D40F0">
      <w:pPr>
        <w:pStyle w:val="avsnitt-undertittel"/>
      </w:pPr>
      <w:r w:rsidRPr="006D40F0">
        <w:t>Fedres selvstendige uttaksrett</w:t>
      </w:r>
    </w:p>
    <w:p w14:paraId="41FBD0BE" w14:textId="77777777" w:rsidR="00575AC3" w:rsidRPr="006D40F0" w:rsidRDefault="00575AC3" w:rsidP="006D40F0">
      <w:r w:rsidRPr="006D40F0">
        <w:t xml:space="preserve">Det vises videre til Prop. 85 LS (2023–2024) fra Barne- og familiedepartementet med forslag til endringer i folketrygdloven og foreldrepengeordningen som følge av gjennomføringen av EU-direktivet om balanse mellom arbeidsliv og familieliv for foreldre og omsorgspersoner i norsk rett. Endringene om å oppheve aktivitetskravet for far for ytterligere to uker skal gjennomføres </w:t>
      </w:r>
      <w:r w:rsidRPr="006D40F0">
        <w:lastRenderedPageBreak/>
        <w:t>fra 2. august 2024. Dette vil gi fedre ti uker selvstendig uttaksrett. Endringen medfører et økt bevilgningsbehov for etaten knyttet til endringer i etatens systemer. Det er anslått at det vil være utgifter i 2024 på 10 mill. kroner, varige årlige administrative merutgifter på om lag 3 mill. kroner. Det foreslås å øke bevilgningen med 10 mill. kroner for å kompensere for disse merutgiftene.</w:t>
      </w:r>
    </w:p>
    <w:p w14:paraId="7483E70E" w14:textId="77777777" w:rsidR="00575AC3" w:rsidRPr="006D40F0" w:rsidRDefault="00575AC3" w:rsidP="006D40F0">
      <w:pPr>
        <w:pStyle w:val="avsnitt-undertittel"/>
      </w:pPr>
      <w:r w:rsidRPr="006D40F0">
        <w:t>Merverdiavgift på tolketjenester</w:t>
      </w:r>
    </w:p>
    <w:p w14:paraId="034402B8" w14:textId="77777777" w:rsidR="00575AC3" w:rsidRPr="006D40F0" w:rsidRDefault="00575AC3" w:rsidP="006D40F0">
      <w:r w:rsidRPr="006D40F0">
        <w:t xml:space="preserve">Tolketjenesten i Arbeids- og velferdsetaten gir alle rett til både </w:t>
      </w:r>
      <w:proofErr w:type="spellStart"/>
      <w:r w:rsidRPr="006D40F0">
        <w:t>språktolk</w:t>
      </w:r>
      <w:proofErr w:type="spellEnd"/>
      <w:r w:rsidRPr="006D40F0">
        <w:t xml:space="preserve"> og tolk for døve, hørselshemmede og døvblinde når de har kontakt med etaten. Som følge av at tolketjenestene som etaten kjøper inn er merverdiavgiftspliktig, foreslås det å øke bevilgningen med 12 mill. kroner.</w:t>
      </w:r>
    </w:p>
    <w:p w14:paraId="6328FF6B" w14:textId="77777777" w:rsidR="00575AC3" w:rsidRPr="006D40F0" w:rsidRDefault="00575AC3" w:rsidP="006D40F0">
      <w:pPr>
        <w:pStyle w:val="avsnitt-undertittel"/>
      </w:pPr>
      <w:r w:rsidRPr="006D40F0">
        <w:t>Paralleljustering</w:t>
      </w:r>
    </w:p>
    <w:p w14:paraId="36DB9D04" w14:textId="77777777" w:rsidR="00575AC3" w:rsidRPr="006D40F0" w:rsidRDefault="00575AC3" w:rsidP="006D40F0">
      <w:r w:rsidRPr="006D40F0">
        <w:t>Det foreslås å nedjustere bevilgningen med 1,8 mill. kroner mot en tilsvarende parallelljustering under kap. 3605 Arbeids- og velferdsetaten, post 01 Administrasjonsvederlag, jf. nærmere omtale under den posten.</w:t>
      </w:r>
    </w:p>
    <w:p w14:paraId="22237793" w14:textId="77777777" w:rsidR="00575AC3" w:rsidRPr="006D40F0" w:rsidRDefault="00575AC3" w:rsidP="006D40F0">
      <w:pPr>
        <w:pStyle w:val="avsnitt-undertittel"/>
      </w:pPr>
      <w:r w:rsidRPr="006D40F0">
        <w:t>Oppsummering</w:t>
      </w:r>
    </w:p>
    <w:p w14:paraId="45AF0311" w14:textId="77777777" w:rsidR="00575AC3" w:rsidRPr="006D40F0" w:rsidRDefault="00575AC3" w:rsidP="006D40F0">
      <w:r w:rsidRPr="006D40F0">
        <w:t>Samlet foreslås det å øke bevilgningen med 103,7 mill. kroner.</w:t>
      </w:r>
    </w:p>
    <w:p w14:paraId="661573A6" w14:textId="77777777" w:rsidR="00575AC3" w:rsidRPr="006D40F0" w:rsidRDefault="00575AC3" w:rsidP="006D40F0">
      <w:pPr>
        <w:pStyle w:val="b-post"/>
      </w:pPr>
      <w:r w:rsidRPr="006D40F0">
        <w:t>Post 22 Forsknings- og utredningsaktiviteter, kan overføres</w:t>
      </w:r>
    </w:p>
    <w:p w14:paraId="6002844A" w14:textId="77777777" w:rsidR="00575AC3" w:rsidRPr="006D40F0" w:rsidRDefault="00575AC3" w:rsidP="006D40F0">
      <w:r w:rsidRPr="006D40F0">
        <w:t>Bevilgningen på posten er 59,9 mill. kroner.</w:t>
      </w:r>
    </w:p>
    <w:p w14:paraId="5B99F4AE" w14:textId="77777777" w:rsidR="00575AC3" w:rsidRPr="006D40F0" w:rsidRDefault="00575AC3" w:rsidP="006D40F0">
      <w:r w:rsidRPr="006D40F0">
        <w:t xml:space="preserve">Det er satt av 7,5 mill. kroner under kap. 601, post 50 til Norges forskningsråd til en satsing på </w:t>
      </w:r>
      <w:proofErr w:type="spellStart"/>
      <w:r w:rsidRPr="006D40F0">
        <w:t>forskningsstøttet</w:t>
      </w:r>
      <w:proofErr w:type="spellEnd"/>
      <w:r w:rsidRPr="006D40F0">
        <w:t xml:space="preserve"> digitalisering av arbeids- og velferdstjenestene.</w:t>
      </w:r>
    </w:p>
    <w:p w14:paraId="3C4CA355" w14:textId="77777777" w:rsidR="00575AC3" w:rsidRPr="006D40F0" w:rsidRDefault="00575AC3" w:rsidP="006D40F0">
      <w:r w:rsidRPr="006D40F0">
        <w:t>Tiltaket har vært planlagt som et samarbeid mellom Norges forskningsråd og Arbeids- og velferdsdirektoratet. Det vurderes som mest hensiktsmessig at Arbeids- og velferdsdirektoratet administrerer satsingen, se også omtale under kap. 601, post 50.</w:t>
      </w:r>
    </w:p>
    <w:p w14:paraId="6322D1D6" w14:textId="77777777" w:rsidR="00575AC3" w:rsidRPr="006D40F0" w:rsidRDefault="00575AC3" w:rsidP="006D40F0">
      <w:r w:rsidRPr="006D40F0">
        <w:t>Bevilgningen foreslås økt med 7,5 mill. kroner mot tilsvarende reduksjon i bevilgningen på kap. 601, post 50.</w:t>
      </w:r>
    </w:p>
    <w:p w14:paraId="49D8F667" w14:textId="77777777" w:rsidR="00575AC3" w:rsidRPr="006D40F0" w:rsidRDefault="00575AC3" w:rsidP="006D40F0">
      <w:pPr>
        <w:pStyle w:val="b-budkaptit"/>
      </w:pPr>
      <w:r w:rsidRPr="006D40F0">
        <w:t>Kap. 3605 Arbeids- og velferdsetaten</w:t>
      </w:r>
    </w:p>
    <w:p w14:paraId="2371AA55" w14:textId="77777777" w:rsidR="00575AC3" w:rsidRPr="006D40F0" w:rsidRDefault="00575AC3" w:rsidP="006D40F0">
      <w:pPr>
        <w:pStyle w:val="b-post"/>
      </w:pPr>
      <w:r w:rsidRPr="006D40F0">
        <w:t>Post 01 Administrasjonsvederlag</w:t>
      </w:r>
    </w:p>
    <w:p w14:paraId="5AA03B58" w14:textId="77777777" w:rsidR="00575AC3" w:rsidRPr="006D40F0" w:rsidRDefault="00575AC3" w:rsidP="006D40F0">
      <w:r w:rsidRPr="006D40F0">
        <w:t>Bevilgningen på posten er 11,1 mill. kroner.</w:t>
      </w:r>
    </w:p>
    <w:p w14:paraId="50118F36" w14:textId="77777777" w:rsidR="00575AC3" w:rsidRPr="006D40F0" w:rsidRDefault="00575AC3" w:rsidP="006D40F0">
      <w:r w:rsidRPr="006D40F0">
        <w:t>Det er en mindreinntekt på posten blant annet som følge av feil beregningsgrunnlag for inntektene.</w:t>
      </w:r>
    </w:p>
    <w:p w14:paraId="4CAFE834" w14:textId="77777777" w:rsidR="00575AC3" w:rsidRPr="006D40F0" w:rsidRDefault="00575AC3" w:rsidP="006D40F0">
      <w:r w:rsidRPr="006D40F0">
        <w:t>Bevilgningen foreslås redusert med 1,8 mill. kroner mot en tilsvarende parallelljustering under kap. 605, post 01.</w:t>
      </w:r>
    </w:p>
    <w:p w14:paraId="136BE7B6" w14:textId="77777777" w:rsidR="00575AC3" w:rsidRPr="006D40F0" w:rsidRDefault="00575AC3" w:rsidP="006D40F0">
      <w:pPr>
        <w:pStyle w:val="b-budkaptit"/>
      </w:pPr>
      <w:r w:rsidRPr="006D40F0">
        <w:lastRenderedPageBreak/>
        <w:t>Kap. 606 Trygderetten</w:t>
      </w:r>
    </w:p>
    <w:p w14:paraId="2DA4FC46" w14:textId="77777777" w:rsidR="00575AC3" w:rsidRPr="006D40F0" w:rsidRDefault="00575AC3" w:rsidP="006D40F0">
      <w:pPr>
        <w:pStyle w:val="b-post"/>
      </w:pPr>
      <w:r w:rsidRPr="006D40F0">
        <w:t>Post 01 Driftsutgifter</w:t>
      </w:r>
    </w:p>
    <w:p w14:paraId="2D6EC406" w14:textId="77777777" w:rsidR="00575AC3" w:rsidRPr="006D40F0" w:rsidRDefault="00575AC3" w:rsidP="006D40F0">
      <w:r w:rsidRPr="006D40F0">
        <w:t>Bevilgningen på posten er 120,5 mill. kroner.</w:t>
      </w:r>
    </w:p>
    <w:p w14:paraId="0D62F5AC" w14:textId="77777777" w:rsidR="00575AC3" w:rsidRPr="006D40F0" w:rsidRDefault="00575AC3" w:rsidP="006D40F0">
      <w:r w:rsidRPr="006D40F0">
        <w:t xml:space="preserve">Det ble i forbindelse med </w:t>
      </w:r>
      <w:proofErr w:type="spellStart"/>
      <w:r w:rsidRPr="006D40F0">
        <w:t>Innst</w:t>
      </w:r>
      <w:proofErr w:type="spellEnd"/>
      <w:r w:rsidRPr="006D40F0">
        <w:t>. 15 S (2023–2024) bevilget midler til Trygderetten for et tidsavgrenset restanseprosjekt over tre år (2024–2026). Det har imidlertid vært lavere antall innkomne saker til behandling og betydelig reduserte restanser.</w:t>
      </w:r>
    </w:p>
    <w:p w14:paraId="287772A5" w14:textId="77777777" w:rsidR="00575AC3" w:rsidRPr="006D40F0" w:rsidRDefault="00575AC3" w:rsidP="006D40F0">
      <w:r w:rsidRPr="006D40F0">
        <w:t>Bevilgningen foreslås redusert med 1 mill. kroner.</w:t>
      </w:r>
    </w:p>
    <w:p w14:paraId="0975EF66" w14:textId="77777777" w:rsidR="00575AC3" w:rsidRPr="006D40F0" w:rsidRDefault="00575AC3" w:rsidP="006D40F0">
      <w:pPr>
        <w:pStyle w:val="b-budkaptit"/>
      </w:pPr>
      <w:r w:rsidRPr="006D40F0">
        <w:t>Kap. 611 Pensjoner av statskassen</w:t>
      </w:r>
    </w:p>
    <w:p w14:paraId="0C6DCC2A" w14:textId="77777777" w:rsidR="00575AC3" w:rsidRPr="006D40F0" w:rsidRDefault="00575AC3" w:rsidP="006D40F0">
      <w:pPr>
        <w:pStyle w:val="b-post"/>
      </w:pPr>
      <w:r w:rsidRPr="006D40F0">
        <w:t>Post 01 Driftsutgifter, overslagsbevilgning</w:t>
      </w:r>
    </w:p>
    <w:p w14:paraId="6B3E0BE5" w14:textId="77777777" w:rsidR="00575AC3" w:rsidRPr="006D40F0" w:rsidRDefault="00575AC3" w:rsidP="006D40F0">
      <w:r w:rsidRPr="006D40F0">
        <w:t>Bevilgningen på posten er 17,8 mill. kroner.</w:t>
      </w:r>
    </w:p>
    <w:p w14:paraId="465B4993" w14:textId="77777777" w:rsidR="00575AC3" w:rsidRPr="006D40F0" w:rsidRDefault="00575AC3" w:rsidP="006D40F0">
      <w:r w:rsidRPr="006D40F0">
        <w:t>Posten skal dekke utbetalinger til visse grupper som ikke har opptjente pensjonsrettigheter i Statens pensjonskasse. På grunnlag av oppdatert anslag foreslås det å øke bevilgningen.</w:t>
      </w:r>
    </w:p>
    <w:p w14:paraId="37227022" w14:textId="77777777" w:rsidR="00575AC3" w:rsidRPr="006D40F0" w:rsidRDefault="00575AC3" w:rsidP="006D40F0">
      <w:r w:rsidRPr="006D40F0">
        <w:t>Bevilgningen foreslås økt med 0,5 mill. kroner.</w:t>
      </w:r>
    </w:p>
    <w:p w14:paraId="3F349920" w14:textId="77777777" w:rsidR="00575AC3" w:rsidRPr="006D40F0" w:rsidRDefault="00575AC3" w:rsidP="006D40F0">
      <w:pPr>
        <w:pStyle w:val="b-budkaptit"/>
      </w:pPr>
      <w:r w:rsidRPr="006D40F0">
        <w:t>Kap. 612 Tilskudd til Statens pensjonskasse</w:t>
      </w:r>
    </w:p>
    <w:p w14:paraId="5FE3331F" w14:textId="77777777" w:rsidR="00575AC3" w:rsidRPr="006D40F0" w:rsidRDefault="00575AC3" w:rsidP="006D40F0">
      <w:r w:rsidRPr="006D40F0">
        <w:t>Bevilgningen til Statens pensjonskasse er nettobudsjettert og anslås på bakgrunn av differansen mellom utgifter og inntekter. Tilskuddet til Statens pensjonskasse på kap. 612 foreslås redusert med 627 mill. kroner til 9 693 mill. kroner. Utgiftene til pensjon mv. inkludert administrasjonskostnader anslås til i underkant av 38,7 mrd. kroner, mens inntekter fra premiebetalende virksomheter, medlemsinnskudd mv. anslås til i underkant av 29,0 mrd. kroner.</w:t>
      </w:r>
    </w:p>
    <w:p w14:paraId="2A2D0594" w14:textId="77777777" w:rsidR="00575AC3" w:rsidRPr="006D40F0" w:rsidRDefault="00575AC3" w:rsidP="006D40F0">
      <w:r w:rsidRPr="006D40F0">
        <w:t>Inntektene oppjusteres med 979 mill. kroner. Anslagsendringen skyldes i hovedsak en økning i premieinntekter for sjette termin 2023, som først innbetales i 2024, for grunnskoler og videregående skoler i kommunal og fylkeskommunal sektor.</w:t>
      </w:r>
    </w:p>
    <w:p w14:paraId="1C3BC606" w14:textId="77777777" w:rsidR="00575AC3" w:rsidRPr="006D40F0" w:rsidRDefault="00575AC3" w:rsidP="006D40F0">
      <w:r w:rsidRPr="006D40F0">
        <w:t>Utgiftene oppjusteres med til sammen 352 mill. kroner. Dette skyldes i hovedsak økt anslag for gjennomsnittlig utbetalte alderspensjoner, samt flere mottakere av alderspensjon enn lagt til grunn i Saldert budsjett 2024.</w:t>
      </w:r>
    </w:p>
    <w:p w14:paraId="3C28A40E" w14:textId="77777777" w:rsidR="00575AC3" w:rsidRPr="006D40F0" w:rsidRDefault="00575AC3" w:rsidP="006D40F0">
      <w:pPr>
        <w:pStyle w:val="b-post"/>
      </w:pPr>
      <w:r w:rsidRPr="006D40F0">
        <w:t>Post 01 Driftsutgifter, overslagsbevilgning</w:t>
      </w:r>
    </w:p>
    <w:p w14:paraId="7E2A78AF" w14:textId="77777777" w:rsidR="00575AC3" w:rsidRPr="006D40F0" w:rsidRDefault="00575AC3" w:rsidP="006D40F0">
      <w:r w:rsidRPr="006D40F0">
        <w:t>Bevilgningen på posten er 10 228 mill. kroner.</w:t>
      </w:r>
    </w:p>
    <w:p w14:paraId="3E64DC58" w14:textId="77777777" w:rsidR="00575AC3" w:rsidRPr="006D40F0" w:rsidRDefault="00575AC3" w:rsidP="006D40F0">
      <w:r w:rsidRPr="006D40F0">
        <w:t>Bevilgningen foreslås redusert med 619 mill. kroner.</w:t>
      </w:r>
    </w:p>
    <w:p w14:paraId="3E65DEBB" w14:textId="77777777" w:rsidR="00575AC3" w:rsidRPr="006D40F0" w:rsidRDefault="00575AC3" w:rsidP="006D40F0">
      <w:pPr>
        <w:pStyle w:val="b-post"/>
      </w:pPr>
      <w:r w:rsidRPr="006D40F0">
        <w:t>Post 70 For andre medlemmer av Statens pensjonskasse, overslagsbevilgning</w:t>
      </w:r>
    </w:p>
    <w:p w14:paraId="651E7FB4" w14:textId="77777777" w:rsidR="00575AC3" w:rsidRPr="006D40F0" w:rsidRDefault="00575AC3" w:rsidP="006D40F0">
      <w:r w:rsidRPr="006D40F0">
        <w:t>Bevilgningen på posten er 92 mill. kroner.</w:t>
      </w:r>
    </w:p>
    <w:p w14:paraId="5E15F913" w14:textId="77777777" w:rsidR="00575AC3" w:rsidRPr="006D40F0" w:rsidRDefault="00575AC3" w:rsidP="006D40F0">
      <w:r w:rsidRPr="006D40F0">
        <w:t>Bevilgningen foreslås redusert med 8 mill. kroner.</w:t>
      </w:r>
    </w:p>
    <w:p w14:paraId="0C014232" w14:textId="77777777" w:rsidR="00575AC3" w:rsidRPr="006D40F0" w:rsidRDefault="00575AC3" w:rsidP="006D40F0">
      <w:pPr>
        <w:pStyle w:val="b-budkaptit"/>
      </w:pPr>
      <w:r w:rsidRPr="006D40F0">
        <w:lastRenderedPageBreak/>
        <w:t>Kap. 2470 Statens pensjonskasse</w:t>
      </w:r>
    </w:p>
    <w:p w14:paraId="2755280C" w14:textId="77777777" w:rsidR="00575AC3" w:rsidRPr="006D40F0" w:rsidRDefault="00575AC3" w:rsidP="006D40F0">
      <w:pPr>
        <w:pStyle w:val="b-post"/>
      </w:pPr>
      <w:r w:rsidRPr="006D40F0">
        <w:t>Post 45 Større utstyrsanskaffelser og vedlikehold, kan overføres</w:t>
      </w:r>
    </w:p>
    <w:p w14:paraId="08EE0A76" w14:textId="77777777" w:rsidR="00575AC3" w:rsidRPr="006D40F0" w:rsidRDefault="00575AC3" w:rsidP="006D40F0">
      <w:r w:rsidRPr="006D40F0">
        <w:t>Bevilgningen på posten er 212,3 mill. kroner.</w:t>
      </w:r>
    </w:p>
    <w:p w14:paraId="2F1409E4" w14:textId="77777777" w:rsidR="00575AC3" w:rsidRPr="006D40F0" w:rsidRDefault="00575AC3" w:rsidP="006D40F0">
      <w:r w:rsidRPr="006D40F0">
        <w:t>Bevilgningen på posten foreslås redusert med 10 mill. kroner som følge av endret utbetalingstakt for prosjektet nytt IKT-system for boliglånsordningen i SPK.</w:t>
      </w:r>
    </w:p>
    <w:p w14:paraId="2ECC2C12" w14:textId="77777777" w:rsidR="00575AC3" w:rsidRPr="006D40F0" w:rsidRDefault="00575AC3" w:rsidP="006D40F0">
      <w:pPr>
        <w:pStyle w:val="b-budkaptit"/>
      </w:pPr>
      <w:r w:rsidRPr="006D40F0">
        <w:t>Kap. 634 Arbeidsmarkedstiltak</w:t>
      </w:r>
    </w:p>
    <w:p w14:paraId="69C389E0" w14:textId="77777777" w:rsidR="00575AC3" w:rsidRPr="006D40F0" w:rsidRDefault="00575AC3" w:rsidP="006D40F0">
      <w:pPr>
        <w:pStyle w:val="b-post"/>
      </w:pPr>
      <w:r w:rsidRPr="006D40F0">
        <w:t>Post 76 Tiltak for arbeidssøkere, kan overføres</w:t>
      </w:r>
    </w:p>
    <w:p w14:paraId="0D8D4054" w14:textId="77777777" w:rsidR="00575AC3" w:rsidRPr="006D40F0" w:rsidRDefault="00575AC3" w:rsidP="006D40F0">
      <w:r w:rsidRPr="006D40F0">
        <w:t>Bevilgningen på posten er på 7 763,8 mill. kroner.</w:t>
      </w:r>
    </w:p>
    <w:p w14:paraId="7EE983D8" w14:textId="77777777" w:rsidR="00575AC3" w:rsidRPr="006D40F0" w:rsidRDefault="00575AC3" w:rsidP="006D40F0">
      <w:r w:rsidRPr="006D40F0">
        <w:t>Det foreslås å omdisponere 16 mill. kroner til kap. 634, post 78 og 5 mill. kroner til kap. 634, post 79 som følge av økte utgifter. Se omtale under disse postene.</w:t>
      </w:r>
    </w:p>
    <w:p w14:paraId="5F73F18C" w14:textId="77777777" w:rsidR="00575AC3" w:rsidRPr="006D40F0" w:rsidRDefault="00575AC3" w:rsidP="006D40F0">
      <w:r w:rsidRPr="006D40F0">
        <w:t>Samlet foreslås bevilgningen redusert med 21 mill. kroner.</w:t>
      </w:r>
    </w:p>
    <w:p w14:paraId="7E068044" w14:textId="77777777" w:rsidR="00575AC3" w:rsidRPr="006D40F0" w:rsidRDefault="00575AC3" w:rsidP="006D40F0">
      <w:r w:rsidRPr="006D40F0">
        <w:t>Det foreslås videre at tilsagnsfullmakten for å opprettholde aktivitetsnivået i 2025 økes med 112,1 mill. kroner, jf. forslag til romertallsvedtak.</w:t>
      </w:r>
    </w:p>
    <w:p w14:paraId="5A73ACEF" w14:textId="77777777" w:rsidR="00575AC3" w:rsidRPr="006D40F0" w:rsidRDefault="00575AC3" w:rsidP="006D40F0">
      <w:pPr>
        <w:pStyle w:val="b-post"/>
      </w:pPr>
      <w:r w:rsidRPr="006D40F0">
        <w:t>Post 77 Varig tilrettelagt arbeid, kan overføres</w:t>
      </w:r>
    </w:p>
    <w:p w14:paraId="22BE2CF6" w14:textId="77777777" w:rsidR="00575AC3" w:rsidRPr="006D40F0" w:rsidRDefault="00575AC3" w:rsidP="006D40F0">
      <w:r w:rsidRPr="006D40F0">
        <w:t>Bevilgningen på posten er på 2 072 mill. kroner.</w:t>
      </w:r>
    </w:p>
    <w:p w14:paraId="74CF8E90" w14:textId="77777777" w:rsidR="00575AC3" w:rsidRPr="006D40F0" w:rsidRDefault="00575AC3" w:rsidP="006D40F0">
      <w:r w:rsidRPr="006D40F0">
        <w:t>Det foreslås at tilsagnsfullmakten for å opprettholde aktivitetsnivået i 2025 økes med 86,1 mill. kroner, jf. forslag til romertallsvedtak.</w:t>
      </w:r>
    </w:p>
    <w:p w14:paraId="599D292A" w14:textId="77777777" w:rsidR="00575AC3" w:rsidRPr="006D40F0" w:rsidRDefault="00575AC3" w:rsidP="006D40F0">
      <w:pPr>
        <w:pStyle w:val="b-post"/>
      </w:pPr>
      <w:r w:rsidRPr="006D40F0">
        <w:t>Post 78 Tilskudd til arbeids- og utdanningsreiser</w:t>
      </w:r>
    </w:p>
    <w:p w14:paraId="7D411E06" w14:textId="77777777" w:rsidR="00575AC3" w:rsidRPr="006D40F0" w:rsidRDefault="00575AC3" w:rsidP="006D40F0">
      <w:r w:rsidRPr="006D40F0">
        <w:t>Bevilgningen på posten er på 90,7 mill. kroner.</w:t>
      </w:r>
    </w:p>
    <w:p w14:paraId="4629D05A" w14:textId="77777777" w:rsidR="00575AC3" w:rsidRPr="006D40F0" w:rsidRDefault="00575AC3" w:rsidP="006D40F0">
      <w:r w:rsidRPr="006D40F0">
        <w:t>Som følge av økte utgifter per deltaker i arbeids- og utdanningsreiser foreslås det å øke bevilgningen over kap. 634, post 78 med 16 mill. kroner mot en tilsvarende reduksjon i bevilgningen under kap. 634, post 76.</w:t>
      </w:r>
    </w:p>
    <w:p w14:paraId="4D2AF66B" w14:textId="77777777" w:rsidR="00575AC3" w:rsidRPr="006D40F0" w:rsidRDefault="00575AC3" w:rsidP="006D40F0">
      <w:pPr>
        <w:pStyle w:val="b-post"/>
      </w:pPr>
      <w:r w:rsidRPr="006D40F0">
        <w:t>Post 79 Funksjonsassistanse i arbeidslivet</w:t>
      </w:r>
    </w:p>
    <w:p w14:paraId="043C4C07" w14:textId="77777777" w:rsidR="00575AC3" w:rsidRPr="006D40F0" w:rsidRDefault="00575AC3" w:rsidP="006D40F0">
      <w:r w:rsidRPr="006D40F0">
        <w:t>Bevilgningen på posten er på 119,1 mill. kroner.</w:t>
      </w:r>
    </w:p>
    <w:p w14:paraId="183D6443" w14:textId="77777777" w:rsidR="00575AC3" w:rsidRPr="006D40F0" w:rsidRDefault="00575AC3" w:rsidP="006D40F0">
      <w:r w:rsidRPr="006D40F0">
        <w:t>Som følge av økte utgifter per deltaker som mottar funksjonsassistanse foreslås det å øke bevilgningen over kap. 634, post 79 med 5 mill. kroner mot en tilsvarende reduksjon i bevilgningen under kap. 634, post 76.</w:t>
      </w:r>
    </w:p>
    <w:p w14:paraId="063C2F44" w14:textId="77777777" w:rsidR="00575AC3" w:rsidRPr="006D40F0" w:rsidRDefault="00575AC3" w:rsidP="006D40F0">
      <w:r w:rsidRPr="006D40F0">
        <w:t>Tilsagnsfullmakten for utbetalinger i 2025 foreslås økt med 1,4 mill. kroner. Det foreslås videre at tilsagnsfullmakten for å opprettholde aktivitetsnivået i 2025 økes med 1,4 mill. kroner. Samlet gir det en justering av tilsagnsfullmakten på 2,9 mill. kroner, jf. forslag til romertallsvedtak.</w:t>
      </w:r>
    </w:p>
    <w:p w14:paraId="4DEDFDC6" w14:textId="77777777" w:rsidR="00575AC3" w:rsidRPr="006D40F0" w:rsidRDefault="00575AC3" w:rsidP="006D40F0">
      <w:pPr>
        <w:pStyle w:val="b-budkaptit"/>
      </w:pPr>
      <w:r w:rsidRPr="006D40F0">
        <w:lastRenderedPageBreak/>
        <w:t>Kap. 635 Ventelønn</w:t>
      </w:r>
    </w:p>
    <w:p w14:paraId="3E2D6601" w14:textId="77777777" w:rsidR="00575AC3" w:rsidRPr="006D40F0" w:rsidRDefault="00575AC3" w:rsidP="006D40F0">
      <w:pPr>
        <w:pStyle w:val="b-post"/>
      </w:pPr>
      <w:r w:rsidRPr="006D40F0">
        <w:t>Post 01 Driftsutgifter, overslagsbevilgning</w:t>
      </w:r>
    </w:p>
    <w:p w14:paraId="6EAEFC5E" w14:textId="77777777" w:rsidR="00575AC3" w:rsidRPr="006D40F0" w:rsidRDefault="00575AC3" w:rsidP="006D40F0">
      <w:r w:rsidRPr="006D40F0">
        <w:t>Bevilgningen på posten er på 1,4 mill. kroner.</w:t>
      </w:r>
    </w:p>
    <w:p w14:paraId="4A149157" w14:textId="77777777" w:rsidR="00575AC3" w:rsidRPr="006D40F0" w:rsidRDefault="00575AC3" w:rsidP="006D40F0">
      <w:r w:rsidRPr="006D40F0">
        <w:t>På bakgrunn av forventet utvikling i 2024 foreslås bevilgningen redusert med 1 mill. kroner.</w:t>
      </w:r>
    </w:p>
    <w:p w14:paraId="1218A5BA" w14:textId="77777777" w:rsidR="00575AC3" w:rsidRPr="006D40F0" w:rsidRDefault="00575AC3" w:rsidP="006D40F0">
      <w:pPr>
        <w:pStyle w:val="b-budkaptit"/>
      </w:pPr>
      <w:r w:rsidRPr="006D40F0">
        <w:t>Kap. 3635 Ventelønn mv.</w:t>
      </w:r>
    </w:p>
    <w:p w14:paraId="569A925B" w14:textId="77777777" w:rsidR="00575AC3" w:rsidRPr="006D40F0" w:rsidRDefault="00575AC3" w:rsidP="006D40F0">
      <w:pPr>
        <w:pStyle w:val="b-post"/>
      </w:pPr>
      <w:r w:rsidRPr="006D40F0">
        <w:t>Post 01 Refusjon statlig virksomhet mv.</w:t>
      </w:r>
    </w:p>
    <w:p w14:paraId="02ED9956" w14:textId="77777777" w:rsidR="00575AC3" w:rsidRPr="006D40F0" w:rsidRDefault="00575AC3" w:rsidP="006D40F0">
      <w:r w:rsidRPr="006D40F0">
        <w:t>Bevilgningen på posten er på 1,4 mill. kroner.</w:t>
      </w:r>
    </w:p>
    <w:p w14:paraId="70201769" w14:textId="77777777" w:rsidR="00575AC3" w:rsidRPr="006D40F0" w:rsidRDefault="00575AC3" w:rsidP="006D40F0">
      <w:r w:rsidRPr="006D40F0">
        <w:t>På bakgrunn av forventet utvikling i 2024 foreslås bevilgningen redusert med 1 mill. kroner.</w:t>
      </w:r>
    </w:p>
    <w:p w14:paraId="1A2F0691" w14:textId="77777777" w:rsidR="00575AC3" w:rsidRPr="006D40F0" w:rsidRDefault="00575AC3" w:rsidP="006D40F0">
      <w:pPr>
        <w:pStyle w:val="b-budkaptit"/>
      </w:pPr>
      <w:r w:rsidRPr="006D40F0">
        <w:t>Kap. 646 Pionerdykkere i Nordsjøen</w:t>
      </w:r>
    </w:p>
    <w:p w14:paraId="191BB6FB" w14:textId="77777777" w:rsidR="00575AC3" w:rsidRPr="006D40F0" w:rsidRDefault="00575AC3" w:rsidP="006D40F0">
      <w:pPr>
        <w:pStyle w:val="b-post"/>
      </w:pPr>
      <w:r w:rsidRPr="006D40F0">
        <w:t>Post 72 Tilskudd, kan overføres</w:t>
      </w:r>
    </w:p>
    <w:p w14:paraId="5747678A" w14:textId="77777777" w:rsidR="00575AC3" w:rsidRPr="006D40F0" w:rsidRDefault="00575AC3" w:rsidP="006D40F0">
      <w:r w:rsidRPr="006D40F0">
        <w:t>Bevilgningen på posten er 1,3 mill. kroner.</w:t>
      </w:r>
    </w:p>
    <w:p w14:paraId="695C075A" w14:textId="77777777" w:rsidR="00575AC3" w:rsidRPr="006D40F0" w:rsidRDefault="00575AC3" w:rsidP="006D40F0">
      <w:r w:rsidRPr="006D40F0">
        <w:t>I forbindelse med at Dykkerkontakten skal avvikles 31. desember 2025, har det kommet et ekstra krav om pensjonsinnbetaling.</w:t>
      </w:r>
    </w:p>
    <w:p w14:paraId="0A92E8F5" w14:textId="77777777" w:rsidR="00575AC3" w:rsidRPr="006D40F0" w:rsidRDefault="00575AC3" w:rsidP="006D40F0">
      <w:r w:rsidRPr="006D40F0">
        <w:t>Det foreslås å øke bevilgningen med 0,3 mill. kroner.</w:t>
      </w:r>
    </w:p>
    <w:p w14:paraId="40FFA9A3" w14:textId="77777777" w:rsidR="00575AC3" w:rsidRPr="006D40F0" w:rsidRDefault="00575AC3" w:rsidP="006D40F0">
      <w:pPr>
        <w:pStyle w:val="b-budkaptit"/>
      </w:pPr>
      <w:r w:rsidRPr="006D40F0">
        <w:t>Kap. 648 Arbeidsretten, Riksmekleren mv.</w:t>
      </w:r>
    </w:p>
    <w:p w14:paraId="2B1BB99E" w14:textId="77777777" w:rsidR="00575AC3" w:rsidRPr="006D40F0" w:rsidRDefault="00575AC3" w:rsidP="006D40F0">
      <w:pPr>
        <w:pStyle w:val="b-post"/>
      </w:pPr>
      <w:r w:rsidRPr="006D40F0">
        <w:t>Post 01 Driftsutgifter</w:t>
      </w:r>
    </w:p>
    <w:p w14:paraId="61ACAF59" w14:textId="77777777" w:rsidR="00575AC3" w:rsidRPr="006D40F0" w:rsidRDefault="00575AC3" w:rsidP="006D40F0">
      <w:r w:rsidRPr="006D40F0">
        <w:t>Bevilgningen på posten er 26,7 mill. kroner</w:t>
      </w:r>
    </w:p>
    <w:p w14:paraId="38CFD814" w14:textId="77777777" w:rsidR="00575AC3" w:rsidRPr="006D40F0" w:rsidRDefault="00575AC3" w:rsidP="006D40F0">
      <w:r w:rsidRPr="006D40F0">
        <w:t>Som omtalt i Prop. 15 S (2023–2024) og Prop. 1 S (2023–2024) flyttet Arbeidsretten og Riksmekleren inn i nye lokaler på slutten av 2023. Det har med bakgrunn i dette oppstått økte utgifter i form av engangskostnader.</w:t>
      </w:r>
    </w:p>
    <w:p w14:paraId="18A13C94" w14:textId="77777777" w:rsidR="00575AC3" w:rsidRPr="006D40F0" w:rsidRDefault="00575AC3" w:rsidP="006D40F0">
      <w:r w:rsidRPr="006D40F0">
        <w:t>Det foreslås å øke bevilgningen med 2 mill. kroner.</w:t>
      </w:r>
    </w:p>
    <w:p w14:paraId="7C9DADEA" w14:textId="77777777" w:rsidR="00575AC3" w:rsidRPr="006D40F0" w:rsidRDefault="00575AC3" w:rsidP="006D40F0">
      <w:pPr>
        <w:pStyle w:val="b-budkaptit"/>
      </w:pPr>
      <w:r w:rsidRPr="006D40F0">
        <w:t>Kap. 660 Krigspensjon</w:t>
      </w:r>
    </w:p>
    <w:p w14:paraId="4825D408" w14:textId="77777777" w:rsidR="00575AC3" w:rsidRPr="006D40F0" w:rsidRDefault="00575AC3" w:rsidP="006D40F0">
      <w:pPr>
        <w:pStyle w:val="b-post"/>
      </w:pPr>
      <w:r w:rsidRPr="006D40F0">
        <w:t>Post 70 Tilskudd, militære, overslagsbevilgning</w:t>
      </w:r>
    </w:p>
    <w:p w14:paraId="6E4411A4" w14:textId="77777777" w:rsidR="00575AC3" w:rsidRPr="006D40F0" w:rsidRDefault="00575AC3" w:rsidP="006D40F0">
      <w:r w:rsidRPr="006D40F0">
        <w:t>Bevilgningen på posten er 26 mill. kroner</w:t>
      </w:r>
    </w:p>
    <w:p w14:paraId="4465BF82" w14:textId="77777777" w:rsidR="00575AC3" w:rsidRPr="006D40F0" w:rsidRDefault="00575AC3" w:rsidP="006D40F0">
      <w:r w:rsidRPr="006D40F0">
        <w:t>Anslaget på posten nedjusteres hovedsakelig som følge av at gjennomsnittlig ytelse er justert ned.</w:t>
      </w:r>
    </w:p>
    <w:p w14:paraId="0E70ACAE" w14:textId="77777777" w:rsidR="00575AC3" w:rsidRPr="006D40F0" w:rsidRDefault="00575AC3" w:rsidP="006D40F0">
      <w:r w:rsidRPr="006D40F0">
        <w:t>Det foreslås å redusere bevilgningen med 3 mill. kroner.</w:t>
      </w:r>
    </w:p>
    <w:p w14:paraId="139D4982" w14:textId="77777777" w:rsidR="00575AC3" w:rsidRPr="006D40F0" w:rsidRDefault="00575AC3" w:rsidP="006D40F0">
      <w:pPr>
        <w:pStyle w:val="b-post"/>
      </w:pPr>
      <w:r w:rsidRPr="006D40F0">
        <w:lastRenderedPageBreak/>
        <w:t>Post 71 Tilskudd, sivile, overslagsbevilgning</w:t>
      </w:r>
    </w:p>
    <w:p w14:paraId="1419BFD8" w14:textId="77777777" w:rsidR="00575AC3" w:rsidRPr="006D40F0" w:rsidRDefault="00575AC3" w:rsidP="006D40F0">
      <w:r w:rsidRPr="006D40F0">
        <w:t>Bevilgningen på posten er 74 mill. kroner</w:t>
      </w:r>
    </w:p>
    <w:p w14:paraId="3AE17D1D" w14:textId="77777777" w:rsidR="00575AC3" w:rsidRPr="006D40F0" w:rsidRDefault="00575AC3" w:rsidP="006D40F0">
      <w:r w:rsidRPr="006D40F0">
        <w:t>Det er gjort mindre endringer i anslagene for gjennomsnittlig ytelse og gjennomsnittlig antall mottakere, og samlet sett oppjusteres anslaget på posten.</w:t>
      </w:r>
    </w:p>
    <w:p w14:paraId="77898B7C" w14:textId="77777777" w:rsidR="00575AC3" w:rsidRPr="006D40F0" w:rsidRDefault="00575AC3" w:rsidP="006D40F0">
      <w:r w:rsidRPr="006D40F0">
        <w:t>Det foreslås å øke bevilgningen med 1 mill. kroner.</w:t>
      </w:r>
    </w:p>
    <w:p w14:paraId="72B91EF6" w14:textId="77777777" w:rsidR="00575AC3" w:rsidRPr="006D40F0" w:rsidRDefault="00575AC3" w:rsidP="006D40F0">
      <w:pPr>
        <w:pStyle w:val="b-budkaptit"/>
      </w:pPr>
      <w:r w:rsidRPr="006D40F0">
        <w:t>Kap. 666 Avtalefestet pensjon (AFP)</w:t>
      </w:r>
    </w:p>
    <w:p w14:paraId="42E5BA94" w14:textId="77777777" w:rsidR="00575AC3" w:rsidRPr="006D40F0" w:rsidRDefault="00575AC3" w:rsidP="006D40F0">
      <w:pPr>
        <w:pStyle w:val="b-post"/>
      </w:pPr>
      <w:r w:rsidRPr="006D40F0">
        <w:t>Post 70 Tilskudd, overslagsbevilgning</w:t>
      </w:r>
    </w:p>
    <w:p w14:paraId="0233994F" w14:textId="77777777" w:rsidR="00575AC3" w:rsidRPr="006D40F0" w:rsidRDefault="00575AC3" w:rsidP="006D40F0">
      <w:r w:rsidRPr="006D40F0">
        <w:t>Bevilgningen på posten er 3 990 mill. kroner.</w:t>
      </w:r>
    </w:p>
    <w:p w14:paraId="108D2180" w14:textId="77777777" w:rsidR="00575AC3" w:rsidRPr="006D40F0" w:rsidRDefault="00575AC3" w:rsidP="006D40F0">
      <w:r w:rsidRPr="006D40F0">
        <w:t>Anslaget på posten oppjusteres hovedsakelig som følge av at gjennomsnittlig antall mottakere er justert opp.</w:t>
      </w:r>
    </w:p>
    <w:p w14:paraId="114AEF04" w14:textId="77777777" w:rsidR="00575AC3" w:rsidRPr="006D40F0" w:rsidRDefault="00575AC3" w:rsidP="006D40F0">
      <w:r w:rsidRPr="006D40F0">
        <w:t>Det foreslås å øke bevilgningen med 30 mill. kroner.</w:t>
      </w:r>
    </w:p>
    <w:p w14:paraId="02C029D3" w14:textId="77777777" w:rsidR="00575AC3" w:rsidRPr="006D40F0" w:rsidRDefault="00575AC3" w:rsidP="006D40F0">
      <w:pPr>
        <w:pStyle w:val="b-budkaptit"/>
      </w:pPr>
      <w:r w:rsidRPr="006D40F0">
        <w:t>Kap. 667 Supplerende stønad</w:t>
      </w:r>
    </w:p>
    <w:p w14:paraId="21112E10" w14:textId="77777777" w:rsidR="00575AC3" w:rsidRPr="006D40F0" w:rsidRDefault="00575AC3" w:rsidP="006D40F0">
      <w:pPr>
        <w:pStyle w:val="b-post"/>
      </w:pPr>
      <w:r w:rsidRPr="006D40F0">
        <w:t>Post 70 Tilskudd til personer over 67 år med kort botid, overslagsbevilgning</w:t>
      </w:r>
    </w:p>
    <w:p w14:paraId="2B20EE50" w14:textId="77777777" w:rsidR="00575AC3" w:rsidRPr="006D40F0" w:rsidRDefault="00575AC3" w:rsidP="006D40F0">
      <w:r w:rsidRPr="006D40F0">
        <w:t>Bevilgningen på posten er 400 mill. kroner.</w:t>
      </w:r>
    </w:p>
    <w:p w14:paraId="29633D05" w14:textId="77777777" w:rsidR="00575AC3" w:rsidRPr="006D40F0" w:rsidRDefault="00575AC3" w:rsidP="006D40F0">
      <w:r w:rsidRPr="006D40F0">
        <w:t>Anslaget på posten nedjusteres som følge av redusert anslag både for gjennomsnittlig antall mottakere og gjennomsnittlig ytelse.</w:t>
      </w:r>
    </w:p>
    <w:p w14:paraId="5F28A701" w14:textId="77777777" w:rsidR="00575AC3" w:rsidRPr="006D40F0" w:rsidRDefault="00575AC3" w:rsidP="006D40F0">
      <w:r w:rsidRPr="006D40F0">
        <w:t>Det foreslås å redusere bevilgningen med 15 mill. kroner.</w:t>
      </w:r>
    </w:p>
    <w:p w14:paraId="359BC86D" w14:textId="77777777" w:rsidR="00575AC3" w:rsidRPr="006D40F0" w:rsidRDefault="00575AC3" w:rsidP="006D40F0">
      <w:pPr>
        <w:pStyle w:val="b-post"/>
      </w:pPr>
      <w:r w:rsidRPr="006D40F0">
        <w:t>Post 71 Tilskudd til uføre flyktninger med kort botid, overslagsbevilgning</w:t>
      </w:r>
    </w:p>
    <w:p w14:paraId="3464C920" w14:textId="77777777" w:rsidR="00575AC3" w:rsidRPr="006D40F0" w:rsidRDefault="00575AC3" w:rsidP="006D40F0">
      <w:r w:rsidRPr="006D40F0">
        <w:t>Bevilgningen på posten er 176 mill. kroner.</w:t>
      </w:r>
    </w:p>
    <w:p w14:paraId="1984AE10" w14:textId="77777777" w:rsidR="00575AC3" w:rsidRPr="006D40F0" w:rsidRDefault="00575AC3" w:rsidP="006D40F0">
      <w:r w:rsidRPr="006D40F0">
        <w:t>Anslaget på posten oppjusteres som følge av økt anslag både for gjennomsnittlig antall mottakere og gjennomsnittlig ytelse.</w:t>
      </w:r>
    </w:p>
    <w:p w14:paraId="121662B3" w14:textId="77777777" w:rsidR="00575AC3" w:rsidRPr="006D40F0" w:rsidRDefault="00575AC3" w:rsidP="006D40F0">
      <w:r w:rsidRPr="006D40F0">
        <w:t>Det foreslås å øke bevilgningen med 12 mill. kroner.</w:t>
      </w:r>
    </w:p>
    <w:p w14:paraId="7FD51A0E" w14:textId="77777777" w:rsidR="00575AC3" w:rsidRPr="006D40F0" w:rsidRDefault="00575AC3" w:rsidP="006D40F0">
      <w:pPr>
        <w:pStyle w:val="b-budkaptit"/>
      </w:pPr>
      <w:r w:rsidRPr="006D40F0">
        <w:t>Kap. 671 Bosetting av flyktninger og tiltak for innvandrere</w:t>
      </w:r>
    </w:p>
    <w:p w14:paraId="2D5591A9" w14:textId="77777777" w:rsidR="00575AC3" w:rsidRPr="006D40F0" w:rsidRDefault="00575AC3" w:rsidP="006D40F0">
      <w:pPr>
        <w:pStyle w:val="b-post"/>
      </w:pPr>
      <w:r w:rsidRPr="006D40F0">
        <w:t>Post 60 Integreringstilskudd, kan overføres</w:t>
      </w:r>
    </w:p>
    <w:p w14:paraId="46C1BC90" w14:textId="77777777" w:rsidR="00575AC3" w:rsidRPr="006D40F0" w:rsidRDefault="00575AC3" w:rsidP="006D40F0">
      <w:r w:rsidRPr="006D40F0">
        <w:t>Bevilgningen på posten er 23 627,1 mill. kroner.</w:t>
      </w:r>
    </w:p>
    <w:p w14:paraId="116BB4AF" w14:textId="77777777" w:rsidR="00575AC3" w:rsidRPr="006D40F0" w:rsidRDefault="00575AC3" w:rsidP="006D40F0">
      <w:r w:rsidRPr="006D40F0">
        <w:t>Kommuner som bosetter flyktninger, mottar integreringstilskudd. Hovedårsaken til at bevilgningsbehovet er redusert er en reduksjon i antall personer som ble bosatt i 2023 og som utløser tilskudd i 2024. Det er også en reduksjon i prognosen for utbetaling av ekstratilskudd ved bosetting av personer med nedsatt funksjonsevne og/eller atferdsvansker, som følge av et lavere anslag for antall bosatte i 2023 enn tidligere. Samtidig er det en økning i prognosen for antall bosatte i 2024 sammenlignet med saldert budsjett, som isolert sett øker bevilgningsbehovet.</w:t>
      </w:r>
    </w:p>
    <w:p w14:paraId="6BFF6547" w14:textId="77777777" w:rsidR="00575AC3" w:rsidRPr="006D40F0" w:rsidRDefault="00575AC3" w:rsidP="006D40F0">
      <w:r w:rsidRPr="006D40F0">
        <w:lastRenderedPageBreak/>
        <w:t>Samlet sett er bevilgningsbehovet på posten redusert. Det foreslås å redusere bevilgningen på posten med 500,7 mill. kroner.</w:t>
      </w:r>
    </w:p>
    <w:p w14:paraId="3FDD4E7A" w14:textId="77777777" w:rsidR="00575AC3" w:rsidRPr="006D40F0" w:rsidRDefault="00575AC3" w:rsidP="006D40F0">
      <w:r w:rsidRPr="006D40F0">
        <w:t xml:space="preserve">I Prop. 101 L (2023–2024) </w:t>
      </w:r>
      <w:r w:rsidRPr="00575AC3">
        <w:rPr>
          <w:rStyle w:val="kursiv"/>
        </w:rPr>
        <w:t>Endringer i integreringsloven, folketrygden og tannhelsetjenesteloven (innstramminger)</w:t>
      </w:r>
      <w:r w:rsidRPr="006D40F0">
        <w:t xml:space="preserve"> legges det frem forslag om å redusere introduksjonsstønaden for ektefeller og samboere uten barn til 5/6 stønad. Forslaget innebærer isolert sett en reduksjon i kommunenes utgifter til introduksjonsstønad. Størrelsen på reduksjonen avhenger av hvor mange som omfattes av reduksjonen og av i hvilken grad redusert introduksjonsstønad fører til økning i utbetaling av økonomisk sosialhjelp. Forslaget forventes samlet sett å føre til en reduksjon i kommunenes utgifter, også ved en økning i kommunenes utgifter til sosialhjelp eller utgifter til bostøtte for enkelte deltakere. Regjeringen legger ikke opp til en reduksjon i integreringstilskuddet som følge av forslaget. En ev. reduksjon i integreringstilskuddet midt i året vil være krevende å gjennomføre og gi uforutsigbarhet i bosettingsarbeidet i kommunene. En reduksjon i kommunenes utgifter vil synliggjøres i beregningsutvalgets årlige kartlegginger.</w:t>
      </w:r>
    </w:p>
    <w:p w14:paraId="28187790" w14:textId="77777777" w:rsidR="00575AC3" w:rsidRPr="006D40F0" w:rsidRDefault="00575AC3" w:rsidP="006D40F0">
      <w:pPr>
        <w:pStyle w:val="b-post"/>
      </w:pPr>
      <w:r w:rsidRPr="006D40F0">
        <w:t>Post 61 Særskilt tilskudd ved bosetting av enslige, mindreårige flyktninger, overslagsbevilgning</w:t>
      </w:r>
    </w:p>
    <w:p w14:paraId="4DAF8F9A" w14:textId="77777777" w:rsidR="00575AC3" w:rsidRPr="006D40F0" w:rsidRDefault="00575AC3" w:rsidP="006D40F0">
      <w:r w:rsidRPr="006D40F0">
        <w:t>Bevilgningen på posten er 1 788,7 mill. kroner.</w:t>
      </w:r>
    </w:p>
    <w:p w14:paraId="6324DAF0" w14:textId="77777777" w:rsidR="00575AC3" w:rsidRPr="006D40F0" w:rsidRDefault="00575AC3" w:rsidP="006D40F0">
      <w:r w:rsidRPr="006D40F0">
        <w:t>Prognosen for antall bosatte enslige mindreårige i 2024 har økt sammenlignet med saldert budsjett. Samtidig er prognosen for antall enslige mindreårige bosatt før 2024, satt ned. Samlet sett har bevilgningsbehovet på posten økt.</w:t>
      </w:r>
    </w:p>
    <w:p w14:paraId="17F01AC8" w14:textId="77777777" w:rsidR="00575AC3" w:rsidRPr="006D40F0" w:rsidRDefault="00575AC3" w:rsidP="006D40F0">
      <w:r w:rsidRPr="006D40F0">
        <w:t>Det foreslås å øke bevilgningen med 26,3 mill. kroner.</w:t>
      </w:r>
    </w:p>
    <w:p w14:paraId="71402C37" w14:textId="77777777" w:rsidR="00575AC3" w:rsidRPr="006D40F0" w:rsidRDefault="00575AC3" w:rsidP="006D40F0">
      <w:pPr>
        <w:pStyle w:val="b-post"/>
      </w:pPr>
      <w:r w:rsidRPr="006D40F0">
        <w:t>Post 62 Kommunale integreringstiltak</w:t>
      </w:r>
    </w:p>
    <w:p w14:paraId="45ED37B6" w14:textId="77777777" w:rsidR="00575AC3" w:rsidRPr="006D40F0" w:rsidRDefault="00575AC3" w:rsidP="006D40F0">
      <w:r w:rsidRPr="006D40F0">
        <w:t>Bevilgningen på posten er 291,4 mill. kroner.</w:t>
      </w:r>
    </w:p>
    <w:p w14:paraId="387F132A" w14:textId="77777777" w:rsidR="00575AC3" w:rsidRPr="006D40F0" w:rsidRDefault="00575AC3" w:rsidP="006D40F0">
      <w:r w:rsidRPr="006D40F0">
        <w:t>I Prop. 1 S (2023–2024) ble det bevilget 30 mill. kroner til å etablere et nasjonalt tilbud om digital, lærerstyrt norskopplæring. Summen foreslås redusert til 10 mill. kroner på grunn av lavere bevilgningsbehov enn anslått. Videre foreslås det å flytte midlene til kap. 672, post 21 for å sikre korrekt postbruk.</w:t>
      </w:r>
    </w:p>
    <w:p w14:paraId="7E0F081F" w14:textId="77777777" w:rsidR="00575AC3" w:rsidRPr="006D40F0" w:rsidRDefault="00575AC3" w:rsidP="006D40F0">
      <w:r w:rsidRPr="006D40F0">
        <w:t xml:space="preserve">Det foreslås å redusere bevilgningen med 1 mill. kroner, mot en tilsvarende økning på kap. 858, post 01. I Prop. 1 S (2023–2024) ble det øremerket 4 mill. kroner til en pilot for å utvide målgruppen til det nasjonale bo- og støttetilbudet for personer over 18 år som er utsatt for negativ sosial kontroll og </w:t>
      </w:r>
      <w:proofErr w:type="spellStart"/>
      <w:r w:rsidRPr="006D40F0">
        <w:t>æresrelatert</w:t>
      </w:r>
      <w:proofErr w:type="spellEnd"/>
      <w:r w:rsidRPr="006D40F0">
        <w:t xml:space="preserve"> vold. Arbeidet med å planlegge og iverksette piloten krever flere ressurser enn antatt, og det foreslås derfor å omdisponere 1 mill. kroner til kap. 858, post 01 i 2024.</w:t>
      </w:r>
    </w:p>
    <w:p w14:paraId="21B7939C" w14:textId="77777777" w:rsidR="00575AC3" w:rsidRPr="006D40F0" w:rsidRDefault="00575AC3" w:rsidP="006D40F0">
      <w:r w:rsidRPr="006D40F0">
        <w:t xml:space="preserve">Det foreslås videre å øke bevilgningen med 20 mill. kroner for å styrke </w:t>
      </w:r>
      <w:r w:rsidRPr="00575AC3">
        <w:rPr>
          <w:rStyle w:val="kursiv"/>
        </w:rPr>
        <w:t>Jobbsjansen</w:t>
      </w:r>
      <w:r w:rsidRPr="006D40F0">
        <w:t>. Formålet med Jobbsjansen er å øke sysselsettingen blant innvandrerkvinner som står langt fra arbeidsmarkedet, og som har behov for grunnleggende kvalifisering for å komme i jobb eller ordinær utdanning. Deltakelse i Jobbsjanseprogram kan vare inntil to år, med mulighet for å forlenge programmet med inntil ett år når det er nødvendig for at deltakeren skal kunne nå målet med programmet. Forslaget vil gi oppstart for 240 flere deltakere i år, som forutsettes å gi en halvårsvirkning i 2024 på 20 mill. kroner.</w:t>
      </w:r>
    </w:p>
    <w:p w14:paraId="1AA69560" w14:textId="77777777" w:rsidR="00575AC3" w:rsidRPr="006D40F0" w:rsidRDefault="00575AC3" w:rsidP="006D40F0">
      <w:r w:rsidRPr="006D40F0">
        <w:lastRenderedPageBreak/>
        <w:t>Samlet foreslås det å redusere bevilgningen med 11 mill. kroner.</w:t>
      </w:r>
    </w:p>
    <w:p w14:paraId="03BD4537" w14:textId="77777777" w:rsidR="00575AC3" w:rsidRPr="006D40F0" w:rsidRDefault="00575AC3" w:rsidP="006D40F0">
      <w:pPr>
        <w:pStyle w:val="b-budkaptit"/>
      </w:pPr>
      <w:r w:rsidRPr="006D40F0">
        <w:t>Kap. 672 Opplæring i norsk og samfunnskunnskap for voksne innvandrere</w:t>
      </w:r>
    </w:p>
    <w:p w14:paraId="0F151172" w14:textId="77777777" w:rsidR="00575AC3" w:rsidRPr="006D40F0" w:rsidRDefault="00575AC3" w:rsidP="006D40F0">
      <w:pPr>
        <w:pStyle w:val="b-post"/>
      </w:pPr>
      <w:r w:rsidRPr="006D40F0">
        <w:t>Post 21 Spesielle driftsutgifter, kan overføres</w:t>
      </w:r>
    </w:p>
    <w:p w14:paraId="364AFA50" w14:textId="77777777" w:rsidR="00575AC3" w:rsidRPr="006D40F0" w:rsidRDefault="00575AC3" w:rsidP="006D40F0">
      <w:r w:rsidRPr="006D40F0">
        <w:t>Bevilgningen på posten er 85,7 mill. kroner.</w:t>
      </w:r>
    </w:p>
    <w:p w14:paraId="757195DE" w14:textId="77777777" w:rsidR="00575AC3" w:rsidRPr="006D40F0" w:rsidRDefault="00575AC3" w:rsidP="006D40F0">
      <w:r w:rsidRPr="006D40F0">
        <w:t>Det foreslås å øke bevilgningen med 10 mill. kroner, mot en tilsvarende reduksjon på kap. 671, post 62, jf. omtale under denne posten. Midlene skal brukes til å etablere et nasjonalt tilbud om digital, lærerstyrt norskopplæring.</w:t>
      </w:r>
    </w:p>
    <w:p w14:paraId="218F5871" w14:textId="77777777" w:rsidR="00575AC3" w:rsidRPr="006D40F0" w:rsidRDefault="00575AC3" w:rsidP="006D40F0">
      <w:pPr>
        <w:pStyle w:val="b-post"/>
      </w:pPr>
      <w:r w:rsidRPr="006D40F0">
        <w:t>Post 60 Tilskudd til opplæring i norsk og samfunnskunnskap for voksne innvandrere</w:t>
      </w:r>
    </w:p>
    <w:p w14:paraId="1340A505" w14:textId="77777777" w:rsidR="00575AC3" w:rsidRPr="006D40F0" w:rsidRDefault="00575AC3" w:rsidP="006D40F0">
      <w:r w:rsidRPr="006D40F0">
        <w:t>Bevilgningen på posten er 2 262,2 mill. kroner.</w:t>
      </w:r>
    </w:p>
    <w:p w14:paraId="32076C9C" w14:textId="77777777" w:rsidR="00575AC3" w:rsidRPr="006D40F0" w:rsidRDefault="00575AC3" w:rsidP="006D40F0">
      <w:r w:rsidRPr="006D40F0">
        <w:t>Prognosen for antall personer som får innvilget kollektiv beskyttelse som følge av krigen i Ukraina og kommer inn i målgruppa for ettårig norskopplæring, har økt. Samtidig er prognosen for antall fordrevne fra Ukraina som vil delta i utvidet norskopplæring nedjustert. Samlet sett har bevilgningsbehovet på posten økt.</w:t>
      </w:r>
    </w:p>
    <w:p w14:paraId="61DE7490" w14:textId="77777777" w:rsidR="00575AC3" w:rsidRPr="006D40F0" w:rsidRDefault="00575AC3" w:rsidP="006D40F0">
      <w:r w:rsidRPr="006D40F0">
        <w:t>Det foreslås å øke bevilgningen med 21,2 mill. kroner.</w:t>
      </w:r>
    </w:p>
    <w:p w14:paraId="2E2A94A0" w14:textId="77777777" w:rsidR="00575AC3" w:rsidRPr="006D40F0" w:rsidRDefault="00575AC3" w:rsidP="006D40F0">
      <w:pPr>
        <w:pStyle w:val="b-post"/>
      </w:pPr>
      <w:r w:rsidRPr="006D40F0">
        <w:t>Post 61 Kompetansekartlegging i mottak før bosetting</w:t>
      </w:r>
    </w:p>
    <w:p w14:paraId="32948F93" w14:textId="77777777" w:rsidR="00575AC3" w:rsidRPr="006D40F0" w:rsidRDefault="00575AC3" w:rsidP="006D40F0">
      <w:r w:rsidRPr="006D40F0">
        <w:t>Bevilgningen på posten er 1 mill. kroner.</w:t>
      </w:r>
    </w:p>
    <w:p w14:paraId="0854BEE4" w14:textId="77777777" w:rsidR="00575AC3" w:rsidRPr="006D40F0" w:rsidRDefault="00575AC3" w:rsidP="006D40F0">
      <w:r w:rsidRPr="006D40F0">
        <w:t>Det foreslås å øke bevilgningen med 0,1 mill. kroner. Årsaken er en økning i prognosen for antall personer i målgruppen for tilskuddet.</w:t>
      </w:r>
    </w:p>
    <w:p w14:paraId="362BE50E" w14:textId="77777777" w:rsidR="00575AC3" w:rsidRPr="006D40F0" w:rsidRDefault="00575AC3" w:rsidP="006D40F0">
      <w:pPr>
        <w:pStyle w:val="b-budkaptit"/>
      </w:pPr>
      <w:r w:rsidRPr="006D40F0">
        <w:t>Kap. 3672 Opplæring i norsk og samfunnskunnskap for voksne innvandrere</w:t>
      </w:r>
    </w:p>
    <w:p w14:paraId="4CFF14B7" w14:textId="77777777" w:rsidR="00575AC3" w:rsidRPr="006D40F0" w:rsidRDefault="00575AC3" w:rsidP="006D40F0">
      <w:pPr>
        <w:pStyle w:val="b-post"/>
      </w:pPr>
      <w:r w:rsidRPr="006D40F0">
        <w:t>Post 01 Norskopplæring i mottak, ODA-godkjente utgifter</w:t>
      </w:r>
    </w:p>
    <w:p w14:paraId="70CA8705" w14:textId="77777777" w:rsidR="00575AC3" w:rsidRPr="006D40F0" w:rsidRDefault="00575AC3" w:rsidP="006D40F0">
      <w:r w:rsidRPr="006D40F0">
        <w:t>Bevilgningen på posten er 40,3 mill. kroner.</w:t>
      </w:r>
    </w:p>
    <w:p w14:paraId="24AAC327" w14:textId="77777777" w:rsidR="00575AC3" w:rsidRPr="006D40F0" w:rsidRDefault="00575AC3" w:rsidP="006D40F0">
      <w:r w:rsidRPr="006D40F0">
        <w:t>Det foreslås å øke bevilgningen med 24,8 mill. kroner. Årsaken er en økning i antall personer i målgruppa for opplæring i norsk og samfunnskunnskap for asylsøkere i mottak.</w:t>
      </w:r>
    </w:p>
    <w:p w14:paraId="460D7E38" w14:textId="77777777" w:rsidR="00575AC3" w:rsidRPr="006D40F0" w:rsidRDefault="00575AC3" w:rsidP="006D40F0">
      <w:pPr>
        <w:pStyle w:val="b-budkaptit"/>
      </w:pPr>
      <w:r w:rsidRPr="006D40F0">
        <w:t>Kap. 2541 Dagpenger</w:t>
      </w:r>
    </w:p>
    <w:p w14:paraId="0EAFF606" w14:textId="77777777" w:rsidR="00575AC3" w:rsidRPr="006D40F0" w:rsidRDefault="00575AC3" w:rsidP="006D40F0">
      <w:pPr>
        <w:pStyle w:val="b-post"/>
      </w:pPr>
      <w:r w:rsidRPr="006D40F0">
        <w:t>Post 70 Dagpenger, overslagsbevilgning</w:t>
      </w:r>
    </w:p>
    <w:p w14:paraId="0F7E0931" w14:textId="77777777" w:rsidR="00575AC3" w:rsidRPr="006D40F0" w:rsidRDefault="00575AC3" w:rsidP="006D40F0">
      <w:r w:rsidRPr="006D40F0">
        <w:t>Bevilgningen på posten er 12 818 mill. kroner.</w:t>
      </w:r>
    </w:p>
    <w:p w14:paraId="71335B70" w14:textId="77777777" w:rsidR="00575AC3" w:rsidRPr="006D40F0" w:rsidRDefault="00575AC3" w:rsidP="006D40F0">
      <w:r w:rsidRPr="006D40F0">
        <w:t>På bakgrunn av færre dagpengemottakere enn lagt til grunn i saldert budsjett 2024 og lavere gjennomsnittlig ytelse per mottaker foreslås bevilgningen redusert med 608 mill. kroner.</w:t>
      </w:r>
    </w:p>
    <w:p w14:paraId="5A47D232" w14:textId="77777777" w:rsidR="00575AC3" w:rsidRPr="006D40F0" w:rsidRDefault="00575AC3" w:rsidP="006D40F0">
      <w:pPr>
        <w:pStyle w:val="b-budkaptit"/>
      </w:pPr>
      <w:r w:rsidRPr="006D40F0">
        <w:lastRenderedPageBreak/>
        <w:t>Kap. 5705 Refusjon av dagpenger</w:t>
      </w:r>
    </w:p>
    <w:p w14:paraId="1057A168" w14:textId="77777777" w:rsidR="00575AC3" w:rsidRPr="006D40F0" w:rsidRDefault="00575AC3" w:rsidP="006D40F0">
      <w:pPr>
        <w:pStyle w:val="b-post"/>
      </w:pPr>
      <w:r w:rsidRPr="006D40F0">
        <w:t>Post 70 Refusjon av dagpenger, statsgaranti ved konkurs</w:t>
      </w:r>
    </w:p>
    <w:p w14:paraId="0CD7D313" w14:textId="77777777" w:rsidR="00575AC3" w:rsidRPr="006D40F0" w:rsidRDefault="00575AC3" w:rsidP="006D40F0">
      <w:r w:rsidRPr="006D40F0">
        <w:t>Bevilgningen på posten er på 18 mill. kroner.</w:t>
      </w:r>
    </w:p>
    <w:p w14:paraId="4EC92D88" w14:textId="77777777" w:rsidR="00575AC3" w:rsidRPr="006D40F0" w:rsidRDefault="00575AC3" w:rsidP="006D40F0">
      <w:r w:rsidRPr="006D40F0">
        <w:t>På bakgrunn av forventet utvikling i 2024 foreslås bevilgningen økt med 9 mill. kroner.</w:t>
      </w:r>
    </w:p>
    <w:p w14:paraId="16E4AC00" w14:textId="77777777" w:rsidR="00575AC3" w:rsidRPr="006D40F0" w:rsidRDefault="00575AC3" w:rsidP="006D40F0">
      <w:pPr>
        <w:pStyle w:val="b-post"/>
      </w:pPr>
      <w:r w:rsidRPr="006D40F0">
        <w:t>Post 71 Refusjon av dagpenger for grensearbeidere mv. bosatt i Norge</w:t>
      </w:r>
    </w:p>
    <w:p w14:paraId="5DA73D90" w14:textId="77777777" w:rsidR="00575AC3" w:rsidRPr="006D40F0" w:rsidRDefault="00575AC3" w:rsidP="006D40F0">
      <w:r w:rsidRPr="006D40F0">
        <w:t>Bevilgningen på posten er på 0,3 mill. kroner.</w:t>
      </w:r>
    </w:p>
    <w:p w14:paraId="73F194AD" w14:textId="77777777" w:rsidR="00575AC3" w:rsidRPr="006D40F0" w:rsidRDefault="00575AC3" w:rsidP="006D40F0">
      <w:r w:rsidRPr="006D40F0">
        <w:t>På bakgrunn av forventet utvikling i 2024 foreslås bevilgningen økt med 0,4 mill. kroner.</w:t>
      </w:r>
    </w:p>
    <w:p w14:paraId="15E1A91C" w14:textId="77777777" w:rsidR="00575AC3" w:rsidRPr="006D40F0" w:rsidRDefault="00575AC3" w:rsidP="006D40F0">
      <w:pPr>
        <w:pStyle w:val="b-post"/>
      </w:pPr>
      <w:r w:rsidRPr="006D40F0">
        <w:t>Post 72 Innkreving av forskutterte dagpenger</w:t>
      </w:r>
    </w:p>
    <w:p w14:paraId="0D215F2E" w14:textId="77777777" w:rsidR="00575AC3" w:rsidRPr="006D40F0" w:rsidRDefault="00575AC3" w:rsidP="006D40F0">
      <w:r w:rsidRPr="006D40F0">
        <w:t>Bevilgningen på posten er på 150 mill. kroner.</w:t>
      </w:r>
    </w:p>
    <w:p w14:paraId="544D308A" w14:textId="77777777" w:rsidR="00575AC3" w:rsidRPr="006D40F0" w:rsidRDefault="00575AC3" w:rsidP="006D40F0">
      <w:r w:rsidRPr="006D40F0">
        <w:t>På bakgrunn av forventet utvikling i 2024 foreslås bevilgningen redusert med 10 mill. kroner.</w:t>
      </w:r>
    </w:p>
    <w:p w14:paraId="304C0D41" w14:textId="77777777" w:rsidR="00575AC3" w:rsidRPr="006D40F0" w:rsidRDefault="00575AC3" w:rsidP="006D40F0">
      <w:pPr>
        <w:pStyle w:val="b-budkaptit"/>
      </w:pPr>
      <w:r w:rsidRPr="006D40F0">
        <w:t>Kap. 2542 Statsgaranti for lønnskrav ved konkurs mv.</w:t>
      </w:r>
    </w:p>
    <w:p w14:paraId="70A53866" w14:textId="77777777" w:rsidR="00575AC3" w:rsidRPr="006D40F0" w:rsidRDefault="00575AC3" w:rsidP="006D40F0">
      <w:pPr>
        <w:pStyle w:val="b-post"/>
      </w:pPr>
      <w:r w:rsidRPr="006D40F0">
        <w:t>Post 70 Statsgaranti for lønnskrav ved konkurs mv., overslagsbevilgning</w:t>
      </w:r>
    </w:p>
    <w:p w14:paraId="0D718D54" w14:textId="77777777" w:rsidR="00575AC3" w:rsidRPr="006D40F0" w:rsidRDefault="00575AC3" w:rsidP="006D40F0">
      <w:r w:rsidRPr="006D40F0">
        <w:t>Bevilgningen på posten er på 865 mill. kroner.</w:t>
      </w:r>
    </w:p>
    <w:p w14:paraId="5847951F" w14:textId="77777777" w:rsidR="00575AC3" w:rsidRPr="006D40F0" w:rsidRDefault="00575AC3" w:rsidP="006D40F0">
      <w:r w:rsidRPr="006D40F0">
        <w:t>Lønnsgarantiordningen er en statlig ordning som, på visse vilkår, dekker arbeidstakernes utestående krav på lønn mv. når arbeidsgiver går konkurs.</w:t>
      </w:r>
    </w:p>
    <w:p w14:paraId="4D30BCA6" w14:textId="77777777" w:rsidR="00575AC3" w:rsidRPr="006D40F0" w:rsidRDefault="00575AC3" w:rsidP="006D40F0">
      <w:r w:rsidRPr="006D40F0">
        <w:t>På bakgrunn av forventet utvikling i 2024 foreslås bevilgningen økt med 35 mill. kroner.</w:t>
      </w:r>
    </w:p>
    <w:p w14:paraId="61C205D8" w14:textId="77777777" w:rsidR="00575AC3" w:rsidRPr="006D40F0" w:rsidRDefault="00575AC3" w:rsidP="006D40F0">
      <w:pPr>
        <w:pStyle w:val="b-budkaptit"/>
      </w:pPr>
      <w:r w:rsidRPr="006D40F0">
        <w:t>Kap. 5704 Statsgaranti for lønnskrav ved konkurs</w:t>
      </w:r>
    </w:p>
    <w:p w14:paraId="6B670BA1" w14:textId="77777777" w:rsidR="00575AC3" w:rsidRPr="006D40F0" w:rsidRDefault="00575AC3" w:rsidP="006D40F0">
      <w:pPr>
        <w:pStyle w:val="b-post"/>
      </w:pPr>
      <w:r w:rsidRPr="006D40F0">
        <w:t>Post 70 Dividende</w:t>
      </w:r>
    </w:p>
    <w:p w14:paraId="6B36095C" w14:textId="77777777" w:rsidR="00575AC3" w:rsidRPr="006D40F0" w:rsidRDefault="00575AC3" w:rsidP="006D40F0">
      <w:r w:rsidRPr="006D40F0">
        <w:t>Bevilgningen på posten er på 225 mill. kroner.</w:t>
      </w:r>
    </w:p>
    <w:p w14:paraId="13120197" w14:textId="77777777" w:rsidR="00575AC3" w:rsidRPr="006D40F0" w:rsidRDefault="00575AC3" w:rsidP="006D40F0">
      <w:r w:rsidRPr="006D40F0">
        <w:t>På bakgrunn av forventet utvikling i 2024 foreslås bevilgningen redusert med 10 mill. kroner.</w:t>
      </w:r>
    </w:p>
    <w:p w14:paraId="34D3B860" w14:textId="77777777" w:rsidR="00575AC3" w:rsidRPr="006D40F0" w:rsidRDefault="00575AC3" w:rsidP="006D40F0">
      <w:pPr>
        <w:pStyle w:val="b-budkaptit"/>
      </w:pPr>
      <w:r w:rsidRPr="006D40F0">
        <w:t>Kap. 2620 Stønad til enslig mor eller far</w:t>
      </w:r>
    </w:p>
    <w:p w14:paraId="39550F65" w14:textId="77777777" w:rsidR="00575AC3" w:rsidRPr="006D40F0" w:rsidRDefault="00575AC3" w:rsidP="006D40F0">
      <w:pPr>
        <w:pStyle w:val="b-post"/>
      </w:pPr>
      <w:r w:rsidRPr="006D40F0">
        <w:t>Post 70 Overgangsstønad, overslagsbevilgning</w:t>
      </w:r>
    </w:p>
    <w:p w14:paraId="0F3C6B56" w14:textId="77777777" w:rsidR="00575AC3" w:rsidRPr="006D40F0" w:rsidRDefault="00575AC3" w:rsidP="006D40F0">
      <w:r w:rsidRPr="006D40F0">
        <w:t>Bevilgningen på posten er på 1 570 mill. kroner.</w:t>
      </w:r>
    </w:p>
    <w:p w14:paraId="1BEE8D53" w14:textId="77777777" w:rsidR="00575AC3" w:rsidRPr="006D40F0" w:rsidRDefault="00575AC3" w:rsidP="006D40F0">
      <w:r w:rsidRPr="006D40F0">
        <w:t>På bakgrunn av forventet utvikling i 2024 foreslås bevilgningen økt med 30 mill. kroner.</w:t>
      </w:r>
    </w:p>
    <w:p w14:paraId="29B05CC8" w14:textId="77777777" w:rsidR="00575AC3" w:rsidRPr="006D40F0" w:rsidRDefault="00575AC3" w:rsidP="006D40F0">
      <w:pPr>
        <w:pStyle w:val="b-post"/>
      </w:pPr>
      <w:r w:rsidRPr="006D40F0">
        <w:t>Post 72 Stønad til barnetilsyn til enslig mor eller far i arbeid, overslagsbevilgning</w:t>
      </w:r>
    </w:p>
    <w:p w14:paraId="6DE41DE6" w14:textId="77777777" w:rsidR="00575AC3" w:rsidRPr="006D40F0" w:rsidRDefault="00575AC3" w:rsidP="006D40F0">
      <w:r w:rsidRPr="006D40F0">
        <w:t>Bevilgningen på posten er på 97 mill. kroner.</w:t>
      </w:r>
    </w:p>
    <w:p w14:paraId="635BF810" w14:textId="77777777" w:rsidR="00575AC3" w:rsidRPr="006D40F0" w:rsidRDefault="00575AC3" w:rsidP="006D40F0">
      <w:r w:rsidRPr="006D40F0">
        <w:t>På bakgrunn av forventet utvikling i 2024 foreslås bevilgningen redusert med 14 mill. kroner.</w:t>
      </w:r>
    </w:p>
    <w:p w14:paraId="5A487339" w14:textId="77777777" w:rsidR="00575AC3" w:rsidRPr="006D40F0" w:rsidRDefault="00575AC3" w:rsidP="006D40F0">
      <w:pPr>
        <w:pStyle w:val="b-post"/>
      </w:pPr>
      <w:r w:rsidRPr="006D40F0">
        <w:lastRenderedPageBreak/>
        <w:t>Post 73 Tilleggsstønader og stønad til skolepenger, overslagsbevilgning</w:t>
      </w:r>
    </w:p>
    <w:p w14:paraId="287943C0" w14:textId="77777777" w:rsidR="00575AC3" w:rsidRPr="006D40F0" w:rsidRDefault="00575AC3" w:rsidP="006D40F0">
      <w:r w:rsidRPr="006D40F0">
        <w:t>Bevilgningen på posten er på 18 mill. kroner.</w:t>
      </w:r>
    </w:p>
    <w:p w14:paraId="4F28E1C2" w14:textId="77777777" w:rsidR="00575AC3" w:rsidRPr="006D40F0" w:rsidRDefault="00575AC3" w:rsidP="006D40F0">
      <w:r w:rsidRPr="006D40F0">
        <w:t>På bakgrunn av forventet utvikling i 2024 foreslås bevilgningen redusert med 4 mill. kroner.</w:t>
      </w:r>
    </w:p>
    <w:p w14:paraId="6E69B47A" w14:textId="77777777" w:rsidR="00575AC3" w:rsidRPr="006D40F0" w:rsidRDefault="00575AC3" w:rsidP="006D40F0">
      <w:pPr>
        <w:pStyle w:val="b-budkaptit"/>
      </w:pPr>
      <w:r w:rsidRPr="006D40F0">
        <w:t>Kap. 2650 Sykepenger</w:t>
      </w:r>
    </w:p>
    <w:p w14:paraId="683DA6D3" w14:textId="77777777" w:rsidR="00575AC3" w:rsidRPr="006D40F0" w:rsidRDefault="00575AC3" w:rsidP="006D40F0">
      <w:pPr>
        <w:pStyle w:val="b-post"/>
      </w:pPr>
      <w:r w:rsidRPr="006D40F0">
        <w:t>Post 70 Sykepenger for arbeidstakere mv., overslagsbevilgning</w:t>
      </w:r>
    </w:p>
    <w:p w14:paraId="2035EC42" w14:textId="77777777" w:rsidR="00575AC3" w:rsidRPr="006D40F0" w:rsidRDefault="00575AC3" w:rsidP="006D40F0">
      <w:r w:rsidRPr="006D40F0">
        <w:t>Bevilgningen på posten er 54 350 mill. kroner.</w:t>
      </w:r>
    </w:p>
    <w:p w14:paraId="4FB56044" w14:textId="77777777" w:rsidR="00575AC3" w:rsidRPr="006D40F0" w:rsidRDefault="00575AC3" w:rsidP="006D40F0">
      <w:r w:rsidRPr="006D40F0">
        <w:t>Høyere utgifter i 2023 enn ventet medfører en anslagsendring i 2024 på 2 009 mill. kroner sammenlignet med Saldert budsjett 2024. Dette skyldes i hovedsak at det trygdefinansierte sykefraværet ble høyere enn ventet.</w:t>
      </w:r>
    </w:p>
    <w:p w14:paraId="7C3AE4B2" w14:textId="77777777" w:rsidR="00575AC3" w:rsidRPr="006D40F0" w:rsidRDefault="00575AC3" w:rsidP="006D40F0">
      <w:r w:rsidRPr="006D40F0">
        <w:t>Anslagene for vekst i sysselsetting, sykepengegrunnlaget (lønnsvekst) og det trygdefinansierte sykefraværet i 2024 er oppjustert sammenlignet med forutsetningene som lå til grunn for Saldert budsjett 2024. Dette trekker utgiftsanslaget ytterligere opp.</w:t>
      </w:r>
    </w:p>
    <w:p w14:paraId="7A647241" w14:textId="77777777" w:rsidR="00575AC3" w:rsidRPr="006D40F0" w:rsidRDefault="00575AC3" w:rsidP="006D40F0">
      <w:r w:rsidRPr="006D40F0">
        <w:t>Samlet foreslås det å øke bevilgningen med 3 040 mill. kroner.</w:t>
      </w:r>
    </w:p>
    <w:p w14:paraId="7A800F89" w14:textId="77777777" w:rsidR="00575AC3" w:rsidRPr="006D40F0" w:rsidRDefault="00575AC3" w:rsidP="006D40F0">
      <w:pPr>
        <w:pStyle w:val="b-post"/>
      </w:pPr>
      <w:r w:rsidRPr="006D40F0">
        <w:t>Post 71 Sykepenger for selvstendige, overslagsbevilgning</w:t>
      </w:r>
    </w:p>
    <w:p w14:paraId="1DE0F894" w14:textId="77777777" w:rsidR="00575AC3" w:rsidRPr="006D40F0" w:rsidRDefault="00575AC3" w:rsidP="006D40F0">
      <w:r w:rsidRPr="006D40F0">
        <w:t>Bevilgningen på posten er 1 660 mill. kroner.</w:t>
      </w:r>
    </w:p>
    <w:p w14:paraId="5AACF857" w14:textId="77777777" w:rsidR="00575AC3" w:rsidRPr="006D40F0" w:rsidRDefault="00575AC3" w:rsidP="006D40F0">
      <w:r w:rsidRPr="006D40F0">
        <w:t>Høyere utgifter enn ventet i 2023, som følge av at det trygdefinansierte sykefraværet ble høyere enn ventet, øker anslaget for 2024 med 101 mill. kroner.</w:t>
      </w:r>
    </w:p>
    <w:p w14:paraId="38C012BF" w14:textId="77777777" w:rsidR="00575AC3" w:rsidRPr="006D40F0" w:rsidRDefault="00575AC3" w:rsidP="006D40F0">
      <w:r w:rsidRPr="006D40F0">
        <w:t>Anslagene for vekst i sysselsetting, sykepengegrunnlaget (lønnsvekst) og det trygdefinansierte sykefraværet i 2024 er oppjustert sammenlignet med forutsetningene som lå til grunn for Saldert budsjett 2024. Dette trekker utgiftsanslaget ytterligere opp.</w:t>
      </w:r>
    </w:p>
    <w:p w14:paraId="3B9C0DDE" w14:textId="77777777" w:rsidR="00575AC3" w:rsidRPr="006D40F0" w:rsidRDefault="00575AC3" w:rsidP="006D40F0">
      <w:r w:rsidRPr="006D40F0">
        <w:t>Samlet foreslås det å øke bevilgningen med 140 mill. kroner.</w:t>
      </w:r>
    </w:p>
    <w:p w14:paraId="6CCCC760" w14:textId="77777777" w:rsidR="00575AC3" w:rsidRPr="006D40F0" w:rsidRDefault="00575AC3" w:rsidP="006D40F0">
      <w:pPr>
        <w:pStyle w:val="b-post"/>
      </w:pPr>
      <w:r w:rsidRPr="006D40F0">
        <w:t>Post 72 Pleie-, opplærings- og omsorgspenger mv., overslagsbevilgning</w:t>
      </w:r>
    </w:p>
    <w:p w14:paraId="0709A3E4" w14:textId="77777777" w:rsidR="00575AC3" w:rsidRPr="006D40F0" w:rsidRDefault="00575AC3" w:rsidP="006D40F0">
      <w:r w:rsidRPr="006D40F0">
        <w:t>Bevilgningen på posten er 2 890 mill. kroner.</w:t>
      </w:r>
    </w:p>
    <w:p w14:paraId="17E1189A" w14:textId="77777777" w:rsidR="00575AC3" w:rsidRPr="006D40F0" w:rsidRDefault="00575AC3" w:rsidP="006D40F0">
      <w:r w:rsidRPr="006D40F0">
        <w:t xml:space="preserve">Lavere utgifter i 2023 enn ventet reduserer anslaget for 2024. </w:t>
      </w:r>
      <w:proofErr w:type="spellStart"/>
      <w:r w:rsidRPr="006D40F0">
        <w:t>Mindreutgiftene</w:t>
      </w:r>
      <w:proofErr w:type="spellEnd"/>
      <w:r w:rsidRPr="006D40F0">
        <w:t xml:space="preserve"> skyldes i hovedsak lavere volumvekst enn ventet. Høyere anslag for volumvekst og lønnsvekst i 2024 sammenlignet med forutsetningene som lå til grunn for Saldert budsjett 2024, trekker på den andre siden utgiftene opp.</w:t>
      </w:r>
    </w:p>
    <w:p w14:paraId="31799D52" w14:textId="77777777" w:rsidR="00575AC3" w:rsidRPr="006D40F0" w:rsidRDefault="00575AC3" w:rsidP="006D40F0">
      <w:r w:rsidRPr="006D40F0">
        <w:t>Samlet foreslås det å øke bevilgningen med 20 mill. kroner.</w:t>
      </w:r>
    </w:p>
    <w:p w14:paraId="2195104F" w14:textId="77777777" w:rsidR="00575AC3" w:rsidRPr="006D40F0" w:rsidRDefault="00575AC3" w:rsidP="006D40F0">
      <w:pPr>
        <w:pStyle w:val="b-post"/>
      </w:pPr>
      <w:r w:rsidRPr="006D40F0">
        <w:t>Post 75 Feriepenger av sykepenger, overslagsbevilgning</w:t>
      </w:r>
    </w:p>
    <w:p w14:paraId="6E9F5F0B" w14:textId="77777777" w:rsidR="00575AC3" w:rsidRPr="006D40F0" w:rsidRDefault="00575AC3" w:rsidP="006D40F0">
      <w:r w:rsidRPr="006D40F0">
        <w:t>Bevilgningen på posten er 3 240 mill. kroner.</w:t>
      </w:r>
    </w:p>
    <w:p w14:paraId="730E199C" w14:textId="77777777" w:rsidR="00575AC3" w:rsidRPr="006D40F0" w:rsidRDefault="00575AC3" w:rsidP="006D40F0">
      <w:r w:rsidRPr="006D40F0">
        <w:t xml:space="preserve">Det ytes feriepenger til arbeidstakere både av sykepenger (post 70) og pleie-, opplærings- og omsorgspenger (post 72). Samlet ble utgiftene til disse ytelsene i 2023 høyere enn anslått, noe </w:t>
      </w:r>
      <w:r w:rsidRPr="006D40F0">
        <w:lastRenderedPageBreak/>
        <w:t>som øker anslaget for feriepenger i 2024. Videre legges det nå til grunn en feriepengeandel for 2024 på 5,9 pst. av utbetalinger av disse ytelsene til arbeidstakere i 2023, som er 0,1 prosentpoeng høyere enn det som lå til grunn for Saldert budsjett 2024.</w:t>
      </w:r>
    </w:p>
    <w:p w14:paraId="7EF9762C" w14:textId="77777777" w:rsidR="00575AC3" w:rsidRPr="006D40F0" w:rsidRDefault="00575AC3" w:rsidP="006D40F0">
      <w:r w:rsidRPr="006D40F0">
        <w:t>Samlet foreslås det å øke bevilgningen med 150 mill. kroner.</w:t>
      </w:r>
    </w:p>
    <w:p w14:paraId="4337639B" w14:textId="77777777" w:rsidR="00575AC3" w:rsidRPr="006D40F0" w:rsidRDefault="00575AC3" w:rsidP="006D40F0">
      <w:pPr>
        <w:pStyle w:val="b-budkaptit"/>
      </w:pPr>
      <w:r w:rsidRPr="006D40F0">
        <w:t>Kap. 2651 Arbeidsavklaringspenger</w:t>
      </w:r>
    </w:p>
    <w:p w14:paraId="3EF50142" w14:textId="77777777" w:rsidR="00575AC3" w:rsidRPr="006D40F0" w:rsidRDefault="00575AC3" w:rsidP="006D40F0">
      <w:pPr>
        <w:pStyle w:val="b-post"/>
      </w:pPr>
      <w:r w:rsidRPr="006D40F0">
        <w:t>Post 70 Arbeidsavklaringspenger, overslagsbevilgning</w:t>
      </w:r>
    </w:p>
    <w:p w14:paraId="583E138C" w14:textId="77777777" w:rsidR="00575AC3" w:rsidRPr="006D40F0" w:rsidRDefault="00575AC3" w:rsidP="006D40F0">
      <w:r w:rsidRPr="006D40F0">
        <w:t>Bevilgningen på posten er 44 233,2 mill. kroner.</w:t>
      </w:r>
    </w:p>
    <w:p w14:paraId="6080C224" w14:textId="77777777" w:rsidR="00575AC3" w:rsidRPr="006D40F0" w:rsidRDefault="00575AC3" w:rsidP="006D40F0">
      <w:r w:rsidRPr="006D40F0">
        <w:t>Sammenlignet med Saldert budsjett 2024 anslås det en økning på i gjennomsnitt 5 000 mottakere. Økningen i antallet mottakere skyldes både redusert avgang fra ordningen og økt tilgang til ordningen, og det medfører en merutgift på om lag 1 475 mill. kroner. Økt anslag for gjennomsnittlig utbetaling per mottaker gir en merutgift på om lag 35 mill. kroner. Den samlede økningen i gjennomsnittlig ytelse er en kombinasjon av et høyere anslag for underliggende utvikling og et lavere anslag for folketrygdens grunnbeløp i 2024.</w:t>
      </w:r>
    </w:p>
    <w:p w14:paraId="46A4C894" w14:textId="77777777" w:rsidR="00575AC3" w:rsidRPr="006D40F0" w:rsidRDefault="00575AC3" w:rsidP="006D40F0">
      <w:r w:rsidRPr="006D40F0">
        <w:t>Samlet foreslås det å øke bevilgningen med 1 516,8 mill. kroner.</w:t>
      </w:r>
    </w:p>
    <w:p w14:paraId="3AAFA604" w14:textId="77777777" w:rsidR="00575AC3" w:rsidRPr="006D40F0" w:rsidRDefault="00575AC3" w:rsidP="006D40F0">
      <w:pPr>
        <w:pStyle w:val="b-post"/>
      </w:pPr>
      <w:r w:rsidRPr="006D40F0">
        <w:t>Post 71 Tilleggsstønad, overslagsbevilgning</w:t>
      </w:r>
    </w:p>
    <w:p w14:paraId="7F80AF88" w14:textId="77777777" w:rsidR="00575AC3" w:rsidRPr="006D40F0" w:rsidRDefault="00575AC3" w:rsidP="006D40F0">
      <w:r w:rsidRPr="006D40F0">
        <w:t>Bevilgningen på posten er 145 mill. kroner.</w:t>
      </w:r>
    </w:p>
    <w:p w14:paraId="06DAEA92" w14:textId="77777777" w:rsidR="00575AC3" w:rsidRPr="006D40F0" w:rsidRDefault="00575AC3" w:rsidP="006D40F0">
      <w:r w:rsidRPr="006D40F0">
        <w:t>Utgiftene i 2023 ble lavere enn det som ble lagt til grunn for anslaget i Saldert budsjett 2024. Det foreslås å redusere bevilgningen med 13 mill. kroner.</w:t>
      </w:r>
    </w:p>
    <w:p w14:paraId="1765A7C0" w14:textId="77777777" w:rsidR="00575AC3" w:rsidRPr="006D40F0" w:rsidRDefault="00575AC3" w:rsidP="006D40F0">
      <w:pPr>
        <w:pStyle w:val="b-budkaptit"/>
      </w:pPr>
      <w:r w:rsidRPr="006D40F0">
        <w:t>Kap. 2655 Uførhet</w:t>
      </w:r>
    </w:p>
    <w:p w14:paraId="31E139E2" w14:textId="77777777" w:rsidR="00575AC3" w:rsidRPr="006D40F0" w:rsidRDefault="00575AC3" w:rsidP="006D40F0">
      <w:pPr>
        <w:pStyle w:val="b-post"/>
      </w:pPr>
      <w:r w:rsidRPr="006D40F0">
        <w:t>Post 70 Uføretrygd, overslagsbevilgning</w:t>
      </w:r>
    </w:p>
    <w:p w14:paraId="2876515E" w14:textId="77777777" w:rsidR="00575AC3" w:rsidRPr="006D40F0" w:rsidRDefault="00575AC3" w:rsidP="006D40F0">
      <w:r w:rsidRPr="006D40F0">
        <w:t>Bevilgningen på posten er 125 980 mill. kroner.</w:t>
      </w:r>
    </w:p>
    <w:p w14:paraId="5E1C5AD0" w14:textId="77777777" w:rsidR="00575AC3" w:rsidRPr="006D40F0" w:rsidRDefault="00575AC3" w:rsidP="006D40F0">
      <w:r w:rsidRPr="006D40F0">
        <w:t>Veksten i antall mottakere de to første månedene i 2024 har vært lavere enn antatt. Anslaget er derfor redusert med 1 300 mill. kroner sammenlignet med Saldert budsjett 2024. Færre mottakere enn ventet skyldes hovedsakelig lavere overgang fra arbeidsavklaringspenger til uføretrygd.</w:t>
      </w:r>
    </w:p>
    <w:p w14:paraId="00D4CB56" w14:textId="77777777" w:rsidR="00575AC3" w:rsidRPr="006D40F0" w:rsidRDefault="00575AC3" w:rsidP="006D40F0">
      <w:r w:rsidRPr="006D40F0">
        <w:t>Videre bidrar blant annet endret anslag for grunnbeløpet med å redusere anslaget med 12 mill. kroner, mens endret prognose for underliggende utvikling i gjennomsnittlig ytelse trekker i motsatt endring, og øker anslaget med 110 mill. kroner.</w:t>
      </w:r>
    </w:p>
    <w:p w14:paraId="7E8959B0" w14:textId="77777777" w:rsidR="00575AC3" w:rsidRPr="006D40F0" w:rsidRDefault="00575AC3" w:rsidP="006D40F0">
      <w:r w:rsidRPr="006D40F0">
        <w:t>Samlet foreslås det å redusere bevilgningen med 1 180 mill. kroner.</w:t>
      </w:r>
    </w:p>
    <w:p w14:paraId="76429EA9" w14:textId="77777777" w:rsidR="00575AC3" w:rsidRPr="006D40F0" w:rsidRDefault="00575AC3" w:rsidP="006D40F0">
      <w:pPr>
        <w:pStyle w:val="b-post"/>
      </w:pPr>
      <w:r w:rsidRPr="006D40F0">
        <w:t>Post 75 Menerstatning ved yrkesskade, overslagsbevilgning</w:t>
      </w:r>
    </w:p>
    <w:p w14:paraId="74CDAA29" w14:textId="77777777" w:rsidR="00575AC3" w:rsidRPr="006D40F0" w:rsidRDefault="00575AC3" w:rsidP="006D40F0">
      <w:r w:rsidRPr="006D40F0">
        <w:t>Bevilgningen på posten er 94 mill. kroner.</w:t>
      </w:r>
    </w:p>
    <w:p w14:paraId="1105CEF9" w14:textId="77777777" w:rsidR="00575AC3" w:rsidRPr="006D40F0" w:rsidRDefault="00575AC3" w:rsidP="006D40F0">
      <w:r w:rsidRPr="006D40F0">
        <w:t>Regnskapsutviklingen i 2023 og utviklingen så langt i 2024 tilsier lavere utgifter enn lagt til grunn i Saldert budsjett 2024. Anslaget på posten justeres noe ned. Det foreslås å redusere bevilgningen med 16 mill. kroner.</w:t>
      </w:r>
    </w:p>
    <w:p w14:paraId="26E1E579" w14:textId="77777777" w:rsidR="00575AC3" w:rsidRPr="006D40F0" w:rsidRDefault="00575AC3" w:rsidP="006D40F0">
      <w:pPr>
        <w:pStyle w:val="b-budkaptit"/>
      </w:pPr>
      <w:r w:rsidRPr="006D40F0">
        <w:lastRenderedPageBreak/>
        <w:t>Kap. 2661 Grunn- og hjelpestønad, hjelpemidler mv.</w:t>
      </w:r>
    </w:p>
    <w:p w14:paraId="432D2394" w14:textId="77777777" w:rsidR="00575AC3" w:rsidRPr="006D40F0" w:rsidRDefault="00575AC3" w:rsidP="006D40F0">
      <w:pPr>
        <w:pStyle w:val="b-post"/>
      </w:pPr>
      <w:r w:rsidRPr="006D40F0">
        <w:t>Post 70 Grunnstønad, overslagsbevilgning</w:t>
      </w:r>
    </w:p>
    <w:p w14:paraId="35BACFB0" w14:textId="77777777" w:rsidR="00575AC3" w:rsidRPr="006D40F0" w:rsidRDefault="00575AC3" w:rsidP="006D40F0">
      <w:r w:rsidRPr="006D40F0">
        <w:t>Bevilgningen på posten er 1 770 mill. kroner.</w:t>
      </w:r>
    </w:p>
    <w:p w14:paraId="5ABE747E" w14:textId="77777777" w:rsidR="00575AC3" w:rsidRPr="006D40F0" w:rsidRDefault="00575AC3" w:rsidP="006D40F0">
      <w:r w:rsidRPr="006D40F0">
        <w:t>Det anslås at utgiftene vil bli noe høyere enn lagt til grunn i Saldert budsjett 2024. Det skyldes at utgiftene ble høyere enn ventet i 2023, samt endret anslag for antall mottakere. Det foreslås å øke bevilgningen med 20 mill. kroner.</w:t>
      </w:r>
    </w:p>
    <w:p w14:paraId="5787F2A5" w14:textId="77777777" w:rsidR="00575AC3" w:rsidRPr="006D40F0" w:rsidRDefault="00575AC3" w:rsidP="006D40F0">
      <w:pPr>
        <w:pStyle w:val="b-post"/>
      </w:pPr>
      <w:r w:rsidRPr="006D40F0">
        <w:t>Post 71 Hjelpestønad, overslagsbevilgning</w:t>
      </w:r>
    </w:p>
    <w:p w14:paraId="15747ADC" w14:textId="77777777" w:rsidR="00575AC3" w:rsidRPr="006D40F0" w:rsidRDefault="00575AC3" w:rsidP="006D40F0">
      <w:r w:rsidRPr="006D40F0">
        <w:t>Bevilgningen på posten er 2 150 mill. kroner.</w:t>
      </w:r>
    </w:p>
    <w:p w14:paraId="309A1860" w14:textId="77777777" w:rsidR="00575AC3" w:rsidRPr="006D40F0" w:rsidRDefault="00575AC3" w:rsidP="006D40F0">
      <w:r w:rsidRPr="006D40F0">
        <w:t>Det anslås at utgiftene vil bli noe høyere enn lagt til grunn i Saldert budsjett 2024. Det skyldes i hovedsak endret anslag for antall mottakere. Det foreslås å øke bevilgningen med 60 mill. kroner.</w:t>
      </w:r>
    </w:p>
    <w:p w14:paraId="22A5D52C" w14:textId="77777777" w:rsidR="00575AC3" w:rsidRPr="006D40F0" w:rsidRDefault="00575AC3" w:rsidP="006D40F0">
      <w:pPr>
        <w:pStyle w:val="b-post"/>
      </w:pPr>
      <w:r w:rsidRPr="006D40F0">
        <w:t>Post 73 Hjelpemidler mv. under arbeid og utdanning</w:t>
      </w:r>
    </w:p>
    <w:p w14:paraId="4EEFB899" w14:textId="77777777" w:rsidR="00575AC3" w:rsidRPr="006D40F0" w:rsidRDefault="00575AC3" w:rsidP="006D40F0">
      <w:r w:rsidRPr="006D40F0">
        <w:t>Bevilgningen på posten er 122,1 mill. kroner.</w:t>
      </w:r>
    </w:p>
    <w:p w14:paraId="5D89A796" w14:textId="77777777" w:rsidR="00575AC3" w:rsidRPr="006D40F0" w:rsidRDefault="00575AC3" w:rsidP="006D40F0">
      <w:r w:rsidRPr="006D40F0">
        <w:t>Det anslås at utgiftene vil bli noe høyere enn lagt til grunn i Saldert budsjett 2024. Økningen skyldes flere forhold ettersom post 73 er sammensatt av flere typer ytelser med ulik utvikling, men utgiftene til tolkehjelp for døve, hørselshemmede og døvblinde er dominerende. Etterbetaling av feriepenger til frilanstolker med tilleggsavtale som gjelder Statens pensjonskasse bidrar til økningen i utgiftene. Samlet foreslås det å øke bevilgningen med 12,9 mill. kroner.</w:t>
      </w:r>
    </w:p>
    <w:p w14:paraId="04EF15D0" w14:textId="77777777" w:rsidR="00575AC3" w:rsidRPr="006D40F0" w:rsidRDefault="00575AC3" w:rsidP="006D40F0">
      <w:pPr>
        <w:pStyle w:val="b-post"/>
      </w:pPr>
      <w:r w:rsidRPr="006D40F0">
        <w:t>Post 74 Tilskudd til biler</w:t>
      </w:r>
    </w:p>
    <w:p w14:paraId="63248AC0" w14:textId="77777777" w:rsidR="00575AC3" w:rsidRPr="006D40F0" w:rsidRDefault="00575AC3" w:rsidP="006D40F0">
      <w:r w:rsidRPr="006D40F0">
        <w:t>Bevilgningen på posten er 815 mill. kroner</w:t>
      </w:r>
    </w:p>
    <w:p w14:paraId="0BEBDED1" w14:textId="77777777" w:rsidR="00575AC3" w:rsidRPr="006D40F0" w:rsidRDefault="00575AC3" w:rsidP="006D40F0">
      <w:r w:rsidRPr="006D40F0">
        <w:t>Det anslås at utgiftene vil bli noe lavere enn lagt til grunn i Saldert budsjett 2024. Høyere utgifter enn ventet i 2023 som følge av forsinkede leveranser i 2022 trekker utgiftene opp, mens lavere anslag for antall mottakere i 2024 trekker anslaget ned. Samlet foreslås det å redusere bevilgningen med 5 mill. kroner.</w:t>
      </w:r>
    </w:p>
    <w:p w14:paraId="72CF9D16" w14:textId="77777777" w:rsidR="00575AC3" w:rsidRPr="006D40F0" w:rsidRDefault="00575AC3" w:rsidP="006D40F0">
      <w:pPr>
        <w:pStyle w:val="b-post"/>
      </w:pPr>
      <w:r w:rsidRPr="006D40F0">
        <w:t>Post 75 Bedring av funksjonsevnen, hjelpemidler</w:t>
      </w:r>
    </w:p>
    <w:p w14:paraId="21CA58CB" w14:textId="77777777" w:rsidR="00575AC3" w:rsidRPr="006D40F0" w:rsidRDefault="00575AC3" w:rsidP="006D40F0">
      <w:r w:rsidRPr="006D40F0">
        <w:t>Bevilgningen på posten er 4 425 mill. kroner.</w:t>
      </w:r>
    </w:p>
    <w:p w14:paraId="6ABD2AB3" w14:textId="77777777" w:rsidR="00575AC3" w:rsidRPr="006D40F0" w:rsidRDefault="00575AC3" w:rsidP="006D40F0">
      <w:r w:rsidRPr="006D40F0">
        <w:t>Det anslås at utgiftene vil bli høyere enn lagt til grunn i Saldert budsjett 2024. Dette skyldes at utgiftene ble høyere enn ventet i 2023, samt høyere anslag for antall mottakere og prisvekst i 2024. Samlet foreslås det å øke bevilgningen med 385 mill. kroner.</w:t>
      </w:r>
    </w:p>
    <w:p w14:paraId="761C15C0" w14:textId="77777777" w:rsidR="00575AC3" w:rsidRPr="006D40F0" w:rsidRDefault="00575AC3" w:rsidP="006D40F0">
      <w:pPr>
        <w:pStyle w:val="b-post"/>
      </w:pPr>
      <w:r w:rsidRPr="006D40F0">
        <w:t>Post 76 Bedring av funksjonsevnen, hjelpemidler som tjenester</w:t>
      </w:r>
    </w:p>
    <w:p w14:paraId="2E7B6934" w14:textId="77777777" w:rsidR="00575AC3" w:rsidRPr="006D40F0" w:rsidRDefault="00575AC3" w:rsidP="006D40F0">
      <w:r w:rsidRPr="006D40F0">
        <w:t>Bevilgningen på posten er 417,4 mill. kroner.</w:t>
      </w:r>
    </w:p>
    <w:p w14:paraId="4F7FAC82" w14:textId="77777777" w:rsidR="00575AC3" w:rsidRPr="006D40F0" w:rsidRDefault="00575AC3" w:rsidP="006D40F0">
      <w:r w:rsidRPr="006D40F0">
        <w:lastRenderedPageBreak/>
        <w:t>Det anslås at utgiftene vil bli noe høyere enn lagt til grunn i Saldert budsjett 2024. Post 76 er sammensatt av flere stønader som har til dels ulik pris- og volumvekst. Det er anslått høyere antall innvilgede søknader i 2024 sammenlignet med Saldert budsjett 2024, som medfører at utgiftene blir høyere. Samlet foreslås det å øke bevilgningen med 12,6 mill. kroner.</w:t>
      </w:r>
    </w:p>
    <w:p w14:paraId="7009CF0A" w14:textId="77777777" w:rsidR="00575AC3" w:rsidRPr="006D40F0" w:rsidRDefault="00575AC3" w:rsidP="006D40F0">
      <w:pPr>
        <w:pStyle w:val="b-post"/>
      </w:pPr>
      <w:r w:rsidRPr="006D40F0">
        <w:t>Post 77 Ortopediske hjelpemidler</w:t>
      </w:r>
    </w:p>
    <w:p w14:paraId="4358AE57" w14:textId="77777777" w:rsidR="00575AC3" w:rsidRPr="006D40F0" w:rsidRDefault="00575AC3" w:rsidP="006D40F0">
      <w:r w:rsidRPr="006D40F0">
        <w:t>Bevilgningen på posten er 2 370,6 mill. kroner.</w:t>
      </w:r>
    </w:p>
    <w:p w14:paraId="3C251540" w14:textId="77777777" w:rsidR="00575AC3" w:rsidRPr="006D40F0" w:rsidRDefault="00575AC3" w:rsidP="006D40F0">
      <w:r w:rsidRPr="006D40F0">
        <w:t>Det anslås at utgiftene vil bli høyere enn lagt til grunn i Saldert budsjett 2024. Dette skyldes at utgiftene ble høyere enn forventet i 2023, samt et høyere anslag for antall mottakere i 2024. Samlet foreslås det å øke bevilgningen med 159,4 mill. kroner.</w:t>
      </w:r>
    </w:p>
    <w:p w14:paraId="75AD0353" w14:textId="77777777" w:rsidR="00575AC3" w:rsidRPr="006D40F0" w:rsidRDefault="00575AC3" w:rsidP="006D40F0">
      <w:pPr>
        <w:pStyle w:val="b-post"/>
      </w:pPr>
      <w:r w:rsidRPr="006D40F0">
        <w:t>Post 78 Høreapparater</w:t>
      </w:r>
    </w:p>
    <w:p w14:paraId="09658782" w14:textId="77777777" w:rsidR="00575AC3" w:rsidRPr="006D40F0" w:rsidRDefault="00575AC3" w:rsidP="006D40F0">
      <w:r w:rsidRPr="006D40F0">
        <w:t>Bevilgningen på posten er 965 mill. kroner.</w:t>
      </w:r>
    </w:p>
    <w:p w14:paraId="170C3F8D" w14:textId="77777777" w:rsidR="00575AC3" w:rsidRPr="006D40F0" w:rsidRDefault="00575AC3" w:rsidP="006D40F0">
      <w:r w:rsidRPr="006D40F0">
        <w:t>Det anslås at utgiftene vil bli høyere enn lagt til grunn i Saldert budsjett 2024. Dette skyldes hovedsakelig høyere anslag for antall mottakere i 2024. Det foreslås å øke bevilgningen med 45 mill. kroner.</w:t>
      </w:r>
    </w:p>
    <w:p w14:paraId="4BEEB5FA" w14:textId="77777777" w:rsidR="00575AC3" w:rsidRPr="006D40F0" w:rsidRDefault="00575AC3" w:rsidP="006D40F0">
      <w:pPr>
        <w:pStyle w:val="b-budkaptit"/>
      </w:pPr>
      <w:r w:rsidRPr="006D40F0">
        <w:t>Kap. 2670 Alderdom</w:t>
      </w:r>
    </w:p>
    <w:p w14:paraId="1FC802AD" w14:textId="77777777" w:rsidR="00575AC3" w:rsidRPr="006D40F0" w:rsidRDefault="00575AC3" w:rsidP="006D40F0">
      <w:r w:rsidRPr="006D40F0">
        <w:t>Bevilgningen til alderspensjon er samlet på 316 740 mill. kroner. Anslagene er samlet sett justert opp med 180 mill. kroner. Dette skyldes at økt anslag for antall alderspensjonister gir en anslagsendring på om lag 180 mill. kroner. Endret anslag for pris- og lønnsvekst i 2023 og 2024 gir en reduksjon i anslaget på 634 mill. kroner, men økt anslag for underliggende vekst i gjennomsnittlig alderspensjon gir en tilsvarende økning, så anslaget for gjennomsnittlig ytelse endres ikke totalt sett.</w:t>
      </w:r>
    </w:p>
    <w:p w14:paraId="571B6BEE" w14:textId="77777777" w:rsidR="00575AC3" w:rsidRPr="006D40F0" w:rsidRDefault="00575AC3" w:rsidP="006D40F0">
      <w:pPr>
        <w:pStyle w:val="b-post"/>
      </w:pPr>
      <w:r w:rsidRPr="006D40F0">
        <w:t>Post 70 Grunnpensjon, overslagsbevilgning</w:t>
      </w:r>
    </w:p>
    <w:p w14:paraId="5208756F" w14:textId="77777777" w:rsidR="00575AC3" w:rsidRPr="006D40F0" w:rsidRDefault="00575AC3" w:rsidP="006D40F0">
      <w:r w:rsidRPr="006D40F0">
        <w:t>Bevilgningen på posten er 94 080 mill. kroner</w:t>
      </w:r>
    </w:p>
    <w:p w14:paraId="298DF359" w14:textId="77777777" w:rsidR="00575AC3" w:rsidRPr="006D40F0" w:rsidRDefault="00575AC3" w:rsidP="006D40F0">
      <w:r w:rsidRPr="006D40F0">
        <w:t>Anslaget på posten nedjusteres hovedsakelig som følge av redusert anslag for gjennomsnittlig ytelse.</w:t>
      </w:r>
    </w:p>
    <w:p w14:paraId="45BD76DF" w14:textId="77777777" w:rsidR="00575AC3" w:rsidRPr="006D40F0" w:rsidRDefault="00575AC3" w:rsidP="006D40F0">
      <w:r w:rsidRPr="006D40F0">
        <w:t>Det foreslås å redusere bevilgningen med 470 mill. kroner</w:t>
      </w:r>
    </w:p>
    <w:p w14:paraId="1086252D" w14:textId="77777777" w:rsidR="00575AC3" w:rsidRPr="006D40F0" w:rsidRDefault="00575AC3" w:rsidP="006D40F0">
      <w:pPr>
        <w:pStyle w:val="b-post"/>
      </w:pPr>
      <w:r w:rsidRPr="006D40F0">
        <w:t>Post 71 Tilleggspensjon, overslagsbevilgning</w:t>
      </w:r>
    </w:p>
    <w:p w14:paraId="054CF2DD" w14:textId="77777777" w:rsidR="00575AC3" w:rsidRPr="006D40F0" w:rsidRDefault="00575AC3" w:rsidP="006D40F0">
      <w:r w:rsidRPr="006D40F0">
        <w:t>Bevilgningen på posten er 189 940 mill. kroner</w:t>
      </w:r>
    </w:p>
    <w:p w14:paraId="740DAEA5" w14:textId="77777777" w:rsidR="00575AC3" w:rsidRPr="006D40F0" w:rsidRDefault="00575AC3" w:rsidP="006D40F0">
      <w:r w:rsidRPr="006D40F0">
        <w:t>Anslaget på posten nedjusteres hovedsakelig som følge av redusert anslag for gjennomsnittlig ytelse</w:t>
      </w:r>
    </w:p>
    <w:p w14:paraId="4BF1F025" w14:textId="77777777" w:rsidR="00575AC3" w:rsidRPr="006D40F0" w:rsidRDefault="00575AC3" w:rsidP="006D40F0">
      <w:r w:rsidRPr="006D40F0">
        <w:t>Det foreslås å redusere bevilgningen med 230 mill. kroner.</w:t>
      </w:r>
    </w:p>
    <w:p w14:paraId="1B968D31" w14:textId="77777777" w:rsidR="00575AC3" w:rsidRPr="006D40F0" w:rsidRDefault="00575AC3" w:rsidP="006D40F0">
      <w:pPr>
        <w:pStyle w:val="b-post"/>
      </w:pPr>
      <w:r w:rsidRPr="006D40F0">
        <w:lastRenderedPageBreak/>
        <w:t>Post 72 Inntektspensjon, overslagsbevilgning</w:t>
      </w:r>
    </w:p>
    <w:p w14:paraId="79B34ACB" w14:textId="77777777" w:rsidR="00575AC3" w:rsidRPr="006D40F0" w:rsidRDefault="00575AC3" w:rsidP="006D40F0">
      <w:r w:rsidRPr="006D40F0">
        <w:t>Bevilgningen på posten er 24 480 mill. kroner.</w:t>
      </w:r>
    </w:p>
    <w:p w14:paraId="6E493E36" w14:textId="77777777" w:rsidR="00575AC3" w:rsidRPr="006D40F0" w:rsidRDefault="00575AC3" w:rsidP="006D40F0">
      <w:r w:rsidRPr="006D40F0">
        <w:t>Anslaget på posten nedjusteres hovedsakelig som følge av redusert anslag for gjennomsnittlig ytelse</w:t>
      </w:r>
    </w:p>
    <w:p w14:paraId="0AE49030" w14:textId="77777777" w:rsidR="00575AC3" w:rsidRPr="006D40F0" w:rsidRDefault="00575AC3" w:rsidP="006D40F0">
      <w:r w:rsidRPr="006D40F0">
        <w:t>Det foreslås å redusere bevilgningen med 80 mill. kroner</w:t>
      </w:r>
    </w:p>
    <w:p w14:paraId="7D7C2A92" w14:textId="77777777" w:rsidR="00575AC3" w:rsidRPr="006D40F0" w:rsidRDefault="00575AC3" w:rsidP="006D40F0">
      <w:pPr>
        <w:pStyle w:val="b-post"/>
      </w:pPr>
      <w:r w:rsidRPr="006D40F0">
        <w:t>Post 73 Særtillegg, pensjonstillegg mv., overslagsbevilgning</w:t>
      </w:r>
    </w:p>
    <w:p w14:paraId="1F7A1887" w14:textId="77777777" w:rsidR="00575AC3" w:rsidRPr="006D40F0" w:rsidRDefault="00575AC3" w:rsidP="006D40F0">
      <w:r w:rsidRPr="006D40F0">
        <w:t>Bevilgningen på posten er 8 240 mill. kroner.</w:t>
      </w:r>
    </w:p>
    <w:p w14:paraId="2A0BC5B1" w14:textId="77777777" w:rsidR="00575AC3" w:rsidRPr="006D40F0" w:rsidRDefault="00575AC3" w:rsidP="006D40F0">
      <w:r w:rsidRPr="006D40F0">
        <w:t>Posten dekker flere ulike tillegg. Anslag for særtillegg og pensjonstillegg utgjør om lag 60 pst. av posten og justeres opp, hovedsakelig som følge av økt anslag for gjennomsnittlig antall mottakere. Det er også gjort justeringer av øvrige tillegg.</w:t>
      </w:r>
    </w:p>
    <w:p w14:paraId="20ABD831" w14:textId="77777777" w:rsidR="00575AC3" w:rsidRPr="006D40F0" w:rsidRDefault="00575AC3" w:rsidP="006D40F0">
      <w:r w:rsidRPr="006D40F0">
        <w:t>Det foreslås å øke bevilgningen med 960 mill. kroner.</w:t>
      </w:r>
    </w:p>
    <w:p w14:paraId="7B918ED0" w14:textId="77777777" w:rsidR="00575AC3" w:rsidRPr="006D40F0" w:rsidRDefault="00575AC3" w:rsidP="006D40F0">
      <w:pPr>
        <w:pStyle w:val="b-budkaptit"/>
      </w:pPr>
      <w:r w:rsidRPr="006D40F0">
        <w:t>Kap. 2680 Etterlatte</w:t>
      </w:r>
    </w:p>
    <w:p w14:paraId="1A20B88D" w14:textId="77777777" w:rsidR="00575AC3" w:rsidRPr="006D40F0" w:rsidRDefault="00575AC3" w:rsidP="006D40F0">
      <w:pPr>
        <w:pStyle w:val="b-post"/>
      </w:pPr>
      <w:r w:rsidRPr="006D40F0">
        <w:t>Post 70 Omstillingsstønad mv., overslagsbevilgning</w:t>
      </w:r>
    </w:p>
    <w:p w14:paraId="7454BDC7" w14:textId="77777777" w:rsidR="00575AC3" w:rsidRPr="006D40F0" w:rsidRDefault="00575AC3" w:rsidP="006D40F0">
      <w:r w:rsidRPr="006D40F0">
        <w:t>Bevilgningen på posten er 1 730 mill. kroner.</w:t>
      </w:r>
    </w:p>
    <w:p w14:paraId="72018336" w14:textId="77777777" w:rsidR="00575AC3" w:rsidRPr="006D40F0" w:rsidRDefault="00575AC3" w:rsidP="006D40F0">
      <w:r w:rsidRPr="006D40F0">
        <w:t>Anslaget på posten nedjusteres hovedsakelig som følge av redusert anslag for gjennomsnittlig ytelse</w:t>
      </w:r>
    </w:p>
    <w:p w14:paraId="3F139BA3" w14:textId="77777777" w:rsidR="00575AC3" w:rsidRPr="006D40F0" w:rsidRDefault="00575AC3" w:rsidP="006D40F0">
      <w:r w:rsidRPr="006D40F0">
        <w:t>Det foreslås å redusere bevilgningen med 40 mill. kroner.</w:t>
      </w:r>
    </w:p>
    <w:p w14:paraId="6E46A124" w14:textId="77777777" w:rsidR="00575AC3" w:rsidRPr="006D40F0" w:rsidRDefault="00575AC3" w:rsidP="006D40F0">
      <w:pPr>
        <w:pStyle w:val="b-post"/>
      </w:pPr>
      <w:r w:rsidRPr="006D40F0">
        <w:t>Post 71 Barnepensjon, overslagsbevilgning</w:t>
      </w:r>
    </w:p>
    <w:p w14:paraId="26A0D59F" w14:textId="77777777" w:rsidR="00575AC3" w:rsidRPr="006D40F0" w:rsidRDefault="00575AC3" w:rsidP="006D40F0">
      <w:r w:rsidRPr="006D40F0">
        <w:t>Bevilgningen på posten er 1 596 mill. kroner.</w:t>
      </w:r>
    </w:p>
    <w:p w14:paraId="032FEBD7" w14:textId="77777777" w:rsidR="00575AC3" w:rsidRPr="006D40F0" w:rsidRDefault="00575AC3" w:rsidP="006D40F0">
      <w:r w:rsidRPr="006D40F0">
        <w:t>Anslaget på posten oppjusteres hovedsakelig som følge av oppjustert anslag for gjennomsnittlig antall mottakere.</w:t>
      </w:r>
    </w:p>
    <w:p w14:paraId="6077379F" w14:textId="77777777" w:rsidR="00575AC3" w:rsidRPr="006D40F0" w:rsidRDefault="00575AC3" w:rsidP="006D40F0">
      <w:r w:rsidRPr="006D40F0">
        <w:t>Det foreslås å øke bevilgningen med 34 mill. kroner.</w:t>
      </w:r>
    </w:p>
    <w:p w14:paraId="589DC885" w14:textId="77777777" w:rsidR="00575AC3" w:rsidRPr="006D40F0" w:rsidRDefault="00575AC3" w:rsidP="006D40F0">
      <w:pPr>
        <w:pStyle w:val="b-budkaptit"/>
      </w:pPr>
      <w:r w:rsidRPr="006D40F0">
        <w:t>Kap. 2686 Stønad ved gravferd</w:t>
      </w:r>
    </w:p>
    <w:p w14:paraId="38228D87" w14:textId="77777777" w:rsidR="00575AC3" w:rsidRPr="006D40F0" w:rsidRDefault="00575AC3" w:rsidP="006D40F0">
      <w:pPr>
        <w:pStyle w:val="b-post"/>
      </w:pPr>
      <w:r w:rsidRPr="006D40F0">
        <w:t>Post 70 Stønad ved gravferd, overslagsbevilgning</w:t>
      </w:r>
    </w:p>
    <w:p w14:paraId="209C4D82" w14:textId="77777777" w:rsidR="00575AC3" w:rsidRPr="006D40F0" w:rsidRDefault="00575AC3" w:rsidP="006D40F0">
      <w:r w:rsidRPr="006D40F0">
        <w:t>Bevilgningen på posten er 315 mill. kroner.</w:t>
      </w:r>
    </w:p>
    <w:p w14:paraId="2756496C" w14:textId="77777777" w:rsidR="00575AC3" w:rsidRPr="006D40F0" w:rsidRDefault="00575AC3" w:rsidP="006D40F0">
      <w:r w:rsidRPr="006D40F0">
        <w:t>Det er gjort endringer i anslagene for gjennomsnittlig ytelse og gjennomsnittlig antall mottakere både for stønad til gravferd og båretransport, og samlet sett nedjusteres anslaget.</w:t>
      </w:r>
    </w:p>
    <w:p w14:paraId="344B7BDE" w14:textId="77777777" w:rsidR="00575AC3" w:rsidRPr="006D40F0" w:rsidRDefault="00575AC3" w:rsidP="006D40F0">
      <w:r w:rsidRPr="006D40F0">
        <w:t>Det foreslås å redusere bevilgningen med 10 mill. kroner.</w:t>
      </w:r>
    </w:p>
    <w:p w14:paraId="4EDBC000" w14:textId="77777777" w:rsidR="00575AC3" w:rsidRPr="006D40F0" w:rsidRDefault="00575AC3" w:rsidP="006D40F0">
      <w:pPr>
        <w:pStyle w:val="b-budkaptit"/>
      </w:pPr>
      <w:r w:rsidRPr="006D40F0">
        <w:lastRenderedPageBreak/>
        <w:t>Kap. 5701 Diverse inntekter</w:t>
      </w:r>
    </w:p>
    <w:p w14:paraId="5F619D5C" w14:textId="77777777" w:rsidR="00575AC3" w:rsidRPr="006D40F0" w:rsidRDefault="00575AC3" w:rsidP="006D40F0">
      <w:pPr>
        <w:pStyle w:val="b-post"/>
      </w:pPr>
      <w:r w:rsidRPr="006D40F0">
        <w:t>Post 71 Refusjon ved yrkesskade</w:t>
      </w:r>
    </w:p>
    <w:p w14:paraId="3EDEB8B3" w14:textId="77777777" w:rsidR="00575AC3" w:rsidRPr="006D40F0" w:rsidRDefault="00575AC3" w:rsidP="006D40F0">
      <w:r w:rsidRPr="006D40F0">
        <w:t>Bevilgningen på posten er 764 mill. kroner.</w:t>
      </w:r>
    </w:p>
    <w:p w14:paraId="0160828C" w14:textId="77777777" w:rsidR="00575AC3" w:rsidRPr="006D40F0" w:rsidRDefault="00575AC3" w:rsidP="006D40F0">
      <w:r w:rsidRPr="006D40F0">
        <w:t>En vesentlig del av folketrygdens utgifter ved yrkesskade blir finansiert av arbeidsgivere ved en refusjonsordning knyttet til den obligatoriske yrkesskadeforsikringen etter lov av 16. juni 1989 nr. 65. Refusjonen skjer gjennom en fastsatt prosentsats av de faktiske erstatningsutbetalinger fra forsikringsgiverne.</w:t>
      </w:r>
    </w:p>
    <w:p w14:paraId="6E7CEE54" w14:textId="77777777" w:rsidR="00575AC3" w:rsidRPr="006D40F0" w:rsidRDefault="00575AC3" w:rsidP="006D40F0">
      <w:r w:rsidRPr="006D40F0">
        <w:t>På bakgrunn av forventede innbetalinger av refusjoner anslås det at inntektene på posten i 2024 vil utgjøre 846 mill. kroner. Det foreslås å øke bevilgningen med 82 mill. kroner.</w:t>
      </w:r>
    </w:p>
    <w:p w14:paraId="49CFF292" w14:textId="77777777" w:rsidR="00575AC3" w:rsidRPr="006D40F0" w:rsidRDefault="00575AC3" w:rsidP="006D40F0">
      <w:pPr>
        <w:pStyle w:val="b-post"/>
      </w:pPr>
      <w:r w:rsidRPr="006D40F0">
        <w:t>Post 86 Innkreving feilutbetalinger</w:t>
      </w:r>
    </w:p>
    <w:p w14:paraId="49999930" w14:textId="77777777" w:rsidR="00575AC3" w:rsidRPr="006D40F0" w:rsidRDefault="00575AC3" w:rsidP="006D40F0">
      <w:r w:rsidRPr="006D40F0">
        <w:t>Bevilgningen på posten er 1 432 mill. kroner.</w:t>
      </w:r>
    </w:p>
    <w:p w14:paraId="2496B196" w14:textId="77777777" w:rsidR="00575AC3" w:rsidRPr="006D40F0" w:rsidRDefault="00575AC3" w:rsidP="006D40F0">
      <w:r w:rsidRPr="006D40F0">
        <w:t xml:space="preserve">Inntektene som følger av økt innsats for å avdekke feilutbetalinger knyttet til koronaordningene forventes å bli 25 mill. kroner lavere enn tidligere anslått. Samtidig anslås det at </w:t>
      </w:r>
      <w:proofErr w:type="spellStart"/>
      <w:r w:rsidRPr="006D40F0">
        <w:t>Helfos</w:t>
      </w:r>
      <w:proofErr w:type="spellEnd"/>
      <w:r w:rsidRPr="006D40F0">
        <w:t xml:space="preserve"> arbeid med innkreving av feilutbetalinger vil gi økte inntekter på 100 mill. kroner. Det foreslås å øke bevilgningen med 75 mill. kroner.</w:t>
      </w:r>
      <w:r w:rsidRPr="006D40F0">
        <w:tab/>
      </w:r>
    </w:p>
    <w:p w14:paraId="44279797" w14:textId="77777777" w:rsidR="00575AC3" w:rsidRPr="006D40F0" w:rsidRDefault="00575AC3" w:rsidP="006D40F0">
      <w:pPr>
        <w:pStyle w:val="b-post"/>
      </w:pPr>
      <w:r w:rsidRPr="006D40F0">
        <w:t>Post 88 Hjelpemiddelsentraler mv.</w:t>
      </w:r>
    </w:p>
    <w:p w14:paraId="3DEF5C5D" w14:textId="77777777" w:rsidR="00575AC3" w:rsidRPr="006D40F0" w:rsidRDefault="00575AC3" w:rsidP="006D40F0">
      <w:r w:rsidRPr="006D40F0">
        <w:t>Bevilgningen på posten er 75 mill. kroner</w:t>
      </w:r>
    </w:p>
    <w:p w14:paraId="22B733D4" w14:textId="77777777" w:rsidR="00575AC3" w:rsidRPr="006D40F0" w:rsidRDefault="00575AC3" w:rsidP="006D40F0">
      <w:r w:rsidRPr="006D40F0">
        <w:t>Inntektene i 2023 ble høyere enn det som ble anslått i Saldert budsjett 2024. Det er videre anslått endret underliggende volumvekst. Det foreslås å øke bevilgningen med 20 mill. kroner.</w:t>
      </w:r>
    </w:p>
    <w:p w14:paraId="694C0FE6" w14:textId="77777777" w:rsidR="00575AC3" w:rsidRPr="006D40F0" w:rsidRDefault="00575AC3" w:rsidP="006D40F0">
      <w:pPr>
        <w:pStyle w:val="Overskrift2"/>
      </w:pPr>
      <w:r w:rsidRPr="006D40F0">
        <w:t>Helse- og omsorgsdepartementet</w:t>
      </w:r>
    </w:p>
    <w:p w14:paraId="260ADA20" w14:textId="77777777" w:rsidR="00575AC3" w:rsidRPr="006D40F0" w:rsidRDefault="00575AC3" w:rsidP="006D40F0">
      <w:pPr>
        <w:pStyle w:val="b-budkaptit"/>
      </w:pPr>
      <w:r w:rsidRPr="006D40F0">
        <w:t>Kap. 700 Helse- og omsorgsdepartementet</w:t>
      </w:r>
    </w:p>
    <w:p w14:paraId="095EC2DD" w14:textId="77777777" w:rsidR="00575AC3" w:rsidRPr="006D40F0" w:rsidRDefault="00575AC3" w:rsidP="006D40F0">
      <w:pPr>
        <w:pStyle w:val="b-post"/>
      </w:pPr>
      <w:r w:rsidRPr="006D40F0">
        <w:t>Post 01 Driftsutgifter</w:t>
      </w:r>
    </w:p>
    <w:p w14:paraId="13664578" w14:textId="77777777" w:rsidR="00575AC3" w:rsidRPr="006D40F0" w:rsidRDefault="00575AC3" w:rsidP="006D40F0">
      <w:r w:rsidRPr="006D40F0">
        <w:t>Bevilgningen foreslås økt med 5 mill. kroner til Helse- og omsorgsdepartementets arbeid med analyse og styring av underliggende virksomheter.</w:t>
      </w:r>
    </w:p>
    <w:p w14:paraId="5583D460" w14:textId="77777777" w:rsidR="00575AC3" w:rsidRPr="006D40F0" w:rsidRDefault="00575AC3" w:rsidP="006D40F0">
      <w:pPr>
        <w:pStyle w:val="b-budkaptit"/>
      </w:pPr>
      <w:r w:rsidRPr="006D40F0">
        <w:t>Kap. 703 Internasjonalt samarbeid</w:t>
      </w:r>
    </w:p>
    <w:p w14:paraId="3D77412A" w14:textId="77777777" w:rsidR="00575AC3" w:rsidRPr="006D40F0" w:rsidRDefault="00575AC3" w:rsidP="006D40F0">
      <w:pPr>
        <w:pStyle w:val="b-post"/>
      </w:pPr>
      <w:r w:rsidRPr="006D40F0">
        <w:t>Post 71 Internasjonale organisasjoner</w:t>
      </w:r>
    </w:p>
    <w:p w14:paraId="230BBD61" w14:textId="77777777" w:rsidR="00575AC3" w:rsidRPr="006D40F0" w:rsidRDefault="00575AC3" w:rsidP="006D40F0">
      <w:r w:rsidRPr="006D40F0">
        <w:t>Bevilgningen foreslås økt med 52,5 mill. kroner til Norges deltakelse i programmer og prosjekter på helseområdet i regi av EU.</w:t>
      </w:r>
    </w:p>
    <w:p w14:paraId="146CF2E8" w14:textId="77777777" w:rsidR="00575AC3" w:rsidRPr="006D40F0" w:rsidRDefault="00575AC3" w:rsidP="006D40F0">
      <w:pPr>
        <w:pStyle w:val="b-budkaptit"/>
      </w:pPr>
      <w:r w:rsidRPr="006D40F0">
        <w:lastRenderedPageBreak/>
        <w:t>Kap. 710 Vaksiner mv.</w:t>
      </w:r>
    </w:p>
    <w:p w14:paraId="32AF5864" w14:textId="77777777" w:rsidR="00575AC3" w:rsidRPr="006D40F0" w:rsidRDefault="00575AC3" w:rsidP="006D40F0">
      <w:pPr>
        <w:pStyle w:val="b-post"/>
      </w:pPr>
      <w:r w:rsidRPr="006D40F0">
        <w:t>Post 21 Spesielle driftsutgifter, kan overføres</w:t>
      </w:r>
    </w:p>
    <w:p w14:paraId="0BDED151" w14:textId="77777777" w:rsidR="00575AC3" w:rsidRPr="006D40F0" w:rsidRDefault="00575AC3" w:rsidP="006D40F0">
      <w:r w:rsidRPr="006D40F0">
        <w:t>Bevilgningen foreslås redusert med 8 mill. kroner som følge av endret prognose for nye vaksineavtaler, forventet etterspørsel og lagerhold.</w:t>
      </w:r>
    </w:p>
    <w:p w14:paraId="7E10D3DC" w14:textId="77777777" w:rsidR="00575AC3" w:rsidRPr="006D40F0" w:rsidRDefault="00575AC3" w:rsidP="006D40F0">
      <w:pPr>
        <w:pStyle w:val="b-post"/>
      </w:pPr>
      <w:r w:rsidRPr="006D40F0">
        <w:t>Post 22 Salgs- og beredskapsprodukter m.m., kan overføres</w:t>
      </w:r>
    </w:p>
    <w:p w14:paraId="669C8B0B" w14:textId="77777777" w:rsidR="00575AC3" w:rsidRPr="006D40F0" w:rsidRDefault="00575AC3" w:rsidP="006D40F0">
      <w:r w:rsidRPr="006D40F0">
        <w:t xml:space="preserve">Bevilgningen foreslås økt med 3,9 mill. kroner mot tilsvarende økning på kap. 3710, post 03 for å utvide gruppen av studenter som har rett på stønad til hepatitt B-vaksine gjennom blåreseptordningen. Forslaget er i tråd med Folkehelseinstituttets anbefaling om at personer under utdanning til sykepleier, ambulansearbeider, helsesekretær, politiaspirant, fengselsbetjent og </w:t>
      </w:r>
      <w:proofErr w:type="spellStart"/>
      <w:r w:rsidRPr="006D40F0">
        <w:t>paramedic</w:t>
      </w:r>
      <w:proofErr w:type="spellEnd"/>
      <w:r w:rsidRPr="006D40F0">
        <w:t xml:space="preserve"> bør gis rett til stønad. Gruppen omfatter om lag 6 000 personer årlig. Stønadsordningen dekker ikke administrasjon av vaksine og oppfølging med blodprøvekontroll. Vaksinedoser anskaffes av staten og refunderes av folketrygden. Se omtale under kap. 3710, post 03 og kap. 2751, post 70.</w:t>
      </w:r>
    </w:p>
    <w:p w14:paraId="1E8F0309" w14:textId="77777777" w:rsidR="00575AC3" w:rsidRPr="006D40F0" w:rsidRDefault="00575AC3" w:rsidP="006D40F0">
      <w:r w:rsidRPr="006D40F0">
        <w:t xml:space="preserve">Videre foreslås bevilgningen økt med 4 mill. kroner som følge av oppdatert prognose for innkjøp av vaksiner, herunder mot fugleinfluensa, </w:t>
      </w:r>
      <w:proofErr w:type="spellStart"/>
      <w:r w:rsidRPr="006D40F0">
        <w:t>denguefeber</w:t>
      </w:r>
      <w:proofErr w:type="spellEnd"/>
      <w:r w:rsidRPr="006D40F0">
        <w:t>, rabies og meningokokk.</w:t>
      </w:r>
    </w:p>
    <w:p w14:paraId="6F74222B" w14:textId="77777777" w:rsidR="00575AC3" w:rsidRPr="006D40F0" w:rsidRDefault="00575AC3" w:rsidP="006D40F0">
      <w:r w:rsidRPr="006D40F0">
        <w:t>Samlet foreslås bevilgningen økt med 7,9 mill. kroner.</w:t>
      </w:r>
    </w:p>
    <w:p w14:paraId="554FCAC6" w14:textId="77777777" w:rsidR="00575AC3" w:rsidRPr="006D40F0" w:rsidRDefault="00575AC3" w:rsidP="006D40F0">
      <w:pPr>
        <w:pStyle w:val="b-post"/>
      </w:pPr>
      <w:r w:rsidRPr="006D40F0">
        <w:t>Post 23 Vaksiner og vaksinasjon mot covid-19, kan overføres</w:t>
      </w:r>
    </w:p>
    <w:p w14:paraId="7122F135" w14:textId="77777777" w:rsidR="00575AC3" w:rsidRPr="006D40F0" w:rsidRDefault="00575AC3" w:rsidP="006D40F0">
      <w:r w:rsidRPr="006D40F0">
        <w:t>Bevilgningen foreslås økt med 78,6 mill. kroner til vaksinasjon mot covid-19 for utvalgte risikogrupper. Endringen skyldes oppdaterte anslag for vaksinasjon basert på erfaringer fra høsten 2023 og oppdatert kunnskap.</w:t>
      </w:r>
    </w:p>
    <w:p w14:paraId="648C71F1" w14:textId="77777777" w:rsidR="00575AC3" w:rsidRPr="006D40F0" w:rsidRDefault="00575AC3" w:rsidP="006D40F0">
      <w:r w:rsidRPr="006D40F0">
        <w:t>I forslaget er det lagt til grunn at staten dekker kommunenes og Svalbards kostnader til gjennomføring av vaksinasjonsprogrammet.</w:t>
      </w:r>
    </w:p>
    <w:p w14:paraId="7AFC15C5" w14:textId="77777777" w:rsidR="00575AC3" w:rsidRPr="006D40F0" w:rsidRDefault="00575AC3" w:rsidP="006D40F0">
      <w:pPr>
        <w:pStyle w:val="b-budkaptit"/>
      </w:pPr>
      <w:r w:rsidRPr="006D40F0">
        <w:t>Kap. 3710 Vaksiner mv.</w:t>
      </w:r>
    </w:p>
    <w:p w14:paraId="33DC23FF" w14:textId="77777777" w:rsidR="00575AC3" w:rsidRPr="006D40F0" w:rsidRDefault="00575AC3" w:rsidP="006D40F0">
      <w:pPr>
        <w:pStyle w:val="b-post"/>
      </w:pPr>
      <w:r w:rsidRPr="006D40F0">
        <w:t>Post 03 Vaksinesalg</w:t>
      </w:r>
    </w:p>
    <w:p w14:paraId="1F5DCA2D" w14:textId="77777777" w:rsidR="00575AC3" w:rsidRPr="006D40F0" w:rsidRDefault="00575AC3" w:rsidP="006D40F0">
      <w:r w:rsidRPr="006D40F0">
        <w:t>Bevilgningen foreslås økt med 10 mill. kroner som følge av endret prognose for salg av reise- og salgsvaksiner mm.</w:t>
      </w:r>
    </w:p>
    <w:p w14:paraId="6C21E056" w14:textId="77777777" w:rsidR="00575AC3" w:rsidRPr="006D40F0" w:rsidRDefault="00575AC3" w:rsidP="006D40F0">
      <w:r w:rsidRPr="006D40F0">
        <w:t>Bevilgningen foreslås videre økt med 3,9 mill. kroner mot tilsvarende økning under kap. 710, post 22 for å utvide gruppen av studenter som har rett på stønad til hepatitt B-vaksine gjennom blåreseptordningen. Se nærmere omtale under kap. 710, post 22.</w:t>
      </w:r>
    </w:p>
    <w:p w14:paraId="6AA821B9" w14:textId="77777777" w:rsidR="00575AC3" w:rsidRPr="006D40F0" w:rsidRDefault="00575AC3" w:rsidP="006D40F0">
      <w:r w:rsidRPr="006D40F0">
        <w:t>Samlet foreslås bevilgningen økt med 13,9 mill. kroner.</w:t>
      </w:r>
    </w:p>
    <w:p w14:paraId="4F22B85B" w14:textId="77777777" w:rsidR="00575AC3" w:rsidRPr="006D40F0" w:rsidRDefault="00575AC3" w:rsidP="006D40F0">
      <w:pPr>
        <w:pStyle w:val="b-budkaptit"/>
      </w:pPr>
      <w:r w:rsidRPr="006D40F0">
        <w:lastRenderedPageBreak/>
        <w:t>Kap. 712 Bioteknologirådet</w:t>
      </w:r>
    </w:p>
    <w:p w14:paraId="02076875" w14:textId="77777777" w:rsidR="00575AC3" w:rsidRPr="006D40F0" w:rsidRDefault="00575AC3" w:rsidP="006D40F0">
      <w:pPr>
        <w:pStyle w:val="b-post"/>
      </w:pPr>
      <w:r w:rsidRPr="006D40F0">
        <w:t>Post 01 Driftsutgifter</w:t>
      </w:r>
    </w:p>
    <w:p w14:paraId="713F0B78" w14:textId="77777777" w:rsidR="00575AC3" w:rsidRPr="006D40F0" w:rsidRDefault="00575AC3" w:rsidP="006D40F0">
      <w:r w:rsidRPr="006D40F0">
        <w:t>Bevilgningen foreslås redusert med 0,1 mill. kroner til Helse- og omsorgsdepartementets arbeid med analyse og styring av underliggende virksomheter, jf. omtale under kap. 700, post 01.</w:t>
      </w:r>
    </w:p>
    <w:p w14:paraId="1AA7F8EE" w14:textId="77777777" w:rsidR="00575AC3" w:rsidRPr="006D40F0" w:rsidRDefault="00575AC3" w:rsidP="006D40F0">
      <w:pPr>
        <w:pStyle w:val="b-budkaptit"/>
      </w:pPr>
      <w:r w:rsidRPr="006D40F0">
        <w:t>Kap. 714 Folkehelse</w:t>
      </w:r>
    </w:p>
    <w:p w14:paraId="39057018" w14:textId="77777777" w:rsidR="00575AC3" w:rsidRPr="006D40F0" w:rsidRDefault="00575AC3" w:rsidP="006D40F0">
      <w:pPr>
        <w:pStyle w:val="b-post"/>
      </w:pPr>
      <w:r w:rsidRPr="006D40F0">
        <w:t>Post 21 Spesielle driftsutgifter, kan overføres, kan nyttes under postene 70, 74 og 79</w:t>
      </w:r>
    </w:p>
    <w:p w14:paraId="20AA13F3" w14:textId="77777777" w:rsidR="00575AC3" w:rsidRPr="006D40F0" w:rsidRDefault="00575AC3" w:rsidP="006D40F0">
      <w:r w:rsidRPr="006D40F0">
        <w:t>Det foreslås å flytte 12,5 mill. kroner til Nasjonalt program for rusforebyggende arbeid blant barn og unge fra post 70 til post 21. Ved en inkurie ble midlene i budsjettforslaget for 2024 foreslått bevilget over post 70.</w:t>
      </w:r>
    </w:p>
    <w:p w14:paraId="37CC12D7" w14:textId="77777777" w:rsidR="00575AC3" w:rsidRPr="006D40F0" w:rsidRDefault="00575AC3" w:rsidP="006D40F0">
      <w:r w:rsidRPr="006D40F0">
        <w:t>Programmet skal bidra til at aktører i det rusmiddelforebyggende arbeidet i større grad jobber kunnskapsbasert. Helsedirektoratet forvalter midlene og har ansvaret for utviklingen og gjennomføringen av programmet i samarbeid med relevante fag- og kompetansemiljøer.</w:t>
      </w:r>
    </w:p>
    <w:p w14:paraId="2AFB9979" w14:textId="77777777" w:rsidR="00575AC3" w:rsidRPr="006D40F0" w:rsidRDefault="00575AC3" w:rsidP="006D40F0">
      <w:r w:rsidRPr="006D40F0">
        <w:t>Bevilgningen foreslås redusert med 3,9 mill. kroner mot tilsvarende økning under kap. 2751, post 70 for å utvide gruppen av studenter som har rett på stønad til hepatitt B-vaksine gjennom blåreseptordningen. Se nærmere omtale under kap. 710, post 22. Foreslått reduksjon vil redusere aktiviteten i Helsedirektoratet, herunder arbeidet med kommunikasjon om levevaner og helse.</w:t>
      </w:r>
    </w:p>
    <w:p w14:paraId="113B88DB" w14:textId="77777777" w:rsidR="00575AC3" w:rsidRPr="006D40F0" w:rsidRDefault="00575AC3" w:rsidP="006D40F0">
      <w:r w:rsidRPr="006D40F0">
        <w:t>Samlet foreslås bevilgningen økt med 8,6 mill. kroner.</w:t>
      </w:r>
    </w:p>
    <w:p w14:paraId="33FE017E" w14:textId="77777777" w:rsidR="00575AC3" w:rsidRPr="006D40F0" w:rsidRDefault="00575AC3" w:rsidP="006D40F0">
      <w:pPr>
        <w:pStyle w:val="b-post"/>
      </w:pPr>
      <w:r w:rsidRPr="006D40F0">
        <w:t>Post 22 Gebyrfinansierte ordninger</w:t>
      </w:r>
    </w:p>
    <w:p w14:paraId="328C00A3" w14:textId="77777777" w:rsidR="00575AC3" w:rsidRPr="006D40F0" w:rsidRDefault="00575AC3" w:rsidP="006D40F0">
      <w:r w:rsidRPr="006D40F0">
        <w:t>Bevilgningen foreslås redusert med 1,4 mill. kroner. Ved en inkurie er bevilgningen i saldert budsjett 1,4 mill. kroner høyere enn inntektsbevilgningen over kap. 3714, post 04, selv om det er lagt til grunn av Stortinget at utgifts- og inntektssiden skal være lik.</w:t>
      </w:r>
    </w:p>
    <w:p w14:paraId="40013A17" w14:textId="77777777" w:rsidR="00575AC3" w:rsidRPr="006D40F0" w:rsidRDefault="00575AC3" w:rsidP="006D40F0">
      <w:pPr>
        <w:pStyle w:val="b-post"/>
      </w:pPr>
      <w:r w:rsidRPr="006D40F0">
        <w:t>Post 60 Kommunale tiltak, kan overføres, kan nyttes under post 21</w:t>
      </w:r>
    </w:p>
    <w:p w14:paraId="0A1E6C23" w14:textId="77777777" w:rsidR="00575AC3" w:rsidRPr="006D40F0" w:rsidRDefault="00575AC3" w:rsidP="006D40F0">
      <w:r w:rsidRPr="006D40F0">
        <w:t>Det foreslås å redusere bevilgningen med 1 mill. kroner som ikke er disponert.</w:t>
      </w:r>
    </w:p>
    <w:p w14:paraId="4C271DC8" w14:textId="77777777" w:rsidR="00575AC3" w:rsidRPr="006D40F0" w:rsidRDefault="00575AC3" w:rsidP="006D40F0">
      <w:pPr>
        <w:pStyle w:val="b-post"/>
      </w:pPr>
      <w:r w:rsidRPr="006D40F0">
        <w:t>Post 70 Rusmiddeltiltak mv., kan overføres, kan nyttes under post 21</w:t>
      </w:r>
    </w:p>
    <w:p w14:paraId="13AE5BCC" w14:textId="77777777" w:rsidR="00575AC3" w:rsidRPr="006D40F0" w:rsidRDefault="00575AC3" w:rsidP="006D40F0">
      <w:r w:rsidRPr="006D40F0">
        <w:t>Det foreslås å flytte 12,5 mill. kroner til Nasjonalt program for rusforebyggende arbeid blant barn og unge til post 21, jf. omtale under post 21. Bevilgningen foreslås redusert med 12,5 mill. kroner.</w:t>
      </w:r>
    </w:p>
    <w:p w14:paraId="2304684B" w14:textId="77777777" w:rsidR="00575AC3" w:rsidRPr="006D40F0" w:rsidRDefault="00575AC3" w:rsidP="006D40F0">
      <w:pPr>
        <w:pStyle w:val="b-post"/>
      </w:pPr>
      <w:r w:rsidRPr="006D40F0">
        <w:t>Post 79 Andre tilskudd, kan overføres, kan nyttes under post 21</w:t>
      </w:r>
    </w:p>
    <w:p w14:paraId="7B21CE26" w14:textId="77777777" w:rsidR="00575AC3" w:rsidRPr="006D40F0" w:rsidRDefault="00575AC3" w:rsidP="006D40F0">
      <w:r w:rsidRPr="006D40F0">
        <w:t>Det foreslås å redusere bevilgningen med 2 mill. kroner som ikke er disponert.</w:t>
      </w:r>
    </w:p>
    <w:p w14:paraId="5AEE7DE4" w14:textId="77777777" w:rsidR="00575AC3" w:rsidRPr="006D40F0" w:rsidRDefault="00575AC3" w:rsidP="006D40F0">
      <w:pPr>
        <w:pStyle w:val="b-budkaptit"/>
      </w:pPr>
      <w:r w:rsidRPr="006D40F0">
        <w:lastRenderedPageBreak/>
        <w:t>Kap. 732 Regionale helseforetak</w:t>
      </w:r>
    </w:p>
    <w:p w14:paraId="0A6077DC" w14:textId="77777777" w:rsidR="00575AC3" w:rsidRPr="006D40F0" w:rsidRDefault="00575AC3" w:rsidP="006D40F0">
      <w:r w:rsidRPr="006D40F0">
        <w:t>Regjeringen foreslår å øke bevilgningen til de regionale helseforetakene med 2 mrd. kroner utover anslagsendringer og pensjon.</w:t>
      </w:r>
    </w:p>
    <w:p w14:paraId="31E2F935" w14:textId="77777777" w:rsidR="00575AC3" w:rsidRPr="006D40F0" w:rsidRDefault="00575AC3" w:rsidP="006D40F0">
      <w:r w:rsidRPr="006D40F0">
        <w:t>Gjennomsnittlig ventetid i spesialisthelsetjenesten har økt siden 2017, og etter pandemien har det vært en særlig økning innen somatikk og psykisk helsevern. Regjeringen har i 2024 satt som mål at ventetiden skal reduseres sammenlignet med 2023. På den bakgrunn foreslår regjeringen å varig øke basisbevilgningen til de regionale helseforetakene med 1 150 mill. kroner. Formålet er både å legge til rette for reduserte ventetider, men også å bedre de regionale helseforetakenes økonomi.</w:t>
      </w:r>
    </w:p>
    <w:p w14:paraId="6B7F2843" w14:textId="77777777" w:rsidR="00575AC3" w:rsidRPr="006D40F0" w:rsidRDefault="00575AC3" w:rsidP="006D40F0">
      <w:r w:rsidRPr="006D40F0">
        <w:t>Utover den generelle økningen i basisbevilgningen til de regionale helseforetakene fremmer regjeringen forslag om 400 mill. kroner til ettårige ventetidstiltak. Tiltakene skal rettes mot tjenester som er preget av lang ventetid, mange pasienter på venteliste eller mot pasienter med alvorlige tilstander som risikerer forverret helsetilstand ved lang ventetid. Regjeringen vil at det skal vektlegges tiltak som gir varige effekter, og som ivaretar de ansatte og arbeidsmiljø.</w:t>
      </w:r>
    </w:p>
    <w:p w14:paraId="08389385" w14:textId="77777777" w:rsidR="00575AC3" w:rsidRPr="006D40F0" w:rsidRDefault="00575AC3" w:rsidP="006D40F0">
      <w:r w:rsidRPr="006D40F0">
        <w:t>Regjeringen foreslår et varig særskilt tilskudd til Helse Nord RHF på 250 mill. kroner. 160 mill. kroner skal gå til et beredskaps- og rekrutteringstilskudd til å opprettholde akuttilbudet i Narvik og Lofoten, i dette inngår også 15 mill. til Finnmarkssykehuset Klinikk Alta. Videre skal 90 mill. kroner nyttes til å øke samhandlings- og rekrutteringstilskuddet.</w:t>
      </w:r>
    </w:p>
    <w:p w14:paraId="7D800E7C" w14:textId="77777777" w:rsidR="00575AC3" w:rsidRPr="006D40F0" w:rsidRDefault="00575AC3" w:rsidP="006D40F0">
      <w:r w:rsidRPr="006D40F0">
        <w:t>Regjeringen foreslår også en varig økning i bevilgningen til det nasjonale samhandlings- og rekrutteringstilskuddet med 100 mill. kroner og 100 mill. kroner til tiltak innen sikkerhetspsykiatri.</w:t>
      </w:r>
    </w:p>
    <w:p w14:paraId="34B89B97" w14:textId="77777777" w:rsidR="00575AC3" w:rsidRPr="006D40F0" w:rsidRDefault="00575AC3" w:rsidP="006D40F0">
      <w:pPr>
        <w:pStyle w:val="b-post"/>
      </w:pPr>
      <w:r w:rsidRPr="006D40F0">
        <w:t>Post 21 Spesielle driftsutgifter, kan overføres</w:t>
      </w:r>
    </w:p>
    <w:p w14:paraId="2935C31A" w14:textId="77777777" w:rsidR="00575AC3" w:rsidRPr="006D40F0" w:rsidRDefault="00575AC3" w:rsidP="006D40F0">
      <w:r w:rsidRPr="006D40F0">
        <w:t>Det foreslås å øke bevilgningen med 50 mill. kroner til regjeringens gave til NRKs TV-aksjon for 2024. TV-aksjonen er tildelt Barnekreftforeningen og aksjonen «Familiehus for alvorlig syke barn».</w:t>
      </w:r>
    </w:p>
    <w:p w14:paraId="0E8A8EB8" w14:textId="77777777" w:rsidR="00575AC3" w:rsidRPr="006D40F0" w:rsidRDefault="00575AC3" w:rsidP="006D40F0">
      <w:pPr>
        <w:pStyle w:val="b-post"/>
      </w:pPr>
      <w:r w:rsidRPr="006D40F0">
        <w:t>Post 70 Særskilte tilskudd, kan overføres, kan nyttes under postene 72, 73, 74 og 75</w:t>
      </w:r>
    </w:p>
    <w:p w14:paraId="7491ED40" w14:textId="77777777" w:rsidR="00575AC3" w:rsidRPr="006D40F0" w:rsidRDefault="00575AC3" w:rsidP="006D40F0">
      <w:pPr>
        <w:pStyle w:val="avsnitt-undertittel"/>
      </w:pPr>
      <w:r w:rsidRPr="006D40F0">
        <w:t>Tiltak for å redusere ventetider i sykehusene</w:t>
      </w:r>
    </w:p>
    <w:p w14:paraId="1D47AA3C" w14:textId="77777777" w:rsidR="00575AC3" w:rsidRPr="006D40F0" w:rsidRDefault="00575AC3" w:rsidP="006D40F0">
      <w:r w:rsidRPr="006D40F0">
        <w:t>Det foreslås å øke bevilgningen i 2024 med 400 mill. kroner til ettårige tiltak for å redusere ventetider i spesialisthelsetjenesten. Tiltakene skal rettes mot områder der minst ett av følgende kriterier er oppfylt:</w:t>
      </w:r>
    </w:p>
    <w:p w14:paraId="615A8E8B" w14:textId="77777777" w:rsidR="00575AC3" w:rsidRPr="006D40F0" w:rsidRDefault="00575AC3" w:rsidP="006D40F0">
      <w:pPr>
        <w:pStyle w:val="Liste"/>
      </w:pPr>
      <w:r w:rsidRPr="006D40F0">
        <w:t>tjenestene har pasienter med alvorlige tilstander med høy risiko for forverret helse ved lange ventetider</w:t>
      </w:r>
    </w:p>
    <w:p w14:paraId="6A1B6706" w14:textId="77777777" w:rsidR="00575AC3" w:rsidRPr="006D40F0" w:rsidRDefault="00575AC3" w:rsidP="006D40F0">
      <w:pPr>
        <w:pStyle w:val="Liste"/>
      </w:pPr>
      <w:r w:rsidRPr="006D40F0">
        <w:t>tjenestene har mange pasienter på venteliste og/eller i forløp</w:t>
      </w:r>
    </w:p>
    <w:p w14:paraId="384C4D09" w14:textId="77777777" w:rsidR="00575AC3" w:rsidRPr="006D40F0" w:rsidRDefault="00575AC3" w:rsidP="006D40F0">
      <w:pPr>
        <w:pStyle w:val="Liste"/>
      </w:pPr>
      <w:r w:rsidRPr="006D40F0">
        <w:t>tjenestene har lang ventetid</w:t>
      </w:r>
    </w:p>
    <w:p w14:paraId="623435C6" w14:textId="77777777" w:rsidR="00575AC3" w:rsidRPr="006D40F0" w:rsidRDefault="00575AC3" w:rsidP="006D40F0">
      <w:r w:rsidRPr="006D40F0">
        <w:t xml:space="preserve">Det skal legges vekt på tiltak som gir varige effekter, og som ivaretar de ansatte og arbeidsmiljø. Gjennomsnittlig ventetid i spesialisthelsetjenesten har økt siden 2017, og etter pandemien har det vært en særlig økning innen somatikk og psykisk helsevern. Regjeringen har i 2024 satt som mål at ventetiden skal reduseres sammenlignet med 2023. På sikt er målsetningen en </w:t>
      </w:r>
      <w:r w:rsidRPr="006D40F0">
        <w:lastRenderedPageBreak/>
        <w:t>gjennomsnittlig ventetid på under 50 dager i somatikk, 40 dager i psykisk helsevern for voksne, 35 dager i psykisk helsevern for barn og unge og 30 dager for rusbehandling.</w:t>
      </w:r>
    </w:p>
    <w:p w14:paraId="07FFCF2A" w14:textId="77777777" w:rsidR="00575AC3" w:rsidRPr="006D40F0" w:rsidRDefault="00575AC3" w:rsidP="006D40F0">
      <w:r w:rsidRPr="006D40F0">
        <w:t>Bevilgningen fordeles til de regionale helseforetakene etter samme nøkkel som basisbevilgningen. Det innebærer 217,2 mill. kroner til Helse Sør-Øst RHF, 76,7 mill. kroner til Helse Vest RHF, 56,9 mill. kroner til Helse Midt-Norge RHF og 49,2 mill. kroner til Helse Nord RHF.</w:t>
      </w:r>
    </w:p>
    <w:p w14:paraId="7BBB36C0" w14:textId="77777777" w:rsidR="00575AC3" w:rsidRPr="006D40F0" w:rsidRDefault="00575AC3" w:rsidP="006D40F0">
      <w:pPr>
        <w:pStyle w:val="avsnitt-undertittel"/>
      </w:pPr>
      <w:r w:rsidRPr="006D40F0">
        <w:t>Særskilte tilskudd til Helse Nord RHF</w:t>
      </w:r>
    </w:p>
    <w:p w14:paraId="5830624E" w14:textId="77777777" w:rsidR="00575AC3" w:rsidRPr="006D40F0" w:rsidRDefault="00575AC3" w:rsidP="006D40F0">
      <w:r w:rsidRPr="006D40F0">
        <w:t xml:space="preserve">Spesialisthelsetjenesten ved Universitetssykehuset Nord-Norge HF, Narvik sykehus, støtter opp om forsvarets beredskapsbehov. Det foreslås et varig beredskaps- og rekrutteringstilskudd på til sammen 160 mill. kroner til Helse Nord RHF. Av dette går 80 mill. kroner til å opprettholde akuttilbudet i Narvik av hensyn til forsvarets behov, og 65 mill. kroner til å opprettholde akuttilbudet ved Nordlandsykehuset HF, Lofoten sykehus. Det foreslås videre at 15 mill. kroner av tilskuddet skal brukes til å sikre et fortsatt fødetilbud, styrke poliklinikk, psykisk helsevern og dagbehandling ved Finnmarkssykehuset HF, Klinikk Alta. Det skal videre utredes en utvidelse av det indremedisinske tilbudet innen poliklinikk og dagbehandling i Alta, i samhandling med kommunen. Breddekompetanse som muliggjør tilbud til pasienter med flere kroniske lidelser og eldre med skrøpelighet skal prioriteres. Dette tilskuddet kommer i tillegg til de allerede bevilgede 25 mill. kroner, som </w:t>
      </w:r>
      <w:proofErr w:type="gramStart"/>
      <w:r w:rsidRPr="006D40F0">
        <w:t>for øvrig</w:t>
      </w:r>
      <w:proofErr w:type="gramEnd"/>
      <w:r w:rsidRPr="006D40F0">
        <w:t xml:space="preserve"> i sin helhet skal brukes i Alta. Formålet med tildelingene er å styrke Finnmarkssykehuset HF, Klinikk Alta, og bidra til at tilbudene her kan videreutvikles til det beste for lokalbefolkningen.</w:t>
      </w:r>
    </w:p>
    <w:p w14:paraId="53381C3B" w14:textId="77777777" w:rsidR="00575AC3" w:rsidRPr="006D40F0" w:rsidRDefault="00575AC3" w:rsidP="006D40F0">
      <w:r w:rsidRPr="006D40F0">
        <w:t xml:space="preserve">I statsbudsjettet for 2024 er det bevilget 40 mill. kroner til et rekrutterings- og samhandlingstilskudd til Helse Nord RHF. Det foreslås at tilskuddet varig økes med 90 mill. kroner i 2024, slik at det blir på til sammen 130 mill. kroner. Formålet er å legge til rette for et godt desentralisert helsetilbud, med god kvalitet, kortere ventetider og riktig arbeidsdeling. Prioriterte områder er </w:t>
      </w:r>
      <w:proofErr w:type="gramStart"/>
      <w:r w:rsidRPr="006D40F0">
        <w:t>integrert</w:t>
      </w:r>
      <w:proofErr w:type="gramEnd"/>
      <w:r w:rsidRPr="006D40F0">
        <w:t xml:space="preserve"> psykisk helsetjeneste og rus og tiltak for å redusere antall utskrivningsklare pasienter. Midlene skal brukes etter enighet mellom helseforetak og aktuelle kommuner i regionen. Det vises </w:t>
      </w:r>
      <w:proofErr w:type="gramStart"/>
      <w:r w:rsidRPr="006D40F0">
        <w:t>for øvrig</w:t>
      </w:r>
      <w:proofErr w:type="gramEnd"/>
      <w:r w:rsidRPr="006D40F0">
        <w:t xml:space="preserve"> til forslaget om 100 mill. kroner i rekrutterings- og samhandlingstilskudd til de øvrige helseregionene.</w:t>
      </w:r>
    </w:p>
    <w:p w14:paraId="2A9FF1BB" w14:textId="77777777" w:rsidR="00575AC3" w:rsidRPr="006D40F0" w:rsidRDefault="00575AC3" w:rsidP="006D40F0">
      <w:r w:rsidRPr="006D40F0">
        <w:t>Samlet foreslås det et varig tilskudd på 250 mill. kroner til Helse Nord RHF til formålene omtalt over. Den ekstra innsatsen må også ses i sammenheng med målet om reduserte ventetider.</w:t>
      </w:r>
    </w:p>
    <w:p w14:paraId="550954CB" w14:textId="77777777" w:rsidR="00575AC3" w:rsidRPr="006D40F0" w:rsidRDefault="00575AC3" w:rsidP="006D40F0">
      <w:pPr>
        <w:pStyle w:val="avsnitt-undertittel"/>
      </w:pPr>
      <w:r w:rsidRPr="006D40F0">
        <w:t>Rekrutterings- og samhandlingstilskudd</w:t>
      </w:r>
    </w:p>
    <w:p w14:paraId="6206E2FC" w14:textId="77777777" w:rsidR="00575AC3" w:rsidRPr="006D40F0" w:rsidRDefault="00575AC3" w:rsidP="006D40F0">
      <w:r w:rsidRPr="006D40F0">
        <w:t>Det foreslås en økt og varig bevilgning på 100 mill. kroner til et rekrutterings- og samhandlingstilskudd til Helse Sør-Øst RHF, Helse Midt-Norge RHF og Helse Vest RHF. I saldert budsjett for 2024 ble det bevilget 40 mill. kroner i et rekrutterings- og samhandlingstilskudd til Helse Nord RHF.</w:t>
      </w:r>
    </w:p>
    <w:p w14:paraId="3D3EC553" w14:textId="77777777" w:rsidR="00575AC3" w:rsidRPr="006D40F0" w:rsidRDefault="00575AC3" w:rsidP="006D40F0">
      <w:r w:rsidRPr="006D40F0">
        <w:t>Tilskuddsmidlene foreslås fordelt etter samme nøkkel som basisbevilgningen til de regionale helseforetakene. Det innebærer 61,9 mill. kroner til Helse Sør-Øst RHF, 21,9 mill. kroner til Helse Vest RHF og 16,2 mill. kroner til Helse Midt-Norge RHF.</w:t>
      </w:r>
    </w:p>
    <w:p w14:paraId="2C24CA95" w14:textId="77777777" w:rsidR="00575AC3" w:rsidRPr="006D40F0" w:rsidRDefault="00575AC3" w:rsidP="006D40F0">
      <w:r w:rsidRPr="006D40F0">
        <w:t xml:space="preserve">Midlene skal brukes etter enighet mellom helseforetak og aktuelle kommuner, og skal understøtte tjenesteutvikling og gode pasientforløp gjennom økt samhandling mellom </w:t>
      </w:r>
      <w:r w:rsidRPr="006D40F0">
        <w:lastRenderedPageBreak/>
        <w:t>spesialisthelsetjenesten og den kommunale helse- og omsorgstjenesten. Dette må også ses i sammenheng med målet om reduserte ventetider. Tilskuddet skal videre understøtte tiltak som fremmer rekruttering og god bruk av personell i helseregionen på tvers av nivåene, for eksempel utprøving og etablering av kombinerte stillinger. I tildeling av midler skal det legges vekt på tilrettelegging for lokale løsninger i opptaksområdet til de minste sykehusene (akuttsykehus og sykehus uten akuttfunksjoner).</w:t>
      </w:r>
    </w:p>
    <w:p w14:paraId="1A7C9045" w14:textId="77777777" w:rsidR="00575AC3" w:rsidRPr="006D40F0" w:rsidRDefault="00575AC3" w:rsidP="006D40F0">
      <w:r w:rsidRPr="006D40F0">
        <w:t>Beløpet som mottas i tilskudd vil som hovedregel være en delfinansiering som supplerer partenes egen ressursinnsats.</w:t>
      </w:r>
    </w:p>
    <w:p w14:paraId="37B76E40" w14:textId="77777777" w:rsidR="00575AC3" w:rsidRPr="006D40F0" w:rsidRDefault="00575AC3" w:rsidP="006D40F0">
      <w:pPr>
        <w:pStyle w:val="avsnitt-undertittel"/>
      </w:pPr>
      <w:r w:rsidRPr="006D40F0">
        <w:t>Sikkerhetspsykiatri</w:t>
      </w:r>
    </w:p>
    <w:p w14:paraId="130D5629" w14:textId="77777777" w:rsidR="00575AC3" w:rsidRPr="006D40F0" w:rsidRDefault="00575AC3" w:rsidP="006D40F0">
      <w:r w:rsidRPr="006D40F0">
        <w:t>Det foreslås en økt og varig bevilgning på 100 mill. kroner til tiltak som kan bidra til økt kapasitet ved sikkerhetspsykiatriske avdelinger i helseforetakene. Helseforetakene har ulike utfordringer. Noen har behov for å etablere flere plasser og øke bemanningen i 2024, mens andre har størst behov for sikkerhetsboliger eller ambulante sikkerhetspsykiatriske team som kan følge opp pasienter i kommunene. Regionene skal vurdere hvilke tiltak som er mest relevante gitt det lokale utfordringsbildet. Dette må også ses i sammenheng med målet om reduserte ventetider</w:t>
      </w:r>
    </w:p>
    <w:p w14:paraId="01AF0C42" w14:textId="77777777" w:rsidR="00575AC3" w:rsidRPr="006D40F0" w:rsidRDefault="00575AC3" w:rsidP="006D40F0">
      <w:r w:rsidRPr="006D40F0">
        <w:t>Midlene på 100 mill. kroner fordeles etter samme nøkkel som basisbevilgningen til de regionale helseforetakene. Det innebærer 54,3 mill. kroner til Helse Sør-Øst RHF, 19,2 mill. kroner til Helse Vest RHF, 14,2 mill. kroner til Helse Midt-Norge RHF og 12,3 mill. kroner til Helse Nord RHF.</w:t>
      </w:r>
    </w:p>
    <w:p w14:paraId="3375FDA5" w14:textId="77777777" w:rsidR="00575AC3" w:rsidRPr="006D40F0" w:rsidRDefault="00575AC3" w:rsidP="006D40F0">
      <w:pPr>
        <w:pStyle w:val="avsnitt-undertittel"/>
      </w:pPr>
      <w:proofErr w:type="spellStart"/>
      <w:r w:rsidRPr="006D40F0">
        <w:t>Hjemmetest</w:t>
      </w:r>
      <w:proofErr w:type="spellEnd"/>
      <w:r w:rsidRPr="006D40F0">
        <w:t xml:space="preserve"> livmorhalsprogrammet</w:t>
      </w:r>
    </w:p>
    <w:p w14:paraId="5090693A" w14:textId="77777777" w:rsidR="00575AC3" w:rsidRPr="006D40F0" w:rsidRDefault="00575AC3" w:rsidP="006D40F0">
      <w:r w:rsidRPr="006D40F0">
        <w:t xml:space="preserve">Det foreslås å flytte 10 mill. kroner til kap. 745, post 01, som følge av at ansvaret for ordningen med </w:t>
      </w:r>
      <w:proofErr w:type="spellStart"/>
      <w:r w:rsidRPr="006D40F0">
        <w:t>hjemmetest</w:t>
      </w:r>
      <w:proofErr w:type="spellEnd"/>
      <w:r w:rsidRPr="006D40F0">
        <w:t xml:space="preserve"> i livmorhalsprogrammet er lagt til Folkehelseinstituttet, jf. Omtale under kap. 745, post 01.</w:t>
      </w:r>
    </w:p>
    <w:p w14:paraId="4F21AF16" w14:textId="77777777" w:rsidR="00575AC3" w:rsidRPr="006D40F0" w:rsidRDefault="00575AC3" w:rsidP="006D40F0">
      <w:pPr>
        <w:pStyle w:val="avsnitt-undertittel"/>
      </w:pPr>
      <w:r w:rsidRPr="006D40F0">
        <w:t>Oppsummering</w:t>
      </w:r>
    </w:p>
    <w:p w14:paraId="5A46B0BD" w14:textId="77777777" w:rsidR="00575AC3" w:rsidRPr="006D40F0" w:rsidRDefault="00575AC3" w:rsidP="006D40F0">
      <w:r w:rsidRPr="006D40F0">
        <w:t>Samlet foreslås bevilgningen på posten økt med 840 mill. kroner.</w:t>
      </w:r>
    </w:p>
    <w:p w14:paraId="64F72304" w14:textId="77777777" w:rsidR="00575AC3" w:rsidRPr="006D40F0" w:rsidRDefault="00575AC3" w:rsidP="006D40F0">
      <w:pPr>
        <w:pStyle w:val="b-post"/>
      </w:pPr>
      <w:r w:rsidRPr="006D40F0">
        <w:t>Post 71 Resultatbasert finansiering, kan overføres</w:t>
      </w:r>
    </w:p>
    <w:p w14:paraId="780740EB" w14:textId="77777777" w:rsidR="00575AC3" w:rsidRPr="006D40F0" w:rsidRDefault="00575AC3" w:rsidP="006D40F0">
      <w:r w:rsidRPr="006D40F0">
        <w:t>Resultatbasert finansiering i spesialisthelsetjenesten ble innført fra 2022, og erstattet den tidligere ordningen med kvalitetsbasert finansiering. I fordelingen av tilskuddet mellom de regionale helseforetakene for 2024 er det data for første tertial 2023 som benyttes. I Prop. 1 S (2023–2024) for Helse- og omsorgsdepartementet fremgår det at i forbindelse med revidert nasjonalbudsjett for 2024 gjøres en avregning basert på data fra hele foregående år. Oppdatert datagrunnlag for 2023 tilsier følgende endringer i fordelingen mellom de regionale helseforetakene, sammenlignet med det som ble lagt til grunn i Prop. 1 S (2023–2024):</w:t>
      </w:r>
    </w:p>
    <w:p w14:paraId="495269DC" w14:textId="77777777" w:rsidR="00575AC3" w:rsidRPr="006D40F0" w:rsidRDefault="00575AC3" w:rsidP="006D40F0">
      <w:pPr>
        <w:pStyle w:val="Liste"/>
      </w:pPr>
      <w:r w:rsidRPr="006D40F0">
        <w:t>Helse Sør-Øst RHF: 15,4 mill. kroner</w:t>
      </w:r>
    </w:p>
    <w:p w14:paraId="79B40BBD" w14:textId="77777777" w:rsidR="00575AC3" w:rsidRPr="006D40F0" w:rsidRDefault="00575AC3" w:rsidP="006D40F0">
      <w:pPr>
        <w:pStyle w:val="Liste"/>
      </w:pPr>
      <w:r w:rsidRPr="006D40F0">
        <w:t>Helse Vest RHF: -8,6 mill. kroner</w:t>
      </w:r>
    </w:p>
    <w:p w14:paraId="0B33444E" w14:textId="77777777" w:rsidR="00575AC3" w:rsidRPr="006D40F0" w:rsidRDefault="00575AC3" w:rsidP="006D40F0">
      <w:pPr>
        <w:pStyle w:val="Liste"/>
      </w:pPr>
      <w:r w:rsidRPr="006D40F0">
        <w:t>Helse Midt-Norge RHF: -2,7 mill. kroner</w:t>
      </w:r>
    </w:p>
    <w:p w14:paraId="48D01484" w14:textId="77777777" w:rsidR="00575AC3" w:rsidRPr="006D40F0" w:rsidRDefault="00575AC3" w:rsidP="006D40F0">
      <w:pPr>
        <w:pStyle w:val="Liste"/>
      </w:pPr>
      <w:r w:rsidRPr="006D40F0">
        <w:lastRenderedPageBreak/>
        <w:t>Helse Nord RHF: -4,0 mill. kroner</w:t>
      </w:r>
    </w:p>
    <w:p w14:paraId="71AFDDEC" w14:textId="77777777" w:rsidR="00575AC3" w:rsidRPr="006D40F0" w:rsidRDefault="00575AC3" w:rsidP="006D40F0">
      <w:r w:rsidRPr="006D40F0">
        <w:t xml:space="preserve">Helse- og omsorgsdepartementet vil justere </w:t>
      </w:r>
      <w:proofErr w:type="spellStart"/>
      <w:r w:rsidRPr="006D40F0">
        <w:t>akontoutbetalingene</w:t>
      </w:r>
      <w:proofErr w:type="spellEnd"/>
      <w:r w:rsidRPr="006D40F0">
        <w:t xml:space="preserve"> til de regionale helseforetakene i tråd med disse endringene</w:t>
      </w:r>
    </w:p>
    <w:p w14:paraId="02E19C00" w14:textId="77777777" w:rsidR="00575AC3" w:rsidRPr="006D40F0" w:rsidRDefault="00575AC3" w:rsidP="006D40F0">
      <w:pPr>
        <w:pStyle w:val="b-post"/>
      </w:pPr>
      <w:r w:rsidRPr="006D40F0">
        <w:t>Post 72 Basisbevilgning Helse Sør-Øst RHF, kan overføres</w:t>
      </w:r>
    </w:p>
    <w:p w14:paraId="242A69D1" w14:textId="77777777" w:rsidR="00575AC3" w:rsidRPr="006D40F0" w:rsidRDefault="00575AC3" w:rsidP="006D40F0">
      <w:pPr>
        <w:pStyle w:val="avsnitt-undertittel"/>
      </w:pPr>
      <w:r w:rsidRPr="006D40F0">
        <w:t>Tiltak for bedre sykehusøkonomi</w:t>
      </w:r>
    </w:p>
    <w:p w14:paraId="0A2A4B27" w14:textId="77777777" w:rsidR="00575AC3" w:rsidRPr="006D40F0" w:rsidRDefault="00575AC3" w:rsidP="006D40F0">
      <w:r w:rsidRPr="006D40F0">
        <w:t>Regjeringen ønsker å styrke sykehusøkonomien, og foreslår på den bakgrunn å varig øke basisbevilgningen til de regionale helseforetakene med 1 150 mill. kroner. Det skal legge til rette for at sykehusene kan følge opp styringsdokumentene for 2024. Dette må også ses i sammenheng med målet om reduserte ventetider. Bevilgningen fordeles etter nøkkelen for fordeling av basisbevilgningen til de regionale helseforetakene. Det innebærer at bevilgningen til Helse Sør-Øst RHF foreslås økt med 624,6 mill. kroner.</w:t>
      </w:r>
    </w:p>
    <w:p w14:paraId="1391C195" w14:textId="77777777" w:rsidR="00575AC3" w:rsidRPr="006D40F0" w:rsidRDefault="00575AC3" w:rsidP="006D40F0">
      <w:pPr>
        <w:pStyle w:val="avsnitt-undertittel"/>
      </w:pPr>
      <w:r w:rsidRPr="006D40F0">
        <w:t>Økt pensjonskostnad</w:t>
      </w:r>
    </w:p>
    <w:p w14:paraId="59BC1D43" w14:textId="77777777" w:rsidR="00575AC3" w:rsidRPr="006D40F0" w:rsidRDefault="00575AC3" w:rsidP="006D40F0">
      <w:r w:rsidRPr="006D40F0">
        <w:t>Basisbevilgningen til de regionale helseforetakene over kap. 732 postene 72-75 foreslås samlet økt med 900 mill. kroner, tilsvarende det økte anslaget for helseforetakenes pensjonskostnader. Den økte pensjonskostnaden sammenlignet med Saldert budsjett 2024 forklares hovedsakelig ved endringer i de økonomiske forutsetningene som ligger til grunn for beregning av pensjonskostnaden.</w:t>
      </w:r>
    </w:p>
    <w:p w14:paraId="20BB6CA8" w14:textId="77777777" w:rsidR="00575AC3" w:rsidRPr="006D40F0" w:rsidRDefault="00575AC3" w:rsidP="006D40F0">
      <w:r w:rsidRPr="006D40F0">
        <w:t>Bevilgningen foreslås økt med 488,8 mill. kroner som følge av dette.</w:t>
      </w:r>
    </w:p>
    <w:p w14:paraId="5144304A" w14:textId="77777777" w:rsidR="00575AC3" w:rsidRPr="006D40F0" w:rsidRDefault="00575AC3" w:rsidP="006D40F0">
      <w:pPr>
        <w:pStyle w:val="avsnitt-undertittel"/>
      </w:pPr>
      <w:r w:rsidRPr="006D40F0">
        <w:t>Oppsummering</w:t>
      </w:r>
    </w:p>
    <w:p w14:paraId="3FFD56C2" w14:textId="77777777" w:rsidR="00575AC3" w:rsidRPr="006D40F0" w:rsidRDefault="00575AC3" w:rsidP="006D40F0">
      <w:r w:rsidRPr="006D40F0">
        <w:t>Samlet foreslås bevilgningen på posten økt med 1 113,4 mill. kroner.</w:t>
      </w:r>
    </w:p>
    <w:p w14:paraId="74F61C14" w14:textId="77777777" w:rsidR="00575AC3" w:rsidRPr="006D40F0" w:rsidRDefault="00575AC3" w:rsidP="006D40F0">
      <w:pPr>
        <w:pStyle w:val="b-post"/>
      </w:pPr>
      <w:r w:rsidRPr="006D40F0">
        <w:t>Post 73 Basisbevilgning Helse Vest RHF, kan overføres</w:t>
      </w:r>
    </w:p>
    <w:p w14:paraId="20A00FAC" w14:textId="77777777" w:rsidR="00575AC3" w:rsidRPr="006D40F0" w:rsidRDefault="00575AC3" w:rsidP="006D40F0">
      <w:pPr>
        <w:pStyle w:val="avsnitt-undertittel"/>
      </w:pPr>
      <w:r w:rsidRPr="006D40F0">
        <w:t>Tiltak for bedre sykehusøkonomi</w:t>
      </w:r>
    </w:p>
    <w:p w14:paraId="3785FC3F" w14:textId="77777777" w:rsidR="00575AC3" w:rsidRPr="006D40F0" w:rsidRDefault="00575AC3" w:rsidP="006D40F0">
      <w:r w:rsidRPr="006D40F0">
        <w:t>Bevilgningen til Helse Vest RHF foreslås økt med 220,5 mill. kroner for å bedre sykehusøkonomien.</w:t>
      </w:r>
    </w:p>
    <w:p w14:paraId="2A2AD0A9" w14:textId="77777777" w:rsidR="00575AC3" w:rsidRPr="006D40F0" w:rsidRDefault="00575AC3" w:rsidP="006D40F0">
      <w:pPr>
        <w:pStyle w:val="avsnitt-undertittel"/>
      </w:pPr>
      <w:r w:rsidRPr="006D40F0">
        <w:t>Økt pensjonskostnad</w:t>
      </w:r>
    </w:p>
    <w:p w14:paraId="479399B8" w14:textId="77777777" w:rsidR="00575AC3" w:rsidRPr="006D40F0" w:rsidRDefault="00575AC3" w:rsidP="006D40F0">
      <w:r w:rsidRPr="006D40F0">
        <w:t>Bevilgningen foreslås økt med 172,5 mill. kroner som følge av økt pensjonskostnad, jf. omtale under post 72 og 86.</w:t>
      </w:r>
    </w:p>
    <w:p w14:paraId="047CF5C6" w14:textId="77777777" w:rsidR="00575AC3" w:rsidRPr="006D40F0" w:rsidRDefault="00575AC3" w:rsidP="006D40F0">
      <w:pPr>
        <w:pStyle w:val="avsnitt-undertittel"/>
      </w:pPr>
      <w:r w:rsidRPr="006D40F0">
        <w:t>Oppsummering</w:t>
      </w:r>
    </w:p>
    <w:p w14:paraId="48ED5CCF" w14:textId="77777777" w:rsidR="00575AC3" w:rsidRPr="006D40F0" w:rsidRDefault="00575AC3" w:rsidP="006D40F0">
      <w:r w:rsidRPr="006D40F0">
        <w:t>Samlet foreslås bevilgningen på posten økt med 393 mill. kroner.</w:t>
      </w:r>
    </w:p>
    <w:p w14:paraId="550E4DA9" w14:textId="77777777" w:rsidR="00575AC3" w:rsidRPr="006D40F0" w:rsidRDefault="00575AC3" w:rsidP="006D40F0">
      <w:pPr>
        <w:pStyle w:val="b-post"/>
      </w:pPr>
      <w:r w:rsidRPr="006D40F0">
        <w:lastRenderedPageBreak/>
        <w:t>Post 74 Basisbevilgning Helse Midt-Norge RHF, kan overføres</w:t>
      </w:r>
    </w:p>
    <w:p w14:paraId="20C62BC8" w14:textId="77777777" w:rsidR="00575AC3" w:rsidRPr="006D40F0" w:rsidRDefault="00575AC3" w:rsidP="006D40F0">
      <w:pPr>
        <w:pStyle w:val="avsnitt-undertittel"/>
      </w:pPr>
      <w:r w:rsidRPr="006D40F0">
        <w:t>Tiltak for bedre sykehusøkonomi</w:t>
      </w:r>
    </w:p>
    <w:p w14:paraId="6D8A53E5" w14:textId="77777777" w:rsidR="00575AC3" w:rsidRPr="006D40F0" w:rsidRDefault="00575AC3" w:rsidP="006D40F0">
      <w:r w:rsidRPr="006D40F0">
        <w:t>Bevilgningen til Helse Midt-Norge RHF foreslås økt med 163,6 mill. kroner for å bedre sykehusøkonomien.</w:t>
      </w:r>
    </w:p>
    <w:p w14:paraId="6EC179E4" w14:textId="77777777" w:rsidR="00575AC3" w:rsidRPr="006D40F0" w:rsidRDefault="00575AC3" w:rsidP="006D40F0">
      <w:pPr>
        <w:pStyle w:val="avsnitt-undertittel"/>
      </w:pPr>
      <w:r w:rsidRPr="006D40F0">
        <w:t>Økt pensjonskostnad</w:t>
      </w:r>
    </w:p>
    <w:p w14:paraId="0F6E09DB" w14:textId="77777777" w:rsidR="00575AC3" w:rsidRPr="006D40F0" w:rsidRDefault="00575AC3" w:rsidP="006D40F0">
      <w:r w:rsidRPr="006D40F0">
        <w:t>Bevilgningen foreslås økt med 128,1 mill. kroner som følge av økt pensjonskostnad, jf. omtale under post 72 og 86.</w:t>
      </w:r>
    </w:p>
    <w:p w14:paraId="0B7CCAF0" w14:textId="77777777" w:rsidR="00575AC3" w:rsidRPr="006D40F0" w:rsidRDefault="00575AC3" w:rsidP="006D40F0">
      <w:pPr>
        <w:pStyle w:val="avsnitt-undertittel"/>
      </w:pPr>
      <w:r w:rsidRPr="006D40F0">
        <w:t>Oppsummering</w:t>
      </w:r>
    </w:p>
    <w:p w14:paraId="4D820B64" w14:textId="77777777" w:rsidR="00575AC3" w:rsidRPr="006D40F0" w:rsidRDefault="00575AC3" w:rsidP="006D40F0">
      <w:r w:rsidRPr="006D40F0">
        <w:t>Samlet foreslås bevilgningen på posten økt med 291,7 mill. kroner.</w:t>
      </w:r>
    </w:p>
    <w:p w14:paraId="10FBC9A2" w14:textId="77777777" w:rsidR="00575AC3" w:rsidRPr="006D40F0" w:rsidRDefault="00575AC3" w:rsidP="006D40F0">
      <w:pPr>
        <w:pStyle w:val="b-post"/>
      </w:pPr>
      <w:r w:rsidRPr="006D40F0">
        <w:t>Post 75 Basisbevilgning Helse Nord RHF, kan overføres</w:t>
      </w:r>
    </w:p>
    <w:p w14:paraId="2672F836" w14:textId="77777777" w:rsidR="00575AC3" w:rsidRPr="006D40F0" w:rsidRDefault="00575AC3" w:rsidP="006D40F0">
      <w:pPr>
        <w:pStyle w:val="avsnitt-undertittel"/>
      </w:pPr>
      <w:r w:rsidRPr="006D40F0">
        <w:t>Tiltak for bedre sykehusøkonomi</w:t>
      </w:r>
    </w:p>
    <w:p w14:paraId="23A8F77A" w14:textId="77777777" w:rsidR="00575AC3" w:rsidRPr="006D40F0" w:rsidRDefault="00575AC3" w:rsidP="006D40F0">
      <w:r w:rsidRPr="006D40F0">
        <w:t>Bevilgningen til Helse Nord RHF foreslås økt med 141,3 mill. kroner for å bedre sykehusøkonomien.</w:t>
      </w:r>
    </w:p>
    <w:p w14:paraId="242ABE37" w14:textId="77777777" w:rsidR="00575AC3" w:rsidRPr="006D40F0" w:rsidRDefault="00575AC3" w:rsidP="006D40F0">
      <w:pPr>
        <w:pStyle w:val="avsnitt-undertittel"/>
      </w:pPr>
      <w:r w:rsidRPr="006D40F0">
        <w:t>Økt pensjonskostnad</w:t>
      </w:r>
    </w:p>
    <w:p w14:paraId="16D014FB" w14:textId="77777777" w:rsidR="00575AC3" w:rsidRPr="006D40F0" w:rsidRDefault="00575AC3" w:rsidP="006D40F0">
      <w:r w:rsidRPr="006D40F0">
        <w:t>Bevilgningen foreslås økt med 110,6 mill. kroner som følge av økt pensjonskostnad, jf. omtale under post 72 og 86.</w:t>
      </w:r>
    </w:p>
    <w:p w14:paraId="47C1A239" w14:textId="77777777" w:rsidR="00575AC3" w:rsidRPr="006D40F0" w:rsidRDefault="00575AC3" w:rsidP="006D40F0">
      <w:pPr>
        <w:pStyle w:val="avsnitt-undertittel"/>
      </w:pPr>
      <w:r w:rsidRPr="006D40F0">
        <w:t>Oppsummering</w:t>
      </w:r>
    </w:p>
    <w:p w14:paraId="6A7931A8" w14:textId="77777777" w:rsidR="00575AC3" w:rsidRPr="006D40F0" w:rsidRDefault="00575AC3" w:rsidP="006D40F0">
      <w:r w:rsidRPr="006D40F0">
        <w:t>Samlet foreslås bevilgningen på posten økt med 251,9 mill. kroner.</w:t>
      </w:r>
    </w:p>
    <w:p w14:paraId="4672E8C6" w14:textId="77777777" w:rsidR="00575AC3" w:rsidRPr="006D40F0" w:rsidRDefault="00575AC3" w:rsidP="006D40F0">
      <w:pPr>
        <w:pStyle w:val="b-post"/>
      </w:pPr>
      <w:r w:rsidRPr="006D40F0">
        <w:t>Post 76 Innsatsstyrt finansiering, overslagsbevilgning</w:t>
      </w:r>
    </w:p>
    <w:p w14:paraId="4158DF9A" w14:textId="77777777" w:rsidR="00575AC3" w:rsidRPr="006D40F0" w:rsidRDefault="00575AC3" w:rsidP="006D40F0">
      <w:r w:rsidRPr="006D40F0">
        <w:t>Saldert budsjett 2023 ble fastsatt med utgangspunkt i Saldert budsjett 2022 og la til rette for en aktivitetsvekst på om lag 1,4 pst. fra dette nivået. Den faktiske aktiviteten i 2022 ble lavere enn anslått og budsjettet for 2023 ga dermed rom for en aktivitetsvekst på om lag 3,2 pst.</w:t>
      </w:r>
    </w:p>
    <w:p w14:paraId="0986F176" w14:textId="77777777" w:rsidR="00575AC3" w:rsidRPr="006D40F0" w:rsidRDefault="00575AC3" w:rsidP="006D40F0">
      <w:r w:rsidRPr="006D40F0">
        <w:t xml:space="preserve">Oppdaterte analyser for hele </w:t>
      </w:r>
      <w:proofErr w:type="spellStart"/>
      <w:r w:rsidRPr="006D40F0">
        <w:t>årsaktiviteten</w:t>
      </w:r>
      <w:proofErr w:type="spellEnd"/>
      <w:r w:rsidRPr="006D40F0">
        <w:t xml:space="preserve"> i 2023 tilsier at aktiviteten ble lavere enn det som ble lagt til grunn i Prop. 18 S (2023–2024), tilsvarende om lag 219 mill. kroner. Aktivitetsveksten i 2023 anslås nå til 2,2 pst. fra faktisk nivå i 2022.</w:t>
      </w:r>
    </w:p>
    <w:p w14:paraId="18E9FF88" w14:textId="77777777" w:rsidR="00575AC3" w:rsidRPr="006D40F0" w:rsidRDefault="00575AC3" w:rsidP="006D40F0">
      <w:r w:rsidRPr="006D40F0">
        <w:t>Helse- og omsorgsdepartementet vil komme tilbake til endelig avregning for 2023 i forbindelse med nysalderingen av statsbudsjettet for 2024, inkludert eventuelle justeringer som følge av behandling av enkeltsaker i avregningsutvalget.</w:t>
      </w:r>
    </w:p>
    <w:p w14:paraId="63FCB8B4" w14:textId="77777777" w:rsidR="00575AC3" w:rsidRPr="006D40F0" w:rsidRDefault="00575AC3" w:rsidP="006D40F0">
      <w:pPr>
        <w:pStyle w:val="b-post"/>
      </w:pPr>
      <w:r w:rsidRPr="006D40F0">
        <w:lastRenderedPageBreak/>
        <w:t>Post 77 Laboratorie- og radiologiske undersøkelser, overslagsbevilgning</w:t>
      </w:r>
    </w:p>
    <w:p w14:paraId="7146C959" w14:textId="77777777" w:rsidR="00575AC3" w:rsidRPr="006D40F0" w:rsidRDefault="00575AC3" w:rsidP="006D40F0">
      <w:pPr>
        <w:pStyle w:val="avsnitt-undertittel"/>
      </w:pPr>
      <w:r w:rsidRPr="006D40F0">
        <w:t>Aktivitet 2023</w:t>
      </w:r>
    </w:p>
    <w:p w14:paraId="43A7541E" w14:textId="77777777" w:rsidR="00575AC3" w:rsidRPr="006D40F0" w:rsidRDefault="00575AC3" w:rsidP="006D40F0">
      <w:r w:rsidRPr="006D40F0">
        <w:t xml:space="preserve">Saldert budsjett 2023 på 3 624 mill. kroner la til rette for en aktivitetsvekst på om lag 2,5 pst. utover Saldert budsjett 2022. Regnskapet for 2023 viser at utbetalingene ble 3 983 mill. kroner. Dette er 13 mill. kroner høyere enn budsjett etter Stortingets behandling av Prop. 18 S (2023–2024), jf. </w:t>
      </w:r>
      <w:proofErr w:type="spellStart"/>
      <w:r w:rsidRPr="006D40F0">
        <w:t>Innst</w:t>
      </w:r>
      <w:proofErr w:type="spellEnd"/>
      <w:r w:rsidRPr="006D40F0">
        <w:t>. 144 S (2023–2024).</w:t>
      </w:r>
    </w:p>
    <w:p w14:paraId="0552D540" w14:textId="77777777" w:rsidR="00575AC3" w:rsidRPr="006D40F0" w:rsidRDefault="00575AC3" w:rsidP="006D40F0">
      <w:pPr>
        <w:pStyle w:val="avsnitt-undertittel"/>
      </w:pPr>
      <w:r w:rsidRPr="006D40F0">
        <w:t>Aktivitet 2024</w:t>
      </w:r>
    </w:p>
    <w:p w14:paraId="55CB9D43" w14:textId="77777777" w:rsidR="00575AC3" w:rsidRPr="006D40F0" w:rsidRDefault="00575AC3" w:rsidP="006D40F0">
      <w:r w:rsidRPr="006D40F0">
        <w:t>Saldert budsjett 2024 la til rette for en vekst tilsvarende 1,7 pst. utover anslag for aktivitetsnivået i 2023 som var basert på regnskapstall per mai i 2023. Saldert budsjett for 2024 er 4 188 mill. kroner. Prognosen for 2024, basert på oppdaterte aktivitetstall per februar 2024 anslår en samlet aktivitetsvekst på om lag 4 pst. Det tilsier at utbetalingene vil bli 142 mill. kroner høyere enn saldert budsjett for 2024. Bevilgningen foreslås økt med 142 mill. kroner.</w:t>
      </w:r>
    </w:p>
    <w:p w14:paraId="7F5D0933" w14:textId="77777777" w:rsidR="00575AC3" w:rsidRPr="006D40F0" w:rsidRDefault="00575AC3" w:rsidP="006D40F0">
      <w:pPr>
        <w:pStyle w:val="b-post"/>
      </w:pPr>
      <w:r w:rsidRPr="006D40F0">
        <w:t>Post 86 Driftskreditter</w:t>
      </w:r>
    </w:p>
    <w:p w14:paraId="2F36DF04" w14:textId="77777777" w:rsidR="00575AC3" w:rsidRPr="006D40F0" w:rsidRDefault="00575AC3" w:rsidP="006D40F0">
      <w:r w:rsidRPr="006D40F0">
        <w:t>Driftskredittrammen til de regionale helseforetakene foreslås redusert med 805 mill. kroner. Ved inngangen av 2024 hadde de regionale helseforetakene en samlet driftskredittramme på 23 430 mill. kroner.</w:t>
      </w:r>
    </w:p>
    <w:p w14:paraId="67166F19" w14:textId="77777777" w:rsidR="00575AC3" w:rsidRPr="006D40F0" w:rsidRDefault="00575AC3" w:rsidP="006D40F0">
      <w:r w:rsidRPr="006D40F0">
        <w:t>I Prop. 1 S (2023–2024) for Helse- og omsorgsdepartementet ble det lagt til grunn et anslag for samlede pensjonskostnader for helseforetakene på 15 500 mill. kroner inkl. arbeidsgiveravgift og pensjonspremier på 23 900 mill. kroner inkl. arbeidsgiveravgift. Anslaget for pensjonspremie for 2024 ble utarbeidet i juni 2023 på bakgrunn av en lønnsvekstforutsetning på 4,9 pst. Oppdaterte beregninger fra pensjonsleverandørene for 2024 gir et anslag for pensjonskostnader på 16 400 mill. kroner og pensjonspremier på 29 700 mill. kroner.</w:t>
      </w:r>
    </w:p>
    <w:p w14:paraId="62B0F955" w14:textId="77777777" w:rsidR="00575AC3" w:rsidRPr="006D40F0" w:rsidRDefault="00575AC3" w:rsidP="006D40F0">
      <w:r w:rsidRPr="006D40F0">
        <w:t>Den økte pensjonskostnaden sammenlignet med Saldert budsjett 2024 forklares hovedsakelig ved endringer i de økonomiske forutsetningene som ligger til grunn for beregning av pensjonskostnaden. Basisbevilgningen til de regionale helseforetakene over kap. 732 postene 72-75 foreslås samlet økt med 900 mill. kroner, tilsvarende det økte anslaget for helseforetakenes pensjonskostnader.</w:t>
      </w:r>
    </w:p>
    <w:p w14:paraId="3A5A1742" w14:textId="77777777" w:rsidR="00575AC3" w:rsidRPr="006D40F0" w:rsidRDefault="00575AC3" w:rsidP="006D40F0">
      <w:r w:rsidRPr="006D40F0">
        <w:t>Nytt anslag for pensjonspremie for 2024 innebærer en økning på 5 800 mill. kroner sammenlignet med Saldert budsjett 2024, og forklares dels av økt lønnsvekstanslag fra 4,9 pst. til 5,2 pst.</w:t>
      </w:r>
    </w:p>
    <w:p w14:paraId="2D3B0F9A" w14:textId="77777777" w:rsidR="00575AC3" w:rsidRPr="006D40F0" w:rsidRDefault="00575AC3" w:rsidP="006D40F0">
      <w:r w:rsidRPr="006D40F0">
        <w:t xml:space="preserve">I sum gir den økte basisrammen og den økte anslåtte pensjonspremien et økt likviditetsbehov på 4 900 mill. kroner. For å dekke de regionale helseforetakenes økte likviditetsbehov foreslås det å gi helseforetakene anledning til å bruke 5 mrd. kroner av premiefond til betaling av pensjonspremier i 2024 i tillegg til allerede vedtatt bruk av 2 mrd. kroner fra premiefond i Saldert budsjett 2024. Det svares ikke arbeidsgiveravgift av premie dekket gjennom premiefond, og den økte premiefondsbruken reduserer dermed likviditetsbehovet med 705 mill. kroner. I sum gir den foreslåtte håndteringen og de oppdaterte pensjonsanslagene et redusert likviditetsbehov på 805 mill. kroner. Driftskredittbevilgningen foreslås derfor satt ned fra 6 118 mill. kroner til </w:t>
      </w:r>
      <w:r w:rsidRPr="006D40F0">
        <w:lastRenderedPageBreak/>
        <w:t>5 313 mill. kroner i 2024. Dette gir en samlet driftskredittramme for de regionale helseforetakene på 28 743 mill. kroner ved utgangen av 2024.</w:t>
      </w:r>
    </w:p>
    <w:p w14:paraId="4DD24B81" w14:textId="77777777" w:rsidR="00575AC3" w:rsidRPr="006D40F0" w:rsidRDefault="00575AC3" w:rsidP="006D40F0">
      <w:r w:rsidRPr="006D40F0">
        <w:t>Endelig pensjonspremie for 2024 vil først være kjent etter at lønnsoppgjørene i sektoren er ferdigstilt. Regjeringen har i statsråd 12. april sanksjonert endringslover til lov om avtalefestete pensjoner for medlemmer av Statens pensjonskasse og lov om Statens pensjonskasse. Endringene omhandler ny avtalefestet pensjon (AFP) i offentlig sektor for ansatte som er født i 1963 eller senere. Lovforslaget innebærer at AFP for ansatte i offentlig sektor endres fra å være en tidligpensjonsordning til å en ordning med livsvarig påslag til folketrygden. Endringen forventes innarbeidet i tariffavtaler for alle ansatte i helseforetak i løpet av juni. Endringen vil innebære en regnskapsmessig planendring med virkning fra avtaletidspunkt for tariffesting. Planendringen vil medføre økt forpliktelse som vil gi økte regnskapsmessige pensjonskostnader i 2024. Regjeringen vil komme tilbake til håndtering av eventuelle endringer i nysalderingen for 2024.</w:t>
      </w:r>
    </w:p>
    <w:p w14:paraId="17A7756C" w14:textId="77777777" w:rsidR="00575AC3" w:rsidRPr="006D40F0" w:rsidRDefault="00575AC3" w:rsidP="006D40F0">
      <w:pPr>
        <w:pStyle w:val="b-budkaptit"/>
      </w:pPr>
      <w:r w:rsidRPr="006D40F0">
        <w:t>Kap. 740 Helsedirektoratet</w:t>
      </w:r>
    </w:p>
    <w:p w14:paraId="0E5076BF" w14:textId="77777777" w:rsidR="00575AC3" w:rsidRPr="006D40F0" w:rsidRDefault="00575AC3" w:rsidP="006D40F0">
      <w:pPr>
        <w:pStyle w:val="b-post"/>
      </w:pPr>
      <w:r w:rsidRPr="006D40F0">
        <w:t>Post 01 Driftsutgifter</w:t>
      </w:r>
    </w:p>
    <w:p w14:paraId="3FE82DF1" w14:textId="77777777" w:rsidR="00575AC3" w:rsidRPr="006D40F0" w:rsidRDefault="00575AC3" w:rsidP="006D40F0">
      <w:r w:rsidRPr="006D40F0">
        <w:t>Bevilgningen foreslås økt med 0,5 mill. kroner til etablering av en oppgjørsordning for konfidensielle priser på legemidler finansiert av folketrygden, jf. omtale under kap. 746, post 01 og kap. 2751, post 70.</w:t>
      </w:r>
    </w:p>
    <w:p w14:paraId="49374500" w14:textId="77777777" w:rsidR="00575AC3" w:rsidRPr="006D40F0" w:rsidRDefault="00575AC3" w:rsidP="006D40F0">
      <w:r w:rsidRPr="006D40F0">
        <w:t>Oppgjørsordningen gjør det mulig å beregne apotekavanse og merverdiavgift basert på alle refusjonsavtaler med konfidensielle priser, både fremforhandlede og som følge av anbud. I Revidert nasjonalbudsjett 2023 (Prop. 118 S (2022–2023)) ble det bevilget 2 mill. kroner til Statens legemiddelverk og 0,5 mill. til Helsedirektoratet til tiltaket. Det ble også anslått utgifter for 2024, men ved en inkurie ble disse ikke foreslått i saldert budsjett for 2024.</w:t>
      </w:r>
    </w:p>
    <w:p w14:paraId="685EF1A8" w14:textId="77777777" w:rsidR="00575AC3" w:rsidRPr="006D40F0" w:rsidRDefault="00575AC3" w:rsidP="006D40F0">
      <w:r w:rsidRPr="006D40F0">
        <w:t>Som oppfølging av endringer i den sentrale helseforvaltningen, jf. Prop. 1 S (2023–2024) for Helse- og omsorgsdepartementet, foreslås det å redusere bevilgningen med 17,6 mill. kroner, jf. omtale under kap. 745, post 01 og kap. 746, post 01.</w:t>
      </w:r>
    </w:p>
    <w:p w14:paraId="1D69A003" w14:textId="77777777" w:rsidR="00575AC3" w:rsidRPr="006D40F0" w:rsidRDefault="00575AC3" w:rsidP="006D40F0">
      <w:r w:rsidRPr="006D40F0">
        <w:t>Bevilgningen foreslås redusert med 1,7 mill. kroner til Helse- og omsorgsdepartementets arbeid med analyse og styring av underliggende virksomheter, jf. omtale under kap. 700, post 01.</w:t>
      </w:r>
    </w:p>
    <w:p w14:paraId="782C4EBB" w14:textId="77777777" w:rsidR="00575AC3" w:rsidRPr="006D40F0" w:rsidRDefault="00575AC3" w:rsidP="006D40F0">
      <w:r w:rsidRPr="006D40F0">
        <w:t>Samlet foreslås bevilgningen redusert med 18,8 mill. kroner.</w:t>
      </w:r>
    </w:p>
    <w:p w14:paraId="56D54C40" w14:textId="77777777" w:rsidR="00575AC3" w:rsidRPr="006D40F0" w:rsidRDefault="00575AC3" w:rsidP="006D40F0">
      <w:pPr>
        <w:pStyle w:val="b-post"/>
      </w:pPr>
      <w:r w:rsidRPr="006D40F0">
        <w:t>Post 21 Spesielle driftsutgifter, kan overføres</w:t>
      </w:r>
    </w:p>
    <w:p w14:paraId="4FDB17E1" w14:textId="77777777" w:rsidR="00575AC3" w:rsidRPr="006D40F0" w:rsidRDefault="00575AC3" w:rsidP="006D40F0">
      <w:r w:rsidRPr="006D40F0">
        <w:t>Bevilgningen foreslås økt med 120 mill. kroner, mot tilsvarende økning i inntekter over kap. 3740, post 02. Bevilgningen dekkes av estimerte tilskudd fra EU og skal gå til en rekke EU-prosjekter, herunder:</w:t>
      </w:r>
    </w:p>
    <w:p w14:paraId="232FEA68" w14:textId="77777777" w:rsidR="00575AC3" w:rsidRPr="00D74A52" w:rsidRDefault="00575AC3" w:rsidP="006D40F0">
      <w:pPr>
        <w:pStyle w:val="Liste"/>
        <w:rPr>
          <w:lang w:val="en-GB"/>
        </w:rPr>
      </w:pPr>
      <w:r w:rsidRPr="00D74A52">
        <w:rPr>
          <w:lang w:val="en-GB"/>
        </w:rPr>
        <w:t>EU EHDS FAIR Secure Provision and Use of Health data in Norway (</w:t>
      </w:r>
      <w:proofErr w:type="spellStart"/>
      <w:r w:rsidRPr="00D74A52">
        <w:rPr>
          <w:lang w:val="en-GB"/>
        </w:rPr>
        <w:t>SPUHiN</w:t>
      </w:r>
      <w:proofErr w:type="spellEnd"/>
      <w:r w:rsidRPr="00D74A52">
        <w:rPr>
          <w:lang w:val="en-GB"/>
        </w:rPr>
        <w:t>)</w:t>
      </w:r>
    </w:p>
    <w:p w14:paraId="00405F31" w14:textId="77777777" w:rsidR="00575AC3" w:rsidRPr="006D40F0" w:rsidRDefault="00575AC3" w:rsidP="006D40F0">
      <w:pPr>
        <w:pStyle w:val="Liste"/>
      </w:pPr>
      <w:r w:rsidRPr="006D40F0">
        <w:t>Pilotprosjekt EU Health Data 3@ EU/EHDS Pilot, knyttet til arbeid om felles europeisk helsedataområde</w:t>
      </w:r>
    </w:p>
    <w:p w14:paraId="4090923F" w14:textId="77777777" w:rsidR="00575AC3" w:rsidRPr="006D40F0" w:rsidRDefault="00575AC3" w:rsidP="006D40F0">
      <w:pPr>
        <w:pStyle w:val="Liste"/>
      </w:pPr>
      <w:r w:rsidRPr="006D40F0">
        <w:t xml:space="preserve">NOJAHIP, et ambulansefly for transport av pasienter med høyrisikosmitte i Europa, som en del av EU-prosjektet </w:t>
      </w:r>
      <w:proofErr w:type="spellStart"/>
      <w:r w:rsidRPr="006D40F0">
        <w:t>RescEU</w:t>
      </w:r>
      <w:proofErr w:type="spellEnd"/>
    </w:p>
    <w:p w14:paraId="1EEBA837" w14:textId="544842FC" w:rsidR="00575AC3" w:rsidRPr="006D40F0" w:rsidRDefault="00575AC3" w:rsidP="006D40F0">
      <w:pPr>
        <w:pStyle w:val="Liste"/>
      </w:pPr>
      <w:r w:rsidRPr="006D40F0">
        <w:t>JA </w:t>
      </w:r>
      <w:proofErr w:type="spellStart"/>
      <w:r w:rsidRPr="006D40F0">
        <w:t>prevent</w:t>
      </w:r>
      <w:proofErr w:type="spellEnd"/>
      <w:r w:rsidRPr="006D40F0">
        <w:t> NCD</w:t>
      </w:r>
    </w:p>
    <w:p w14:paraId="51A0FCE7" w14:textId="77777777" w:rsidR="00575AC3" w:rsidRPr="006D40F0" w:rsidRDefault="00575AC3" w:rsidP="00671A10">
      <w:pPr>
        <w:pStyle w:val="b-budkaptit"/>
      </w:pPr>
      <w:r w:rsidRPr="006D40F0">
        <w:lastRenderedPageBreak/>
        <w:t>Kap. 3740 Helsedirektoratet</w:t>
      </w:r>
    </w:p>
    <w:p w14:paraId="2813093B" w14:textId="77777777" w:rsidR="00575AC3" w:rsidRPr="006D40F0" w:rsidRDefault="00575AC3" w:rsidP="006D40F0">
      <w:pPr>
        <w:pStyle w:val="b-post"/>
      </w:pPr>
      <w:r w:rsidRPr="006D40F0">
        <w:t>Post 02 Diverse inntekter</w:t>
      </w:r>
    </w:p>
    <w:p w14:paraId="7D55D1B4" w14:textId="77777777" w:rsidR="00575AC3" w:rsidRPr="006D40F0" w:rsidRDefault="00575AC3" w:rsidP="006D40F0">
      <w:r w:rsidRPr="006D40F0">
        <w:t>Bevilgningen foreslås økt med 120 mill. kroner til estimerte tilskudd til en rekke EU- prosjekter, jf. omtale under kap. 740, post 21.</w:t>
      </w:r>
    </w:p>
    <w:p w14:paraId="605AEC36" w14:textId="77777777" w:rsidR="00575AC3" w:rsidRPr="006D40F0" w:rsidRDefault="00575AC3" w:rsidP="006D40F0">
      <w:r w:rsidRPr="006D40F0">
        <w:t>Bevilgningen foreslås redusert med 8,4 mill. kroner mot tilsvarende økning under kap. 3745, post 02, jf. omtale der.</w:t>
      </w:r>
    </w:p>
    <w:p w14:paraId="1B24BD58" w14:textId="77777777" w:rsidR="00575AC3" w:rsidRPr="006D40F0" w:rsidRDefault="00575AC3" w:rsidP="006D40F0">
      <w:r w:rsidRPr="006D40F0">
        <w:t>Samlet foreslås bevilgningen økt med 111,6 mill. kroner.</w:t>
      </w:r>
    </w:p>
    <w:p w14:paraId="6B8097C2" w14:textId="77777777" w:rsidR="00575AC3" w:rsidRPr="006D40F0" w:rsidRDefault="00575AC3" w:rsidP="006D40F0">
      <w:pPr>
        <w:pStyle w:val="b-post"/>
      </w:pPr>
      <w:r w:rsidRPr="006D40F0">
        <w:t>Post 04 Gebyrinntekter</w:t>
      </w:r>
    </w:p>
    <w:p w14:paraId="3F4ACF8F" w14:textId="77777777" w:rsidR="00575AC3" w:rsidRPr="006D40F0" w:rsidRDefault="00575AC3" w:rsidP="006D40F0">
      <w:r w:rsidRPr="006D40F0">
        <w:t>Bevilgningen foreslås redusert med 13,5 mill. kroner. Reduksjonen korrigerer for feilpostering av gebyrinntekter fra behandling av søknader om autorisasjon fra helsepersonell med utdanning fra utlandet. Se også omtale under kap. 783, post 79.</w:t>
      </w:r>
    </w:p>
    <w:p w14:paraId="340971F3" w14:textId="77777777" w:rsidR="00575AC3" w:rsidRPr="006D40F0" w:rsidRDefault="00575AC3" w:rsidP="006D40F0">
      <w:pPr>
        <w:pStyle w:val="b-post"/>
      </w:pPr>
      <w:r w:rsidRPr="006D40F0">
        <w:t>Post 05 Helsetjenester til utenlandsboende mv.</w:t>
      </w:r>
    </w:p>
    <w:p w14:paraId="69653850" w14:textId="77777777" w:rsidR="00575AC3" w:rsidRPr="006D40F0" w:rsidRDefault="00575AC3" w:rsidP="006D40F0">
      <w:r w:rsidRPr="006D40F0">
        <w:t>Bevilgningen foreslås redusert med 11 mill. kroner som følge av lavere anslag enn lagt til grunn i saldert budsjett.</w:t>
      </w:r>
    </w:p>
    <w:p w14:paraId="6B2E4860" w14:textId="77777777" w:rsidR="00575AC3" w:rsidRPr="006D40F0" w:rsidRDefault="00575AC3" w:rsidP="006D40F0">
      <w:pPr>
        <w:pStyle w:val="b-budkaptit"/>
      </w:pPr>
      <w:r w:rsidRPr="006D40F0">
        <w:t>Kap. 741 Norsk pasientskadeerstatning</w:t>
      </w:r>
    </w:p>
    <w:p w14:paraId="699B799E" w14:textId="77777777" w:rsidR="00575AC3" w:rsidRPr="006D40F0" w:rsidRDefault="00575AC3" w:rsidP="006D40F0">
      <w:pPr>
        <w:pStyle w:val="b-post"/>
      </w:pPr>
      <w:r w:rsidRPr="006D40F0">
        <w:t>Post 01 Driftsutgifter</w:t>
      </w:r>
    </w:p>
    <w:p w14:paraId="0C958E39" w14:textId="77777777" w:rsidR="00575AC3" w:rsidRPr="006D40F0" w:rsidRDefault="00575AC3" w:rsidP="006D40F0">
      <w:r w:rsidRPr="006D40F0">
        <w:t>Bevilgningen foreslås redusert med 0,3 mill. kroner til Helse- og omsorgsdepartementets arbeid med analyse og styring av underliggende virksomheter, jf. omtale under kap. 700, post 01.</w:t>
      </w:r>
    </w:p>
    <w:p w14:paraId="607DE2CB" w14:textId="77777777" w:rsidR="00575AC3" w:rsidRPr="006D40F0" w:rsidRDefault="00575AC3" w:rsidP="006D40F0">
      <w:pPr>
        <w:pStyle w:val="b-budkaptit"/>
      </w:pPr>
      <w:r w:rsidRPr="006D40F0">
        <w:t>Kap. 742 Nasjonalt klageorgan for helsetjenesten</w:t>
      </w:r>
    </w:p>
    <w:p w14:paraId="58726787" w14:textId="77777777" w:rsidR="00575AC3" w:rsidRPr="006D40F0" w:rsidRDefault="00575AC3" w:rsidP="006D40F0">
      <w:pPr>
        <w:pStyle w:val="b-post"/>
      </w:pPr>
      <w:r w:rsidRPr="006D40F0">
        <w:t>Post 01 Driftsutgifter</w:t>
      </w:r>
    </w:p>
    <w:p w14:paraId="37FA8175" w14:textId="77777777" w:rsidR="00575AC3" w:rsidRPr="006D40F0" w:rsidRDefault="00575AC3" w:rsidP="006D40F0">
      <w:r w:rsidRPr="006D40F0">
        <w:t>Bevilgningen foreslås redusert med 0,3 mill. kroner til Helse- og omsorgsdepartementets arbeid med analyse og styring av underliggende virksomheter, jf. omtale under kap. 700, post 01.</w:t>
      </w:r>
    </w:p>
    <w:p w14:paraId="2045300F" w14:textId="77777777" w:rsidR="00575AC3" w:rsidRPr="006D40F0" w:rsidRDefault="00575AC3" w:rsidP="006D40F0">
      <w:pPr>
        <w:pStyle w:val="b-budkaptit"/>
      </w:pPr>
      <w:r w:rsidRPr="006D40F0">
        <w:t>Kap. 745 Folkehelseinstituttet</w:t>
      </w:r>
    </w:p>
    <w:p w14:paraId="19517F07" w14:textId="77777777" w:rsidR="00575AC3" w:rsidRPr="006D40F0" w:rsidRDefault="00575AC3" w:rsidP="006D40F0">
      <w:pPr>
        <w:pStyle w:val="b-post"/>
      </w:pPr>
      <w:r w:rsidRPr="006D40F0">
        <w:t>Post 01 Driftsutgifter</w:t>
      </w:r>
    </w:p>
    <w:p w14:paraId="6682DF45" w14:textId="77777777" w:rsidR="00575AC3" w:rsidRPr="006D40F0" w:rsidRDefault="00575AC3" w:rsidP="006D40F0">
      <w:r w:rsidRPr="006D40F0">
        <w:t>Bevilgningen foreslås redusert med 1,7 mill. kroner til Helse- og omsorgsdepartementets arbeid med analyse og styring av underliggende virksomheter, jf. omtale under kap. 700, post 01.</w:t>
      </w:r>
    </w:p>
    <w:p w14:paraId="45BC4EF4" w14:textId="77777777" w:rsidR="00575AC3" w:rsidRPr="006D40F0" w:rsidRDefault="00575AC3" w:rsidP="006D40F0">
      <w:r w:rsidRPr="006D40F0">
        <w:t>Som oppfølging av endringer i den sentrale helseforvaltningen, jf. Prop. 1 S (2023–2024) for Helse- og omsorgsdepartementet, foreslås det å øke bevilgningen med:</w:t>
      </w:r>
    </w:p>
    <w:p w14:paraId="642DCE44" w14:textId="77777777" w:rsidR="00575AC3" w:rsidRPr="006D40F0" w:rsidRDefault="00575AC3" w:rsidP="006D40F0">
      <w:pPr>
        <w:pStyle w:val="Liste"/>
      </w:pPr>
      <w:r w:rsidRPr="006D40F0">
        <w:t xml:space="preserve">10 mill. kroner mot tilsvarende reduksjon på kap. 732 post 70 som følge av at ansvaret for </w:t>
      </w:r>
      <w:proofErr w:type="spellStart"/>
      <w:r w:rsidRPr="006D40F0">
        <w:t>Hjemmetest</w:t>
      </w:r>
      <w:proofErr w:type="spellEnd"/>
      <w:r w:rsidRPr="006D40F0">
        <w:t xml:space="preserve"> livmorhalsprogrammet er lagt til Folkehelseinstituttet.</w:t>
      </w:r>
    </w:p>
    <w:p w14:paraId="4C4EE88F" w14:textId="77777777" w:rsidR="00575AC3" w:rsidRPr="006D40F0" w:rsidRDefault="00575AC3" w:rsidP="006D40F0">
      <w:pPr>
        <w:pStyle w:val="Liste"/>
      </w:pPr>
      <w:r w:rsidRPr="006D40F0">
        <w:lastRenderedPageBreak/>
        <w:t>6,9 mill. kroner mot tilsvarende reduksjon på kap. 740, post 01 som følge av endring i antall årsverk knyttet til global helse</w:t>
      </w:r>
    </w:p>
    <w:p w14:paraId="0A3C9855" w14:textId="77777777" w:rsidR="00575AC3" w:rsidRPr="006D40F0" w:rsidRDefault="00575AC3" w:rsidP="006D40F0">
      <w:pPr>
        <w:pStyle w:val="Liste"/>
      </w:pPr>
      <w:r w:rsidRPr="006D40F0">
        <w:t xml:space="preserve">4,8 mill. kroner mot tilsvarende reduksjon på kap. 740, post 01 til å dekke kostnader knyttet til utlevering av data fra Norsk pasientregister (NPR), Egg- og sæddonorregistre, lisenser og drift av </w:t>
      </w:r>
      <w:proofErr w:type="spellStart"/>
      <w:r w:rsidRPr="006D40F0">
        <w:t>HealthTerm</w:t>
      </w:r>
      <w:proofErr w:type="spellEnd"/>
      <w:r w:rsidRPr="006D40F0">
        <w:t>.</w:t>
      </w:r>
    </w:p>
    <w:p w14:paraId="51ACBB50" w14:textId="77777777" w:rsidR="00575AC3" w:rsidRPr="006D40F0" w:rsidRDefault="00575AC3" w:rsidP="006D40F0">
      <w:r w:rsidRPr="006D40F0">
        <w:t>Samtidig foreslår det, som oppfølging av endringer i den sentrale helseforvaltningen, å redusere bevilgningen med:</w:t>
      </w:r>
    </w:p>
    <w:p w14:paraId="6A9ABC02" w14:textId="77777777" w:rsidR="00575AC3" w:rsidRPr="006D40F0" w:rsidRDefault="00575AC3" w:rsidP="006D40F0">
      <w:pPr>
        <w:pStyle w:val="Liste"/>
      </w:pPr>
      <w:r w:rsidRPr="006D40F0">
        <w:t>2,8 mill. kroner mot tilsvarende økning på kap. 746, post 01, til anskaffelser og metodevurdering av vaksiner.</w:t>
      </w:r>
    </w:p>
    <w:p w14:paraId="4D2B91A9" w14:textId="77777777" w:rsidR="00575AC3" w:rsidRPr="006D40F0" w:rsidRDefault="00575AC3" w:rsidP="006D40F0">
      <w:pPr>
        <w:pStyle w:val="Liste"/>
      </w:pPr>
      <w:r w:rsidRPr="006D40F0">
        <w:t xml:space="preserve">1,6 mill. kroner mot tilsvarende økning på kap. 746, post 01, til ulike databaser og lisenser som følge av flytting av metodevurderingsområdet (medisinsk utstyr) fra Folkehelseinstituttet til Direktoratet for medisinske produkter samt kontingent for norsk </w:t>
      </w:r>
      <w:proofErr w:type="spellStart"/>
      <w:r w:rsidRPr="006D40F0">
        <w:t>årsmedlemskap</w:t>
      </w:r>
      <w:proofErr w:type="spellEnd"/>
      <w:r w:rsidRPr="006D40F0">
        <w:t xml:space="preserve"> i International </w:t>
      </w:r>
      <w:proofErr w:type="spellStart"/>
      <w:r w:rsidRPr="006D40F0">
        <w:t>horizon</w:t>
      </w:r>
      <w:proofErr w:type="spellEnd"/>
      <w:r w:rsidRPr="006D40F0">
        <w:t xml:space="preserve"> </w:t>
      </w:r>
      <w:proofErr w:type="spellStart"/>
      <w:r w:rsidRPr="006D40F0">
        <w:t>scanning</w:t>
      </w:r>
      <w:proofErr w:type="spellEnd"/>
      <w:r w:rsidRPr="006D40F0">
        <w:t xml:space="preserve"> </w:t>
      </w:r>
      <w:proofErr w:type="spellStart"/>
      <w:r w:rsidRPr="006D40F0">
        <w:t>initiative</w:t>
      </w:r>
      <w:proofErr w:type="spellEnd"/>
      <w:r w:rsidRPr="006D40F0">
        <w:t xml:space="preserve"> (IHSI).</w:t>
      </w:r>
    </w:p>
    <w:p w14:paraId="1B7FE0AE" w14:textId="77777777" w:rsidR="00575AC3" w:rsidRPr="006D40F0" w:rsidRDefault="00575AC3" w:rsidP="006D40F0">
      <w:r w:rsidRPr="006D40F0">
        <w:t>Samlet foreslås bevilgningen økt med 15,6 mill. kroner.</w:t>
      </w:r>
    </w:p>
    <w:p w14:paraId="13DB365A" w14:textId="77777777" w:rsidR="00575AC3" w:rsidRPr="006D40F0" w:rsidRDefault="00575AC3" w:rsidP="006D40F0">
      <w:pPr>
        <w:pStyle w:val="b-post"/>
      </w:pPr>
      <w:r w:rsidRPr="006D40F0">
        <w:t>Post 21 Spesielle driftsutgifter, kan overføres</w:t>
      </w:r>
    </w:p>
    <w:p w14:paraId="5BC0C494" w14:textId="77777777" w:rsidR="00575AC3" w:rsidRPr="006D40F0" w:rsidRDefault="00575AC3" w:rsidP="006D40F0">
      <w:r w:rsidRPr="006D40F0">
        <w:t>Bevilgningen foreslås økt med 92,8 mill. kroner mot tilsvarende økning under kap. 3745, post 02 til ekstern finansiert virksomhet i forbindelse med innlemmelse av Kreftregisteret og Norsk pasientregister (NPR) i Folkehelseinstituttet, jf. Prop. 1 S (2023–2024) for Helse- og omsorgsdepartementet.</w:t>
      </w:r>
    </w:p>
    <w:p w14:paraId="0D425037" w14:textId="77777777" w:rsidR="00575AC3" w:rsidRPr="006D40F0" w:rsidRDefault="00575AC3" w:rsidP="006D40F0">
      <w:pPr>
        <w:pStyle w:val="b-budkaptit"/>
      </w:pPr>
      <w:r w:rsidRPr="006D40F0">
        <w:t>Kap. 3745 Folkehelseinstituttet</w:t>
      </w:r>
    </w:p>
    <w:p w14:paraId="440BF76A" w14:textId="77777777" w:rsidR="00575AC3" w:rsidRPr="006D40F0" w:rsidRDefault="00575AC3" w:rsidP="006D40F0">
      <w:pPr>
        <w:pStyle w:val="b-post"/>
      </w:pPr>
      <w:r w:rsidRPr="006D40F0">
        <w:t>Post 02 Diverse inntekter</w:t>
      </w:r>
    </w:p>
    <w:p w14:paraId="1A1F8882" w14:textId="77777777" w:rsidR="00575AC3" w:rsidRPr="006D40F0" w:rsidRDefault="00575AC3" w:rsidP="006D40F0">
      <w:r w:rsidRPr="006D40F0">
        <w:t>Bevilgningen foreslås økt med 92,8 mill. kroner mot tilsvarende økning under kap. 745, post 21, jf. nærmere omtale der.</w:t>
      </w:r>
    </w:p>
    <w:p w14:paraId="46C4A563" w14:textId="77777777" w:rsidR="00575AC3" w:rsidRPr="006D40F0" w:rsidRDefault="00575AC3" w:rsidP="006D40F0">
      <w:r w:rsidRPr="006D40F0">
        <w:t>Bevilgningen foreslås økt med 8,4 mill. kroner mot tilsvarende reduksjon under kap. 3740, post 02 som følge av Folkehelseinstituttet har overtatt ansvaret for utlevering av data fra helseregistre, jf. Prop. 1 S (2023–2024) for Helse- og omsorgsdepartementet.</w:t>
      </w:r>
    </w:p>
    <w:p w14:paraId="0109AFB8" w14:textId="77777777" w:rsidR="00575AC3" w:rsidRPr="006D40F0" w:rsidRDefault="00575AC3" w:rsidP="006D40F0">
      <w:r w:rsidRPr="006D40F0">
        <w:t>Samlet foreslås bevilgningen økt med 101,2 mill. kroner.</w:t>
      </w:r>
    </w:p>
    <w:p w14:paraId="6BA6D6C5" w14:textId="77777777" w:rsidR="00575AC3" w:rsidRPr="006D40F0" w:rsidRDefault="00575AC3" w:rsidP="006D40F0">
      <w:pPr>
        <w:pStyle w:val="b-budkaptit"/>
      </w:pPr>
      <w:r w:rsidRPr="006D40F0">
        <w:t>Kap. 746 Direktoratet for medisinske produkter</w:t>
      </w:r>
    </w:p>
    <w:p w14:paraId="7A8A34DB" w14:textId="77777777" w:rsidR="00575AC3" w:rsidRPr="006D40F0" w:rsidRDefault="00575AC3" w:rsidP="006D40F0">
      <w:pPr>
        <w:pStyle w:val="b-post"/>
      </w:pPr>
      <w:r w:rsidRPr="006D40F0">
        <w:t>Post 01 Driftsutgifter</w:t>
      </w:r>
    </w:p>
    <w:p w14:paraId="231AB384" w14:textId="77777777" w:rsidR="00575AC3" w:rsidRPr="006D40F0" w:rsidRDefault="00575AC3" w:rsidP="006D40F0">
      <w:r w:rsidRPr="006D40F0">
        <w:t>Bevilgningen foreslås økt med 3,5 mill. kroner til oppgjørsordningen for konfidensielle priser på legemidler finansiert av folketrygden. Det vises til nærmere omtale av forslaget under kap. 740, post 01.</w:t>
      </w:r>
    </w:p>
    <w:p w14:paraId="52658F77" w14:textId="77777777" w:rsidR="00575AC3" w:rsidRPr="006D40F0" w:rsidRDefault="00575AC3" w:rsidP="006D40F0">
      <w:r w:rsidRPr="006D40F0">
        <w:t>Bevilgningen foreslås økt med 10,4 mill. kroner som en oppfølging av endringer i den sentrale helseforvaltningen, jf. Prop. 1 S (2023–2024) for Helse- og omsorgsdepartementet. Det foreslås følgende flyttinger:</w:t>
      </w:r>
    </w:p>
    <w:p w14:paraId="1D3DB122" w14:textId="77777777" w:rsidR="00575AC3" w:rsidRPr="006D40F0" w:rsidRDefault="00575AC3" w:rsidP="006D40F0">
      <w:pPr>
        <w:pStyle w:val="Liste"/>
      </w:pPr>
      <w:r w:rsidRPr="006D40F0">
        <w:t>3,6 mill. kroner fra kap. 740, post 01 knyttet til beredskap for legemidler og medisinsk utstyr.</w:t>
      </w:r>
    </w:p>
    <w:p w14:paraId="62C12437" w14:textId="77777777" w:rsidR="00575AC3" w:rsidRPr="006D40F0" w:rsidRDefault="00575AC3" w:rsidP="006D40F0">
      <w:pPr>
        <w:pStyle w:val="Liste"/>
      </w:pPr>
      <w:r w:rsidRPr="006D40F0">
        <w:lastRenderedPageBreak/>
        <w:t>2,4 mill. kroner fra kap. 740, post 01 knyttet til oppgaver på området blod, celler og vev</w:t>
      </w:r>
    </w:p>
    <w:p w14:paraId="26973B08" w14:textId="77777777" w:rsidR="00575AC3" w:rsidRPr="006D40F0" w:rsidRDefault="00575AC3" w:rsidP="006D40F0">
      <w:pPr>
        <w:pStyle w:val="Liste"/>
      </w:pPr>
      <w:r w:rsidRPr="006D40F0">
        <w:t>4,4 mill. kroner fra kap. 745, post 01, jf. omtale der.</w:t>
      </w:r>
    </w:p>
    <w:p w14:paraId="12C06EB6" w14:textId="77777777" w:rsidR="00575AC3" w:rsidRPr="006D40F0" w:rsidRDefault="00575AC3" w:rsidP="006D40F0">
      <w:r w:rsidRPr="006D40F0">
        <w:t>Bevilgningen foreslås redusert med 0,5 mill. kroner til Helse- og omsorgsdepartementets arbeid med analyse og styring av underliggende virksomheter, jf. omtale under kap. 700, post 01.</w:t>
      </w:r>
    </w:p>
    <w:p w14:paraId="7B63F68F" w14:textId="77777777" w:rsidR="00575AC3" w:rsidRPr="006D40F0" w:rsidRDefault="00575AC3" w:rsidP="006D40F0">
      <w:r w:rsidRPr="006D40F0">
        <w:t>Samlet foreslås bevilgningen økt med 13,3 mill. kroner.</w:t>
      </w:r>
    </w:p>
    <w:p w14:paraId="44F6BFDD" w14:textId="77777777" w:rsidR="00575AC3" w:rsidRPr="006D40F0" w:rsidRDefault="00575AC3" w:rsidP="006D40F0">
      <w:pPr>
        <w:pStyle w:val="b-budkaptit"/>
      </w:pPr>
      <w:r w:rsidRPr="006D40F0">
        <w:t>Kap. 747 Direktoratet for strålevern og atomsikkerhet</w:t>
      </w:r>
    </w:p>
    <w:p w14:paraId="492B5B20" w14:textId="77777777" w:rsidR="00575AC3" w:rsidRPr="006D40F0" w:rsidRDefault="00575AC3" w:rsidP="006D40F0">
      <w:pPr>
        <w:pStyle w:val="b-post"/>
      </w:pPr>
      <w:r w:rsidRPr="006D40F0">
        <w:t>Post 01 Driftsutgifter</w:t>
      </w:r>
    </w:p>
    <w:p w14:paraId="1F53AC4D" w14:textId="77777777" w:rsidR="00575AC3" w:rsidRPr="006D40F0" w:rsidRDefault="00575AC3" w:rsidP="006D40F0">
      <w:r w:rsidRPr="006D40F0">
        <w:t>Bevilgningen foreslås økt med 3,2 mill. kroner til økt tilsynsavgift og konsesjonsbehandlingsgebyr, jf. nærmere omtale under kap. 3747, post 04.</w:t>
      </w:r>
    </w:p>
    <w:p w14:paraId="6805B8FF" w14:textId="77777777" w:rsidR="00575AC3" w:rsidRPr="006D40F0" w:rsidRDefault="00575AC3" w:rsidP="006D40F0">
      <w:r w:rsidRPr="006D40F0">
        <w:t>Bevilgningen foreslås videre redusert med 0,3 mill. kroner til Helse- og omsorgsdepartementets arbeid med analyse og styring av underliggende virksomheter, jf. omtale under kap. 700, post 01.</w:t>
      </w:r>
    </w:p>
    <w:p w14:paraId="3E97033A" w14:textId="77777777" w:rsidR="00575AC3" w:rsidRPr="006D40F0" w:rsidRDefault="00575AC3" w:rsidP="006D40F0">
      <w:r w:rsidRPr="006D40F0">
        <w:t>Samlet foreslås bevilgningen på posten økt med 3 mill. kroner.</w:t>
      </w:r>
    </w:p>
    <w:p w14:paraId="426393D3" w14:textId="77777777" w:rsidR="00575AC3" w:rsidRPr="006D40F0" w:rsidRDefault="00575AC3" w:rsidP="006D40F0">
      <w:pPr>
        <w:pStyle w:val="b-budkaptit"/>
      </w:pPr>
      <w:r w:rsidRPr="006D40F0">
        <w:t>Kap. 3747 Direktoratet for strålevern og atomsikkerhet</w:t>
      </w:r>
    </w:p>
    <w:p w14:paraId="012AD1A2" w14:textId="77777777" w:rsidR="00575AC3" w:rsidRPr="006D40F0" w:rsidRDefault="00575AC3" w:rsidP="006D40F0">
      <w:pPr>
        <w:pStyle w:val="b-post"/>
      </w:pPr>
      <w:r w:rsidRPr="006D40F0">
        <w:t>Post 04 Gebyrinntekter</w:t>
      </w:r>
    </w:p>
    <w:p w14:paraId="62B8EE5E" w14:textId="77777777" w:rsidR="00575AC3" w:rsidRPr="006D40F0" w:rsidRDefault="00575AC3" w:rsidP="006D40F0">
      <w:r w:rsidRPr="006D40F0">
        <w:t>Bevilgningen foreslås økt med 3,2 mill. kroner mot tilsvarende økning under kap. 747, post 01, som følge av økt tilsynsavgift og konsesjonsbehandlingsgebyr for Forsvaret.</w:t>
      </w:r>
    </w:p>
    <w:p w14:paraId="6B9D8708" w14:textId="77777777" w:rsidR="00575AC3" w:rsidRPr="006D40F0" w:rsidRDefault="00575AC3" w:rsidP="006D40F0">
      <w:pPr>
        <w:pStyle w:val="b-budkaptit"/>
      </w:pPr>
      <w:r w:rsidRPr="006D40F0">
        <w:t>Kap. 748 Statens helsetilsyn</w:t>
      </w:r>
    </w:p>
    <w:p w14:paraId="15521F04" w14:textId="77777777" w:rsidR="00575AC3" w:rsidRPr="006D40F0" w:rsidRDefault="00575AC3" w:rsidP="006D40F0">
      <w:pPr>
        <w:pStyle w:val="b-post"/>
      </w:pPr>
      <w:r w:rsidRPr="006D40F0">
        <w:t>Post 01 Driftsutgifter</w:t>
      </w:r>
    </w:p>
    <w:p w14:paraId="0A7C9F84" w14:textId="77777777" w:rsidR="00575AC3" w:rsidRPr="006D40F0" w:rsidRDefault="00575AC3" w:rsidP="006D40F0">
      <w:r w:rsidRPr="006D40F0">
        <w:t>Bevilgningen foreslås redusert med 0,3 mill. kroner til Helse- og omsorgsdepartementets arbeid med analyse og styring av underliggende virksomheter, jf. omtale under kap. 700, post 01.</w:t>
      </w:r>
    </w:p>
    <w:p w14:paraId="6A00543B" w14:textId="77777777" w:rsidR="00575AC3" w:rsidRPr="006D40F0" w:rsidRDefault="00575AC3" w:rsidP="006D40F0">
      <w:pPr>
        <w:pStyle w:val="b-budkaptit"/>
      </w:pPr>
      <w:r w:rsidRPr="006D40F0">
        <w:t>Kap. 749 Statens undersøkelseskommisjon for helse- og omsorgstjenesten</w:t>
      </w:r>
    </w:p>
    <w:p w14:paraId="29AC4E00" w14:textId="77777777" w:rsidR="00575AC3" w:rsidRPr="006D40F0" w:rsidRDefault="00575AC3" w:rsidP="006D40F0">
      <w:pPr>
        <w:pStyle w:val="b-post"/>
      </w:pPr>
      <w:r w:rsidRPr="006D40F0">
        <w:t>Post 01 Driftsutgifter</w:t>
      </w:r>
    </w:p>
    <w:p w14:paraId="5239256C" w14:textId="77777777" w:rsidR="00575AC3" w:rsidRPr="006D40F0" w:rsidRDefault="00575AC3" w:rsidP="006D40F0">
      <w:r w:rsidRPr="006D40F0">
        <w:t>Bevilgningen foreslås redusert med 0,1 mill. kroner til Helse- og omsorgsdepartementets arbeid med analyse og styring av underliggende virksomheter, jf. omtale under kap. 700, post 01.</w:t>
      </w:r>
    </w:p>
    <w:p w14:paraId="755D8EC0" w14:textId="77777777" w:rsidR="00575AC3" w:rsidRPr="006D40F0" w:rsidRDefault="00575AC3" w:rsidP="006D40F0">
      <w:pPr>
        <w:pStyle w:val="b-budkaptit"/>
      </w:pPr>
      <w:r w:rsidRPr="006D40F0">
        <w:t>Kap. 761 Omsorgstjenester</w:t>
      </w:r>
    </w:p>
    <w:p w14:paraId="213A58E2" w14:textId="77777777" w:rsidR="00575AC3" w:rsidRPr="006D40F0" w:rsidRDefault="00575AC3" w:rsidP="006D40F0">
      <w:pPr>
        <w:pStyle w:val="b-post"/>
      </w:pPr>
      <w:r w:rsidRPr="006D40F0">
        <w:t>Post 64 Kompensasjon for renter og avdrag</w:t>
      </w:r>
    </w:p>
    <w:p w14:paraId="567096C3" w14:textId="77777777" w:rsidR="00575AC3" w:rsidRPr="006D40F0" w:rsidRDefault="00575AC3" w:rsidP="006D40F0">
      <w:r w:rsidRPr="006D40F0">
        <w:t>Bevilgningen foreslås økt med 62,8 mill. kroner som følge av nytt renteanslag for rentekompensasjonsordningene fra 3 pst. til 4 pst. i 2024.</w:t>
      </w:r>
    </w:p>
    <w:p w14:paraId="3854ADAD" w14:textId="77777777" w:rsidR="00575AC3" w:rsidRPr="006D40F0" w:rsidRDefault="00575AC3" w:rsidP="006D40F0">
      <w:pPr>
        <w:pStyle w:val="b-post"/>
      </w:pPr>
      <w:r w:rsidRPr="006D40F0">
        <w:lastRenderedPageBreak/>
        <w:t>Post 73 Særlige omsorgsbehov</w:t>
      </w:r>
    </w:p>
    <w:p w14:paraId="2397A2D6" w14:textId="77777777" w:rsidR="00575AC3" w:rsidRPr="006D40F0" w:rsidRDefault="00575AC3" w:rsidP="006D40F0">
      <w:r w:rsidRPr="006D40F0">
        <w:t xml:space="preserve">Bevilgningen foreslås økt med 3 mill. kroner til videre drift av det palliative tilbudet ved </w:t>
      </w:r>
      <w:proofErr w:type="spellStart"/>
      <w:r w:rsidRPr="006D40F0">
        <w:t>Hospice</w:t>
      </w:r>
      <w:proofErr w:type="spellEnd"/>
      <w:r w:rsidRPr="006D40F0">
        <w:t xml:space="preserve"> Sangen på Hamar.</w:t>
      </w:r>
    </w:p>
    <w:p w14:paraId="0B4EAF2E" w14:textId="77777777" w:rsidR="00575AC3" w:rsidRPr="006D40F0" w:rsidRDefault="00575AC3" w:rsidP="006D40F0">
      <w:pPr>
        <w:pStyle w:val="b-budkaptit"/>
      </w:pPr>
      <w:r w:rsidRPr="006D40F0">
        <w:t>Kap. 762 Primærhelsetjeneste</w:t>
      </w:r>
    </w:p>
    <w:p w14:paraId="64A33D78" w14:textId="77777777" w:rsidR="00575AC3" w:rsidRPr="006D40F0" w:rsidRDefault="00575AC3" w:rsidP="006D40F0">
      <w:pPr>
        <w:pStyle w:val="b-post"/>
      </w:pPr>
      <w:r w:rsidRPr="006D40F0">
        <w:t>Post 21 Spesielle driftsutgifter, kan nyttes under post 70</w:t>
      </w:r>
    </w:p>
    <w:p w14:paraId="657A028D" w14:textId="77777777" w:rsidR="00575AC3" w:rsidRPr="006D40F0" w:rsidRDefault="00575AC3" w:rsidP="006D40F0">
      <w:r w:rsidRPr="006D40F0">
        <w:t>Ved Stortingets behandling av Prop. 1 S (2023–2024) for Helse- og omsorgsdepartementet ble det bevilget 3,5 mill. kroner til Nettbasert lederutdanning for leger i kommunale helse- og omsorgstjenester. Prognosen for utgifter til tiltaket i 2024 er om lag 1 mill. kroner. Det er et mål å få flest mulig leger til å ta kurset, men det har så langt vært vanskelig å rekruttere leger. Det foreslås at tiltaket utvides til å omfatte ledere i kommunale helse- og omsorgstjenester. Det er stort behov for ledere med god kompetanse i de kommunale helse- og omsorgstjenestene for å håndtere utfordringene tjenestene i fremtiden vil stå overfor.</w:t>
      </w:r>
    </w:p>
    <w:p w14:paraId="14C0D2E3" w14:textId="77777777" w:rsidR="00575AC3" w:rsidRPr="006D40F0" w:rsidRDefault="00575AC3" w:rsidP="006D40F0">
      <w:pPr>
        <w:pStyle w:val="b-post"/>
      </w:pPr>
      <w:r w:rsidRPr="006D40F0">
        <w:t>Post 63 Allmennlegetjenester</w:t>
      </w:r>
    </w:p>
    <w:p w14:paraId="44670503" w14:textId="77777777" w:rsidR="00575AC3" w:rsidRPr="006D40F0" w:rsidRDefault="00575AC3" w:rsidP="006D40F0">
      <w:r w:rsidRPr="006D40F0">
        <w:t>Bevilgningen foreslås redusert med 13 mill. kroner som følge av at forsøk med primærhelseteam avvikles fra 1. juli 2024. Ved avviklingen av teamene vil alle legekontorene som har deltatt i forsøket gå over til vanlig drift med inntekter fra refusjon fra folketrygden og egenandeler i tillegg til basistilskudd. Dette øker utgiftene på kap. 2755, post 70 med 7,4 mill. kroner, jf. omtale der. Samlet gir dette en besparelse i 2024 på 5,6 mill. kroner. Dette tilsvarer halvårseffekt av 1,5 sykepleierårsverk samt tilskudd for deltakelse i forsøket.</w:t>
      </w:r>
    </w:p>
    <w:p w14:paraId="3F3826EC" w14:textId="77777777" w:rsidR="00575AC3" w:rsidRPr="006D40F0" w:rsidRDefault="00575AC3" w:rsidP="006D40F0">
      <w:r w:rsidRPr="006D40F0">
        <w:t>Endringene tar også hensyn til at Austevoll kommune endrer finansieringsmodell fra driftstilskuddsmodell til honorarmodell for perioden 1. januar 2024 til 1. juli 2024. I Prop. 18 S (2023–2024) ble det omtalt at Austevoll kommune har søkt om å endre finansieringsmodell for en flerfaglig legepraksis fra driftstilskuddsmodell til honorarmodell og at regjeringen ville komme tilbake til nødvendige budsjettmessige endringer i revidert nasjonalbudsjett for 2024. Endringen i finansieringsmodell vil si at praksisen gis anledning til å kreve trygderefusjon i stedet for å få driftstilskudd.</w:t>
      </w:r>
    </w:p>
    <w:p w14:paraId="6839F59D" w14:textId="77777777" w:rsidR="00575AC3" w:rsidRPr="006D40F0" w:rsidRDefault="00575AC3" w:rsidP="006D40F0">
      <w:r w:rsidRPr="006D40F0">
        <w:t>Bevilgningen foreslås redusert med 10 mill. kroner mot at bevilgningen på kap. 762, post 70 øker tilsvarende. Tilskudd til gruppeveiledning for leger som er under spesialisering i allmennmedisin er i Saldert budsjett 2024 budsjettert på kap. 762, post 63. Det er Legeforeningen som har forvaltet denne gruppeveiledningen, men intensjonen var at Helsedirektoratet skulle overta forvaltningen fra 1. januar 2024. Overføringen av forvaltningsoppgaven er utsatt til 1. januar 2025. 10 mill. kroner avsatt til gruppeveiledning i 2024 foreslås derfor flyttet til Legeforeningens utdanningsfond og post 70.</w:t>
      </w:r>
    </w:p>
    <w:p w14:paraId="129065A0" w14:textId="77777777" w:rsidR="00575AC3" w:rsidRPr="006D40F0" w:rsidRDefault="00575AC3" w:rsidP="006D40F0">
      <w:r w:rsidRPr="006D40F0">
        <w:t>Samlet foreslås bevilgningen redusert med 23 mill. kroner.</w:t>
      </w:r>
    </w:p>
    <w:p w14:paraId="48975995" w14:textId="77777777" w:rsidR="00575AC3" w:rsidRPr="006D40F0" w:rsidRDefault="00575AC3" w:rsidP="006D40F0">
      <w:pPr>
        <w:pStyle w:val="b-post"/>
      </w:pPr>
      <w:r w:rsidRPr="006D40F0">
        <w:lastRenderedPageBreak/>
        <w:t>Post 70 Tilskudd, kan nyttes under post 21</w:t>
      </w:r>
    </w:p>
    <w:p w14:paraId="71547448" w14:textId="77777777" w:rsidR="00575AC3" w:rsidRPr="006D40F0" w:rsidRDefault="00575AC3" w:rsidP="006D40F0">
      <w:r w:rsidRPr="006D40F0">
        <w:t>Bevilgningen foreslås økt med 7,6 mill. kroner mot tilsvarende reduksjon av bevilgningen på kap. 2755, post 73, til avsetning til fondet for etter- og videreutdanning for kiropraktorer. Det vises til nærmere omtale på kap. 2755, post 73.</w:t>
      </w:r>
    </w:p>
    <w:p w14:paraId="4FFDCF1D" w14:textId="77777777" w:rsidR="00575AC3" w:rsidRPr="006D40F0" w:rsidRDefault="00575AC3" w:rsidP="006D40F0">
      <w:r w:rsidRPr="006D40F0">
        <w:t>Bevilgningen foreslås økt med 10 mill. kroner mot at bevilgningen på kap. 762, post 63 reduseres tilsvarende, til gruppeveiledning for leger som er under spesialisering i allmennmedisin. Det vises til nærmere omtale på kap. 762, post 63.</w:t>
      </w:r>
    </w:p>
    <w:p w14:paraId="56FF672C" w14:textId="77777777" w:rsidR="00575AC3" w:rsidRPr="006D40F0" w:rsidRDefault="00575AC3" w:rsidP="006D40F0">
      <w:r w:rsidRPr="006D40F0">
        <w:t>Samlet foreslås bevilgningen økt med 17,6 mill. kroner.</w:t>
      </w:r>
    </w:p>
    <w:p w14:paraId="1F25E272" w14:textId="77777777" w:rsidR="00575AC3" w:rsidRPr="006D40F0" w:rsidRDefault="00575AC3" w:rsidP="006D40F0">
      <w:pPr>
        <w:pStyle w:val="b-budkaptit"/>
      </w:pPr>
      <w:r w:rsidRPr="006D40F0">
        <w:t>Kap. 765 Psykisk helse, rus og vold</w:t>
      </w:r>
    </w:p>
    <w:p w14:paraId="0B6CF2A1" w14:textId="77777777" w:rsidR="00575AC3" w:rsidRPr="006D40F0" w:rsidRDefault="00575AC3" w:rsidP="006D40F0">
      <w:pPr>
        <w:pStyle w:val="b-post"/>
      </w:pPr>
      <w:r w:rsidRPr="006D40F0">
        <w:t>Post 21 Spesielle driftsutgifter, kan overføres, kan nyttes under post 72</w:t>
      </w:r>
    </w:p>
    <w:p w14:paraId="6DA4BB57" w14:textId="77777777" w:rsidR="00575AC3" w:rsidRPr="006D40F0" w:rsidRDefault="00575AC3" w:rsidP="006D40F0">
      <w:r w:rsidRPr="006D40F0">
        <w:t xml:space="preserve">Det foreslås å redusere bevilgningen med 6 mill. kroner mot tilsvarende økning på kap. 765, post 74, til etablering av overdosekoordinator ved de syv regionale kompetansesentrene på </w:t>
      </w:r>
      <w:proofErr w:type="spellStart"/>
      <w:r w:rsidRPr="006D40F0">
        <w:t>rusområdet</w:t>
      </w:r>
      <w:proofErr w:type="spellEnd"/>
      <w:r w:rsidRPr="006D40F0">
        <w:t>. Det vises til Prop. 1 S (2023–2024) for Helse- og omsorgsdepartementet der det ble varslet at regjeringen vil komme tilbake i revidert nasjonalbudsjett med nødvendige flyttinger av bevilginger til overdosekoordinator.</w:t>
      </w:r>
    </w:p>
    <w:p w14:paraId="63B3E2ED" w14:textId="77777777" w:rsidR="00575AC3" w:rsidRPr="006D40F0" w:rsidRDefault="00575AC3" w:rsidP="006D40F0">
      <w:pPr>
        <w:pStyle w:val="b-post"/>
      </w:pPr>
      <w:r w:rsidRPr="006D40F0">
        <w:t>Post 72 Frivillig arbeid mv., kan overføres, kan nyttes under post 21</w:t>
      </w:r>
    </w:p>
    <w:p w14:paraId="071594B7" w14:textId="77777777" w:rsidR="00575AC3" w:rsidRPr="006D40F0" w:rsidRDefault="00575AC3" w:rsidP="006D40F0">
      <w:r w:rsidRPr="006D40F0">
        <w:t>Det foreslås at deler av bevilgningen på kap. 765, post 72 i 2024 kan disponeres til en ny tilskuddsordning til oppfølgingstilbud til personer med rusmiddelproblemer, psykiske helseproblemer og/eller erfaring fra salg og bytte av seksuelle handlinger.</w:t>
      </w:r>
    </w:p>
    <w:p w14:paraId="61F6D232" w14:textId="77777777" w:rsidR="00575AC3" w:rsidRPr="006D40F0" w:rsidRDefault="00575AC3" w:rsidP="006D40F0">
      <w:r w:rsidRPr="006D40F0">
        <w:t xml:space="preserve">Tilskuddsordningen skal bidra til etablering av lett tilgjengelige oppfølgingstilbud til målgruppene uten noen form for egenbetaling. Ordningen vil være en del av samfunnets samlede innsats overfor målgruppene. Tilbudene som </w:t>
      </w:r>
      <w:proofErr w:type="spellStart"/>
      <w:r w:rsidRPr="006D40F0">
        <w:t>tilskuddsfinansieres</w:t>
      </w:r>
      <w:proofErr w:type="spellEnd"/>
      <w:r w:rsidRPr="006D40F0">
        <w:t xml:space="preserve"> skal som hovedregel komme i tillegg til eller supplere oppgaver som pliktmessig ligger til det offentlige. </w:t>
      </w:r>
      <w:proofErr w:type="spellStart"/>
      <w:r w:rsidRPr="006D40F0">
        <w:t>Tilskuddsfinansiert</w:t>
      </w:r>
      <w:proofErr w:type="spellEnd"/>
      <w:r w:rsidRPr="006D40F0">
        <w:t xml:space="preserve"> aktivitet skal inngå i en helhetlig sammenheng og understøtte de overordnede målene samfunnet har på tjenesteområdet.</w:t>
      </w:r>
    </w:p>
    <w:p w14:paraId="54EABE53" w14:textId="77777777" w:rsidR="00575AC3" w:rsidRPr="006D40F0" w:rsidRDefault="00575AC3" w:rsidP="006D40F0">
      <w:r w:rsidRPr="006D40F0">
        <w:t xml:space="preserve">Den nye ordningen vil finansieres av et </w:t>
      </w:r>
      <w:proofErr w:type="spellStart"/>
      <w:r w:rsidRPr="006D40F0">
        <w:t>mindreforbruk</w:t>
      </w:r>
      <w:proofErr w:type="spellEnd"/>
      <w:r w:rsidRPr="006D40F0">
        <w:t xml:space="preserve"> på posten i 2024, i hovedsak fra tilskuddsordningen </w:t>
      </w:r>
      <w:r w:rsidRPr="00575AC3">
        <w:rPr>
          <w:rStyle w:val="kursiv"/>
        </w:rPr>
        <w:t>«Aktivitetstilbud for personer med rusmiddelproblemer, psykiske helseproblemer og/eller erfaring fra salg og bytte av seksuelle tjenester».</w:t>
      </w:r>
    </w:p>
    <w:p w14:paraId="4C946126" w14:textId="77777777" w:rsidR="00575AC3" w:rsidRPr="006D40F0" w:rsidRDefault="00575AC3" w:rsidP="006D40F0">
      <w:pPr>
        <w:pStyle w:val="b-post"/>
      </w:pPr>
      <w:r w:rsidRPr="006D40F0">
        <w:t>Post 73 Utviklingstiltak mv.</w:t>
      </w:r>
    </w:p>
    <w:p w14:paraId="735FD754" w14:textId="77777777" w:rsidR="00575AC3" w:rsidRPr="006D40F0" w:rsidRDefault="00575AC3" w:rsidP="006D40F0">
      <w:r w:rsidRPr="006D40F0">
        <w:t>Det foreslås å omprioritere 5 mill. kroner innenfor bevilgningen, fra tilskuddsordningen «Arbeid og psykisk helse» til tilskuddsordningen «</w:t>
      </w:r>
      <w:proofErr w:type="spellStart"/>
      <w:r w:rsidRPr="006D40F0">
        <w:t>Fontenehus</w:t>
      </w:r>
      <w:proofErr w:type="spellEnd"/>
      <w:r w:rsidRPr="006D40F0">
        <w:t xml:space="preserve">». Bevilgningen skal bidra til etablering av flere </w:t>
      </w:r>
      <w:proofErr w:type="spellStart"/>
      <w:r w:rsidRPr="006D40F0">
        <w:t>fontenehus</w:t>
      </w:r>
      <w:proofErr w:type="spellEnd"/>
      <w:r w:rsidRPr="006D40F0">
        <w:t xml:space="preserve">, sørge for videre drift i eksisterende </w:t>
      </w:r>
      <w:proofErr w:type="spellStart"/>
      <w:r w:rsidRPr="006D40F0">
        <w:t>fontenehus</w:t>
      </w:r>
      <w:proofErr w:type="spellEnd"/>
      <w:r w:rsidRPr="006D40F0">
        <w:t xml:space="preserve"> og bidra til drift av paraplyorganisasjonen </w:t>
      </w:r>
      <w:proofErr w:type="spellStart"/>
      <w:r w:rsidRPr="006D40F0">
        <w:t>Fontenehus</w:t>
      </w:r>
      <w:proofErr w:type="spellEnd"/>
      <w:r w:rsidRPr="006D40F0">
        <w:t xml:space="preserve"> Norge. Formålet er å bidra til at flere personer med psykiske helseproblemer og/eller rusmiddelproblemer skal delta i arbeidsrettede aktiviteter og komme i ordinært arbeid.</w:t>
      </w:r>
    </w:p>
    <w:p w14:paraId="3ED49A44" w14:textId="77777777" w:rsidR="00575AC3" w:rsidRPr="006D40F0" w:rsidRDefault="00575AC3" w:rsidP="006D40F0">
      <w:pPr>
        <w:pStyle w:val="b-post"/>
      </w:pPr>
      <w:r w:rsidRPr="006D40F0">
        <w:lastRenderedPageBreak/>
        <w:t>Post 74 Kompetansesentre, kan overføres</w:t>
      </w:r>
    </w:p>
    <w:p w14:paraId="7D2EFA24" w14:textId="77777777" w:rsidR="00575AC3" w:rsidRPr="006D40F0" w:rsidRDefault="00575AC3" w:rsidP="006D40F0">
      <w:r w:rsidRPr="006D40F0">
        <w:t>Det foreslås å øke bevilgningen med 6 mill. kroner mot tilsvarende reduksjon av kap. 761, post 21. Se omtale under denne posten.</w:t>
      </w:r>
    </w:p>
    <w:p w14:paraId="0E3F364F" w14:textId="77777777" w:rsidR="00575AC3" w:rsidRPr="006D40F0" w:rsidRDefault="00575AC3" w:rsidP="006D40F0">
      <w:pPr>
        <w:pStyle w:val="b-budkaptit"/>
      </w:pPr>
      <w:r w:rsidRPr="006D40F0">
        <w:t>Kap. 783 Personell</w:t>
      </w:r>
    </w:p>
    <w:p w14:paraId="2A1338A9" w14:textId="77777777" w:rsidR="00575AC3" w:rsidRPr="006D40F0" w:rsidRDefault="00575AC3" w:rsidP="006D40F0">
      <w:pPr>
        <w:pStyle w:val="b-post"/>
      </w:pPr>
      <w:r w:rsidRPr="006D40F0">
        <w:t>Post 79 Andre tilskudd, kan nyttes under post 21</w:t>
      </w:r>
    </w:p>
    <w:p w14:paraId="3E717B91" w14:textId="77777777" w:rsidR="00575AC3" w:rsidRPr="006D40F0" w:rsidRDefault="00575AC3" w:rsidP="006D40F0">
      <w:r w:rsidRPr="006D40F0">
        <w:t>Det foreslås å redusere bevilgningen med 13,5 mill. kroner mot tilsvarende økning av kap. 3740, post 04. I Saldert budsjett 2024 ble bevilgningen på kap. 783 økt med 20 mill. kroner for å redusere kostnader for søkere med helsefaglig utdanning fra utlandet. Av dette beløpet skulle 13,5 mill. kroner gå til å redusere gebyrer ved behandling av autorisasjonssøknader fra helsepersonell med utdanning fra utlandet. Ved en inkurie ble hele beløpet bevilget på kap. 783, post 79.</w:t>
      </w:r>
    </w:p>
    <w:p w14:paraId="229E5127" w14:textId="77777777" w:rsidR="00575AC3" w:rsidRPr="006D40F0" w:rsidRDefault="00575AC3" w:rsidP="006D40F0">
      <w:pPr>
        <w:pStyle w:val="b-budkaptit"/>
      </w:pPr>
      <w:r w:rsidRPr="006D40F0">
        <w:t>Kap. 2711 Spesialisthelsetjeneste mv.</w:t>
      </w:r>
    </w:p>
    <w:p w14:paraId="2E9C1917" w14:textId="77777777" w:rsidR="00575AC3" w:rsidRPr="006D40F0" w:rsidRDefault="00575AC3" w:rsidP="006D40F0">
      <w:pPr>
        <w:pStyle w:val="b-post"/>
      </w:pPr>
      <w:r w:rsidRPr="006D40F0">
        <w:t>Post 70 Spesialisthjelp</w:t>
      </w:r>
    </w:p>
    <w:p w14:paraId="357B4B9E"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52 mill. kroner.</w:t>
      </w:r>
    </w:p>
    <w:p w14:paraId="5610B215" w14:textId="77777777" w:rsidR="00575AC3" w:rsidRPr="006D40F0" w:rsidRDefault="00575AC3" w:rsidP="006D40F0">
      <w:pPr>
        <w:pStyle w:val="b-post"/>
      </w:pPr>
      <w:r w:rsidRPr="006D40F0">
        <w:t>Post 71 Psykologhjelp</w:t>
      </w:r>
    </w:p>
    <w:p w14:paraId="598CA69F"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19 mill. kroner.</w:t>
      </w:r>
    </w:p>
    <w:p w14:paraId="03E0F72F" w14:textId="77777777" w:rsidR="00575AC3" w:rsidRPr="006D40F0" w:rsidRDefault="00575AC3" w:rsidP="006D40F0">
      <w:pPr>
        <w:pStyle w:val="b-post"/>
      </w:pPr>
      <w:r w:rsidRPr="006D40F0">
        <w:t>Post 72 Tannbehandling</w:t>
      </w:r>
    </w:p>
    <w:p w14:paraId="68777C3F"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10 mill. kroner.</w:t>
      </w:r>
    </w:p>
    <w:p w14:paraId="4AE6633D" w14:textId="77777777" w:rsidR="00575AC3" w:rsidRPr="006D40F0" w:rsidRDefault="00575AC3" w:rsidP="006D40F0">
      <w:pPr>
        <w:pStyle w:val="b-post"/>
      </w:pPr>
      <w:r w:rsidRPr="006D40F0">
        <w:t>Post 76 Private laboratorier og røntgeninstitutt</w:t>
      </w:r>
    </w:p>
    <w:p w14:paraId="0379F9A6"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74,4 mill. kroner.</w:t>
      </w:r>
    </w:p>
    <w:p w14:paraId="796B0AA7" w14:textId="77777777" w:rsidR="00575AC3" w:rsidRPr="006D40F0" w:rsidRDefault="00575AC3" w:rsidP="006D40F0">
      <w:pPr>
        <w:pStyle w:val="b-budkaptit"/>
      </w:pPr>
      <w:r w:rsidRPr="006D40F0">
        <w:t>Kap. 2751 Legemidler mv.</w:t>
      </w:r>
    </w:p>
    <w:p w14:paraId="1A848F19" w14:textId="77777777" w:rsidR="00575AC3" w:rsidRPr="006D40F0" w:rsidRDefault="00575AC3" w:rsidP="006D40F0">
      <w:pPr>
        <w:pStyle w:val="b-post"/>
      </w:pPr>
      <w:r w:rsidRPr="006D40F0">
        <w:t>Post 70 Legemidler</w:t>
      </w:r>
    </w:p>
    <w:p w14:paraId="6A72713F" w14:textId="77777777" w:rsidR="00575AC3" w:rsidRPr="006D40F0" w:rsidRDefault="00575AC3" w:rsidP="006D40F0">
      <w:r w:rsidRPr="006D40F0">
        <w:t>Bevilgningen foreslås økt med 3,9 mill. kroner mot tilsvarende reduksjon av kap. 714, post 21, for å utvide gruppen av studenter som har rett på stønad fra folketrygden for hepatitt B-vaksine gjennom blåreseptforskriften. Se nærmere omtale under kap. 710, post 22.</w:t>
      </w:r>
    </w:p>
    <w:p w14:paraId="436F5C72" w14:textId="77777777" w:rsidR="00575AC3" w:rsidRPr="006D40F0" w:rsidRDefault="00575AC3" w:rsidP="006D40F0">
      <w:r w:rsidRPr="006D40F0">
        <w:t>Bevilgningen foreslås redusert med 4 mill. kroner til oppgjørsordningen for konfidensielle priser på legemidler finansiert av folketrygden. Det vises til nærmere omtale av forslaget under kap. 740, post 01.</w:t>
      </w:r>
    </w:p>
    <w:p w14:paraId="223A6419" w14:textId="77777777" w:rsidR="00575AC3" w:rsidRPr="006D40F0" w:rsidRDefault="00575AC3" w:rsidP="006D40F0">
      <w:r w:rsidRPr="006D40F0">
        <w:lastRenderedPageBreak/>
        <w:t xml:space="preserve">Det foreslås at det innvilges refusjon etter individuell stønad etter § 3 i blåreseptforskriften for legemiddel </w:t>
      </w:r>
      <w:proofErr w:type="spellStart"/>
      <w:r w:rsidRPr="006D40F0">
        <w:t>Rybelsus</w:t>
      </w:r>
      <w:proofErr w:type="spellEnd"/>
      <w:r w:rsidRPr="006D40F0">
        <w:t xml:space="preserve"> til behandling av diabetes type 2. </w:t>
      </w:r>
      <w:proofErr w:type="spellStart"/>
      <w:r w:rsidRPr="006D40F0">
        <w:t>Rybelsus</w:t>
      </w:r>
      <w:proofErr w:type="spellEnd"/>
      <w:r w:rsidRPr="006D40F0">
        <w:t xml:space="preserve"> inneholder det samme virkestoffet som </w:t>
      </w:r>
      <w:proofErr w:type="spellStart"/>
      <w:r w:rsidRPr="006D40F0">
        <w:t>Ozempic</w:t>
      </w:r>
      <w:proofErr w:type="spellEnd"/>
      <w:r w:rsidRPr="006D40F0">
        <w:t xml:space="preserve">, og har samme bruksområde og pasientgruppe som </w:t>
      </w:r>
      <w:proofErr w:type="spellStart"/>
      <w:r w:rsidRPr="006D40F0">
        <w:t>Ozempic</w:t>
      </w:r>
      <w:proofErr w:type="spellEnd"/>
      <w:r w:rsidRPr="006D40F0">
        <w:t xml:space="preserve">. Opptak av </w:t>
      </w:r>
      <w:proofErr w:type="spellStart"/>
      <w:r w:rsidRPr="006D40F0">
        <w:t>Rybelsus</w:t>
      </w:r>
      <w:proofErr w:type="spellEnd"/>
      <w:r w:rsidRPr="006D40F0">
        <w:t xml:space="preserve"> i blåreseptordningen vil overskride Direktoratet for medisinske produkters </w:t>
      </w:r>
      <w:proofErr w:type="spellStart"/>
      <w:r w:rsidRPr="006D40F0">
        <w:t>fullmaktsgrense</w:t>
      </w:r>
      <w:proofErr w:type="spellEnd"/>
      <w:r w:rsidRPr="006D40F0">
        <w:t xml:space="preserve"> på 100 mill. kroner.</w:t>
      </w:r>
    </w:p>
    <w:p w14:paraId="351ECF07" w14:textId="77777777" w:rsidR="00575AC3" w:rsidRPr="006D40F0" w:rsidRDefault="00575AC3" w:rsidP="006D40F0">
      <w:r w:rsidRPr="006D40F0">
        <w:t xml:space="preserve">Innvilgningen av refusjon for dette legemidlet er et av flere tiltak for å bedre tilgangen til diabeteslegemidler og redusere folketrygdens utgifter på behandlingsområdet. Det foreslås at tiltakene trer i kraft fra 1. juli. Tiltaket må ses i sammenheng med Prop. 100 L (2023–2024) </w:t>
      </w:r>
      <w:r w:rsidRPr="00575AC3">
        <w:rPr>
          <w:rStyle w:val="kursiv"/>
        </w:rPr>
        <w:t>Endringer i legemiddelloven og apotekloven (styrket legemiddelberedskap m.m.)</w:t>
      </w:r>
      <w:r w:rsidRPr="006D40F0">
        <w:t xml:space="preserve"> hvor regjeringen foreslår at ved fare for tilgangen til legemidler i Norge kan det innføres restriksjoner på salg og utlevering av legemidler i apotek og fra grossist. Samlet virkning av tiltakene vil gi en reduksjon i utgiftene på kap. 2751 på 730 mill. kroner i 2024.</w:t>
      </w:r>
    </w:p>
    <w:p w14:paraId="79F8FF01" w14:textId="77777777" w:rsidR="00575AC3" w:rsidRPr="006D40F0" w:rsidRDefault="00575AC3" w:rsidP="006D40F0">
      <w:pPr>
        <w:pStyle w:val="avsnitt-undertittel"/>
      </w:pPr>
      <w:r w:rsidRPr="006D40F0">
        <w:t>Anslagsendring</w:t>
      </w:r>
    </w:p>
    <w:p w14:paraId="605BC3CB"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1 054,5 mill. kroner.</w:t>
      </w:r>
    </w:p>
    <w:p w14:paraId="3B733B75" w14:textId="77777777" w:rsidR="00575AC3" w:rsidRPr="006D40F0" w:rsidRDefault="00575AC3" w:rsidP="006D40F0">
      <w:pPr>
        <w:pStyle w:val="avsnitt-undertittel"/>
      </w:pPr>
      <w:r w:rsidRPr="006D40F0">
        <w:t>Oppsummering</w:t>
      </w:r>
    </w:p>
    <w:p w14:paraId="4EBCC2E2" w14:textId="77777777" w:rsidR="00575AC3" w:rsidRPr="006D40F0" w:rsidRDefault="00575AC3" w:rsidP="006D40F0">
      <w:r w:rsidRPr="006D40F0">
        <w:t>Samlet foreslås bevilgningen økt med 324,4 mill. kroner.</w:t>
      </w:r>
    </w:p>
    <w:p w14:paraId="3A8D279A" w14:textId="77777777" w:rsidR="00575AC3" w:rsidRPr="006D40F0" w:rsidRDefault="00575AC3" w:rsidP="006D40F0">
      <w:pPr>
        <w:pStyle w:val="b-post"/>
      </w:pPr>
      <w:r w:rsidRPr="006D40F0">
        <w:t>Post 71 Legeerklæringer</w:t>
      </w:r>
    </w:p>
    <w:p w14:paraId="54350E12"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4 mill. kroner.</w:t>
      </w:r>
    </w:p>
    <w:p w14:paraId="12699B30" w14:textId="77777777" w:rsidR="00575AC3" w:rsidRPr="006D40F0" w:rsidRDefault="00575AC3" w:rsidP="006D40F0">
      <w:pPr>
        <w:pStyle w:val="b-post"/>
      </w:pPr>
      <w:r w:rsidRPr="006D40F0">
        <w:t>Post 72 Medisinsk forbruksmateriell</w:t>
      </w:r>
    </w:p>
    <w:p w14:paraId="78734153"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70 mill. kroner.</w:t>
      </w:r>
    </w:p>
    <w:p w14:paraId="789DF287" w14:textId="77777777" w:rsidR="00575AC3" w:rsidRPr="006D40F0" w:rsidRDefault="00575AC3" w:rsidP="006D40F0">
      <w:pPr>
        <w:pStyle w:val="b-budkaptit"/>
      </w:pPr>
      <w:r w:rsidRPr="006D40F0">
        <w:t>Kap. 2752 Refusjon av egenbetaling</w:t>
      </w:r>
    </w:p>
    <w:p w14:paraId="5E6E1C1A" w14:textId="77777777" w:rsidR="00575AC3" w:rsidRPr="006D40F0" w:rsidRDefault="00575AC3" w:rsidP="006D40F0">
      <w:pPr>
        <w:pStyle w:val="b-post"/>
      </w:pPr>
      <w:r w:rsidRPr="006D40F0">
        <w:t>Post 72 Egenandelstak</w:t>
      </w:r>
    </w:p>
    <w:p w14:paraId="41390369"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129,8 mill. kroner.</w:t>
      </w:r>
    </w:p>
    <w:p w14:paraId="4344B78C" w14:textId="77777777" w:rsidR="00575AC3" w:rsidRPr="006D40F0" w:rsidRDefault="00575AC3" w:rsidP="006D40F0">
      <w:pPr>
        <w:pStyle w:val="b-budkaptit"/>
      </w:pPr>
      <w:r w:rsidRPr="006D40F0">
        <w:t>Kap. 2755 Helsetjenester i kommunene mv.</w:t>
      </w:r>
    </w:p>
    <w:p w14:paraId="3E425EFC" w14:textId="77777777" w:rsidR="00575AC3" w:rsidRPr="006D40F0" w:rsidRDefault="00575AC3" w:rsidP="006D40F0">
      <w:pPr>
        <w:pStyle w:val="b-post"/>
      </w:pPr>
      <w:r w:rsidRPr="006D40F0">
        <w:t>Post 62 Fastlønnsordning fysioterapeuter, kan nyttes under post 71</w:t>
      </w:r>
    </w:p>
    <w:p w14:paraId="1342BD52"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58 mill. kroner.</w:t>
      </w:r>
    </w:p>
    <w:p w14:paraId="0265A91E" w14:textId="77777777" w:rsidR="00575AC3" w:rsidRPr="006D40F0" w:rsidRDefault="00575AC3" w:rsidP="006D40F0">
      <w:pPr>
        <w:pStyle w:val="b-post"/>
      </w:pPr>
      <w:r w:rsidRPr="006D40F0">
        <w:lastRenderedPageBreak/>
        <w:t>Post 70 Allmennlegehjelp</w:t>
      </w:r>
    </w:p>
    <w:p w14:paraId="11158B77"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55,2 mill. kroner.</w:t>
      </w:r>
    </w:p>
    <w:p w14:paraId="0294041E" w14:textId="77777777" w:rsidR="00575AC3" w:rsidRPr="006D40F0" w:rsidRDefault="00575AC3" w:rsidP="006D40F0">
      <w:r w:rsidRPr="006D40F0">
        <w:t>Bevilgningen foreslås økt med 7,4 mill. kroner som følge av at forsøk med primærhelseteam avvikles fra 1. juli 2024. Ved avviklingen av teamene vil alle legekontorene som har deltatt i forsøket gå over til vanlig drift med inntekter fra refusjon fra folketrygden og egenandeler i tillegg til basistilskudd. Dette øker utgiftene på kap. 2755, post 70 med 7,4 mill. kroner.</w:t>
      </w:r>
    </w:p>
    <w:p w14:paraId="036E99A4" w14:textId="77777777" w:rsidR="00575AC3" w:rsidRPr="006D40F0" w:rsidRDefault="00575AC3" w:rsidP="006D40F0">
      <w:r w:rsidRPr="006D40F0">
        <w:t>Samlet foreslås bevilgningen redusert med 47,8 mill. kroner.</w:t>
      </w:r>
    </w:p>
    <w:p w14:paraId="4508D889" w14:textId="77777777" w:rsidR="00575AC3" w:rsidRPr="006D40F0" w:rsidRDefault="00575AC3" w:rsidP="006D40F0">
      <w:pPr>
        <w:pStyle w:val="b-post"/>
      </w:pPr>
      <w:r w:rsidRPr="006D40F0">
        <w:t>Post 71 Fysioterapi, kan nyttes under post 62</w:t>
      </w:r>
    </w:p>
    <w:p w14:paraId="7F67D3D3"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7,1 mill. kroner.</w:t>
      </w:r>
    </w:p>
    <w:p w14:paraId="4D36554A" w14:textId="77777777" w:rsidR="00575AC3" w:rsidRPr="006D40F0" w:rsidRDefault="00575AC3" w:rsidP="006D40F0">
      <w:pPr>
        <w:pStyle w:val="b-post"/>
      </w:pPr>
      <w:r w:rsidRPr="006D40F0">
        <w:t>Post 72 Jordmorhjelp</w:t>
      </w:r>
    </w:p>
    <w:p w14:paraId="3872D9AA"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4 mill. kroner.</w:t>
      </w:r>
    </w:p>
    <w:p w14:paraId="29152A2C" w14:textId="77777777" w:rsidR="00575AC3" w:rsidRPr="006D40F0" w:rsidRDefault="00575AC3" w:rsidP="006D40F0">
      <w:pPr>
        <w:pStyle w:val="b-post"/>
      </w:pPr>
      <w:r w:rsidRPr="006D40F0">
        <w:t>Post 73 Kiropraktorbehandling</w:t>
      </w:r>
    </w:p>
    <w:p w14:paraId="2BFFA48A"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4 mill. kroner.</w:t>
      </w:r>
    </w:p>
    <w:p w14:paraId="095811B6" w14:textId="77777777" w:rsidR="00575AC3" w:rsidRPr="006D40F0" w:rsidRDefault="00575AC3" w:rsidP="006D40F0">
      <w:r w:rsidRPr="006D40F0">
        <w:t>Bevilgningen foreslås redusert med 7,6 mill. kroner mot tilsvarende økning av kap. 762, post 70, til avsetning til fondet for etter- og videreutdanning for kiropraktorer.</w:t>
      </w:r>
    </w:p>
    <w:p w14:paraId="12AC22D9" w14:textId="77777777" w:rsidR="00575AC3" w:rsidRPr="006D40F0" w:rsidRDefault="00575AC3" w:rsidP="006D40F0">
      <w:r w:rsidRPr="006D40F0">
        <w:t xml:space="preserve">Stortinget har ved behandlingen av Prop. 1 S (2023–2024), jf. </w:t>
      </w:r>
      <w:proofErr w:type="spellStart"/>
      <w:r w:rsidRPr="006D40F0">
        <w:t>Innst</w:t>
      </w:r>
      <w:proofErr w:type="spellEnd"/>
      <w:r w:rsidRPr="006D40F0">
        <w:t>. 11 S (2023–2024) bedt regjeringen om å gå i dialog med Kiropraktorforeningen for å se på muligheter for videre avsetning til fondet for etter- og videreutdanning for kiropraktorer, og komme tilbake til Stortinget med dette i forbindelse med revidert nasjonalbudsjett 2024. Ved at refusjonstakstene ble satt ned i 2024 har avsetningen til fondet blitt lavere. Avsetningen til fondet har vært avhengig av omfanget på refusjonene. Ved foreliggende forslag vil avsetningene til fondet i 2024 bli på samme nivå som tidligere. Avsetningen til fondet vil da bli om lag 11 mill. kroner i 2024, som er det samme som avsetningen var i 2023.</w:t>
      </w:r>
    </w:p>
    <w:p w14:paraId="70C1AD5B" w14:textId="77777777" w:rsidR="00575AC3" w:rsidRPr="006D40F0" w:rsidRDefault="00575AC3" w:rsidP="006D40F0">
      <w:r w:rsidRPr="006D40F0">
        <w:t>Samlet foreslås bevilgningen redusert med 11,6 mill. kroner.</w:t>
      </w:r>
    </w:p>
    <w:p w14:paraId="512463AF" w14:textId="77777777" w:rsidR="00575AC3" w:rsidRPr="006D40F0" w:rsidRDefault="00575AC3" w:rsidP="006D40F0">
      <w:pPr>
        <w:pStyle w:val="b-post"/>
      </w:pPr>
      <w:r w:rsidRPr="006D40F0">
        <w:t xml:space="preserve">Post 75 Logopedisk og </w:t>
      </w:r>
      <w:proofErr w:type="spellStart"/>
      <w:r w:rsidRPr="006D40F0">
        <w:t>ortoptisk</w:t>
      </w:r>
      <w:proofErr w:type="spellEnd"/>
      <w:r w:rsidRPr="006D40F0">
        <w:t xml:space="preserve"> behandling</w:t>
      </w:r>
    </w:p>
    <w:p w14:paraId="7C111281"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10 mill. kroner.</w:t>
      </w:r>
    </w:p>
    <w:p w14:paraId="35FFC837" w14:textId="77777777" w:rsidR="00575AC3" w:rsidRPr="006D40F0" w:rsidRDefault="00575AC3" w:rsidP="006D40F0">
      <w:pPr>
        <w:pStyle w:val="b-budkaptit"/>
      </w:pPr>
      <w:r w:rsidRPr="006D40F0">
        <w:lastRenderedPageBreak/>
        <w:t>Kap. 2756 Andre helsetjenester</w:t>
      </w:r>
    </w:p>
    <w:p w14:paraId="30B0A871" w14:textId="77777777" w:rsidR="00575AC3" w:rsidRPr="006D40F0" w:rsidRDefault="00575AC3" w:rsidP="006D40F0">
      <w:pPr>
        <w:pStyle w:val="b-post"/>
      </w:pPr>
      <w:r w:rsidRPr="006D40F0">
        <w:t>Post 70 Helsetjenester i annet EØS-land</w:t>
      </w:r>
    </w:p>
    <w:p w14:paraId="043AD551"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lavere enn anslått i saldert budsjett. Bevilgningen foreslås redusert med 5 mill. kroner.</w:t>
      </w:r>
    </w:p>
    <w:p w14:paraId="601624DE" w14:textId="77777777" w:rsidR="00575AC3" w:rsidRPr="006D40F0" w:rsidRDefault="00575AC3" w:rsidP="006D40F0">
      <w:pPr>
        <w:pStyle w:val="b-post"/>
      </w:pPr>
      <w:r w:rsidRPr="006D40F0">
        <w:t>Post 71 Helsetjenester i utlandet mv.</w:t>
      </w:r>
    </w:p>
    <w:p w14:paraId="4C914B70"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120 mill. kroner.</w:t>
      </w:r>
    </w:p>
    <w:p w14:paraId="7D07EC03" w14:textId="77777777" w:rsidR="00575AC3" w:rsidRPr="006D40F0" w:rsidRDefault="00575AC3" w:rsidP="006D40F0">
      <w:pPr>
        <w:pStyle w:val="b-post"/>
      </w:pPr>
      <w:r w:rsidRPr="006D40F0">
        <w:t>Post 72 Helsetjenester til utenlandsboende mv.</w:t>
      </w:r>
    </w:p>
    <w:p w14:paraId="33F6379C"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94 mill. kroner.</w:t>
      </w:r>
    </w:p>
    <w:p w14:paraId="07C033B7" w14:textId="77777777" w:rsidR="00575AC3" w:rsidRPr="006D40F0" w:rsidRDefault="00575AC3" w:rsidP="006D40F0">
      <w:pPr>
        <w:pStyle w:val="b-budkaptit"/>
      </w:pPr>
      <w:r w:rsidRPr="006D40F0">
        <w:t>Kap. 2790 Andre helsetiltak</w:t>
      </w:r>
    </w:p>
    <w:p w14:paraId="738CB75D" w14:textId="77777777" w:rsidR="00575AC3" w:rsidRPr="006D40F0" w:rsidRDefault="00575AC3" w:rsidP="006D40F0">
      <w:pPr>
        <w:pStyle w:val="b-post"/>
      </w:pPr>
      <w:r w:rsidRPr="006D40F0">
        <w:t>Post 70 Bidrag</w:t>
      </w:r>
    </w:p>
    <w:p w14:paraId="78635A5A" w14:textId="77777777" w:rsidR="00575AC3" w:rsidRPr="006D40F0" w:rsidRDefault="00575AC3" w:rsidP="006D40F0">
      <w:r w:rsidRPr="006D40F0">
        <w:t xml:space="preserve">Regnskap for 2023 og </w:t>
      </w:r>
      <w:proofErr w:type="spellStart"/>
      <w:r w:rsidRPr="006D40F0">
        <w:t>utgiftsutviklingen</w:t>
      </w:r>
      <w:proofErr w:type="spellEnd"/>
      <w:r w:rsidRPr="006D40F0">
        <w:t xml:space="preserve"> per februar 2024 tilsier at utgiftene vil bli høyere enn anslått i saldert budsjett. Bevilgningen foreslås økt med 7 mill. kroner.</w:t>
      </w:r>
    </w:p>
    <w:p w14:paraId="168E1A5F" w14:textId="77777777" w:rsidR="00575AC3" w:rsidRPr="006D40F0" w:rsidRDefault="00575AC3" w:rsidP="006D40F0">
      <w:pPr>
        <w:pStyle w:val="b-budkaptit"/>
      </w:pPr>
      <w:r w:rsidRPr="006D40F0">
        <w:t>Kap. 5631 Aksjer i AS Vinmonopolet</w:t>
      </w:r>
    </w:p>
    <w:p w14:paraId="649662BC" w14:textId="77777777" w:rsidR="00575AC3" w:rsidRPr="006D40F0" w:rsidRDefault="00575AC3" w:rsidP="006D40F0">
      <w:pPr>
        <w:pStyle w:val="b-post"/>
      </w:pPr>
      <w:r w:rsidRPr="006D40F0">
        <w:t>Post 85 Statens overskuddsandel</w:t>
      </w:r>
    </w:p>
    <w:p w14:paraId="7856B749" w14:textId="77777777" w:rsidR="00575AC3" w:rsidRPr="006D40F0" w:rsidRDefault="00575AC3" w:rsidP="006D40F0">
      <w:r w:rsidRPr="006D40F0">
        <w:t>Bevilgningen foreslås økt med 72,5 mill. kroner. Statens andel av driftsoverskuddet til AS Vinmonopolet er i 2024 fastsatt til 50 pst. av resultatet i 2023, før ekstraordinære poster. I 2023 ble overskuddsandelen 152 mill. kroner. Dette er 72,5 mill. kroner høyere enn budsjettert. Forskjellen skyldes i hovedsak at selskapet har høyere omsetning og salgsvolum enn budsjettert.</w:t>
      </w:r>
    </w:p>
    <w:p w14:paraId="31C2686D" w14:textId="77777777" w:rsidR="00575AC3" w:rsidRPr="006D40F0" w:rsidRDefault="00575AC3" w:rsidP="006D40F0">
      <w:pPr>
        <w:pStyle w:val="Undertittel"/>
      </w:pPr>
      <w:r w:rsidRPr="006D40F0">
        <w:t>Andre saker</w:t>
      </w:r>
    </w:p>
    <w:p w14:paraId="0A2CEFA6" w14:textId="77777777" w:rsidR="00575AC3" w:rsidRPr="006D40F0" w:rsidRDefault="00575AC3" w:rsidP="006D40F0">
      <w:pPr>
        <w:pStyle w:val="avsnitt-undertittel"/>
      </w:pPr>
      <w:r w:rsidRPr="006D40F0">
        <w:t>Overføring av finansieringsansvar for legemidler til de regionale helseforetakene</w:t>
      </w:r>
    </w:p>
    <w:p w14:paraId="78F262CE" w14:textId="77777777" w:rsidR="00575AC3" w:rsidRPr="006D40F0" w:rsidRDefault="00575AC3" w:rsidP="006D40F0">
      <w:r w:rsidRPr="006D40F0">
        <w:t>Det tas sikte på å overføre finansieringsansvaret for legemidler til intravenøs behandling av infeksjoner og parenteral ernæring fra folketrygden til de regionale helseforetakene i 2025, jf. Prop. 1 S (2023–2024) for Helse- og omsorgsdepartementet. Det foreslås i tillegg å overføre finansieringsansvaret for legemidler ved tuberkulose fra folketrygden til de regionale helseforetakene i 2025.</w:t>
      </w:r>
    </w:p>
    <w:p w14:paraId="05C57F30" w14:textId="77777777" w:rsidR="00575AC3" w:rsidRPr="006D40F0" w:rsidRDefault="00575AC3" w:rsidP="006D40F0">
      <w:pPr>
        <w:pStyle w:val="avsnitt-undertittel"/>
      </w:pPr>
      <w:r w:rsidRPr="006D40F0">
        <w:lastRenderedPageBreak/>
        <w:t>NIPT test til alle gravide</w:t>
      </w:r>
    </w:p>
    <w:p w14:paraId="04ACFBC7" w14:textId="77777777" w:rsidR="00575AC3" w:rsidRPr="006D40F0" w:rsidRDefault="00575AC3" w:rsidP="006D40F0">
      <w:r w:rsidRPr="006D40F0">
        <w:t>Helse- og omsorgsdepartementet vil i forskrift tillate at helseforetak kan kreve betalt for kostnadene og en markedsmessig avkastning fra gravide for non-</w:t>
      </w:r>
      <w:proofErr w:type="spellStart"/>
      <w:r w:rsidRPr="006D40F0">
        <w:t>invasiv</w:t>
      </w:r>
      <w:proofErr w:type="spellEnd"/>
      <w:r w:rsidRPr="006D40F0">
        <w:t xml:space="preserve"> prenatal test (NIPT) utenfor medisinsk indikasjon, i overensstemmelse med reglene om statsstøtte. Dette er i tråd med forslag som har vært på høring. Regjeringen vil i forbindelse med statsbudsjettet for 2025 legge frem forslag til endringer i skatteloven slik at helseforetak skal svare skatt av inntekt fra salg av non-</w:t>
      </w:r>
      <w:proofErr w:type="spellStart"/>
      <w:r w:rsidRPr="006D40F0">
        <w:t>invasiv</w:t>
      </w:r>
      <w:proofErr w:type="spellEnd"/>
      <w:r w:rsidRPr="006D40F0">
        <w:t xml:space="preserve"> prenatal test (NIPT) for gravide. Det vil bli foreslått at endringene skal ha virkning fra og med inntektsåret 2024, slik at eventuelt salg av NIPT i 2024 også skattemessig blir behandlet i overensstemmelse med reglene om statsstøtte.</w:t>
      </w:r>
    </w:p>
    <w:p w14:paraId="7B43C2A1" w14:textId="77777777" w:rsidR="00575AC3" w:rsidRPr="006D40F0" w:rsidRDefault="00575AC3" w:rsidP="006D40F0">
      <w:pPr>
        <w:pStyle w:val="Overskrift2"/>
      </w:pPr>
      <w:r w:rsidRPr="006D40F0">
        <w:t>Barne- og familiedepartementet</w:t>
      </w:r>
    </w:p>
    <w:p w14:paraId="718E834F" w14:textId="77777777" w:rsidR="00575AC3" w:rsidRPr="006D40F0" w:rsidRDefault="00575AC3" w:rsidP="006D40F0">
      <w:pPr>
        <w:pStyle w:val="b-budkaptit"/>
      </w:pPr>
      <w:r w:rsidRPr="006D40F0">
        <w:t>Kap. 840 Tiltak mot vold og overgrep</w:t>
      </w:r>
    </w:p>
    <w:p w14:paraId="03507267" w14:textId="77777777" w:rsidR="00575AC3" w:rsidRPr="006D40F0" w:rsidRDefault="00575AC3" w:rsidP="006D40F0">
      <w:pPr>
        <w:pStyle w:val="b-post"/>
      </w:pPr>
      <w:r w:rsidRPr="006D40F0">
        <w:t>Post 21 Spesielle driftsutgifter, kan nyttes under post 70 og kap. 846, post 62</w:t>
      </w:r>
    </w:p>
    <w:p w14:paraId="404180E8" w14:textId="77777777" w:rsidR="00575AC3" w:rsidRPr="006D40F0" w:rsidRDefault="00575AC3" w:rsidP="006D40F0">
      <w:r w:rsidRPr="006D40F0">
        <w:t>Bevilgningen på posten går til å finansiere prosjekter og tiltak i arbeidet mot vold og overgrep. I 2024 ble det bevilget 10 mill. kroner til å starte etablering av en undersøkelseskommisjon for saker som gjelder vold, overgrep og grov omsorgssvikt. Grunnet forsinkelser i dette arbeidet, foreslås det å omdisponere 5 mill. kroner fra posten til tilskuddsordningen til drifts- og prosjekttilskudd til tiltak mot vold og overgrep på kap. 840, post 70.</w:t>
      </w:r>
    </w:p>
    <w:p w14:paraId="2BFB138F" w14:textId="77777777" w:rsidR="00575AC3" w:rsidRPr="006D40F0" w:rsidRDefault="00575AC3" w:rsidP="006D40F0">
      <w:r w:rsidRPr="006D40F0">
        <w:t>På denne bakgrunn foreslås det at kap. 840, post 21 blir redusert med 5 mill. kroner.</w:t>
      </w:r>
    </w:p>
    <w:p w14:paraId="5A2A262C" w14:textId="77777777" w:rsidR="00575AC3" w:rsidRPr="006D40F0" w:rsidRDefault="00575AC3" w:rsidP="006D40F0">
      <w:pPr>
        <w:pStyle w:val="b-post"/>
      </w:pPr>
      <w:r w:rsidRPr="006D40F0">
        <w:t>Post 70 Tilskudd til voldsforebyggende tiltak mv, kan nyttes under post 21 og post 61 og kap. 858, post 1</w:t>
      </w:r>
    </w:p>
    <w:p w14:paraId="1E073BEE" w14:textId="77777777" w:rsidR="00575AC3" w:rsidRPr="006D40F0" w:rsidRDefault="00575AC3" w:rsidP="006D40F0">
      <w:r w:rsidRPr="006D40F0">
        <w:t xml:space="preserve">Bevilgningen på posten går blant annet til tilskuddsordningen </w:t>
      </w:r>
      <w:r w:rsidRPr="00575AC3">
        <w:rPr>
          <w:rStyle w:val="kursiv"/>
        </w:rPr>
        <w:t>Drifts- og prosjekttilskudd til tiltak mot vold og overgrep</w:t>
      </w:r>
      <w:r w:rsidRPr="006D40F0">
        <w:t>. Det foreslås å omdisponere 5 mill. kroner til tilskuddsordningen, slik at denne blir på totalt 36,2 mill. kroner i 2024, mot en tilsvarende reduksjon på kap. 840, post 21.</w:t>
      </w:r>
    </w:p>
    <w:p w14:paraId="1692DA0D" w14:textId="77777777" w:rsidR="00575AC3" w:rsidRPr="006D40F0" w:rsidRDefault="00575AC3" w:rsidP="006D40F0">
      <w:r w:rsidRPr="006D40F0">
        <w:t>På denne bakgrunn foreslås det at kap. 840, post 70 økes med 5 mill. kroner.</w:t>
      </w:r>
    </w:p>
    <w:p w14:paraId="1AC3EE3B" w14:textId="77777777" w:rsidR="00575AC3" w:rsidRPr="006D40F0" w:rsidRDefault="00575AC3" w:rsidP="006D40F0">
      <w:pPr>
        <w:pStyle w:val="b-budkaptit"/>
      </w:pPr>
      <w:r w:rsidRPr="006D40F0">
        <w:t>Kap. 843 Adopsjonsstøtte</w:t>
      </w:r>
    </w:p>
    <w:p w14:paraId="6997082D" w14:textId="77777777" w:rsidR="00575AC3" w:rsidRPr="006D40F0" w:rsidRDefault="00575AC3" w:rsidP="006D40F0">
      <w:pPr>
        <w:pStyle w:val="b-post"/>
      </w:pPr>
      <w:r w:rsidRPr="006D40F0">
        <w:t>Post 70 Tilskudd til foreldre som adopterer barn fra utlandet, overslagsbevilgning</w:t>
      </w:r>
    </w:p>
    <w:p w14:paraId="62218FC5" w14:textId="77777777" w:rsidR="00575AC3" w:rsidRPr="006D40F0" w:rsidRDefault="00575AC3" w:rsidP="006D40F0">
      <w:r w:rsidRPr="006D40F0">
        <w:t>Bevilgningen dekker støtte til adoptivforeldre som har fått samtykke av norske adopsjonsstyresmakter til å adoptere barn fra utlandet. Det er anslått et behov for adopsjonsstøtte tilsvarende 6 mill. kroner for 2024. På denne bakgrunn foreslås det at bevilgningen på kap. 843, post 70 reduseres med 1,9 mill. kroner.</w:t>
      </w:r>
    </w:p>
    <w:p w14:paraId="3C956836" w14:textId="77777777" w:rsidR="00575AC3" w:rsidRPr="006D40F0" w:rsidRDefault="00575AC3" w:rsidP="006D40F0">
      <w:pPr>
        <w:pStyle w:val="b-budkaptit"/>
      </w:pPr>
      <w:r w:rsidRPr="006D40F0">
        <w:lastRenderedPageBreak/>
        <w:t>Kap. 844 Kontantstøtte</w:t>
      </w:r>
    </w:p>
    <w:p w14:paraId="4ACBABD2" w14:textId="77777777" w:rsidR="00575AC3" w:rsidRPr="006D40F0" w:rsidRDefault="00575AC3" w:rsidP="006D40F0">
      <w:pPr>
        <w:pStyle w:val="b-post"/>
      </w:pPr>
      <w:r w:rsidRPr="006D40F0">
        <w:t>Post 70 Tilskudd, overslagsbevilgning</w:t>
      </w:r>
    </w:p>
    <w:p w14:paraId="028B66B8" w14:textId="77777777" w:rsidR="00575AC3" w:rsidRPr="006D40F0" w:rsidRDefault="00575AC3" w:rsidP="006D40F0">
      <w:r w:rsidRPr="006D40F0">
        <w:t>Utgiftene til kontantstøtte i 2024 er anslått til 920 mill. kroner. Anslaget er oppjustert med 6,3 mill. kroner fra saldert budsjett. Endringen skyldes noe flere kontantstøttemottakere enn tidligere lagt til grunn.</w:t>
      </w:r>
    </w:p>
    <w:p w14:paraId="38F042A3" w14:textId="77777777" w:rsidR="00575AC3" w:rsidRPr="006D40F0" w:rsidRDefault="00575AC3" w:rsidP="006D40F0">
      <w:r w:rsidRPr="006D40F0">
        <w:t>Det foreslås derfor å øke bevilgningen på kap. 844, post 70 med 6,3 mill. kroner.</w:t>
      </w:r>
    </w:p>
    <w:p w14:paraId="74393DFB" w14:textId="77777777" w:rsidR="00575AC3" w:rsidRPr="006D40F0" w:rsidRDefault="00575AC3" w:rsidP="006D40F0">
      <w:pPr>
        <w:pStyle w:val="b-budkaptit"/>
      </w:pPr>
      <w:r w:rsidRPr="006D40F0">
        <w:t>Kap. 845 Barnetrygd</w:t>
      </w:r>
    </w:p>
    <w:p w14:paraId="530BC410" w14:textId="77777777" w:rsidR="00575AC3" w:rsidRPr="006D40F0" w:rsidRDefault="00575AC3" w:rsidP="006D40F0">
      <w:pPr>
        <w:pStyle w:val="b-post"/>
      </w:pPr>
      <w:r w:rsidRPr="006D40F0">
        <w:t>Post 70 Tilskudd, overslagsbevilgning</w:t>
      </w:r>
    </w:p>
    <w:p w14:paraId="056D79A6" w14:textId="77777777" w:rsidR="00575AC3" w:rsidRPr="006D40F0" w:rsidRDefault="00575AC3" w:rsidP="006D40F0">
      <w:r w:rsidRPr="006D40F0">
        <w:t>Bevilgningen på posten foreslås redusert med 903 mill. kroner sammenlignet med saldert budsjett. Endringer i anslaget for barn med barnetrygd trekker bevilgningsbehovet ned med 741 mill. kroner.</w:t>
      </w:r>
    </w:p>
    <w:p w14:paraId="53E094FE" w14:textId="77777777" w:rsidR="00575AC3" w:rsidRPr="006D40F0" w:rsidRDefault="00575AC3" w:rsidP="006D40F0">
      <w:r w:rsidRPr="006D40F0">
        <w:t>Videre vises det til Prop. 72 L (2023–2024), og forslag om å erstatte gjeldende regel om etterbetaling av barnetrygd i opptil tre år med en ny hovedregel om etterbetaling i opptil tre måneder. Endringen skal bidra til å utjevne ankomstene av fordrevne fra Ukraina til Norge til nivåer mer på linje med våre nordiske naboland. Endringen er anslått å redusere bevilgningsbehovet til barnetrygd med ytterligere 162 mill. kroner. Helårseffekten fra 2025 er anslått til 225 mill. kroner. Omleggingen krever endringer i Navs systemer. Arbeids- og velferdsdirektoratet anslår de administrative kostnadene i Nav til 2,5 mill. kroner i innføringsåret, se også omtale under kap. 605, post 01.</w:t>
      </w:r>
    </w:p>
    <w:p w14:paraId="69C0BD3F" w14:textId="77777777" w:rsidR="00575AC3" w:rsidRPr="006D40F0" w:rsidRDefault="00575AC3" w:rsidP="006D40F0">
      <w:r w:rsidRPr="006D40F0">
        <w:t>Samlet foreslås det derfor å redusere bevilgningen på kap. 845, post 70 med 903 mill. kroner.</w:t>
      </w:r>
    </w:p>
    <w:p w14:paraId="22290616" w14:textId="77777777" w:rsidR="00575AC3" w:rsidRPr="006D40F0" w:rsidRDefault="00575AC3" w:rsidP="006D40F0">
      <w:pPr>
        <w:pStyle w:val="b-budkaptit"/>
      </w:pPr>
      <w:r w:rsidRPr="006D40F0">
        <w:t>Kap. 854 Tiltak i barne- og ungdomsvernet</w:t>
      </w:r>
    </w:p>
    <w:p w14:paraId="1ADB388F" w14:textId="77777777" w:rsidR="00575AC3" w:rsidRPr="006D40F0" w:rsidRDefault="00575AC3" w:rsidP="006D40F0">
      <w:pPr>
        <w:pStyle w:val="b-post"/>
      </w:pPr>
      <w:r w:rsidRPr="006D40F0">
        <w:t>Post 21 Spesielle driftsutgifter</w:t>
      </w:r>
    </w:p>
    <w:p w14:paraId="67159320" w14:textId="77777777" w:rsidR="00575AC3" w:rsidRPr="006D40F0" w:rsidRDefault="00575AC3" w:rsidP="006D40F0">
      <w:r w:rsidRPr="006D40F0">
        <w:t>Bevilgningen dekker utgifter til utviklingstiltak, i hovedsak tidsavgrensede prosjekter, på barnevernsområdet. Bevilgningen foreslås økt med 3,2 mill. kroner mot en tilsvarende reduksjon på kap. 854, post 61. Bevilgningsøkningen skal nyttes til implementering og spredning av grunnmodell for hjelpetiltak og enkelte andre utviklingsprosjekter på barnevernsområdet. Se omtale under kap. 854, post 61.</w:t>
      </w:r>
    </w:p>
    <w:p w14:paraId="41BA0FE9" w14:textId="77777777" w:rsidR="00575AC3" w:rsidRPr="006D40F0" w:rsidRDefault="00575AC3" w:rsidP="006D40F0">
      <w:pPr>
        <w:pStyle w:val="b-post"/>
      </w:pPr>
      <w:r w:rsidRPr="006D40F0">
        <w:t>Post 61 Utvikling i kommunene</w:t>
      </w:r>
    </w:p>
    <w:p w14:paraId="1A013CF5" w14:textId="77777777" w:rsidR="00575AC3" w:rsidRPr="006D40F0" w:rsidRDefault="00575AC3" w:rsidP="006D40F0">
      <w:r w:rsidRPr="006D40F0">
        <w:t xml:space="preserve">Bevilgningen dekker tilskudd til utviklingsprosjekter og andre tiltak i regi av kommuner og statsforvalterne. Bevilgningen foreslås redusert med 3,2 mill. kroner mot tilsvarende økning på kap. 854, post 21, grunnet </w:t>
      </w:r>
      <w:proofErr w:type="spellStart"/>
      <w:r w:rsidRPr="006D40F0">
        <w:t>mindrebehov</w:t>
      </w:r>
      <w:proofErr w:type="spellEnd"/>
      <w:r w:rsidRPr="006D40F0">
        <w:t xml:space="preserve"> som følge av ferdigstilling av piloterings- og utviklingsarbeid knyttet til grunnmodell for hjelpetiltak. Deler av </w:t>
      </w:r>
      <w:proofErr w:type="spellStart"/>
      <w:r w:rsidRPr="006D40F0">
        <w:t>mindrebehovet</w:t>
      </w:r>
      <w:proofErr w:type="spellEnd"/>
      <w:r w:rsidRPr="006D40F0">
        <w:t xml:space="preserve"> skyldes også et avsluttet prosjekt i Oslo kommune om barnevernets arbeid med å hjelpe unge som begår, eller står i fare for å begå lovbrudd.</w:t>
      </w:r>
    </w:p>
    <w:p w14:paraId="3C8C3847" w14:textId="77777777" w:rsidR="00575AC3" w:rsidRPr="006D40F0" w:rsidRDefault="00575AC3" w:rsidP="006D40F0">
      <w:r w:rsidRPr="006D40F0">
        <w:lastRenderedPageBreak/>
        <w:t>I forbindelse med RNB for 2023 ble bevilgningen på posten økt med 1,9 mill. kroner til Oslo kommune for å øke kapasiteten i tverrfaglig helsekartlegging i kommunen. Ved en feil ble det økte tilskuddet ikke utbetalt i 2023, og må derfor etterbetales i 2024. Bevilgningen foreslås derfor økt med 1,9 mill. kroner mot en tilsvarende reduksjon på kap. 855, post 01.</w:t>
      </w:r>
    </w:p>
    <w:p w14:paraId="6A57DB40" w14:textId="77777777" w:rsidR="00575AC3" w:rsidRPr="006D40F0" w:rsidRDefault="00575AC3" w:rsidP="006D40F0">
      <w:r w:rsidRPr="006D40F0">
        <w:t>Samlet foreslås det å redusere bevilgningen på posten med 1,3 mill. kroner.</w:t>
      </w:r>
    </w:p>
    <w:p w14:paraId="47830FD3" w14:textId="77777777" w:rsidR="00575AC3" w:rsidRPr="006D40F0" w:rsidRDefault="00575AC3" w:rsidP="006D40F0">
      <w:pPr>
        <w:pStyle w:val="b-budkaptit"/>
      </w:pPr>
      <w:r w:rsidRPr="006D40F0">
        <w:t>Kap. 855 Statlig forvaltning av barnevernet</w:t>
      </w:r>
    </w:p>
    <w:p w14:paraId="0A02E8DF" w14:textId="77777777" w:rsidR="00575AC3" w:rsidRPr="006D40F0" w:rsidRDefault="00575AC3" w:rsidP="006D40F0">
      <w:pPr>
        <w:pStyle w:val="b-post"/>
      </w:pPr>
      <w:r w:rsidRPr="006D40F0">
        <w:t>Post 01 Driftsutgifter, kan nyttes under post 22</w:t>
      </w:r>
    </w:p>
    <w:p w14:paraId="2CAC76F9" w14:textId="77777777" w:rsidR="00575AC3" w:rsidRPr="006D40F0" w:rsidRDefault="00575AC3" w:rsidP="006D40F0">
      <w:r w:rsidRPr="006D40F0">
        <w:t xml:space="preserve">Bevilgningen på posten dekker lønn og sosiale kostnader til ansatte i </w:t>
      </w:r>
      <w:proofErr w:type="spellStart"/>
      <w:r w:rsidRPr="006D40F0">
        <w:t>Bufetat</w:t>
      </w:r>
      <w:proofErr w:type="spellEnd"/>
      <w:r w:rsidRPr="006D40F0">
        <w:t>. Andre vesentlige utgifter er utgifter til leie og drift av barnevernsinstitusjoner, til opplæring og til varer og tjenester.</w:t>
      </w:r>
    </w:p>
    <w:p w14:paraId="6F5CFEA1" w14:textId="77777777" w:rsidR="00575AC3" w:rsidRPr="006D40F0" w:rsidRDefault="00575AC3" w:rsidP="006D40F0">
      <w:r w:rsidRPr="006D40F0">
        <w:t>Det forventes en nedgang i samlet bruk av spesialiserte fosterhjem, i hovedsak knyttet til utfasingen av private familiehjem, jf. omtale under kap. 855, post 22 og kap. 3855, post 60. For statlige spesialiserte fosterhjem forventes det økte utgifter, og det foreslås å øke bevilgningen med 13 mill. kroner.</w:t>
      </w:r>
    </w:p>
    <w:p w14:paraId="5DA14DF6" w14:textId="77777777" w:rsidR="00575AC3" w:rsidRPr="006D40F0" w:rsidRDefault="00575AC3" w:rsidP="006D40F0">
      <w:r w:rsidRPr="006D40F0">
        <w:t>Som beskrevet i Prop. 1 S (2023–2024) for Barne- og familiedepartementet har bevilgningen på posten blitt økt med 60 mill. kroner i 2024, for å etablere nye statlige institusjonsplasser. Dette for at de statlige institusjonene kan ivareta flere av de mest sårbare barna. Regjeringen vil utnytte denne bevilgningen fullt ut til å etablere flest mulig plasser i 2024, grunnet manglende kapasitet i institusjonsbarnevernet. Dette arbeidet vil føre til økte utgifter på anslagsvis 60 mill. kroner i 2025.</w:t>
      </w:r>
    </w:p>
    <w:p w14:paraId="1038D0BA" w14:textId="77777777" w:rsidR="00575AC3" w:rsidRPr="006D40F0" w:rsidRDefault="00575AC3" w:rsidP="006D40F0">
      <w:r w:rsidRPr="006D40F0">
        <w:t>Bevilgningen foreslås imidlertid redusert med 5 mill. kroner i 2024 som følge av færre oppholdsdager i statlige institusjoner i 2024 enn tidligere lagt til grunn. Dette fordi etablering av flere statlige plasser tar noe lenger tid enn anslått.</w:t>
      </w:r>
    </w:p>
    <w:p w14:paraId="6EAC3ACC" w14:textId="77777777" w:rsidR="00575AC3" w:rsidRPr="006D40F0" w:rsidRDefault="00575AC3" w:rsidP="006D40F0">
      <w:r w:rsidRPr="006D40F0">
        <w:t>Bevilgningen foreslås videre redusert med 1,9 mill. kroner for å dekke manglende utbetaling av tilskudd til tverrfaglig helsekartlegging i 2023 i Oslo kommune. Se omtale under kap. 854, post 61.</w:t>
      </w:r>
    </w:p>
    <w:p w14:paraId="60588C09" w14:textId="77777777" w:rsidR="00575AC3" w:rsidRPr="006D40F0" w:rsidRDefault="00575AC3" w:rsidP="006D40F0">
      <w:r w:rsidRPr="006D40F0">
        <w:t>Samlet foreslås det å øke bevilgningen på posten med 6,1 mill. kroner.</w:t>
      </w:r>
    </w:p>
    <w:p w14:paraId="40010CB6" w14:textId="77777777" w:rsidR="00575AC3" w:rsidRPr="006D40F0" w:rsidRDefault="00575AC3" w:rsidP="006D40F0">
      <w:pPr>
        <w:pStyle w:val="b-post"/>
      </w:pPr>
      <w:r w:rsidRPr="006D40F0">
        <w:t>Post 22 Kjøp av private barnevernstjenester, kan nyttes under post 1</w:t>
      </w:r>
    </w:p>
    <w:p w14:paraId="03517AFC" w14:textId="77777777" w:rsidR="00575AC3" w:rsidRPr="006D40F0" w:rsidRDefault="00575AC3" w:rsidP="006D40F0">
      <w:r w:rsidRPr="006D40F0">
        <w:t>Bevilgningen dekker det statlige barnevernets kjøp av private barnevernstiltak. Dette omfatter både kjøp fra ideelle og kommersielle leverandører.</w:t>
      </w:r>
    </w:p>
    <w:p w14:paraId="67E7D95B" w14:textId="77777777" w:rsidR="00575AC3" w:rsidRPr="006D40F0" w:rsidRDefault="00575AC3" w:rsidP="006D40F0">
      <w:r w:rsidRPr="006D40F0">
        <w:t>Det foreslås å øke bevilgningen med 198 mill. kroner. Merbehovet skyldes i hovedsak at flere av barna har behov som ikke dekkes av inngåtte rammeavtaler. Prisen for enkeltkjøp er i gjennomsnitt høyere per oppholdsdag enn på de inngåtte rammeavtalene. Forventet merbehov for enkeltkjøp er også begrunnet i færre statlige plasser på kort sikt enn hva som tidligere ble lagt til grunn, jf. omtale under kap. 855, post 01. Som beskrevet i Prop. 1 S (2023–2024) for Barne- og familiedepartementet er det viktig for regjeringen at tilbudet til barna ivaretas. Derfor vil det også fremdeles være behov for private kommersielle aktører i statlig barnevern fremover.</w:t>
      </w:r>
    </w:p>
    <w:p w14:paraId="448A60A9" w14:textId="77777777" w:rsidR="00575AC3" w:rsidRPr="006D40F0" w:rsidRDefault="00575AC3" w:rsidP="006D40F0">
      <w:r w:rsidRPr="006D40F0">
        <w:lastRenderedPageBreak/>
        <w:t>Bevilgningen foreslås videre redusert med 56 mill. kroner som følge av at det forventes færre oppholdsdager i private fosterhjem enn tidligere anslått. Nedgangen er i hovedsak knyttet til utfasingen av de tidligere familiehjemmene.</w:t>
      </w:r>
    </w:p>
    <w:p w14:paraId="0BAB13C1" w14:textId="77777777" w:rsidR="00575AC3" w:rsidRPr="006D40F0" w:rsidRDefault="00575AC3" w:rsidP="006D40F0">
      <w:r w:rsidRPr="006D40F0">
        <w:t>Samlet foreslås det å øke bevilgningen på posten med 142 mill. kroner.</w:t>
      </w:r>
    </w:p>
    <w:p w14:paraId="3D219D38" w14:textId="77777777" w:rsidR="00575AC3" w:rsidRPr="006D40F0" w:rsidRDefault="00575AC3" w:rsidP="006D40F0">
      <w:pPr>
        <w:pStyle w:val="b-budkaptit"/>
      </w:pPr>
      <w:r w:rsidRPr="006D40F0">
        <w:t>Kap. 3855 Statlig forvaltning av barnevernet</w:t>
      </w:r>
    </w:p>
    <w:p w14:paraId="4D993978" w14:textId="77777777" w:rsidR="00575AC3" w:rsidRPr="006D40F0" w:rsidRDefault="00575AC3" w:rsidP="006D40F0">
      <w:pPr>
        <w:pStyle w:val="b-post"/>
      </w:pPr>
      <w:r w:rsidRPr="006D40F0">
        <w:t>Post 60 Kommunale egenandeler</w:t>
      </w:r>
    </w:p>
    <w:p w14:paraId="0A3E9F6B" w14:textId="77777777" w:rsidR="00575AC3" w:rsidRPr="006D40F0" w:rsidRDefault="00575AC3" w:rsidP="006D40F0">
      <w:r w:rsidRPr="006D40F0">
        <w:t>Inntektene på posten kommer fra kommunale egenandeler for tiltak i det statlige barnevernet. Det anslås reduserte inntekter på 70 mill. kroner. Dette skyldes i hovedsak færre oppholdsdager i fosterhjem enn lagt til grunn i saldert budsjett, jf. omtale under kap. 855, post 22.</w:t>
      </w:r>
    </w:p>
    <w:p w14:paraId="1F7671CA" w14:textId="77777777" w:rsidR="00575AC3" w:rsidRPr="006D40F0" w:rsidRDefault="00575AC3" w:rsidP="006D40F0">
      <w:pPr>
        <w:pStyle w:val="b-budkaptit"/>
      </w:pPr>
      <w:r w:rsidRPr="006D40F0">
        <w:t>Kap. 856 Barnevernets omsorgssenter for enslige, mindreårige asylsøkere</w:t>
      </w:r>
    </w:p>
    <w:p w14:paraId="1DF8026A" w14:textId="77777777" w:rsidR="00575AC3" w:rsidRPr="006D40F0" w:rsidRDefault="00575AC3" w:rsidP="006D40F0">
      <w:pPr>
        <w:pStyle w:val="b-post"/>
      </w:pPr>
      <w:r w:rsidRPr="006D40F0">
        <w:t>Post 01 Driftsutgifter, kan nyttes under post 22</w:t>
      </w:r>
    </w:p>
    <w:p w14:paraId="4E81608B" w14:textId="77777777" w:rsidR="00575AC3" w:rsidRPr="006D40F0" w:rsidRDefault="00575AC3" w:rsidP="006D40F0">
      <w:r w:rsidRPr="006D40F0">
        <w:t>Bevilgningen på posten dekker utgifter til drift av statlige omsorgssentre for enslige, mindreårige asylsøkere under 15 år, kjøp av plasser i private omsorgssentre, forvaltningsoppgaver knyttet til omsorgssentrene, samt bosettingsarbeid.</w:t>
      </w:r>
    </w:p>
    <w:p w14:paraId="54618BA3" w14:textId="77777777" w:rsidR="00575AC3" w:rsidRPr="006D40F0" w:rsidRDefault="00575AC3" w:rsidP="006D40F0">
      <w:r w:rsidRPr="006D40F0">
        <w:t>Bevilgningen i saldert budsjett legger til rette for drift av 50 statlige plasser og kjøp av 118 private plasser. Det anslås nå et gjennomsnittlig behov for 182 plasser i 2024, en økning på 14 plasser sammenlignet med gjeldende budsjett. Anslagene er usikre. Det foreslås derfor å øke bevilgningen til barnevernets omsorgssentre med 19,7 mill. kroner.</w:t>
      </w:r>
    </w:p>
    <w:p w14:paraId="3D36CF92" w14:textId="77777777" w:rsidR="00575AC3" w:rsidRPr="006D40F0" w:rsidRDefault="00575AC3" w:rsidP="006D40F0">
      <w:r w:rsidRPr="006D40F0">
        <w:t>En betydelig del av bevilgningen på kap. 856 går til kjøp av private omsorgsplasser. For å sikre mer korrekt postbruk foreslås bevilgningen videre redusert med 338,2 mill. kroner mot en tilsvarende bevilgning på kap. 856, post 22 (ny). Som følge av at antall barn som plasseres i henholdsvis statlige og private omsorgssentre varierer i løpet av budsjettåret, foreslås det at kap. 855, post 01 får stikkordet «kan nyttes under post 22» og at kap. 855, post 22 (ny) får stikkordet «kan nyttes under post 1». Samlet foreslås det å redusere bevilgningen på posten med 318,5 mill. kroner.</w:t>
      </w:r>
    </w:p>
    <w:p w14:paraId="7AC5E855" w14:textId="77777777" w:rsidR="00575AC3" w:rsidRPr="006D40F0" w:rsidRDefault="00575AC3" w:rsidP="006D40F0">
      <w:pPr>
        <w:pStyle w:val="b-post"/>
      </w:pPr>
      <w:r w:rsidRPr="006D40F0">
        <w:t>Post 22 (Ny) Kjøp av plasser i private omsorgssentre, kan nyttes under post 1</w:t>
      </w:r>
    </w:p>
    <w:p w14:paraId="156EEBFC" w14:textId="77777777" w:rsidR="00575AC3" w:rsidRPr="006D40F0" w:rsidRDefault="00575AC3" w:rsidP="006D40F0">
      <w:r w:rsidRPr="006D40F0">
        <w:t>Bevilgningen på posten skal gå til kjøp av private omsorgsplasser til enslige mindreårige asylsøkere under 15 år. Det anslås at det er behov for i gjennomsnitt 132 private plasser i 2024. Det foreslås en bevilgning på 338,2 mill. kroner på kap. 856, post 22, mot en tilsvarende reduksjon på kap. 856, post 01.</w:t>
      </w:r>
    </w:p>
    <w:p w14:paraId="5B5FD3A0" w14:textId="77777777" w:rsidR="00575AC3" w:rsidRPr="006D40F0" w:rsidRDefault="00575AC3" w:rsidP="006D40F0">
      <w:pPr>
        <w:pStyle w:val="b-budkaptit"/>
      </w:pPr>
      <w:r w:rsidRPr="006D40F0">
        <w:t>Kap. 3856 Barnevernets omsorgssenter for enslige, mindreårige asylsøkere</w:t>
      </w:r>
    </w:p>
    <w:p w14:paraId="064679FE" w14:textId="77777777" w:rsidR="00575AC3" w:rsidRPr="006D40F0" w:rsidRDefault="00575AC3" w:rsidP="006D40F0">
      <w:pPr>
        <w:pStyle w:val="b-post"/>
      </w:pPr>
      <w:r w:rsidRPr="006D40F0">
        <w:t>Post 04 Refusjon av ODA-godkjente utgifter</w:t>
      </w:r>
    </w:p>
    <w:p w14:paraId="58C2C915" w14:textId="77777777" w:rsidR="00575AC3" w:rsidRPr="006D40F0" w:rsidRDefault="00575AC3" w:rsidP="006D40F0">
      <w:r w:rsidRPr="006D40F0">
        <w:t xml:space="preserve">Innenlandske utgifter knyttet til mottak av asylsøkere og flyktninger kan ifølge OECD/DACs statistikkdirektiv godkjennes som offisiell utviklingshjelp. Det er kun utgifter det første året som </w:t>
      </w:r>
      <w:r w:rsidRPr="006D40F0">
        <w:lastRenderedPageBreak/>
        <w:t>kan ODA-godkjennes. Som følge av endringer i anslått botid, foreslås det at inntektene på posten reduseres med 51,9 mill. kroner.</w:t>
      </w:r>
    </w:p>
    <w:p w14:paraId="43A9133B" w14:textId="77777777" w:rsidR="00575AC3" w:rsidRPr="006D40F0" w:rsidRDefault="00575AC3" w:rsidP="006D40F0">
      <w:pPr>
        <w:pStyle w:val="b-budkaptit"/>
      </w:pPr>
      <w:r w:rsidRPr="006D40F0">
        <w:t>Kap. 858 Barne-, ungdoms- og familiedirektoratet og fellesfunksjoner i Barne-, ungdoms- og familieetaten</w:t>
      </w:r>
    </w:p>
    <w:p w14:paraId="485387CA" w14:textId="77777777" w:rsidR="00575AC3" w:rsidRPr="006D40F0" w:rsidRDefault="00575AC3" w:rsidP="006D40F0">
      <w:pPr>
        <w:pStyle w:val="b-post"/>
      </w:pPr>
      <w:r w:rsidRPr="006D40F0">
        <w:t>Post 01 Driftsutgifter</w:t>
      </w:r>
    </w:p>
    <w:p w14:paraId="478D238E" w14:textId="77777777" w:rsidR="00575AC3" w:rsidRPr="006D40F0" w:rsidRDefault="00575AC3" w:rsidP="006D40F0">
      <w:r w:rsidRPr="006D40F0">
        <w:t xml:space="preserve">Bevilgningen på posten dekker lønn og andre driftsutgifter i </w:t>
      </w:r>
      <w:proofErr w:type="spellStart"/>
      <w:r w:rsidRPr="006D40F0">
        <w:t>Bufdir</w:t>
      </w:r>
      <w:proofErr w:type="spellEnd"/>
      <w:r w:rsidRPr="006D40F0">
        <w:t xml:space="preserve"> og </w:t>
      </w:r>
      <w:proofErr w:type="spellStart"/>
      <w:r w:rsidRPr="006D40F0">
        <w:t>Bufetats</w:t>
      </w:r>
      <w:proofErr w:type="spellEnd"/>
      <w:r w:rsidRPr="006D40F0">
        <w:t xml:space="preserve"> senter for administrasjon og utvikling. I 2024 ble det bevilget 5 mill. kroner på kap. 671, post 62 under Arbeids- og inkluderingsdepartementet til utvidelse av det nasjonale bo- og støttetilbudet for personer som er utsatt for negativ sosial kontroll og </w:t>
      </w:r>
      <w:proofErr w:type="spellStart"/>
      <w:r w:rsidRPr="006D40F0">
        <w:t>æresrelatert</w:t>
      </w:r>
      <w:proofErr w:type="spellEnd"/>
      <w:r w:rsidRPr="006D40F0">
        <w:t xml:space="preserve"> vold. </w:t>
      </w:r>
      <w:proofErr w:type="spellStart"/>
      <w:r w:rsidRPr="006D40F0">
        <w:t>Bufdir</w:t>
      </w:r>
      <w:proofErr w:type="spellEnd"/>
      <w:r w:rsidRPr="006D40F0">
        <w:t xml:space="preserve"> har et overordnet ansvar for bo- og støttetilbudet. Arbeidet med å planlegge og iverksette krever flere ressurser i </w:t>
      </w:r>
      <w:proofErr w:type="spellStart"/>
      <w:r w:rsidRPr="006D40F0">
        <w:t>Bufdir</w:t>
      </w:r>
      <w:proofErr w:type="spellEnd"/>
      <w:r w:rsidRPr="006D40F0">
        <w:t xml:space="preserve"> enn opprinnelig anslått. Det foreslås derfor å øke kap. 858, post 01 med 1 mill. kroner, mot en tilsvarende reduksjon på kap. 671, post 62.</w:t>
      </w:r>
    </w:p>
    <w:p w14:paraId="0C99C9E4" w14:textId="77777777" w:rsidR="00575AC3" w:rsidRPr="006D40F0" w:rsidRDefault="00575AC3" w:rsidP="006D40F0">
      <w:pPr>
        <w:pStyle w:val="b-budkaptit"/>
      </w:pPr>
      <w:r w:rsidRPr="006D40F0">
        <w:t>Kap. 868 Forbrukertilsynet</w:t>
      </w:r>
    </w:p>
    <w:p w14:paraId="02E2F85D" w14:textId="77777777" w:rsidR="00575AC3" w:rsidRPr="006D40F0" w:rsidRDefault="00575AC3" w:rsidP="006D40F0">
      <w:pPr>
        <w:pStyle w:val="b-post"/>
      </w:pPr>
      <w:r w:rsidRPr="006D40F0">
        <w:t>Post 01 Driftsutgifter</w:t>
      </w:r>
    </w:p>
    <w:p w14:paraId="585EB4AB" w14:textId="77777777" w:rsidR="00575AC3" w:rsidRPr="006D40F0" w:rsidRDefault="00575AC3" w:rsidP="006D40F0">
      <w:r w:rsidRPr="006D40F0">
        <w:t>Bevilgningen dekker lønn og andre driftsutgifter i Forbrukertilsynet. Det foreslås å øke bevilgningen tilsvarende anslått økte gebyrinntekter, 1,5 mill. kroner, jf. omtale under kap. 3868, post 01.</w:t>
      </w:r>
    </w:p>
    <w:p w14:paraId="4445D665" w14:textId="77777777" w:rsidR="00575AC3" w:rsidRPr="006D40F0" w:rsidRDefault="00575AC3" w:rsidP="006D40F0">
      <w:pPr>
        <w:pStyle w:val="b-budkaptit"/>
      </w:pPr>
      <w:r w:rsidRPr="006D40F0">
        <w:t>Kap. 3868 Forbrukertilsynet</w:t>
      </w:r>
    </w:p>
    <w:p w14:paraId="463EBC1B" w14:textId="77777777" w:rsidR="00575AC3" w:rsidRPr="006D40F0" w:rsidRDefault="00575AC3" w:rsidP="006D40F0">
      <w:pPr>
        <w:pStyle w:val="b-post"/>
      </w:pPr>
      <w:r w:rsidRPr="006D40F0">
        <w:t>Post 01 (Ny) Gebyrinntekter</w:t>
      </w:r>
    </w:p>
    <w:p w14:paraId="6FC3225C" w14:textId="77777777" w:rsidR="00575AC3" w:rsidRPr="006D40F0" w:rsidRDefault="00575AC3" w:rsidP="006D40F0">
      <w:r w:rsidRPr="006D40F0">
        <w:t>Mekling i Forbrukertilsynet og behandling av tvistesaker i Forbrukerklageutvalget skal gi forbrukerne mulighet til å få behandlet tvister med næringsdrivende rimelig, raskt og enkelt. Tilbudet har vært gratis. Høy saksinngang har imidlertid ført til at behandlingstiden i perioder har blitt for lang. Fra 1. juli 2024 innføres det saksbehandlingsgebyr for saker til mekling i Forbrukertilsynet og saker til behandling i Forbrukerklageutvalget. Gebyrene vil kunne bidra til å begrense saksinngangen for saker av lav økonomisk verdi, slik at kapasiteten i stedet kan benyttes til saker av større betydning for forbrukerne.</w:t>
      </w:r>
    </w:p>
    <w:p w14:paraId="2C0A195C" w14:textId="77777777" w:rsidR="00575AC3" w:rsidRPr="006D40F0" w:rsidRDefault="00575AC3" w:rsidP="006D40F0">
      <w:r w:rsidRPr="006D40F0">
        <w:t>Innføring av saksbehandlingsgebyr for saker til mekling i Forbrukertilsynet og saker til behandling i Forbrukerklageutvalget er foreløpig anslått å kunne gi inntekter på om lag 1,5 mill. kroner i 2024 og 3 mill. kroner i 2025. Det foreslås ny inntektspost kap. 3868, post 01 til gebyrinntektene, samt en bevilgning på 1,5 mill. kroner.</w:t>
      </w:r>
    </w:p>
    <w:p w14:paraId="1A7BB4AB" w14:textId="77777777" w:rsidR="00575AC3" w:rsidRPr="006D40F0" w:rsidRDefault="00575AC3" w:rsidP="006D40F0">
      <w:pPr>
        <w:pStyle w:val="b-budkaptit"/>
      </w:pPr>
      <w:r w:rsidRPr="006D40F0">
        <w:t>Kap. 881 Tilskudd til trossamfunn m.m.</w:t>
      </w:r>
    </w:p>
    <w:p w14:paraId="16CEBA39" w14:textId="77777777" w:rsidR="00575AC3" w:rsidRPr="006D40F0" w:rsidRDefault="00575AC3" w:rsidP="006D40F0">
      <w:pPr>
        <w:pStyle w:val="b-post"/>
      </w:pPr>
      <w:r w:rsidRPr="006D40F0">
        <w:t>Post 78 Ymse faste tiltak</w:t>
      </w:r>
    </w:p>
    <w:p w14:paraId="13CAD5BB" w14:textId="77777777" w:rsidR="00575AC3" w:rsidRPr="006D40F0" w:rsidRDefault="00575AC3" w:rsidP="006D40F0">
      <w:r w:rsidRPr="006D40F0">
        <w:t xml:space="preserve">Konflikten i Israel og de palestinske områdene fører til et hardere ordskifte, også i den yngre delen av befolkningen. Det foreslås å øke bevilgningen med 1 mill. kroner til Samarbeidsrådet for tros- og livssynssamfunn (STL). Midlene skal gå til STLs arbeid med å forebygge hatytringer </w:t>
      </w:r>
      <w:r w:rsidRPr="006D40F0">
        <w:lastRenderedPageBreak/>
        <w:t>og polarisering blant barn og unge, i samarbeid med Den norske kirke, Norges Kristne Råd og Muslimsk Dialognettverk. Midlene kan også benyttes til forebyggende tiltak for barn og unge.</w:t>
      </w:r>
    </w:p>
    <w:p w14:paraId="6776232D" w14:textId="77777777" w:rsidR="00575AC3" w:rsidRPr="006D40F0" w:rsidRDefault="00575AC3" w:rsidP="006D40F0">
      <w:pPr>
        <w:pStyle w:val="b-budkaptit"/>
      </w:pPr>
      <w:r w:rsidRPr="006D40F0">
        <w:t>Kap. 882 Kirkebygg og gravplasser</w:t>
      </w:r>
    </w:p>
    <w:p w14:paraId="3A3050B0" w14:textId="77777777" w:rsidR="00575AC3" w:rsidRPr="006D40F0" w:rsidRDefault="00575AC3" w:rsidP="006D40F0">
      <w:pPr>
        <w:pStyle w:val="b-post"/>
      </w:pPr>
      <w:r w:rsidRPr="006D40F0">
        <w:t>Post 60 Rentekompensasjon – kirkebygg, kan overføres</w:t>
      </w:r>
    </w:p>
    <w:p w14:paraId="6A943385" w14:textId="77777777" w:rsidR="00575AC3" w:rsidRPr="006D40F0" w:rsidRDefault="00575AC3" w:rsidP="006D40F0">
      <w:r w:rsidRPr="006D40F0">
        <w:t>Bevilgningen skal dekke beløp tilsvarende renteutgiftene for investeringskostnadene det er gitt tilsagn om kompensasjon for i perioden 2005–2019. Det har ikke vært gitt ny investeringsramme etter 2019.</w:t>
      </w:r>
    </w:p>
    <w:p w14:paraId="52896F60" w14:textId="77777777" w:rsidR="00575AC3" w:rsidRPr="006D40F0" w:rsidRDefault="00575AC3" w:rsidP="006D40F0">
      <w:r w:rsidRPr="006D40F0">
        <w:t>Det foreslås å øke bevilgningen på kap. 882, post 60 med 8 mill. kroner i 2024, grunnet endrede renteforutsetninger.</w:t>
      </w:r>
    </w:p>
    <w:p w14:paraId="7D828B97" w14:textId="77777777" w:rsidR="00575AC3" w:rsidRPr="006D40F0" w:rsidRDefault="00575AC3" w:rsidP="006D40F0">
      <w:pPr>
        <w:pStyle w:val="b-budkaptit"/>
      </w:pPr>
      <w:r w:rsidRPr="006D40F0">
        <w:t>Kap. 883 Kirkebevaringsfondet</w:t>
      </w:r>
    </w:p>
    <w:p w14:paraId="14321845" w14:textId="77777777" w:rsidR="00575AC3" w:rsidRPr="006D40F0" w:rsidRDefault="00575AC3" w:rsidP="006D40F0">
      <w:pPr>
        <w:pStyle w:val="b-post"/>
      </w:pPr>
      <w:r w:rsidRPr="006D40F0">
        <w:t>Post 60 (Ny) Tilskudd til kulturhistorisk verdifulle kirkebygg, kan overføres</w:t>
      </w:r>
    </w:p>
    <w:p w14:paraId="60D9BEA5" w14:textId="77777777" w:rsidR="00575AC3" w:rsidRPr="006D40F0" w:rsidRDefault="00575AC3" w:rsidP="006D40F0">
      <w:r w:rsidRPr="006D40F0">
        <w:t xml:space="preserve">Bevilgningen på posten skal benyttes til å sette i stand de kulturhistorisk verdifulle kirkebyggene i tråd med tilskuddsordningen knyttet til </w:t>
      </w:r>
      <w:r w:rsidRPr="00575AC3">
        <w:rPr>
          <w:rStyle w:val="kursiv"/>
        </w:rPr>
        <w:t>Bevaringsstrategi for kulturhistorisk verdifulle kirkebygg</w:t>
      </w:r>
      <w:r w:rsidRPr="006D40F0">
        <w:t>. Bevaringsstrategien følger opp anmodningsvedtak nr. 500 og 502 av 14. april 2020, og anmodningsvedtak 708 av 16. juni 2020. Bevaringsstrategien legger til grunn at det skal etableres tre bevaringsprogrammer etter kategorier av kirker: Ett bevaringsprogram for middelalderkirker, ett for kirkebygg fra perioden 1537 – 1850 og ett for kirkebygg oppført etter 1850. Dette gir mulighet for målrettet innsats i tråd med behovene fra de forskjellige periodene. Innenfor hvert bevaringsprogram vil det bli etablert fire tverrgående innsatsområder:</w:t>
      </w:r>
    </w:p>
    <w:p w14:paraId="1C73A6E5" w14:textId="77777777" w:rsidR="00575AC3" w:rsidRPr="006D40F0" w:rsidRDefault="00575AC3" w:rsidP="006D40F0">
      <w:pPr>
        <w:pStyle w:val="friliste"/>
      </w:pPr>
      <w:r w:rsidRPr="006D40F0">
        <w:t>1.</w:t>
      </w:r>
      <w:r w:rsidRPr="006D40F0">
        <w:tab/>
        <w:t>Bevaring (istandsetting, sikring og konservering)</w:t>
      </w:r>
    </w:p>
    <w:p w14:paraId="1BD668B3" w14:textId="77777777" w:rsidR="00575AC3" w:rsidRPr="006D40F0" w:rsidRDefault="00575AC3" w:rsidP="006D40F0">
      <w:pPr>
        <w:pStyle w:val="friliste"/>
      </w:pPr>
      <w:r w:rsidRPr="006D40F0">
        <w:t>2.</w:t>
      </w:r>
      <w:r w:rsidRPr="006D40F0">
        <w:tab/>
        <w:t>Kunnskap og kompetanse</w:t>
      </w:r>
    </w:p>
    <w:p w14:paraId="0B7B55C6" w14:textId="77777777" w:rsidR="00575AC3" w:rsidRPr="006D40F0" w:rsidRDefault="00575AC3" w:rsidP="006D40F0">
      <w:pPr>
        <w:pStyle w:val="friliste"/>
      </w:pPr>
      <w:r w:rsidRPr="006D40F0">
        <w:t>3.</w:t>
      </w:r>
      <w:r w:rsidRPr="006D40F0">
        <w:tab/>
        <w:t>Opplevelse og formidling</w:t>
      </w:r>
    </w:p>
    <w:p w14:paraId="15964FFE" w14:textId="77777777" w:rsidR="00575AC3" w:rsidRPr="006D40F0" w:rsidRDefault="00575AC3" w:rsidP="006D40F0">
      <w:pPr>
        <w:pStyle w:val="friliste"/>
      </w:pPr>
      <w:r w:rsidRPr="006D40F0">
        <w:t>4.</w:t>
      </w:r>
      <w:r w:rsidRPr="006D40F0">
        <w:tab/>
        <w:t>Engasjement og deltakelse</w:t>
      </w:r>
    </w:p>
    <w:p w14:paraId="42878C8E" w14:textId="77777777" w:rsidR="00575AC3" w:rsidRPr="006D40F0" w:rsidRDefault="00575AC3" w:rsidP="006D40F0">
      <w:r w:rsidRPr="006D40F0">
        <w:t>Innsatsområdene angir på et overordnet nivå hvilke områder som skal prioriteres, er gjensidig avhengig av hverandre og skal sammen bidra til måloppnåelse.</w:t>
      </w:r>
    </w:p>
    <w:p w14:paraId="6527EFC9" w14:textId="77777777" w:rsidR="00575AC3" w:rsidRPr="006D40F0" w:rsidRDefault="00575AC3" w:rsidP="006D40F0">
      <w:r w:rsidRPr="006D40F0">
        <w:t xml:space="preserve">Det vil bli opprettet et sekretariat og programstyre for å følge opp arbeidet med bevaringsstrategien og tilhørende tilskuddsordning. Sekretariatet og styret vil være satt sammen av ressurser fra både Riksantikvaren og Den norske kirke ved Kirkerådet og Hovedorganisasjonen KA, i tillegg til en </w:t>
      </w:r>
      <w:proofErr w:type="spellStart"/>
      <w:r w:rsidRPr="006D40F0">
        <w:t>sekretariatsledelse</w:t>
      </w:r>
      <w:proofErr w:type="spellEnd"/>
      <w:r w:rsidRPr="006D40F0">
        <w:t xml:space="preserve"> hos Riksantikvaren. Preses i Den norske kirke vil lede programstyret. Det formelle forvaltningsansvaret for tilskuddsordningen vil ligge til Riksantikvaren. Administrasjonen for arbeidet vil bli lagt til Trondheim. For å tydeliggjøre den kirkelige forankringen av ordningen, tas det sikte på å leie lokaler for administrasjonen i </w:t>
      </w:r>
      <w:proofErr w:type="spellStart"/>
      <w:r w:rsidRPr="006D40F0">
        <w:t>Waisenhuset</w:t>
      </w:r>
      <w:proofErr w:type="spellEnd"/>
      <w:r w:rsidRPr="006D40F0">
        <w:t>.</w:t>
      </w:r>
    </w:p>
    <w:p w14:paraId="4826E7CE" w14:textId="77777777" w:rsidR="00575AC3" w:rsidRPr="006D40F0" w:rsidRDefault="00575AC3" w:rsidP="006D40F0">
      <w:r w:rsidRPr="006D40F0">
        <w:t>Nærmere omtale av hovedelementene i tilskuddsordningen følger under.</w:t>
      </w:r>
    </w:p>
    <w:p w14:paraId="1797B85C" w14:textId="77777777" w:rsidR="00575AC3" w:rsidRPr="006D40F0" w:rsidRDefault="00575AC3" w:rsidP="006D40F0">
      <w:pPr>
        <w:pStyle w:val="avsnitt-undertittel"/>
      </w:pPr>
      <w:r w:rsidRPr="006D40F0">
        <w:t>Mål og målgruppe</w:t>
      </w:r>
    </w:p>
    <w:p w14:paraId="328851D4" w14:textId="77777777" w:rsidR="00575AC3" w:rsidRPr="006D40F0" w:rsidRDefault="00575AC3" w:rsidP="006D40F0">
      <w:r w:rsidRPr="006D40F0">
        <w:t xml:space="preserve">Tilskuddsordningen skal bidra til bevaring av kulturhistorisk verdifulle kirkers eksteriør og interiør, slik at de kan fortsette å være kilder til tro og kunnskap og gi grunnlag for opplevelse, </w:t>
      </w:r>
      <w:r w:rsidRPr="006D40F0">
        <w:lastRenderedPageBreak/>
        <w:t>engasjement og innsikt i Norges kulturhistorie i tråd med bevaringsstrategien for kulturhistorisk verdifulle kirkebygg. Viktige målgrupper for tilskuddsordningen er brukere av kirkebyggene, lokalsamfunnene rundt og publikum som nyttiggjør seg av den nasjonale kulturarven.</w:t>
      </w:r>
    </w:p>
    <w:p w14:paraId="32B7F288" w14:textId="77777777" w:rsidR="00575AC3" w:rsidRPr="006D40F0" w:rsidRDefault="00575AC3" w:rsidP="006D40F0">
      <w:pPr>
        <w:pStyle w:val="avsnitt-undertittel"/>
      </w:pPr>
      <w:r w:rsidRPr="006D40F0">
        <w:t>Kriterier for måloppnåelse</w:t>
      </w:r>
    </w:p>
    <w:p w14:paraId="55E00DF1" w14:textId="77777777" w:rsidR="00575AC3" w:rsidRPr="006D40F0" w:rsidRDefault="00575AC3" w:rsidP="006D40F0">
      <w:r w:rsidRPr="006D40F0">
        <w:t>Måloppnåelsen blir vurdert ut fra hvor mange kirker som har gjennomført eller kommet i gang med istandsettingsarbeider, hvor mange kirker som har fått bedret tilstandsgrad på klimaskall og interiør og hvorvidt kommunenes økonomiske bidrag til kirkevedlikehold er stabilt eller har økt. I tillegg vil aktivitetsnivå når det gjelder kunnskap og kompetanse, opplevelse og formidling og engasjement og deltakelse inngå i vurderingen.</w:t>
      </w:r>
    </w:p>
    <w:p w14:paraId="0F83BBC8" w14:textId="77777777" w:rsidR="00575AC3" w:rsidRPr="006D40F0" w:rsidRDefault="00575AC3" w:rsidP="006D40F0">
      <w:pPr>
        <w:pStyle w:val="avsnitt-undertittel"/>
      </w:pPr>
      <w:r w:rsidRPr="006D40F0">
        <w:t>Tildelingskriterier</w:t>
      </w:r>
    </w:p>
    <w:p w14:paraId="4BC7AA58" w14:textId="77777777" w:rsidR="00575AC3" w:rsidRPr="006D40F0" w:rsidRDefault="00575AC3" w:rsidP="006D40F0">
      <w:r w:rsidRPr="006D40F0">
        <w:t>Eiere av kulturhistorisk verdifulle kirker kan søke om tilskudd til tiltak innenfor alle de fire innsatsområdene i bevaringsstrategien for kulturhistorisk verdifulle kirkebygg.</w:t>
      </w:r>
    </w:p>
    <w:p w14:paraId="45DEBEC5" w14:textId="77777777" w:rsidR="00575AC3" w:rsidRPr="006D40F0" w:rsidRDefault="00575AC3" w:rsidP="006D40F0">
      <w:r w:rsidRPr="006D40F0">
        <w:t>Fylkeskommuner, kommuner, forskningsinstitutter, private utdanningsinstitusjoner, universiteter, høyskoler og andre relevante fagmiljøer kan søke om tilskudd til tiltak innenfor innsatsområdet «kunnskap og kompetanse». Museer, stiftelser, foreninger, kommuner, menigheter og frivillige organisasjoner kan i overenskomst med en eller flere kirkeeiere søke om tilskudd til tiltak innenfor innsatsområdene «opplevelse og formidling» og «engasjement og deltakelse».</w:t>
      </w:r>
    </w:p>
    <w:p w14:paraId="0D496C61" w14:textId="77777777" w:rsidR="00575AC3" w:rsidRPr="006D40F0" w:rsidRDefault="00575AC3" w:rsidP="006D40F0">
      <w:r w:rsidRPr="006D40F0">
        <w:t xml:space="preserve">Prosjekter som får tilskudd, skal bidra til å støtte opp under målet med tilskuddsordningen slik det </w:t>
      </w:r>
      <w:proofErr w:type="gramStart"/>
      <w:r w:rsidRPr="006D40F0">
        <w:t>fremkommer</w:t>
      </w:r>
      <w:proofErr w:type="gramEnd"/>
      <w:r w:rsidRPr="006D40F0">
        <w:t xml:space="preserve"> av </w:t>
      </w:r>
      <w:proofErr w:type="spellStart"/>
      <w:r w:rsidRPr="006D40F0">
        <w:t>tilskuddsforskriften</w:t>
      </w:r>
      <w:proofErr w:type="spellEnd"/>
      <w:r w:rsidRPr="006D40F0">
        <w:t>.</w:t>
      </w:r>
    </w:p>
    <w:p w14:paraId="54CF6C6D" w14:textId="77777777" w:rsidR="00575AC3" w:rsidRPr="006D40F0" w:rsidRDefault="00575AC3" w:rsidP="006D40F0">
      <w:r w:rsidRPr="006D40F0">
        <w:t>Det kan søkes om midler til forprosjekt og hovedprosjekt på en kirke som skal bevares. Forprosjekter er tiltak som skal fremskaffe nødvendig kunnskap som grunnlag for å kunne gjennomføre hovedprosjekt. Hovedprosjekter er tiltak som innebærer istandsetting, sikring eller konservering av kulturhistorisk verdifulle kirkers eksteriør, interiør og inventar. Forprosjekter og hovedprosjekter bør også omfatte aktiviteter innenfor de øvrige innsatsområdene nevnt over.</w:t>
      </w:r>
    </w:p>
    <w:p w14:paraId="347F6B5D" w14:textId="77777777" w:rsidR="00575AC3" w:rsidRPr="006D40F0" w:rsidRDefault="00575AC3" w:rsidP="006D40F0">
      <w:r w:rsidRPr="006D40F0">
        <w:t>Det kan innenfor tilskuddsordningen også gis tilskudd til tiltak som ikke ses i direkte sammenheng med et forprosjekt eller hovedprosjekt på en konkret kirke. Dette gjelder særlig under innsatsområde 2 og 3, hvor det kan være behov for å lyse ut og tildele tilskudd til tiltak og prosjekter som blant annet kan bidra til økt kunnskap og kompetanse eller formidling av kirkebyggenes historie i en kommune eller region.</w:t>
      </w:r>
    </w:p>
    <w:p w14:paraId="1746997E" w14:textId="77777777" w:rsidR="00575AC3" w:rsidRPr="006D40F0" w:rsidRDefault="00575AC3" w:rsidP="006D40F0">
      <w:r w:rsidRPr="006D40F0">
        <w:t>Tilskuddene skal brukes til fremtidige prosjekter og skal ikke ha tilbakevirkende kraft. Prosjekter som er igangsatt, kan imidlertid omfattes av tilskuddsordningen med støtte til arbeider som gjennomføres fra og med tilskuddsordningens ikrafttredelse.</w:t>
      </w:r>
    </w:p>
    <w:p w14:paraId="0A7B2DED" w14:textId="77777777" w:rsidR="00575AC3" w:rsidRPr="006D40F0" w:rsidRDefault="00575AC3" w:rsidP="006D40F0">
      <w:r w:rsidRPr="006D40F0">
        <w:t>Det er kirkene med størst vedlikeholdsbehov og størst kulturhistorisk og kirkelig verdi som vil bli prioritert først.</w:t>
      </w:r>
    </w:p>
    <w:p w14:paraId="329D8496" w14:textId="77777777" w:rsidR="00575AC3" w:rsidRPr="006D40F0" w:rsidRDefault="00575AC3" w:rsidP="006D40F0">
      <w:r w:rsidRPr="006D40F0">
        <w:t xml:space="preserve">Forprosjektene vil være fullt ut statlig finansiert. Hovedprosjektene vil kreve kommunal medfinansiering, med en fordeling mellom stat og kommune som </w:t>
      </w:r>
      <w:proofErr w:type="gramStart"/>
      <w:r w:rsidRPr="006D40F0">
        <w:t>fremkommer</w:t>
      </w:r>
      <w:proofErr w:type="gramEnd"/>
      <w:r w:rsidRPr="006D40F0">
        <w:t xml:space="preserve"> under.</w:t>
      </w:r>
    </w:p>
    <w:p w14:paraId="5FF43DC4" w14:textId="77777777" w:rsidR="00575AC3" w:rsidRPr="006D40F0" w:rsidRDefault="00575AC3" w:rsidP="006D40F0">
      <w:r w:rsidRPr="006D40F0">
        <w:t>I bevaringsprogrammet for middelalderkirker vil staten som hovedregel dekke kostnadene til hovedprosjekter etter følgende intervaller:</w:t>
      </w:r>
    </w:p>
    <w:p w14:paraId="37F268C9" w14:textId="77777777" w:rsidR="00575AC3" w:rsidRPr="006D40F0" w:rsidRDefault="00575AC3" w:rsidP="006D40F0">
      <w:pPr>
        <w:pStyle w:val="Liste"/>
      </w:pPr>
      <w:r w:rsidRPr="006D40F0">
        <w:lastRenderedPageBreak/>
        <w:t>50 prosent av kostnadene i intervallet 0– 30 mill. kroner</w:t>
      </w:r>
    </w:p>
    <w:p w14:paraId="69AAC607" w14:textId="77777777" w:rsidR="00575AC3" w:rsidRPr="006D40F0" w:rsidRDefault="00575AC3" w:rsidP="006D40F0">
      <w:pPr>
        <w:pStyle w:val="Liste"/>
      </w:pPr>
      <w:r w:rsidRPr="006D40F0">
        <w:t>75 prosent av kostnadene i intervallet 30– 70 mill. kroner</w:t>
      </w:r>
    </w:p>
    <w:p w14:paraId="577BE0AB" w14:textId="77777777" w:rsidR="00575AC3" w:rsidRPr="006D40F0" w:rsidRDefault="00575AC3" w:rsidP="006D40F0">
      <w:pPr>
        <w:pStyle w:val="Liste"/>
      </w:pPr>
      <w:r w:rsidRPr="006D40F0">
        <w:t>90 prosent av kostnadene over 70 mill. kroner</w:t>
      </w:r>
    </w:p>
    <w:p w14:paraId="4666F010" w14:textId="77777777" w:rsidR="00575AC3" w:rsidRPr="006D40F0" w:rsidRDefault="00575AC3" w:rsidP="006D40F0">
      <w:r w:rsidRPr="006D40F0">
        <w:t>I de to øvrige bevaringsprogrammene vil staten som hovedregel dekke kostnadene til hovedprosjekter etter følgende intervaller:</w:t>
      </w:r>
    </w:p>
    <w:p w14:paraId="76147DE3" w14:textId="77777777" w:rsidR="00575AC3" w:rsidRPr="006D40F0" w:rsidRDefault="00575AC3" w:rsidP="006D40F0">
      <w:pPr>
        <w:pStyle w:val="Liste"/>
      </w:pPr>
      <w:r w:rsidRPr="006D40F0">
        <w:t>50 prosent av kostnadene i intervallet 0– 30 mill. kroner</w:t>
      </w:r>
    </w:p>
    <w:p w14:paraId="0B2E52C5" w14:textId="77777777" w:rsidR="00575AC3" w:rsidRPr="006D40F0" w:rsidRDefault="00575AC3" w:rsidP="006D40F0">
      <w:pPr>
        <w:pStyle w:val="Liste"/>
      </w:pPr>
      <w:r w:rsidRPr="006D40F0">
        <w:t>60 prosent av kostnadene i intervallet 30– 70 mill. kroner</w:t>
      </w:r>
    </w:p>
    <w:p w14:paraId="0B2A1939" w14:textId="77777777" w:rsidR="00575AC3" w:rsidRPr="006D40F0" w:rsidRDefault="00575AC3" w:rsidP="006D40F0">
      <w:pPr>
        <w:pStyle w:val="Liste"/>
      </w:pPr>
      <w:r w:rsidRPr="006D40F0">
        <w:t>80 prosent av kostnadene over 70 mill. kroner</w:t>
      </w:r>
    </w:p>
    <w:p w14:paraId="69166863" w14:textId="77777777" w:rsidR="00575AC3" w:rsidRPr="006D40F0" w:rsidRDefault="00575AC3" w:rsidP="006D40F0">
      <w:r w:rsidRPr="006D40F0">
        <w:t xml:space="preserve">For tilskudd som ikke har en direkte sammenheng med et konkret forprosjekt eller hovedprosjekt på en kirke, gjør </w:t>
      </w:r>
      <w:proofErr w:type="spellStart"/>
      <w:r w:rsidRPr="006D40F0">
        <w:t>tilskuddsforvalter</w:t>
      </w:r>
      <w:proofErr w:type="spellEnd"/>
      <w:r w:rsidRPr="006D40F0">
        <w:t xml:space="preserve"> en skjønnsmessig vurdering av innkomne søknader ut fra kvalitet og forventet måloppnåelse. Maksimalt tilskuddsbeløp </w:t>
      </w:r>
      <w:proofErr w:type="gramStart"/>
      <w:r w:rsidRPr="006D40F0">
        <w:t>fremgår</w:t>
      </w:r>
      <w:proofErr w:type="gramEnd"/>
      <w:r w:rsidRPr="006D40F0">
        <w:t xml:space="preserve"> av utlysningen.</w:t>
      </w:r>
    </w:p>
    <w:p w14:paraId="1BAF7F26" w14:textId="77777777" w:rsidR="00575AC3" w:rsidRPr="006D40F0" w:rsidRDefault="00575AC3" w:rsidP="006D40F0">
      <w:r w:rsidRPr="006D40F0">
        <w:t>Ordningen endrer ikke kommunenes ansvar for finansiering av drift og vedlikehold av kirkebygg etter trossamfunnsloven § 14.</w:t>
      </w:r>
    </w:p>
    <w:p w14:paraId="36AD9ED6" w14:textId="77777777" w:rsidR="00575AC3" w:rsidRPr="006D40F0" w:rsidRDefault="00575AC3" w:rsidP="006D40F0">
      <w:pPr>
        <w:pStyle w:val="avsnitt-undertittel"/>
      </w:pPr>
      <w:r w:rsidRPr="006D40F0">
        <w:t>Oppfølging og kontroll</w:t>
      </w:r>
    </w:p>
    <w:p w14:paraId="3DB33CE7" w14:textId="77777777" w:rsidR="00575AC3" w:rsidRPr="006D40F0" w:rsidRDefault="00575AC3" w:rsidP="006D40F0">
      <w:r w:rsidRPr="006D40F0">
        <w:t xml:space="preserve">Tilskuddsmottaker skal årlig levere rapport og regnskap til </w:t>
      </w:r>
      <w:proofErr w:type="spellStart"/>
      <w:r w:rsidRPr="006D40F0">
        <w:t>tilskuddsforvalter</w:t>
      </w:r>
      <w:proofErr w:type="spellEnd"/>
      <w:r w:rsidRPr="006D40F0">
        <w:t xml:space="preserve"> om hvordan tilskuddet har blitt brukt, sammen med en vurdering av måloppnåelse. For større tilskudd kan </w:t>
      </w:r>
      <w:proofErr w:type="spellStart"/>
      <w:r w:rsidRPr="006D40F0">
        <w:t>tilskuddsforvalter</w:t>
      </w:r>
      <w:proofErr w:type="spellEnd"/>
      <w:r w:rsidRPr="006D40F0">
        <w:t xml:space="preserve"> kreve delrapport og delregnskap, samt </w:t>
      </w:r>
      <w:proofErr w:type="spellStart"/>
      <w:r w:rsidRPr="006D40F0">
        <w:t>revisorattest</w:t>
      </w:r>
      <w:proofErr w:type="spellEnd"/>
      <w:r w:rsidRPr="006D40F0">
        <w:t xml:space="preserve">. </w:t>
      </w:r>
      <w:proofErr w:type="spellStart"/>
      <w:r w:rsidRPr="006D40F0">
        <w:t>Tilskuddsforvalter</w:t>
      </w:r>
      <w:proofErr w:type="spellEnd"/>
      <w:r w:rsidRPr="006D40F0">
        <w:t xml:space="preserve"> og Riksrevisjonen kan kontrollere at midlene brukes etter forutsetningene. </w:t>
      </w:r>
      <w:proofErr w:type="spellStart"/>
      <w:r w:rsidRPr="006D40F0">
        <w:t>Tilskuddsforskriften</w:t>
      </w:r>
      <w:proofErr w:type="spellEnd"/>
      <w:r w:rsidRPr="006D40F0">
        <w:t>, samt organiseringen av Kirkebevaringsfondet, skal evalueres.</w:t>
      </w:r>
    </w:p>
    <w:p w14:paraId="2034367F" w14:textId="77777777" w:rsidR="00575AC3" w:rsidRPr="006D40F0" w:rsidRDefault="00575AC3" w:rsidP="006D40F0">
      <w:pPr>
        <w:pStyle w:val="avsnitt-undertittel"/>
      </w:pPr>
      <w:r w:rsidRPr="006D40F0">
        <w:t>Tilsagn og utbetaling av tilskudd</w:t>
      </w:r>
    </w:p>
    <w:p w14:paraId="0E1B720B" w14:textId="77777777" w:rsidR="00575AC3" w:rsidRPr="006D40F0" w:rsidRDefault="00575AC3" w:rsidP="006D40F0">
      <w:r w:rsidRPr="006D40F0">
        <w:t>Bevaringsarbeid på kulturhistoriske viktige kirkebygg er tidkrevende prosjekter, der det er behov for forutsigbar finansiering. Det foreslås derfor at det gis tilsagn om tilskudd for hele hovedprosjektet. Utbetaling skjer etter hvert som mottakere har behov for å dekke de aktuelle utgiftene. Av hensyn til kapasitet på tilbydersiden og årlig budsjettbelastning, skal de samlede årlige utbetalingene ikke overstige 500 mill. kroner.</w:t>
      </w:r>
    </w:p>
    <w:p w14:paraId="4DF2C38C" w14:textId="77777777" w:rsidR="00575AC3" w:rsidRPr="006D40F0" w:rsidRDefault="00575AC3" w:rsidP="006D40F0">
      <w:r w:rsidRPr="006D40F0">
        <w:t>Den samlede rammen for statens forpliktelse følger av anmodningsvedtak nr. 500 av 14. april 2020, særlig «[b]</w:t>
      </w:r>
      <w:proofErr w:type="spellStart"/>
      <w:r w:rsidRPr="006D40F0">
        <w:t>etingelsen</w:t>
      </w:r>
      <w:proofErr w:type="spellEnd"/>
      <w:r w:rsidRPr="006D40F0">
        <w:t xml:space="preserve"> for delingen av fondet er at staten øker sin innsats for bevaring av de kulturhistorisk viktige kirkebyggene i et omfang som svarer til de verdiene som staten blir eier av på et bestemt tidspunkt».</w:t>
      </w:r>
    </w:p>
    <w:p w14:paraId="7544AA7F" w14:textId="77777777" w:rsidR="00575AC3" w:rsidRPr="006D40F0" w:rsidRDefault="00575AC3" w:rsidP="006D40F0">
      <w:r w:rsidRPr="006D40F0">
        <w:t xml:space="preserve">Det er foretatt en verdivurdering av </w:t>
      </w:r>
      <w:proofErr w:type="spellStart"/>
      <w:r w:rsidRPr="006D40F0">
        <w:t>Opplysningsvesents</w:t>
      </w:r>
      <w:proofErr w:type="spellEnd"/>
      <w:r w:rsidRPr="006D40F0">
        <w:t xml:space="preserve"> fond (</w:t>
      </w:r>
      <w:proofErr w:type="spellStart"/>
      <w:r w:rsidRPr="006D40F0">
        <w:t>Ovf</w:t>
      </w:r>
      <w:proofErr w:type="spellEnd"/>
      <w:r w:rsidRPr="006D40F0">
        <w:t>) per 1. januar 2023. Basert på forutsetningene i vurderingen er det konkludert med at verdien tilsvarer 11 mrd. kroner i 2023. I forbindelse med overføring av eiendommer av særskilt kirkelig verdi til Den norske kirken (</w:t>
      </w:r>
      <w:proofErr w:type="spellStart"/>
      <w:r w:rsidRPr="006D40F0">
        <w:t>Dnk</w:t>
      </w:r>
      <w:proofErr w:type="spellEnd"/>
      <w:r w:rsidRPr="006D40F0">
        <w:t xml:space="preserve">) og staten, er det enighet om en samlet utbetaling fra </w:t>
      </w:r>
      <w:proofErr w:type="spellStart"/>
      <w:r w:rsidRPr="006D40F0">
        <w:t>Ovf</w:t>
      </w:r>
      <w:proofErr w:type="spellEnd"/>
      <w:r w:rsidRPr="006D40F0">
        <w:t xml:space="preserve"> på 1,3 mrd. kroner, som kommer til fratrekk. Beløpet er endelig, skal ikke inflasjonsjusteres, og dekker alle kostnader knyttet til eiendomsoverføringen, andre fremtidige utgifter, transaksjonskostnader (herunder eventuell dokumentavgift) m.m. Med denne overføringen oppheves ethvert ansvar for staten, </w:t>
      </w:r>
      <w:proofErr w:type="spellStart"/>
      <w:r w:rsidRPr="006D40F0">
        <w:t>Ovf</w:t>
      </w:r>
      <w:proofErr w:type="spellEnd"/>
      <w:r w:rsidRPr="006D40F0">
        <w:t xml:space="preserve"> og det fremtidige aksjeselskapet knyttet til disse eiendommene. Dette hensyntatt anslås den samlede politiske forpliktelsen til istandsetting av kirkebygg til 10 mrd. kroner i 2024. Det er </w:t>
      </w:r>
      <w:proofErr w:type="gramStart"/>
      <w:r w:rsidRPr="006D40F0">
        <w:t>således</w:t>
      </w:r>
      <w:proofErr w:type="gramEnd"/>
      <w:r w:rsidRPr="006D40F0">
        <w:t xml:space="preserve"> denne forpliktelsen som skal nyttes til kirkebygg i planperioden på 20 til 30 år, jf. forslag til </w:t>
      </w:r>
      <w:r w:rsidRPr="006D40F0">
        <w:lastRenderedPageBreak/>
        <w:t>romertallsvedtak. Det legges til grunn at forpliktelsen inflasjonsjusteres. Sammenhengen mellom verdien av forpliktelsen og de årlige bevilgningene til formålet skal presenteres i Prop. 1 S under Barne- og familiedepartementet.</w:t>
      </w:r>
    </w:p>
    <w:p w14:paraId="664DC5C4" w14:textId="77777777" w:rsidR="00575AC3" w:rsidRPr="006D40F0" w:rsidRDefault="00575AC3" w:rsidP="006D40F0">
      <w:pPr>
        <w:pStyle w:val="avsnitt-undertittel"/>
      </w:pPr>
      <w:r w:rsidRPr="006D40F0">
        <w:t>Budsjettforslag for 2024</w:t>
      </w:r>
    </w:p>
    <w:p w14:paraId="50A8E551" w14:textId="77777777" w:rsidR="00575AC3" w:rsidRPr="006D40F0" w:rsidRDefault="00575AC3" w:rsidP="006D40F0">
      <w:r w:rsidRPr="006D40F0">
        <w:t>Utgiftsbehovet i oppstartsåret 2024 er i hovedsak begrenset til utbetalinger til forprosjekter og allerede igangsatte prosjekter som kan motta tilskudd til resterende arbeider fra og med tilskuddsordningens ikrafttredelse. Det foreslås en bevilgning på 100 mill. kroner i 2024. Se også forslag til romertallsvedtak om tilsagnsramme og årlige utbetalinger.</w:t>
      </w:r>
    </w:p>
    <w:p w14:paraId="7A722A97" w14:textId="77777777" w:rsidR="00575AC3" w:rsidRPr="006D40F0" w:rsidRDefault="00575AC3" w:rsidP="006D40F0">
      <w:r w:rsidRPr="006D40F0">
        <w:t>Posten tilføyes videre stikkordet «kan overføres», grunnet usikkerhet om fremdriften i bevaringsprosjektene og dermed også utbetalingstidspunktet for tilskuddene. Selv om bevilgningen er overførbar, skal bevilgningen for det enkelte budsjettår ikke settes høyere enn det som antas å bli faktisk utbetalt for vedkommende år. Anslaget vil bygge på en vurdering av sannsynlig fremdrift og utbetalingstakt. Både utgift- og inntektsbevilgning til kirkebevaring, jf. også omtale under kap. 3883 ny post 50, vil ved behov justeres i tråd med kravet til realistisk budsjettering i løpet av det enkelte budsjettår.</w:t>
      </w:r>
    </w:p>
    <w:p w14:paraId="08D8DEB7" w14:textId="77777777" w:rsidR="00575AC3" w:rsidRPr="006D40F0" w:rsidRDefault="00575AC3" w:rsidP="006D40F0">
      <w:pPr>
        <w:pStyle w:val="b-budkaptit"/>
      </w:pPr>
      <w:r w:rsidRPr="006D40F0">
        <w:t>Kap. 3883 (Nytt) Kirkebevaringsfondet</w:t>
      </w:r>
    </w:p>
    <w:p w14:paraId="02E4CFB3" w14:textId="77777777" w:rsidR="00575AC3" w:rsidRPr="006D40F0" w:rsidRDefault="00575AC3" w:rsidP="006D40F0">
      <w:pPr>
        <w:pStyle w:val="b-post"/>
      </w:pPr>
      <w:r w:rsidRPr="006D40F0">
        <w:t>Post 50 (Ny) Overført fra Kirkebevaringsfondet</w:t>
      </w:r>
    </w:p>
    <w:p w14:paraId="1F00C8DE" w14:textId="77777777" w:rsidR="00575AC3" w:rsidRPr="006D40F0" w:rsidRDefault="00575AC3" w:rsidP="006D40F0">
      <w:r w:rsidRPr="006D40F0">
        <w:t>Statens inntekter fra Opplysningsvesenets fond (</w:t>
      </w:r>
      <w:proofErr w:type="spellStart"/>
      <w:r w:rsidRPr="006D40F0">
        <w:t>Ovf</w:t>
      </w:r>
      <w:proofErr w:type="spellEnd"/>
      <w:r w:rsidRPr="006D40F0">
        <w:t xml:space="preserve">) skal brukes på å sette i stand kulturhistorisk verdifulle kirkebygg i tråd med føringene som </w:t>
      </w:r>
      <w:proofErr w:type="gramStart"/>
      <w:r w:rsidRPr="006D40F0">
        <w:t>fremgår</w:t>
      </w:r>
      <w:proofErr w:type="gramEnd"/>
      <w:r w:rsidRPr="006D40F0">
        <w:t xml:space="preserve"> av </w:t>
      </w:r>
      <w:r w:rsidRPr="00575AC3">
        <w:rPr>
          <w:rStyle w:val="kursiv"/>
        </w:rPr>
        <w:t>Bevaringsstrategi for kulturhistorisk verdifulle kirkebygg</w:t>
      </w:r>
      <w:r w:rsidRPr="006D40F0">
        <w:t xml:space="preserve"> og </w:t>
      </w:r>
      <w:r w:rsidRPr="00575AC3">
        <w:rPr>
          <w:rStyle w:val="kursiv"/>
        </w:rPr>
        <w:t>Forskrift om tilskudd til kulturhistorisk verdifulle kirkebygg</w:t>
      </w:r>
      <w:r w:rsidRPr="006D40F0">
        <w:t xml:space="preserve">. Statens inntekter fra </w:t>
      </w:r>
      <w:proofErr w:type="spellStart"/>
      <w:r w:rsidRPr="006D40F0">
        <w:t>Ovf</w:t>
      </w:r>
      <w:proofErr w:type="spellEnd"/>
      <w:r w:rsidRPr="006D40F0">
        <w:t xml:space="preserve"> skal også settes av til formålet etter at forpliktelsen på 10 mrd. kroner er innfridd.</w:t>
      </w:r>
    </w:p>
    <w:p w14:paraId="7C26A106" w14:textId="77777777" w:rsidR="00575AC3" w:rsidRPr="006D40F0" w:rsidRDefault="00575AC3" w:rsidP="006D40F0">
      <w:r w:rsidRPr="006D40F0">
        <w:t xml:space="preserve">Statens midler fra </w:t>
      </w:r>
      <w:proofErr w:type="spellStart"/>
      <w:r w:rsidRPr="006D40F0">
        <w:t>Ovf</w:t>
      </w:r>
      <w:proofErr w:type="spellEnd"/>
      <w:r w:rsidRPr="006D40F0">
        <w:t xml:space="preserve">, også etter omdanning til aksjeselskap, jf. regjeringens forslag til omdanningslov i Prop. 82 L (2023–2024), overføres til en fondskonto som opprettes i Norges bank, kalt «Kirkebevaringsfondet». Kontoen gis en flytende rente knyttet til rentene på kortsiktige statspapirer. Når tilgjengelige midler på Kirkebevaringsfondet skal anvendes, overføres disse til statsbudsjettet og inntektsføres på kap. 3883 </w:t>
      </w:r>
      <w:r w:rsidRPr="00575AC3">
        <w:rPr>
          <w:rStyle w:val="kursiv"/>
        </w:rPr>
        <w:t>Kirkebevaringsfondet</w:t>
      </w:r>
      <w:r w:rsidRPr="006D40F0">
        <w:t xml:space="preserve">, post 50 </w:t>
      </w:r>
      <w:r w:rsidRPr="00575AC3">
        <w:rPr>
          <w:rStyle w:val="kursiv"/>
        </w:rPr>
        <w:t>Overført fra Kirkebevaringsfondet</w:t>
      </w:r>
      <w:r w:rsidRPr="006D40F0">
        <w:t xml:space="preserve"> og finansierer utgifter til bevaringsprogrammene i kirkebevaringsstrategien som bevilges over kap. 883 </w:t>
      </w:r>
      <w:r w:rsidRPr="00575AC3">
        <w:rPr>
          <w:rStyle w:val="kursiv"/>
        </w:rPr>
        <w:t>Kirkebevaringsfondet</w:t>
      </w:r>
      <w:r w:rsidRPr="006D40F0">
        <w:t xml:space="preserve">, post 60 </w:t>
      </w:r>
      <w:r w:rsidRPr="00575AC3">
        <w:rPr>
          <w:rStyle w:val="kursiv"/>
        </w:rPr>
        <w:t>Tilskudd til kulturhistorisk verdifulle kirkebygg.</w:t>
      </w:r>
    </w:p>
    <w:p w14:paraId="70FC52BF" w14:textId="77777777" w:rsidR="00575AC3" w:rsidRPr="006D40F0" w:rsidRDefault="00575AC3" w:rsidP="006D40F0">
      <w:r w:rsidRPr="006D40F0">
        <w:t xml:space="preserve">Midler fra Kirkebevaringsfondet til kirkebevaringsstrategien, inntektsføres på nytt kap. 3883, ny post 50 </w:t>
      </w:r>
      <w:r w:rsidRPr="00575AC3">
        <w:rPr>
          <w:rStyle w:val="kursiv"/>
        </w:rPr>
        <w:t>Overført fra Kirkebevaringsfondet</w:t>
      </w:r>
      <w:r w:rsidRPr="006D40F0">
        <w:t>. Dersom Kirkebevaringsfondet er for lite til å dekke den årlige utbetalingen til bevaringsprogrammene, vil det foreslås bevilget midler uten tilsvarende inntektsbevilgning i tillegg. I 2024 legges det opp til å inntektsføre 100 mill. kroner fra Kirkebevaringsfondet, tilsvarende anslåtte utgifter på kap. 883, post 60.</w:t>
      </w:r>
    </w:p>
    <w:p w14:paraId="1AFF5510" w14:textId="77777777" w:rsidR="00575AC3" w:rsidRPr="006D40F0" w:rsidRDefault="00575AC3" w:rsidP="006D40F0">
      <w:r w:rsidRPr="006D40F0">
        <w:t>Det foreslås på denne bakgrunn en bevilgning på 100 mill. kroner i 2024.</w:t>
      </w:r>
    </w:p>
    <w:p w14:paraId="506EFB09" w14:textId="77777777" w:rsidR="00575AC3" w:rsidRPr="006D40F0" w:rsidRDefault="00575AC3" w:rsidP="006D40F0">
      <w:pPr>
        <w:pStyle w:val="b-budkaptit"/>
      </w:pPr>
      <w:r w:rsidRPr="006D40F0">
        <w:lastRenderedPageBreak/>
        <w:t>Kap. 2530 Foreldrepenger</w:t>
      </w:r>
    </w:p>
    <w:p w14:paraId="4CA17943" w14:textId="77777777" w:rsidR="00575AC3" w:rsidRPr="006D40F0" w:rsidRDefault="00575AC3" w:rsidP="006D40F0">
      <w:pPr>
        <w:pStyle w:val="b-post"/>
      </w:pPr>
      <w:r w:rsidRPr="006D40F0">
        <w:t>Post 70 Foreldrepenger ved fødsel, overslagsbevilgning</w:t>
      </w:r>
    </w:p>
    <w:p w14:paraId="69B5D5E1" w14:textId="77777777" w:rsidR="00575AC3" w:rsidRPr="006D40F0" w:rsidRDefault="00575AC3" w:rsidP="006D40F0">
      <w:r w:rsidRPr="006D40F0">
        <w:t>Utgiftene til foreldrepenger ved fødsel i 2024 er anslått til 24 760 mill. kroner. Bevilgningen på posten foreslås økt med 510 mill. kroner fra saldert budsjett. Endringen skyldes i hovedsak flere mottakere av foreldrepenger enn tidligere anslått. Videre har Høyesterett i en sak knyttet til fedrekvoten i foreldrepengeordningen (HR-2023-2432-A) slått fast at Nav tidligere har hatt feil praksis med å sette frist for søknad om foreldrepenger. Deler av merutgiftene skyldes også anslåtte utgifter til etterbetaling av foreldrepenger grunnet dommen.</w:t>
      </w:r>
    </w:p>
    <w:p w14:paraId="7FDB1112" w14:textId="77777777" w:rsidR="00575AC3" w:rsidRPr="006D40F0" w:rsidRDefault="00575AC3" w:rsidP="006D40F0">
      <w:r w:rsidRPr="006D40F0">
        <w:t>Barne- og familiedepartementet fremmet en lovproposisjon 5. april 2024 med forslag til endringer i folketrygdloven. Forslaget er å oppheve aktivitetskravet for far for ytterligere to uker, med sikte på ikrafttredelse 2. august 2024. Forslaget vil føre til administrative merutgifter i Nav i 2024, se omtale under kap. 605 post 01.</w:t>
      </w:r>
    </w:p>
    <w:p w14:paraId="122AD4CE" w14:textId="77777777" w:rsidR="00575AC3" w:rsidRPr="006D40F0" w:rsidRDefault="00575AC3" w:rsidP="006D40F0">
      <w:pPr>
        <w:pStyle w:val="b-post"/>
      </w:pPr>
      <w:r w:rsidRPr="006D40F0">
        <w:t>Post 71 Engangsstønad ved fødsel og adopsjon, overslagsbevilgning</w:t>
      </w:r>
    </w:p>
    <w:p w14:paraId="1032A0A8" w14:textId="77777777" w:rsidR="00575AC3" w:rsidRPr="006D40F0" w:rsidRDefault="00575AC3" w:rsidP="006D40F0">
      <w:r w:rsidRPr="006D40F0">
        <w:t>Bevilgningen på posten foreslås redusert med 10 mill. kroner. Endringen skyldes at det forventes noe færre mottakere av engangsstønad enn tidligere anslått.</w:t>
      </w:r>
    </w:p>
    <w:p w14:paraId="0149FAE4" w14:textId="77777777" w:rsidR="00575AC3" w:rsidRPr="006D40F0" w:rsidRDefault="00575AC3" w:rsidP="006D40F0">
      <w:r w:rsidRPr="006D40F0">
        <w:t>I Prop. 101 L (2023–2024) foreslås endringer i integreringsloven og folketrygdloven. Den inneholder en pakke med tiltak med formål om å få det norske tjeneste- og ytelsesnivået nærmere nivåene i andre nordiske land, og dermed bidra til å utjevne ankomstene av fordrevne fra Ukraina mellom landene.</w:t>
      </w:r>
    </w:p>
    <w:p w14:paraId="0E2AB69A" w14:textId="77777777" w:rsidR="00575AC3" w:rsidRPr="006D40F0" w:rsidRDefault="00575AC3" w:rsidP="006D40F0">
      <w:r w:rsidRPr="006D40F0">
        <w:t>I lovproposisjonen foreslås det å innføre et krav om tolv måneder forutgående medlemskap i folketrygden for rett til engangsstønad ved fødsel og adopsjon. Det tas sikte på at endringen kan tre i kraft fra 1. oktober 2024. Det foreslås overgangsregler som innebærer at det ikke blir en innsparing på kap. 2530, post 71 i 2024. Innsparingen i 2025 er anslått til om lag 138 mill. kroner. Helårseffekten inntreffer fra og med 2026 og er anslått til 150 mill. kroner. Forslaget vil videre ha konsekvenser for utgifter til forvaltning av engangsstønad i Nav, jf. omtale under kap. 605, post 01.</w:t>
      </w:r>
    </w:p>
    <w:p w14:paraId="17ABE726" w14:textId="77777777" w:rsidR="00575AC3" w:rsidRPr="006D40F0" w:rsidRDefault="00575AC3" w:rsidP="006D40F0">
      <w:pPr>
        <w:pStyle w:val="b-post"/>
      </w:pPr>
      <w:r w:rsidRPr="006D40F0">
        <w:t>Post 72 Feriepenger av foreldrepenger, overslagsbevilgning</w:t>
      </w:r>
    </w:p>
    <w:p w14:paraId="38CF5A6F" w14:textId="77777777" w:rsidR="00575AC3" w:rsidRPr="006D40F0" w:rsidRDefault="00575AC3" w:rsidP="006D40F0">
      <w:r w:rsidRPr="006D40F0">
        <w:t>Utgiftene til feriepenger av foreldrepenger i 2024 er anslått til 615 mill. kroner. Anslaget er oppjustert med 20 mill. kroner fra saldert budsjett. Feriepengene opparbeides på grunnlag av foreldrepengeuttaket og utbetalte feriepenger baserer seg på utbetalte foreldrepenger foregående år. Økningen skyldes flere foreldrepengemottakere enn tidligere antatt i 2023.</w:t>
      </w:r>
    </w:p>
    <w:p w14:paraId="05CD2A4F" w14:textId="77777777" w:rsidR="00575AC3" w:rsidRPr="006D40F0" w:rsidRDefault="00575AC3" w:rsidP="006D40F0">
      <w:r w:rsidRPr="006D40F0">
        <w:t>Det foreslås å øke bevilgningen for 2024 på kap. 2530, post 72 med 20 mill. kroner.</w:t>
      </w:r>
    </w:p>
    <w:p w14:paraId="2ADCC98E" w14:textId="77777777" w:rsidR="00575AC3" w:rsidRPr="006D40F0" w:rsidRDefault="00575AC3" w:rsidP="006D40F0">
      <w:pPr>
        <w:pStyle w:val="b-post"/>
      </w:pPr>
      <w:r w:rsidRPr="006D40F0">
        <w:lastRenderedPageBreak/>
        <w:t>Post 73 Foreldrepenger ved adopsjon, overslagsbevilgning</w:t>
      </w:r>
    </w:p>
    <w:p w14:paraId="732D108B" w14:textId="77777777" w:rsidR="00575AC3" w:rsidRPr="006D40F0" w:rsidRDefault="00575AC3" w:rsidP="006D40F0">
      <w:r w:rsidRPr="006D40F0">
        <w:t>Utgiftene til foreldrepenger ved adopsjon i 2024 er anslått til 22 mill. kroner. Anslaget er nedjustert med 19 mill. kroner fra saldert budsjett. Endringen skyldes at det har vært en nedgang i antall adopsjoner og at det derfor forventes færre mottakere.</w:t>
      </w:r>
    </w:p>
    <w:p w14:paraId="22E09B09" w14:textId="77777777" w:rsidR="00575AC3" w:rsidRPr="006D40F0" w:rsidRDefault="00575AC3" w:rsidP="006D40F0">
      <w:r w:rsidRPr="006D40F0">
        <w:t>Det foreslås å redusere bevilgningen for 2024 på kap. 2530, post 73 med 19 mill. kroner.</w:t>
      </w:r>
    </w:p>
    <w:p w14:paraId="1DA86989" w14:textId="77777777" w:rsidR="00575AC3" w:rsidRPr="006D40F0" w:rsidRDefault="00575AC3" w:rsidP="006D40F0">
      <w:pPr>
        <w:pStyle w:val="b-budkaptit"/>
      </w:pPr>
      <w:r w:rsidRPr="006D40F0">
        <w:t>Kap. 5706 Bidragsforskott</w:t>
      </w:r>
    </w:p>
    <w:p w14:paraId="60E56843" w14:textId="77777777" w:rsidR="00575AC3" w:rsidRPr="006D40F0" w:rsidRDefault="00575AC3" w:rsidP="006D40F0">
      <w:pPr>
        <w:pStyle w:val="b-post"/>
      </w:pPr>
      <w:r w:rsidRPr="006D40F0">
        <w:t>Post 70 Refusjon fra bidragspliktige</w:t>
      </w:r>
    </w:p>
    <w:p w14:paraId="5BDDB4B8" w14:textId="77777777" w:rsidR="00575AC3" w:rsidRPr="006D40F0" w:rsidRDefault="00575AC3" w:rsidP="006D40F0">
      <w:r w:rsidRPr="006D40F0">
        <w:t>Statens utgifter til å forskottere barnebidrag som ikke blir betalt, dekkes av kap. 2531, post 70. Innbetalingene blir ført på kap. 5706, post 70. Anslagene som legges til grunn på denne posten, bygger i hovedsak på forventet utbetalt bidragsforskott i samme periode, samt den seneste regnskapsutviklingen i refusjonene.</w:t>
      </w:r>
    </w:p>
    <w:p w14:paraId="636AE3A3" w14:textId="77777777" w:rsidR="00575AC3" w:rsidRPr="006D40F0" w:rsidRDefault="00575AC3" w:rsidP="006D40F0">
      <w:r w:rsidRPr="006D40F0">
        <w:t>Inntektene fra refusjon fra bidragspliktige i 2024 anslås til 171 mill. kroner, og det foreslås derfor å redusere bevilgningen med 24 mill. kroner. Endringen skyldes i hovedsak at det forventes færre innbetalte refusjoner.</w:t>
      </w:r>
    </w:p>
    <w:p w14:paraId="16ABDA88" w14:textId="77777777" w:rsidR="00575AC3" w:rsidRPr="006D40F0" w:rsidRDefault="00575AC3" w:rsidP="006D40F0">
      <w:pPr>
        <w:pStyle w:val="Overskrift2"/>
      </w:pPr>
      <w:r w:rsidRPr="006D40F0">
        <w:t>Nærings- og fiskeridepartementet</w:t>
      </w:r>
    </w:p>
    <w:p w14:paraId="59EB3F9D" w14:textId="77777777" w:rsidR="00575AC3" w:rsidRPr="006D40F0" w:rsidRDefault="00575AC3" w:rsidP="006D40F0">
      <w:pPr>
        <w:pStyle w:val="b-budkaptit"/>
      </w:pPr>
      <w:r w:rsidRPr="006D40F0">
        <w:t>Kap. 900 Nærings- og fiskeridepartementet</w:t>
      </w:r>
    </w:p>
    <w:p w14:paraId="30F44A52" w14:textId="77777777" w:rsidR="00575AC3" w:rsidRPr="006D40F0" w:rsidRDefault="00575AC3" w:rsidP="006D40F0">
      <w:pPr>
        <w:pStyle w:val="b-post"/>
      </w:pPr>
      <w:r w:rsidRPr="006D40F0">
        <w:t>Post 01 Driftsutgifter</w:t>
      </w:r>
    </w:p>
    <w:p w14:paraId="26D3EEED" w14:textId="77777777" w:rsidR="00575AC3" w:rsidRPr="006D40F0" w:rsidRDefault="00575AC3" w:rsidP="006D40F0">
      <w:r w:rsidRPr="006D40F0">
        <w:t>Bevilgningen foreslås redusert med 30,8 mill. kroner som følge av reduksjon i husleien som Nærings- og fiskeridepartementet betaler for sine lokaler.</w:t>
      </w:r>
    </w:p>
    <w:p w14:paraId="2B81CA59" w14:textId="77777777" w:rsidR="00575AC3" w:rsidRPr="006D40F0" w:rsidRDefault="00575AC3" w:rsidP="006D40F0">
      <w:r w:rsidRPr="006D40F0">
        <w:t>Videre foreslås bevilgningen økt med 2 mill. kroner for å ivareta departementets nye koordinerende rolle for forsyningssikkerhet. Gjennom erfaringene fra pandemihåndteringen og konsekvensene av Russlands invasjon i Ukraina, har regjeringen identifisert et behov for at departementene arbeider mer helhetlig og systematisk med utfordringer knyttet til forsyningssikkerhet. Regjeringen har gitt Nærings- og fiskeridepartementet det overordnede ansvaret for å koordinere departementenes arbeid med forsyningssikkerhet. Dette skal bidra til at arbeid med forsyningssikkerhet og samfunnssikkerhet blir mer helhetlig, og at tverrsektorielle problemstillinger blir håndtert på en god måte. Ansvaret innebærer blant annet å koordinere arbeidet med å kartlegge svakheter og sårbarheter i dagens forsyningskjeder, og identifisere mulige mangelsituasjoner for viktige varer og tjenester. En annen sentral oppgave er å vurdere behovet for å utarbeide felles strategier på tvers av sektorene. Den nye koordineringsrollen er avgrenset til næringsberedskap, det vil si varer og tjenester som leveres av næringslivet. Koordineringsrollen forankres i samfunnssikkerhetsinstruksen.</w:t>
      </w:r>
    </w:p>
    <w:p w14:paraId="2D3C806A" w14:textId="77777777" w:rsidR="00575AC3" w:rsidRPr="006D40F0" w:rsidRDefault="00575AC3" w:rsidP="006D40F0">
      <w:r w:rsidRPr="006D40F0">
        <w:t>Samlet foreslås bevilgningen redusert med 28,8 mill. kroner.</w:t>
      </w:r>
    </w:p>
    <w:p w14:paraId="0517324F" w14:textId="77777777" w:rsidR="00575AC3" w:rsidRPr="006D40F0" w:rsidRDefault="00575AC3" w:rsidP="006D40F0">
      <w:pPr>
        <w:pStyle w:val="b-post"/>
      </w:pPr>
      <w:r w:rsidRPr="006D40F0">
        <w:lastRenderedPageBreak/>
        <w:t>Post 21 Spesielle driftsutgifter, kan overføres</w:t>
      </w:r>
    </w:p>
    <w:p w14:paraId="65F1C555" w14:textId="77777777" w:rsidR="00575AC3" w:rsidRPr="006D40F0" w:rsidRDefault="00575AC3" w:rsidP="006D40F0">
      <w:r w:rsidRPr="006D40F0">
        <w:t>Regjeringen har lansert et målrettet samfunnsoppdrag om bærekraftig fôr. Samfunnsoppdrag er et nytt virkemiddel der forskning og utvikling kobles tettere med regelverksarbeid og annen politikkutvikling. Samfunnsoppdraget ledes av Nærings- og fiskeridepartementet i tett samarbeid med Landbruks- og matdepartementet. Norges forskningsråd skal være vertskap for et sekretariat som får ansvar for drift og utvikling av samfunnsoppdraget. Det foreslås å redusere bevilgningen under post 21 med 1,7 mill. kroner mot en tilsvarende økning på Kunnskapsdepartementets kap. 285, post 55 for å dekke kostnader til sekretariatet i 2024. I tillegg foreslås det å overføre ytterligere 0,3 mill. kroner fra kap. 920, post 51 for å dekke kostnader til sekretariatet i 2024, jf. omtale under posten.</w:t>
      </w:r>
    </w:p>
    <w:p w14:paraId="072C3668" w14:textId="77777777" w:rsidR="00575AC3" w:rsidRPr="006D40F0" w:rsidRDefault="00575AC3" w:rsidP="006D40F0">
      <w:r w:rsidRPr="006D40F0">
        <w:t>Videre foreslås bevilgningen økt med 2 mill. kroner for å dekke nye oppgaver som Nærings- og fiskeridepartementet har fått til oppfølging av romsikkerhet og posisjonsbestemmelse, navigasjon og tidsbestemmelse (PNT), og ansvaret departementet nylig har fått for tre nye romrelaterte grunnleggende nasjonale funksjoner (GNF). Økt avhengighet av rombaserte tjenester på flere samfunnsområder, nye vurderinger knyttet til sikkerhet og sårbarhet, teknologisk utvikling og den sikkerhetspolitiske situasjonen, øker omfanget av oppgaver knyttet til romsikkerhet og PNT. Data fra navigasjons-, jordobservasjons- og kommunikasjonssatellitter understøtter en lang rekke systemer og tjenester til blant annet luft-, land- og sjøtransport, kommunikasjon, kraftforsyning, finans, natur- og miljøovervåking, søk og redning. Sivile satellittbaserte tjenester er også essensielle for militære aktiviteter. Samfunnet blir stadig mer avhengig av satellittbaserte tjenester, og ev. svikt kan få alvorlige konsekvenser for samfunnsdrift, samfunnssikkerhet og beredskapsevne. I ytterste konsekvens har det betydning for nasjonal sikkerhet og forsvaret av landet. Det er også økende sikkerhetskrav knyttet til norsk deltakelse i EUs romrelaterte programmer.</w:t>
      </w:r>
    </w:p>
    <w:p w14:paraId="462FF62B" w14:textId="77777777" w:rsidR="00575AC3" w:rsidRPr="006D40F0" w:rsidRDefault="00575AC3" w:rsidP="006D40F0">
      <w:r w:rsidRPr="006D40F0">
        <w:t>Videre foreslås det å bevilge 5 mill. kroner til Mattilsynets arbeid med markedsadgang for sjømat. Sjømateksporten er flerdoblet siden Mattilsynet ble opprettet i 2004. Norsk sjømat møter stadig nye veterinære og tekniske krav som skal forsikre importlandet om at sjømaten er trygg å spise, og at regelverket for produksjonskjeden er fulgt. Importlandet vil gjerne ha dette bekreftet i helsesertifikater eller gjennom bilaterale avtaler. Arbeidet med å vurdere krav fra importland og inngå i bilateral dialog og forhandlinger er del av Mattilsynets ordinære oppgaver.</w:t>
      </w:r>
    </w:p>
    <w:p w14:paraId="3903A6EA" w14:textId="77777777" w:rsidR="00575AC3" w:rsidRPr="006D40F0" w:rsidRDefault="00575AC3" w:rsidP="006D40F0">
      <w:r w:rsidRPr="006D40F0">
        <w:t>Samlet foreslås bevilgningen økt med 5,3 mill. kroner.</w:t>
      </w:r>
    </w:p>
    <w:p w14:paraId="5C2729EF" w14:textId="77777777" w:rsidR="00575AC3" w:rsidRPr="006D40F0" w:rsidRDefault="00575AC3" w:rsidP="006D40F0">
      <w:pPr>
        <w:pStyle w:val="b-post"/>
      </w:pPr>
      <w:r w:rsidRPr="006D40F0">
        <w:t>Post 22 Nukleære utredninger og prosjektledelse, kan overføres</w:t>
      </w:r>
    </w:p>
    <w:p w14:paraId="6580A83D" w14:textId="77777777" w:rsidR="00575AC3" w:rsidRPr="006D40F0" w:rsidRDefault="00575AC3" w:rsidP="006D40F0">
      <w:r w:rsidRPr="006D40F0">
        <w:t>I Saldert budsjett 2024 er det bevilget 7,1 mill. kroner til å finansiere nukleære utredninger og prosjektledelse knyttet til opprydding av nukleært avfall. I tillegg er det overført 5,7 mill. kroner i ubrukte midler fra 2023. Utgiftene til prosjektene i 2024 kan dekkes innenfor rammen av de overførte midlene fra 2023. Det foreslås å redusere bevilgningen med 7,1 mill. kroner.</w:t>
      </w:r>
    </w:p>
    <w:p w14:paraId="13C31404" w14:textId="77777777" w:rsidR="00575AC3" w:rsidRPr="006D40F0" w:rsidRDefault="00575AC3" w:rsidP="006D40F0">
      <w:pPr>
        <w:pStyle w:val="b-post"/>
      </w:pPr>
      <w:r w:rsidRPr="006D40F0">
        <w:t>Post 23 (Ny) Spesielle driftsutgifter til administrasjon av statlig garantiordning for lån til små og mellomstore bedrifter</w:t>
      </w:r>
    </w:p>
    <w:p w14:paraId="3DE3877D" w14:textId="77777777" w:rsidR="00575AC3" w:rsidRPr="006D40F0" w:rsidRDefault="00575AC3" w:rsidP="006D40F0">
      <w:r w:rsidRPr="006D40F0">
        <w:t xml:space="preserve">Våren 2020 etablerte Finansdepartementet en midlertidig garantiordning for lån til små og mellomstore virksomheter, jf. </w:t>
      </w:r>
      <w:proofErr w:type="spellStart"/>
      <w:r w:rsidRPr="006D40F0">
        <w:t>Innst</w:t>
      </w:r>
      <w:proofErr w:type="spellEnd"/>
      <w:r w:rsidRPr="006D40F0">
        <w:t xml:space="preserve">. 200 S (2019–2020) og Prop. 57 S (2019–2020). Daværende </w:t>
      </w:r>
      <w:r w:rsidRPr="006D40F0">
        <w:lastRenderedPageBreak/>
        <w:t>Garantiinstituttet for eksportkreditt (GIEK), nå Eksportfinansiering Norge (Eksfin), ble valgt til å administrere ordningen. Ordningen ble avsluttet i juni 2022. Ettersom de garanterte lånene kan ha en løpetid på inntil seks år (i særlige tilfeller også lengre), vil Eksfin ha enkelte administrasjonsoppgaver knyttet til ordningen minst frem til 2028.</w:t>
      </w:r>
    </w:p>
    <w:p w14:paraId="5CD19C6D" w14:textId="77777777" w:rsidR="00575AC3" w:rsidRPr="006D40F0" w:rsidRDefault="00575AC3" w:rsidP="006D40F0">
      <w:r w:rsidRPr="006D40F0">
        <w:t>Det foreslås å flytte det overordnede ansvaret for garantiordningen til Nærings- og fiskeridepartementet som da vil ha ansvar for alle ordningene som forvaltes av Eksfin. I 2024 er det bevilget 5,3 mill. kroner under kap. 1645, post 23 på Finansdepartementets budsjett til å administrere ordningen. Det foreslås at bevilgningen overføres til kap. 900, post 23, og at Nærings- og fiskeridepartementet også overtar ansvaret for tidligere bevilgede midler til tapsavsetning.</w:t>
      </w:r>
    </w:p>
    <w:p w14:paraId="706AEF84" w14:textId="77777777" w:rsidR="00575AC3" w:rsidRPr="006D40F0" w:rsidRDefault="00575AC3" w:rsidP="006D40F0">
      <w:pPr>
        <w:pStyle w:val="b-post"/>
      </w:pPr>
      <w:r w:rsidRPr="006D40F0">
        <w:t>Post 25 Drift og forvaltning av kompensasjonsordninger</w:t>
      </w:r>
    </w:p>
    <w:p w14:paraId="517386B3" w14:textId="77777777" w:rsidR="00575AC3" w:rsidRPr="006D40F0" w:rsidRDefault="00575AC3" w:rsidP="006D40F0">
      <w:r w:rsidRPr="006D40F0">
        <w:t>Det er bevilget 16 mill. kroner til drift og forvaltning av kompensasjonsordninger i Saldert budsjett 2024. Som følge av nye vurderinger av behovet for midler i 2024, foreslås bevilgningen redusert med 4 mill. kroner.</w:t>
      </w:r>
    </w:p>
    <w:p w14:paraId="580362A8" w14:textId="77777777" w:rsidR="00575AC3" w:rsidRPr="006D40F0" w:rsidRDefault="00575AC3" w:rsidP="006D40F0">
      <w:pPr>
        <w:pStyle w:val="b-post"/>
      </w:pPr>
      <w:r w:rsidRPr="006D40F0">
        <w:t>Post 70 Tilskudd til internasjonale organisasjoner</w:t>
      </w:r>
    </w:p>
    <w:p w14:paraId="14ECBAE0" w14:textId="77777777" w:rsidR="00575AC3" w:rsidRPr="006D40F0" w:rsidRDefault="00575AC3" w:rsidP="006D40F0">
      <w:r w:rsidRPr="006D40F0">
        <w:t>Bevilgningen på til sammen 48 mill. kroner i Saldert budsjett 2024 dekker kontingentene til en rekke organisasjoner. Størrelsen på flere av bidragene er avhengig av kursutvikling for de aktuelle betalingsvalutaene og ev. endringer i medlemskontingentene. Det foreslås at bevilgningen økes med 10,5 mill. kroner på grunn av at kontingentene i Det europeiske sjøsikkerhetsbyrået (EMSA) og Den internasjonale sjøfartsorganisasjonen (IMO) forventes å øke mer enn det som lå til grunn i budsjettet for 2024.</w:t>
      </w:r>
    </w:p>
    <w:p w14:paraId="58C9CFCE" w14:textId="77777777" w:rsidR="00575AC3" w:rsidRPr="006D40F0" w:rsidRDefault="00575AC3" w:rsidP="006D40F0">
      <w:pPr>
        <w:pStyle w:val="b-post"/>
      </w:pPr>
      <w:r w:rsidRPr="006D40F0">
        <w:t>Post 71 Miljøtiltak Raufoss</w:t>
      </w:r>
    </w:p>
    <w:p w14:paraId="51360706" w14:textId="77777777" w:rsidR="00575AC3" w:rsidRPr="006D40F0" w:rsidRDefault="00575AC3" w:rsidP="006D40F0">
      <w:r w:rsidRPr="006D40F0">
        <w:t>I Saldert budsjett 2024 er det bevilget 2,6 mill. kroner til refusjon av utgifter til pålagte miljøtiltak i Raufoss Industripark. Tiltaket gjelder opprydding av forurensning etter den tidligere virksomheten til Raufoss ASA og følger av pålegg fra Miljødirektoratet. Refusjonene i 2024 er nå anslått til 7,1 mill. kroner. Hovedårsaken til økningen er oppjusterte anslag til særskilte prosjekter og oppfølging av pålegg fra Miljødirektoratet knyttet til ammunisjonsdeponiet i Mjøsa. Bevilgningen foreslås økt med 4,5 mill. kroner.</w:t>
      </w:r>
    </w:p>
    <w:p w14:paraId="20B84E51" w14:textId="77777777" w:rsidR="00575AC3" w:rsidRPr="006D40F0" w:rsidRDefault="00575AC3" w:rsidP="006D40F0">
      <w:pPr>
        <w:pStyle w:val="b-post"/>
      </w:pPr>
      <w:r w:rsidRPr="006D40F0">
        <w:t>Post 75 Tilskudd til særskilte prosjekter, kan overføres</w:t>
      </w:r>
    </w:p>
    <w:p w14:paraId="59A14ACC" w14:textId="77777777" w:rsidR="00575AC3" w:rsidRPr="006D40F0" w:rsidRDefault="00575AC3" w:rsidP="006D40F0">
      <w:r w:rsidRPr="006D40F0">
        <w:t>Bevilgningen foreslås redusert med 3 mill. kroner for å dekke en tilsvarende økning av driftsutgiftene til Norsk akkreditering, jf. omtale under kap. 903, post 01.</w:t>
      </w:r>
    </w:p>
    <w:p w14:paraId="1BBF57FE" w14:textId="77777777" w:rsidR="00575AC3" w:rsidRPr="006D40F0" w:rsidRDefault="00575AC3" w:rsidP="006D40F0">
      <w:pPr>
        <w:pStyle w:val="b-post"/>
      </w:pPr>
      <w:r w:rsidRPr="006D40F0">
        <w:t>Post 85 (Ny) Midlertidig kompensasjonsordning for foretak med stort omsetningsfall som følge av koronapandemien, overslagsbevilgning</w:t>
      </w:r>
    </w:p>
    <w:p w14:paraId="169F639F" w14:textId="77777777" w:rsidR="00575AC3" w:rsidRPr="006D40F0" w:rsidRDefault="00575AC3" w:rsidP="006D40F0">
      <w:r w:rsidRPr="006D40F0">
        <w:t xml:space="preserve">Det er ikke bevilget midler til den midlertidige kompensasjonsordningen for foretak med stort omsetningsfall som følge av koronapandemien i Saldert budsjett 2024. Det er imidlertid fortsatt </w:t>
      </w:r>
      <w:r w:rsidRPr="006D40F0">
        <w:lastRenderedPageBreak/>
        <w:t>klager til behandling under ordningen. Dersom Brønnøysundregistrene ikke tar klagene til følge, sendes klagene til Nærings- og fiskeridepartementet for endelig avgjørelse. Ev. omgjørelser av vedtak vil medføre behov for utbetaling. Omfanget av utbetalinger vil variere fra sak til sak. Utbetalingene ventes å være på totalt 5 mill. kroner i løpet av året. Det foreslås derfor en bevilgning på 5 mill. kroner.</w:t>
      </w:r>
    </w:p>
    <w:p w14:paraId="7BBD9503" w14:textId="77777777" w:rsidR="00575AC3" w:rsidRPr="006D40F0" w:rsidRDefault="00575AC3" w:rsidP="006D40F0">
      <w:pPr>
        <w:pStyle w:val="b-budkaptit"/>
      </w:pPr>
      <w:r w:rsidRPr="006D40F0">
        <w:t>Kap. 903 Norsk akkreditering</w:t>
      </w:r>
    </w:p>
    <w:p w14:paraId="330A9485" w14:textId="77777777" w:rsidR="00575AC3" w:rsidRPr="006D40F0" w:rsidRDefault="00575AC3" w:rsidP="006D40F0">
      <w:pPr>
        <w:pStyle w:val="b-post"/>
      </w:pPr>
      <w:r w:rsidRPr="006D40F0">
        <w:t>Post 01 Driftsutgifter</w:t>
      </w:r>
    </w:p>
    <w:p w14:paraId="37F072AE" w14:textId="77777777" w:rsidR="00575AC3" w:rsidRPr="006D40F0" w:rsidRDefault="00575AC3" w:rsidP="006D40F0">
      <w:r w:rsidRPr="006D40F0">
        <w:t>Norsk akkreditering har over tid kommet i en vanskelig bemanningssituasjon med mange sykmeldinger og høy turnover. Selve akkrediteringsaktiviteten er gebyrfinansiert, men det er behov for å budsjettere med høyere utgifter enn inntekter på gebyrfinansierte tjenester i 2024 som følge av bemanningssituasjonen. Det er behov for nyansettelser. I tillegg har etaten noe behov for økt kapasitet til å gjennomføre pålagte oppgaver innenfor internasjonalt samarbeid, videreutvikling av eksisterende akkrediteringsordninger og utvikling av nye, samt informasjonsarbeid. For å dekke behovet i 2024 foreslås bevilgningen økt med 3 mill. kroner, mot en tilsvarende reduksjon under kap. 900 Nærings- og fiskeridepartementet, post 75 Tilskudd til særskilte prosjekter, jf. omtale under denne posten.</w:t>
      </w:r>
    </w:p>
    <w:p w14:paraId="1E6C582D" w14:textId="77777777" w:rsidR="00575AC3" w:rsidRPr="006D40F0" w:rsidRDefault="00575AC3" w:rsidP="006D40F0">
      <w:pPr>
        <w:pStyle w:val="b-budkaptit"/>
      </w:pPr>
      <w:r w:rsidRPr="006D40F0">
        <w:t>Kap. 904 Brønnøysundregistrene</w:t>
      </w:r>
    </w:p>
    <w:p w14:paraId="3D7F7D75" w14:textId="77777777" w:rsidR="00575AC3" w:rsidRPr="006D40F0" w:rsidRDefault="00575AC3" w:rsidP="006D40F0">
      <w:pPr>
        <w:pStyle w:val="b-post"/>
      </w:pPr>
      <w:r w:rsidRPr="006D40F0">
        <w:t>Post 01 Driftsutgifter</w:t>
      </w:r>
    </w:p>
    <w:p w14:paraId="5EFCB370" w14:textId="77777777" w:rsidR="00575AC3" w:rsidRPr="006D40F0" w:rsidRDefault="00575AC3" w:rsidP="006D40F0">
      <w:r w:rsidRPr="006D40F0">
        <w:t>Det er bevilget 508 mill. kroner til drift i Brønnøysundregistrene i Saldert budsjett 2024. Av dette gjelder 15 mill. kroner drift og forvaltning av det nye registeret for reelle rettighetshavere. Som følge av forsinkelser foreslås bevilgningen redusert med 2,8 mill. kroner.</w:t>
      </w:r>
    </w:p>
    <w:p w14:paraId="1F7CC9E6" w14:textId="77777777" w:rsidR="00575AC3" w:rsidRPr="006D40F0" w:rsidRDefault="00575AC3" w:rsidP="006D40F0">
      <w:r w:rsidRPr="006D40F0">
        <w:t>Videre er delprosjektet Rett fra start, som er en del av steg 1 i Skatteetatens program Fremtidens innkreving, satt i drift tidligere enn forventet. Ordningen skal driftes av Brønnøysundregistrene. På bakgrunn av dette foreslås bevilgningen økt med 2,8 mill. kroner.</w:t>
      </w:r>
    </w:p>
    <w:p w14:paraId="115A39D9" w14:textId="77777777" w:rsidR="00575AC3" w:rsidRPr="006D40F0" w:rsidRDefault="00575AC3" w:rsidP="006D40F0">
      <w:r w:rsidRPr="006D40F0">
        <w:t>I tillegg foreslås det å øke bevilgningen med 1,9 mill. kroner mot en tilsvarende reduksjon i bevilgningen på post 21.</w:t>
      </w:r>
    </w:p>
    <w:p w14:paraId="4D6A03A3" w14:textId="77777777" w:rsidR="00575AC3" w:rsidRPr="006D40F0" w:rsidRDefault="00575AC3" w:rsidP="006D40F0">
      <w:r w:rsidRPr="006D40F0">
        <w:t>Samlet foreslås bevilgningen økt med 1,9 mill. kroner.</w:t>
      </w:r>
    </w:p>
    <w:p w14:paraId="771A5AD4" w14:textId="77777777" w:rsidR="00575AC3" w:rsidRPr="006D40F0" w:rsidRDefault="00575AC3" w:rsidP="006D40F0">
      <w:pPr>
        <w:pStyle w:val="b-post"/>
      </w:pPr>
      <w:r w:rsidRPr="006D40F0">
        <w:t>Post 21 Spesielle driftsutgifter, kan overføres</w:t>
      </w:r>
    </w:p>
    <w:p w14:paraId="491B7652" w14:textId="77777777" w:rsidR="00575AC3" w:rsidRPr="006D40F0" w:rsidRDefault="00575AC3" w:rsidP="006D40F0">
      <w:r w:rsidRPr="006D40F0">
        <w:t>Det er bevilget 77,7 mill. kroner i Saldert budsjett 2024. Jf. omtale under post 01 foreslås det å flytte 1,9 mill. kroner til post 01. Videre reduseres bevilgningen til deltakelse i delprosjektet Rett fra start, som er en del av Skatteetatens utviklingsprogram Fremtidens innkreving, med 7,2 mill. kroner. Prosjektet er avsluttet tidligere enn planlagt, og det er derfor ikke behov for utviklingsmidler i 2024.</w:t>
      </w:r>
    </w:p>
    <w:p w14:paraId="3D96F2A5" w14:textId="77777777" w:rsidR="00575AC3" w:rsidRPr="006D40F0" w:rsidRDefault="00575AC3" w:rsidP="006D40F0">
      <w:r w:rsidRPr="006D40F0">
        <w:t xml:space="preserve">Videre dekker posten Brønnøysundregistrenes utgifter i Digitaliseringsdirektoratets utviklingsprogram Nye </w:t>
      </w:r>
      <w:proofErr w:type="spellStart"/>
      <w:r w:rsidRPr="006D40F0">
        <w:t>Altinn</w:t>
      </w:r>
      <w:proofErr w:type="spellEnd"/>
      <w:r w:rsidRPr="006D40F0">
        <w:t xml:space="preserve">. Det foreslås å øke bevilgningen til programmet med 208,2 mill. kroner, jf. omtale under Digitalisering- og forvaltningsdepartementets kap. 1540 </w:t>
      </w:r>
      <w:r w:rsidRPr="006D40F0">
        <w:lastRenderedPageBreak/>
        <w:t xml:space="preserve">Digitaliseringsdirektoratet, post 23 Utvikling og forvaltning av nasjonale fellesløsninger. Av økningen til programmet foreslås 23,4 mill. kroner til Brønnøysundregistrenes arbeid med utvikling og reetablering av tjenester i </w:t>
      </w:r>
      <w:proofErr w:type="spellStart"/>
      <w:r w:rsidRPr="006D40F0">
        <w:t>Altinn</w:t>
      </w:r>
      <w:proofErr w:type="spellEnd"/>
      <w:r w:rsidRPr="006D40F0">
        <w:t xml:space="preserve"> 3.</w:t>
      </w:r>
    </w:p>
    <w:p w14:paraId="62E76906" w14:textId="77777777" w:rsidR="00575AC3" w:rsidRPr="006D40F0" w:rsidRDefault="00575AC3" w:rsidP="006D40F0">
      <w:r w:rsidRPr="006D40F0">
        <w:t>Samlet foreslås bevilgningen økt med 14,3 mill. kroner.</w:t>
      </w:r>
    </w:p>
    <w:p w14:paraId="62B4F726" w14:textId="77777777" w:rsidR="00575AC3" w:rsidRPr="006D40F0" w:rsidRDefault="00575AC3" w:rsidP="006D40F0">
      <w:pPr>
        <w:pStyle w:val="b-post"/>
      </w:pPr>
      <w:r w:rsidRPr="006D40F0">
        <w:t>Post 45 Større utstyrsanskaffelser og vedlikehold, kan overføres</w:t>
      </w:r>
    </w:p>
    <w:p w14:paraId="537A6331" w14:textId="77777777" w:rsidR="00575AC3" w:rsidRPr="006D40F0" w:rsidRDefault="00575AC3" w:rsidP="006D40F0">
      <w:r w:rsidRPr="006D40F0">
        <w:t>Bevilgningsbehovet knyttet til prosjektet for ny registerplattform (</w:t>
      </w:r>
      <w:proofErr w:type="spellStart"/>
      <w:r w:rsidRPr="006D40F0">
        <w:t>BRsys</w:t>
      </w:r>
      <w:proofErr w:type="spellEnd"/>
      <w:r w:rsidRPr="006D40F0">
        <w:t>) i 2024 ser ut til å bli lavere enn lagt til grunn i Saldert budsjett 2024. Det skyldes overførte midler fra 2023 og at prosjektet har lavere fremdrift enn planlagt. Departementet vil redegjøre nærmere for dette i forbindelse med fremlegget av statsbudsjettet for 2025.</w:t>
      </w:r>
    </w:p>
    <w:p w14:paraId="193C2858" w14:textId="77777777" w:rsidR="00575AC3" w:rsidRPr="006D40F0" w:rsidRDefault="00575AC3" w:rsidP="006D40F0">
      <w:r w:rsidRPr="006D40F0">
        <w:t>Bevilgningen foreslås redusert med 30,6 mill. kroner.</w:t>
      </w:r>
    </w:p>
    <w:p w14:paraId="33E46DC5" w14:textId="77777777" w:rsidR="00575AC3" w:rsidRPr="006D40F0" w:rsidRDefault="00575AC3" w:rsidP="006D40F0">
      <w:pPr>
        <w:pStyle w:val="b-budkaptit"/>
      </w:pPr>
      <w:r w:rsidRPr="006D40F0">
        <w:t>Kap. 3904 Brønnøysundregistrene</w:t>
      </w:r>
    </w:p>
    <w:p w14:paraId="5D53E213" w14:textId="77777777" w:rsidR="00575AC3" w:rsidRPr="006D40F0" w:rsidRDefault="00575AC3" w:rsidP="006D40F0">
      <w:pPr>
        <w:pStyle w:val="b-post"/>
      </w:pPr>
      <w:r w:rsidRPr="006D40F0">
        <w:t>Post 01 Gebyrinntekter</w:t>
      </w:r>
    </w:p>
    <w:p w14:paraId="7614E5FD" w14:textId="77777777" w:rsidR="00575AC3" w:rsidRPr="006D40F0" w:rsidRDefault="00575AC3" w:rsidP="006D40F0">
      <w:r w:rsidRPr="006D40F0">
        <w:t>Oppdaterte anslag for antall registrerte tinglysninger i Løsøreregisteret og antall registreringer i Foretaksregisteret er lavere enn lagt til grunn i Saldert budsjett 2024. Bevilgningen foreslås redusert med 40,6 mill. kroner.</w:t>
      </w:r>
    </w:p>
    <w:p w14:paraId="1AC81B1D" w14:textId="77777777" w:rsidR="00575AC3" w:rsidRPr="006D40F0" w:rsidRDefault="00575AC3" w:rsidP="006D40F0">
      <w:pPr>
        <w:pStyle w:val="b-budkaptit"/>
      </w:pPr>
      <w:r w:rsidRPr="006D40F0">
        <w:t>Kap. 907 Norsk nukleær dekommisjonering</w:t>
      </w:r>
    </w:p>
    <w:p w14:paraId="09C4F949" w14:textId="77777777" w:rsidR="00575AC3" w:rsidRPr="006D40F0" w:rsidRDefault="00575AC3" w:rsidP="006D40F0">
      <w:pPr>
        <w:pStyle w:val="b-post"/>
      </w:pPr>
      <w:r w:rsidRPr="006D40F0">
        <w:t>Post 01 Driftsutgifter, kan nyttes under kap. 908, post 70</w:t>
      </w:r>
    </w:p>
    <w:p w14:paraId="649C1F83" w14:textId="77777777" w:rsidR="00575AC3" w:rsidRPr="006D40F0" w:rsidRDefault="00575AC3" w:rsidP="006D40F0">
      <w:r w:rsidRPr="006D40F0">
        <w:t xml:space="preserve">For å være best mulig forberedt på virksomhetsoverdragelsen av nukleære anlegg mv. fra Institutt for energiteknikk (IFE) til Norsk nukleær dekommisjonering (NND), skal forvaltningen av den tekniske IKT-infrastrukturen ved IFEs nukleære sektor overføres til NND. I Saldert budsjett 2024 ble det lagt til grunn at overføringen av IKT-infrastrukturen skulle skje 1. januar 2024. Bevilgningen på kap. 907, post 01 ble derfor økt med 8 mill. kroner mot en tilsvarende reduksjon i tilskuddet til IFE på kap. 908, post 70. Tidspunktet for overføring er nå utsatt, med planlagt overføring i løpet av 4. kvartal 2024. På denne bakgrunn foreslås det å tilføye stikkordet </w:t>
      </w:r>
      <w:r w:rsidRPr="00575AC3">
        <w:rPr>
          <w:rStyle w:val="kursiv"/>
        </w:rPr>
        <w:t xml:space="preserve">«kan nyttes under kap. 908, post 70» </w:t>
      </w:r>
      <w:r w:rsidRPr="006D40F0">
        <w:t>til kap. 907, post 01 for å kunne dekke IFEs kostnader til drift av systemet frem til forvaltningen overtas av NND, jf. forslag til romertallsvedtak.</w:t>
      </w:r>
    </w:p>
    <w:p w14:paraId="5471D50E" w14:textId="77777777" w:rsidR="00575AC3" w:rsidRPr="006D40F0" w:rsidRDefault="00575AC3" w:rsidP="006D40F0">
      <w:pPr>
        <w:pStyle w:val="b-post"/>
      </w:pPr>
      <w:r w:rsidRPr="006D40F0">
        <w:t>Post 21 Spesielle driftsutgifter, kan overføres</w:t>
      </w:r>
    </w:p>
    <w:p w14:paraId="2E076C94" w14:textId="77777777" w:rsidR="00575AC3" w:rsidRPr="006D40F0" w:rsidRDefault="00575AC3" w:rsidP="006D40F0">
      <w:r w:rsidRPr="006D40F0">
        <w:t xml:space="preserve">Regjeringen har som mål å overføre de nukleære anleggene og tilknyttet personell fra IFE til NND så raskt som mulig. Det planlegges nå for stegvis overføring, slik at anlegget i Halden og kombinert lager og deponi for lav- og mellomaktivt radioaktivt avfall i </w:t>
      </w:r>
      <w:proofErr w:type="spellStart"/>
      <w:r w:rsidRPr="006D40F0">
        <w:t>Himdalen</w:t>
      </w:r>
      <w:proofErr w:type="spellEnd"/>
      <w:r w:rsidRPr="006D40F0">
        <w:t xml:space="preserve"> (KLDRA) overføres først. Tidspunktet for overføring er blant annet avhengig av behandlingen av søknader om konsesjoner. Som følge av mulig fremskjøvet tidspunkt for overføring av noen av atomanleggene er det gjort enkelte omprioriteringer innenfor oppryddingsarbeidet. I tillegg er fremdriften på enkelte prosjekter forsinket, særlig på grunn av utfordringer med å få sikkerhetsklarert </w:t>
      </w:r>
      <w:r w:rsidRPr="006D40F0">
        <w:lastRenderedPageBreak/>
        <w:t>ekstern kompetanse som er nødvendig for pågående utredninger. Med bakgrunn i dette foreslås bevilgningen redusert med 40 mill. kroner.</w:t>
      </w:r>
    </w:p>
    <w:p w14:paraId="6DDD3238" w14:textId="77777777" w:rsidR="00575AC3" w:rsidRPr="006D40F0" w:rsidRDefault="00575AC3" w:rsidP="006D40F0">
      <w:pPr>
        <w:pStyle w:val="b-post"/>
      </w:pPr>
      <w:r w:rsidRPr="006D40F0">
        <w:t xml:space="preserve">Post 30 Opprydding </w:t>
      </w:r>
      <w:proofErr w:type="spellStart"/>
      <w:r w:rsidRPr="006D40F0">
        <w:t>Søve</w:t>
      </w:r>
      <w:proofErr w:type="spellEnd"/>
    </w:p>
    <w:p w14:paraId="59DC80FC" w14:textId="77777777" w:rsidR="00575AC3" w:rsidRPr="006D40F0" w:rsidRDefault="00575AC3" w:rsidP="006D40F0">
      <w:r w:rsidRPr="006D40F0">
        <w:t xml:space="preserve">Staten er pålagt å rydde opp radioaktivt avfall etter gruvevirksomheten ved </w:t>
      </w:r>
      <w:proofErr w:type="spellStart"/>
      <w:r w:rsidRPr="006D40F0">
        <w:t>Søve</w:t>
      </w:r>
      <w:proofErr w:type="spellEnd"/>
      <w:r w:rsidRPr="006D40F0">
        <w:t xml:space="preserve"> gruver i Telemark, og Norsk nukleær dekommisjonering (NND) er gitt i oppdrag å stå for gjennomføringen av oppryddingen. Det har vært flere forskyvninger i anbudskonkurransen. NND gjennomfører nå forhandlinger med aktuelle leverandører. Forhandlingene er ikke sluttført, og det forventes at valg av tilbyder i 3. kvartal slik at første fase i prosjektet kan starte i andre halvår 2024. Det er noe senere enn tidligere ventet, og bevilgningen kan derfor reduseres med 15 mill. kroner til 20 mill. kroner.</w:t>
      </w:r>
    </w:p>
    <w:p w14:paraId="7B4D1A16" w14:textId="77777777" w:rsidR="00575AC3" w:rsidRPr="006D40F0" w:rsidRDefault="00575AC3" w:rsidP="006D40F0">
      <w:r w:rsidRPr="006D40F0">
        <w:t>Videre er det i 2024-budsjettet gitt en bestillingsfullmakt på 150 mill. kroner for signering av kontrakter i forbindelse med oppryddingen. Det er nå avklart at den første fasen av anskaffelsen skal gjennomføres som en samspillskontrakt med en anslått varighet på 12-18 mnd. Det vil ikke bli tegnet avtale om endelig entreprisekontrakt før denne fasen er gjennomført. Det foreslås derfor at bestillingsfullmakten reduseres med 130 mill. kroner til 20 mill. kroner, jf. forslag til romertallsvedtak.</w:t>
      </w:r>
    </w:p>
    <w:p w14:paraId="57EEB653" w14:textId="77777777" w:rsidR="00575AC3" w:rsidRPr="006D40F0" w:rsidRDefault="00575AC3" w:rsidP="006D40F0">
      <w:pPr>
        <w:pStyle w:val="b-budkaptit"/>
      </w:pPr>
      <w:r w:rsidRPr="006D40F0">
        <w:t>Kap. 908 Institutt for energiteknikk</w:t>
      </w:r>
    </w:p>
    <w:p w14:paraId="7BD58390" w14:textId="77777777" w:rsidR="00575AC3" w:rsidRPr="006D40F0" w:rsidRDefault="00575AC3" w:rsidP="006D40F0">
      <w:pPr>
        <w:pStyle w:val="b-post"/>
      </w:pPr>
      <w:r w:rsidRPr="006D40F0">
        <w:t>Post 70 Tilskudd til drift av atomanlegg</w:t>
      </w:r>
    </w:p>
    <w:p w14:paraId="49251D5A" w14:textId="77777777" w:rsidR="00575AC3" w:rsidRPr="006D40F0" w:rsidRDefault="00575AC3" w:rsidP="006D40F0">
      <w:r w:rsidRPr="006D40F0">
        <w:t xml:space="preserve">Etter overføring av de nukleære anleggene i Halden og KLDRA med tilhørende personell vil IFE fortsatt ha ansvaret for sikker drift av anleggene på Kjeller. For å ha tilstrekkelig kompetanse og kapasitet til å ivareta dette ansvaret, er det behov for å øke driftsbevilgningen til IFE. Det er behov for syv stillinger, og budsjetteffekten i 2024 for disse stillingene er 4 mill. kroner, og 8,5 mill. kroner i 2025. I tillegg er det behov for 1,5 mill. kroner til å dekke driftsutgifter for sikkerhetssystemer som settes i drift i 2024. IFE hadde videre et </w:t>
      </w:r>
      <w:proofErr w:type="spellStart"/>
      <w:r w:rsidRPr="006D40F0">
        <w:t>mindreforbruk</w:t>
      </w:r>
      <w:proofErr w:type="spellEnd"/>
      <w:r w:rsidRPr="006D40F0">
        <w:t xml:space="preserve"> på 0,5 mill. kroner i 2023, som er overført til 2024. Dette reduserer bevilgningsbehovet noe, slik at bevilgningen nå foreslås økt med 5 mill. kroner.</w:t>
      </w:r>
    </w:p>
    <w:p w14:paraId="2FE3F138" w14:textId="77777777" w:rsidR="00575AC3" w:rsidRPr="006D40F0" w:rsidRDefault="00575AC3" w:rsidP="006D40F0">
      <w:pPr>
        <w:pStyle w:val="b-post"/>
      </w:pPr>
      <w:r w:rsidRPr="006D40F0">
        <w:t>Post 71 Tilskudd til sikring av atomanlegg</w:t>
      </w:r>
    </w:p>
    <w:p w14:paraId="56A9BDEB" w14:textId="77777777" w:rsidR="00575AC3" w:rsidRPr="006D40F0" w:rsidRDefault="00575AC3" w:rsidP="006D40F0">
      <w:r w:rsidRPr="006D40F0">
        <w:t>Tilskuddet finansierer oppgradering av sikringsnivået ved Institutt for energiteknikks (IFEs) nukleære anlegg i tråd med de pålegg som er gitt av Direktoratet for strålevern og atomsikkerhet, oppfølging relatert til sikkerhetsloven og Nærings- og fiskeridepartementets vedtak fra 2021 knyttet til klassifisering av IFEs skjermingsverdige objekter. Bevilgningen i Saldert budsjett 2024 er 49,3 mill. kroner. Inkludert overføringer fra 2023 disponerer IFE 66,2 mill. kroner til sikringstiltak i 2024.</w:t>
      </w:r>
    </w:p>
    <w:p w14:paraId="48E7D2A3" w14:textId="77777777" w:rsidR="00575AC3" w:rsidRPr="006D40F0" w:rsidRDefault="00575AC3" w:rsidP="006D40F0">
      <w:r w:rsidRPr="006D40F0">
        <w:t xml:space="preserve">Det er gjennomført risiko- og sårbarhetsanalyser som omhandler eiendom, bygg og anlegg for KLDRA, Kjeller og Halden, og elektroniske sikringstiltak for Kjeller og Halden. I tillegg er det gjennomført en risiko- og sårbarhetsanalyse knyttet til digitale systemer, og for organisasjonen. </w:t>
      </w:r>
      <w:r w:rsidRPr="006D40F0">
        <w:lastRenderedPageBreak/>
        <w:t>Analysene har avdekket behov for risikoreduserende tiltak ut over det som ble lagt til grunn i saldert budsjett.</w:t>
      </w:r>
    </w:p>
    <w:p w14:paraId="00889122" w14:textId="77777777" w:rsidR="00575AC3" w:rsidRPr="006D40F0" w:rsidRDefault="00575AC3" w:rsidP="006D40F0">
      <w:r w:rsidRPr="006D40F0">
        <w:t>På denne bakgrunn foreslås det å øke bevilgningen med 8 mill. kroner.</w:t>
      </w:r>
    </w:p>
    <w:p w14:paraId="123477A2" w14:textId="77777777" w:rsidR="00575AC3" w:rsidRPr="006D40F0" w:rsidRDefault="00575AC3" w:rsidP="006D40F0">
      <w:pPr>
        <w:pStyle w:val="b-post"/>
      </w:pPr>
      <w:r w:rsidRPr="006D40F0">
        <w:t>Post 72 Lån til flytting av laboratorier og infrastruktur</w:t>
      </w:r>
    </w:p>
    <w:p w14:paraId="01DE30C3" w14:textId="77777777" w:rsidR="00575AC3" w:rsidRPr="006D40F0" w:rsidRDefault="00575AC3" w:rsidP="006D40F0">
      <w:r w:rsidRPr="006D40F0">
        <w:t>Det er lagt opp til at de nukleære anleggene skal overføres fra Institutt for energiteknikk (IFE) til staten ved Norsk nukleær dekommisjonering (NND). Dette innebærer at IFE må flytte en rekke laboratorier og IKT-infrastruktur knyttet til sin øvrige virksomhet ut av området som skal overføres til NND. For å sørge for fremdrift i oppryddingsarbeidet ble IFE, høsten 2022, gitt et lån til å finansiere flyttingen. I Saldert budsjett 2024 er det bevilget 80 mill. kroner til formålet, men fremdriften i flytteprosjektet har vært lavere enn det som ble lagt til grunn. Et oppdatert anslag fra IFE tilsier et lånebehov på 35 mill. kroner. Bevilgningen foreslås derfor redusert med 45 mill. kroner.</w:t>
      </w:r>
    </w:p>
    <w:p w14:paraId="44015C94" w14:textId="77777777" w:rsidR="00575AC3" w:rsidRPr="006D40F0" w:rsidRDefault="00575AC3" w:rsidP="006D40F0">
      <w:pPr>
        <w:pStyle w:val="b-budkaptit"/>
      </w:pPr>
      <w:r w:rsidRPr="006D40F0">
        <w:t>Kap. 3908 Institutt for energiteknikk</w:t>
      </w:r>
    </w:p>
    <w:p w14:paraId="034970A7" w14:textId="77777777" w:rsidR="00575AC3" w:rsidRPr="006D40F0" w:rsidRDefault="00575AC3" w:rsidP="006D40F0">
      <w:pPr>
        <w:pStyle w:val="b-post"/>
      </w:pPr>
      <w:r w:rsidRPr="006D40F0">
        <w:t>Post 80 Renter</w:t>
      </w:r>
    </w:p>
    <w:p w14:paraId="33735F0E" w14:textId="77777777" w:rsidR="00575AC3" w:rsidRPr="006D40F0" w:rsidRDefault="00575AC3" w:rsidP="006D40F0">
      <w:r w:rsidRPr="006D40F0">
        <w:t>Jf. omtale under kap. 908, post 72 er det inngått avtale med IFE om lån til flytting av laboratorier og infrastruktur. I Saldert budsjett 2024 er det bevilget 3,4 mill. kroner i renteinntekter. På grunn av lavere utbetalingstakt for lånet vil renteinntektene bli lavere enn tidligere lagt til grunn. Det foreslås å redusere bevilgningen med 1,8 mill. kroner.</w:t>
      </w:r>
    </w:p>
    <w:p w14:paraId="6C127241" w14:textId="77777777" w:rsidR="00575AC3" w:rsidRPr="006D40F0" w:rsidRDefault="00575AC3" w:rsidP="006D40F0">
      <w:pPr>
        <w:pStyle w:val="b-budkaptit"/>
      </w:pPr>
      <w:r w:rsidRPr="006D40F0">
        <w:t>Kap. 909 Tiltak for sysselsetting av sjøfolk</w:t>
      </w:r>
    </w:p>
    <w:p w14:paraId="1AB6141D" w14:textId="77777777" w:rsidR="00575AC3" w:rsidRPr="006D40F0" w:rsidRDefault="00575AC3" w:rsidP="006D40F0">
      <w:pPr>
        <w:pStyle w:val="b-post"/>
      </w:pPr>
      <w:r w:rsidRPr="006D40F0">
        <w:t>Post 73 Tilskudd til sysselsetting av sjøfolk, overslagsbevilgning</w:t>
      </w:r>
    </w:p>
    <w:p w14:paraId="562E509C" w14:textId="77777777" w:rsidR="00575AC3" w:rsidRPr="006D40F0" w:rsidRDefault="00575AC3" w:rsidP="006D40F0">
      <w:r w:rsidRPr="006D40F0">
        <w:t xml:space="preserve">Rederier kan søke om tilskudd til sysselsetting av sjøfolk på grunnlag av innbetalt inntektsskatt, trygdeavgift og arbeidsgiveravgift for </w:t>
      </w:r>
      <w:proofErr w:type="spellStart"/>
      <w:r w:rsidRPr="006D40F0">
        <w:t>tilskuddsberettigede</w:t>
      </w:r>
      <w:proofErr w:type="spellEnd"/>
      <w:r w:rsidRPr="006D40F0">
        <w:t xml:space="preserve"> sjøfolk på skip registrert i Norsk ordinært skipsregister (NOR) og Norsk internasjonalt skipsregister (NIS). Ordningen er regelstyrt og rettighetsbasert. Utbetalinger av tilskudd avhenger i stor grad av antallet </w:t>
      </w:r>
      <w:proofErr w:type="spellStart"/>
      <w:r w:rsidRPr="006D40F0">
        <w:t>tilskuddsberettigede</w:t>
      </w:r>
      <w:proofErr w:type="spellEnd"/>
      <w:r w:rsidRPr="006D40F0">
        <w:t xml:space="preserve"> sjøfolk som er omfattet av ordningen og deres lønnsnivå.</w:t>
      </w:r>
    </w:p>
    <w:p w14:paraId="49D753BA" w14:textId="77777777" w:rsidR="00575AC3" w:rsidRPr="006D40F0" w:rsidRDefault="00575AC3" w:rsidP="006D40F0">
      <w:r w:rsidRPr="006D40F0">
        <w:t>Oppdaterte anslag viser et lavere bevilgningsbehov enn lagt til grunn i Saldert budsjett 2024. Bevilgningen foreslås redusert med 44 mill. kroner.</w:t>
      </w:r>
    </w:p>
    <w:p w14:paraId="64B3E55A" w14:textId="77777777" w:rsidR="00575AC3" w:rsidRPr="006D40F0" w:rsidRDefault="00575AC3" w:rsidP="006D40F0">
      <w:pPr>
        <w:pStyle w:val="b-budkaptit"/>
      </w:pPr>
      <w:r w:rsidRPr="006D40F0">
        <w:t>Kap. 912 Klagenemndssekretariatet</w:t>
      </w:r>
    </w:p>
    <w:p w14:paraId="6472A547" w14:textId="77777777" w:rsidR="00575AC3" w:rsidRPr="006D40F0" w:rsidRDefault="00575AC3" w:rsidP="006D40F0">
      <w:pPr>
        <w:pStyle w:val="b-post"/>
      </w:pPr>
      <w:r w:rsidRPr="006D40F0">
        <w:t>Post 21 (Ny) Spesielle driftsutgifter</w:t>
      </w:r>
    </w:p>
    <w:p w14:paraId="1D3B911A" w14:textId="77777777" w:rsidR="00575AC3" w:rsidRPr="006D40F0" w:rsidRDefault="00575AC3" w:rsidP="006D40F0">
      <w:r w:rsidRPr="006D40F0">
        <w:t>Klagenemndssekretariatet er gitt fullmakt til å overskride bevilgningen for å dekke eventuelle saksomkostningskrav knyttet til omgjøring av vedtak etter forvaltningsloven § 36 i saker som behandles av klagenemndene som Klagenemndssekretariatet betjener. Klagenemnder tilknyttet Klagenemndssekretariatet har omgjort tre vedtak etter forvaltningsloven § 36 hvor klager vil få dekket sine saksomkostninger i 2024. Saksomkostningene i disse sakene beløper seg til 165 319 kroner. Det foreslås på dette grunnlag å bevilge 200 000 kroner til formålet.</w:t>
      </w:r>
    </w:p>
    <w:p w14:paraId="113A5309" w14:textId="77777777" w:rsidR="00575AC3" w:rsidRPr="006D40F0" w:rsidRDefault="00575AC3" w:rsidP="006D40F0">
      <w:pPr>
        <w:pStyle w:val="b-budkaptit"/>
      </w:pPr>
      <w:r w:rsidRPr="006D40F0">
        <w:lastRenderedPageBreak/>
        <w:t>Kap. 3912 Klagenemndssekretariatet</w:t>
      </w:r>
    </w:p>
    <w:p w14:paraId="059049C7" w14:textId="77777777" w:rsidR="00575AC3" w:rsidRPr="006D40F0" w:rsidRDefault="00575AC3" w:rsidP="006D40F0">
      <w:pPr>
        <w:pStyle w:val="b-post"/>
      </w:pPr>
      <w:r w:rsidRPr="006D40F0">
        <w:t>Post 01 Klagegebyr</w:t>
      </w:r>
    </w:p>
    <w:p w14:paraId="0B6B120A" w14:textId="77777777" w:rsidR="00575AC3" w:rsidRPr="006D40F0" w:rsidRDefault="00575AC3" w:rsidP="006D40F0">
      <w:r w:rsidRPr="006D40F0">
        <w:t>Posten gjelder klagegebyr for Klagenemnda for offentlige anskaffelser (KOFA). Inntektene avhenger av antall innkomne saker og hvilken type saker som meldes inn. Videre betales det tilbake klagegebyr i saker hvor KOFA finner at innklagede har foretatt en ulovlig direkte anskaffelse, eller brudd som har hatt betydning for utfallet av konkurransen. På bakgrunn av sakene som har kommet inn til KOFA så langt i år, foreslås bevilgningen økt med 111 000 kroner til 800 000 kroner.</w:t>
      </w:r>
    </w:p>
    <w:p w14:paraId="259FCCB2" w14:textId="77777777" w:rsidR="00575AC3" w:rsidRPr="006D40F0" w:rsidRDefault="00575AC3" w:rsidP="006D40F0">
      <w:pPr>
        <w:pStyle w:val="b-post"/>
      </w:pPr>
      <w:r w:rsidRPr="006D40F0">
        <w:t>Post 02 Refusjoner og andre inntekter</w:t>
      </w:r>
    </w:p>
    <w:p w14:paraId="7E7C91F1" w14:textId="77777777" w:rsidR="00575AC3" w:rsidRPr="006D40F0" w:rsidRDefault="00575AC3" w:rsidP="006D40F0">
      <w:r w:rsidRPr="006D40F0">
        <w:t>Inntektene gjelder refusjoner for kurs og konferanser. Inntektene er hovedsakelig knyttet til KOFA-konferansen som arrangeres av Klagenemndssekretariatet hvert år. I 2023 var det et forholdsvis høyt antall deltakere på konferansen, og det forventes et tilsvarende antall deltakere i 2024. Det foreslås å øke bevilgningen med 291 000 kroner til 500 000 kroner.</w:t>
      </w:r>
    </w:p>
    <w:p w14:paraId="0BF7BD1F" w14:textId="77777777" w:rsidR="00575AC3" w:rsidRPr="006D40F0" w:rsidRDefault="00575AC3" w:rsidP="006D40F0">
      <w:pPr>
        <w:pStyle w:val="b-post"/>
      </w:pPr>
      <w:r w:rsidRPr="006D40F0">
        <w:t>Post 87 Overtredelsesgebyrer</w:t>
      </w:r>
    </w:p>
    <w:p w14:paraId="3A1EF766" w14:textId="77777777" w:rsidR="00575AC3" w:rsidRPr="006D40F0" w:rsidRDefault="00575AC3" w:rsidP="006D40F0">
      <w:r w:rsidRPr="006D40F0">
        <w:t>I Saldert budsjett 2024 er det bevilget 100 000 kroner i inntekter fra overtredelsesgebyr som ilegges av KOFA ved vedtak om ulovlige direkteanskaffelser. Så langt i år er det regnskapsført 12,2 mill. kroner i overtredelsesgebyr, som i hovedsak er knyttet til et gebyrvedtak mot Bodø kommune som ble fattet i 2023. I tillegg har det nylig blitt fattet vedtak om overtredelsesgebyr på 196 626 kroner i en annen sak.</w:t>
      </w:r>
    </w:p>
    <w:p w14:paraId="5105D32E" w14:textId="77777777" w:rsidR="00575AC3" w:rsidRPr="006D40F0" w:rsidRDefault="00575AC3" w:rsidP="006D40F0">
      <w:r w:rsidRPr="006D40F0">
        <w:t>Det foreslås å øke bevilgningen med 12,3 mill. kroner.</w:t>
      </w:r>
    </w:p>
    <w:p w14:paraId="67835E5B" w14:textId="77777777" w:rsidR="00575AC3" w:rsidRPr="006D40F0" w:rsidRDefault="00575AC3" w:rsidP="006D40F0">
      <w:pPr>
        <w:pStyle w:val="b-budkaptit"/>
      </w:pPr>
      <w:r w:rsidRPr="006D40F0">
        <w:t>Kap. 916 Kystverket</w:t>
      </w:r>
    </w:p>
    <w:p w14:paraId="35C7B050" w14:textId="77777777" w:rsidR="00575AC3" w:rsidRPr="006D40F0" w:rsidRDefault="00575AC3" w:rsidP="006D40F0">
      <w:pPr>
        <w:pStyle w:val="b-post"/>
      </w:pPr>
      <w:r w:rsidRPr="006D40F0">
        <w:t>Post 01 Driftsutgifter, kan nyttes under post 45</w:t>
      </w:r>
    </w:p>
    <w:p w14:paraId="48C3AC14" w14:textId="77777777" w:rsidR="00575AC3" w:rsidRPr="006D40F0" w:rsidRDefault="00575AC3" w:rsidP="006D40F0">
      <w:r w:rsidRPr="006D40F0">
        <w:t>Bevilgningen foreslås økt med 17,6 mill. kroner til korrigering for et merforbruk på den brukerfinansierte delen av virksomheten i 2023. Utgiftene foreslås dekket inn med tilsvarende økning på kap. 5574, post 77 Sektoravgifter Kystverket. Videre foreslås bevilgningen økt med ytterligere 16,1 mill. kroner for å dekke økte utgifter til isbryting i Oslofjorden og Drammensfjorden vinteren 2024, og 11,9 mill. kroner til å dekke skader på navigasjonsinfrastruktur som ble forårsaket av uværet «Ingunn» som traff Norge i slutten av januar.</w:t>
      </w:r>
    </w:p>
    <w:p w14:paraId="15AD4BE4" w14:textId="77777777" w:rsidR="00575AC3" w:rsidRPr="006D40F0" w:rsidRDefault="00575AC3" w:rsidP="006D40F0">
      <w:r w:rsidRPr="006D40F0">
        <w:t xml:space="preserve">Det vises også til omtale under kap. 922, post 71 om forlengelse av </w:t>
      </w:r>
      <w:proofErr w:type="spellStart"/>
      <w:r w:rsidRPr="006D40F0">
        <w:t>Radarsat</w:t>
      </w:r>
      <w:proofErr w:type="spellEnd"/>
      <w:r w:rsidRPr="006D40F0">
        <w:t>-avtalen. Kystverket er en av brukeretatene av satellittdata fra avtalen. Kystverkets driftsbevilgning foreslås redusert med 1,2 mill. kroner til inndekning av forlengelse av avtalen mot tilsvarende økning på kap. 922, post 71 til forlengelse av avtalen.</w:t>
      </w:r>
    </w:p>
    <w:p w14:paraId="34452E63" w14:textId="77777777" w:rsidR="00575AC3" w:rsidRPr="006D40F0" w:rsidRDefault="00575AC3" w:rsidP="006D40F0">
      <w:r w:rsidRPr="006D40F0">
        <w:t>Samlet foreslås bevilgningen økt med 44,4 mill. kroner.</w:t>
      </w:r>
    </w:p>
    <w:p w14:paraId="5D116D85" w14:textId="77777777" w:rsidR="00575AC3" w:rsidRPr="006D40F0" w:rsidRDefault="00575AC3" w:rsidP="006D40F0">
      <w:pPr>
        <w:pStyle w:val="b-post"/>
      </w:pPr>
      <w:r w:rsidRPr="006D40F0">
        <w:lastRenderedPageBreak/>
        <w:t>Post 22 Driftsutgifter brukerfinansierte tjenester, kan overføres, kan nyttes under post 46</w:t>
      </w:r>
    </w:p>
    <w:p w14:paraId="00A37431" w14:textId="77777777" w:rsidR="00575AC3" w:rsidRPr="006D40F0" w:rsidRDefault="00575AC3" w:rsidP="006D40F0">
      <w:r w:rsidRPr="006D40F0">
        <w:t>Bevilgningen foreslås økt med 132,2 mill. kroner mot en tilsvarende økning i inntektsbevilgningen på kap. 5574, post 77 Sektoravgifter Kystverket. Endringen skyldes økt aktivitet i lostjenesten.</w:t>
      </w:r>
    </w:p>
    <w:p w14:paraId="19AD2C5B" w14:textId="77777777" w:rsidR="00575AC3" w:rsidRPr="006D40F0" w:rsidRDefault="00575AC3" w:rsidP="006D40F0">
      <w:pPr>
        <w:pStyle w:val="b-post"/>
      </w:pPr>
      <w:r w:rsidRPr="006D40F0">
        <w:t>Post 45 Større utstyrsanskaffelser og vedlikehold, kan overføres, kan nyttes under post 1</w:t>
      </w:r>
    </w:p>
    <w:p w14:paraId="238B6D83" w14:textId="77777777" w:rsidR="00575AC3" w:rsidRPr="006D40F0" w:rsidRDefault="00575AC3" w:rsidP="006D40F0">
      <w:r w:rsidRPr="006D40F0">
        <w:t xml:space="preserve">Bevilgningen foreslås økt med 9,8 mill. kroner for å korrigere for et merforbruk på den brukerfinansierte delen av virksomheten i 2023. Økningen foreslås dekket inn med tilsvarende økning på kap. 5574, post 77 Sektoravgifter Kystverket. Det foreslås også en bestillingsfullmakt på posten til å inngå forpliktelser for inntil 50 mill. kroner til nødvendig fornying av batteripakken på fartøyet OV </w:t>
      </w:r>
      <w:proofErr w:type="spellStart"/>
      <w:r w:rsidRPr="006D40F0">
        <w:t>Bøkfjord</w:t>
      </w:r>
      <w:proofErr w:type="spellEnd"/>
      <w:r w:rsidRPr="006D40F0">
        <w:t>, jf. forslag til romertallsvedtak.</w:t>
      </w:r>
    </w:p>
    <w:p w14:paraId="36F50063" w14:textId="77777777" w:rsidR="00575AC3" w:rsidRPr="006D40F0" w:rsidRDefault="00575AC3" w:rsidP="006D40F0">
      <w:pPr>
        <w:pStyle w:val="b-budkaptit"/>
      </w:pPr>
      <w:r w:rsidRPr="006D40F0">
        <w:t>Kap. 917 Fiskeridirektoratet</w:t>
      </w:r>
    </w:p>
    <w:p w14:paraId="701CA43A" w14:textId="77777777" w:rsidR="00575AC3" w:rsidRPr="006D40F0" w:rsidRDefault="00575AC3" w:rsidP="006D40F0">
      <w:pPr>
        <w:pStyle w:val="b-post"/>
      </w:pPr>
      <w:r w:rsidRPr="006D40F0">
        <w:t>Post 01 Driftsutgifter</w:t>
      </w:r>
    </w:p>
    <w:p w14:paraId="15D52787" w14:textId="77777777" w:rsidR="00575AC3" w:rsidRPr="006D40F0" w:rsidRDefault="00575AC3" w:rsidP="006D40F0">
      <w:r w:rsidRPr="006D40F0">
        <w:t xml:space="preserve">Fiskeridirektoratet deltar gjennom </w:t>
      </w:r>
      <w:proofErr w:type="spellStart"/>
      <w:r w:rsidRPr="006D40F0">
        <w:t>FangstID</w:t>
      </w:r>
      <w:proofErr w:type="spellEnd"/>
      <w:r w:rsidRPr="006D40F0">
        <w:t xml:space="preserve">-programmet i prosjekter med finansiering fra Norges forskningsråd og </w:t>
      </w:r>
      <w:proofErr w:type="spellStart"/>
      <w:r w:rsidRPr="006D40F0">
        <w:t>Horizon</w:t>
      </w:r>
      <w:proofErr w:type="spellEnd"/>
      <w:r w:rsidRPr="006D40F0">
        <w:t xml:space="preserve"> Europe. </w:t>
      </w:r>
      <w:proofErr w:type="spellStart"/>
      <w:r w:rsidRPr="006D40F0">
        <w:t>FangstID</w:t>
      </w:r>
      <w:proofErr w:type="spellEnd"/>
      <w:r w:rsidRPr="006D40F0">
        <w:t>-programmet har fått økt prosjektstøtte på 4,9 mill. kroner. Det foreslås derfor å øke bevilgningen med 4,9 mill. kroner mot tilsvarende økning på kap. 3917, post 01.</w:t>
      </w:r>
    </w:p>
    <w:p w14:paraId="2D5A3398" w14:textId="77777777" w:rsidR="00575AC3" w:rsidRPr="006D40F0" w:rsidRDefault="00575AC3" w:rsidP="006D40F0">
      <w:r w:rsidRPr="006D40F0">
        <w:t xml:space="preserve">Videre foreslås bevilgningen økt med 2 mill. kroner til utgifter til Fiskeridirektoratets arbeid med auksjoner av tillatelseskapasitet til laks, ørret og </w:t>
      </w:r>
      <w:proofErr w:type="spellStart"/>
      <w:r w:rsidRPr="006D40F0">
        <w:t>regnbuerørret</w:t>
      </w:r>
      <w:proofErr w:type="spellEnd"/>
      <w:r w:rsidRPr="006D40F0">
        <w:t xml:space="preserve"> i forbindelse med kapasitetsjusteringene i oppdrett. Det ble i Prop. 1 S (2023–2024) for Nærings- og fiskeridepartementet varslet at Fiskeridirektoratets administrative utgifter til gjennomføring av fremtidige auksjoner skal dekkes av inntektene fra vederlag for oppdrettskonsesjoner.</w:t>
      </w:r>
    </w:p>
    <w:p w14:paraId="787A27FB" w14:textId="77777777" w:rsidR="00575AC3" w:rsidRPr="006D40F0" w:rsidRDefault="00575AC3" w:rsidP="006D40F0">
      <w:r w:rsidRPr="006D40F0">
        <w:t xml:space="preserve">Det vises til omtale under kap. 922, post 71 om forlengelse av </w:t>
      </w:r>
      <w:proofErr w:type="spellStart"/>
      <w:r w:rsidRPr="006D40F0">
        <w:t>Radarsat</w:t>
      </w:r>
      <w:proofErr w:type="spellEnd"/>
      <w:r w:rsidRPr="006D40F0">
        <w:t>-avtalen. Fiskeridirektoratet er en av brukeretatene av satellittdata fra avtalen, og direktoratets driftsbevilgning foreslås redusert med 0,6 mill. kroner til inndekning av forlengelse av avtalen.</w:t>
      </w:r>
    </w:p>
    <w:p w14:paraId="015CB941" w14:textId="77777777" w:rsidR="00575AC3" w:rsidRPr="006D40F0" w:rsidRDefault="00575AC3" w:rsidP="006D40F0">
      <w:r w:rsidRPr="006D40F0">
        <w:t>Samlet foreslås bevilgningen økt med 6,3 mill. kroner.</w:t>
      </w:r>
    </w:p>
    <w:p w14:paraId="5D3BA9D5" w14:textId="77777777" w:rsidR="00575AC3" w:rsidRPr="006D40F0" w:rsidRDefault="00575AC3" w:rsidP="006D40F0">
      <w:pPr>
        <w:pStyle w:val="b-post"/>
      </w:pPr>
      <w:r w:rsidRPr="006D40F0">
        <w:t>Post 22 Fiskeriforskning og -overvåking, kan overføres</w:t>
      </w:r>
    </w:p>
    <w:p w14:paraId="54EF4B90" w14:textId="77777777" w:rsidR="00575AC3" w:rsidRPr="006D40F0" w:rsidRDefault="00575AC3" w:rsidP="006D40F0">
      <w:r w:rsidRPr="006D40F0">
        <w:t>Bevilgningen på posten motsvares av inntekter fra fiskeriforskningsavgiften, jf. kap. 5574, post 74. Avgiften trekkes fra førstehåndsomsetningen til fiskerne og skal dekke deler av kostnadene ved å skaffe nødvendig kunnskapsgrunnlag for fiskeriforvaltningen, til å forebygge marin forsøpling fra fiskerinæringen og rydde tapte fiskeredskap.</w:t>
      </w:r>
    </w:p>
    <w:p w14:paraId="7B32A9ED" w14:textId="77777777" w:rsidR="00575AC3" w:rsidRPr="006D40F0" w:rsidRDefault="00575AC3" w:rsidP="006D40F0">
      <w:r w:rsidRPr="006D40F0">
        <w:t>På bakgrunn av oppdaterte anslag for inntekter fra fiskeriforskningsavgiften, jf. omtale under kap. 5574, post 74, foreslås det å øke bevilgningen på posten med 6,6 mill. kroner.</w:t>
      </w:r>
    </w:p>
    <w:p w14:paraId="61ADE866" w14:textId="77777777" w:rsidR="00575AC3" w:rsidRPr="006D40F0" w:rsidRDefault="00575AC3" w:rsidP="006D40F0">
      <w:pPr>
        <w:pStyle w:val="b-post"/>
      </w:pPr>
      <w:r w:rsidRPr="006D40F0">
        <w:lastRenderedPageBreak/>
        <w:t>Post 23 (Ny) Prisråd for havbruk</w:t>
      </w:r>
    </w:p>
    <w:p w14:paraId="67B98245" w14:textId="77777777" w:rsidR="00575AC3" w:rsidRPr="006D40F0" w:rsidRDefault="00575AC3" w:rsidP="006D40F0">
      <w:r w:rsidRPr="006D40F0">
        <w:t>Prisrådet for havbruk ble oppnevnt 20. desember 2023. Rådet har i oppgave å sette bindende priser til bruk ved fastsettelse av grunnrenteskattepliktig inntekt fra 1. juli 2024. Fiskeridirektoratet skal være sekretariat og klagemyndighet for prisrådet.</w:t>
      </w:r>
    </w:p>
    <w:p w14:paraId="52C77C83" w14:textId="77777777" w:rsidR="00575AC3" w:rsidRPr="006D40F0" w:rsidRDefault="00575AC3" w:rsidP="006D40F0">
      <w:r w:rsidRPr="006D40F0">
        <w:t>Det er anslått en kostnad på 12,9 mill. kroner for å etablere og drifte prisrådet, sekretariatet og klagemyndigheten i 2024. Det foreslås en tilsvarende bevilgning.</w:t>
      </w:r>
    </w:p>
    <w:p w14:paraId="4A009990" w14:textId="77777777" w:rsidR="00575AC3" w:rsidRPr="006D40F0" w:rsidRDefault="00575AC3" w:rsidP="006D40F0">
      <w:pPr>
        <w:pStyle w:val="b-budkaptit"/>
      </w:pPr>
      <w:r w:rsidRPr="006D40F0">
        <w:t>Kap. 3917 Fiskeridirektoratet</w:t>
      </w:r>
    </w:p>
    <w:p w14:paraId="140FF957" w14:textId="77777777" w:rsidR="00575AC3" w:rsidRPr="006D40F0" w:rsidRDefault="00575AC3" w:rsidP="006D40F0">
      <w:pPr>
        <w:pStyle w:val="b-post"/>
      </w:pPr>
      <w:r w:rsidRPr="006D40F0">
        <w:t>Post 01 Diverse inntekter</w:t>
      </w:r>
    </w:p>
    <w:p w14:paraId="43DD31C8" w14:textId="77777777" w:rsidR="00575AC3" w:rsidRPr="006D40F0" w:rsidRDefault="00575AC3" w:rsidP="006D40F0">
      <w:r w:rsidRPr="006D40F0">
        <w:t>Det foreslås å øke bevilgningen med 4,9 mill. kroner, jf. omtale under kap. 917, post 01.</w:t>
      </w:r>
    </w:p>
    <w:p w14:paraId="17CBA1D2" w14:textId="77777777" w:rsidR="00575AC3" w:rsidRPr="006D40F0" w:rsidRDefault="00575AC3" w:rsidP="006D40F0">
      <w:pPr>
        <w:pStyle w:val="b-post"/>
      </w:pPr>
      <w:r w:rsidRPr="006D40F0">
        <w:t>Post 13 (Ny) Inntekter fra salg av oppdrettstillatelser</w:t>
      </w:r>
    </w:p>
    <w:p w14:paraId="7A0BB8CC" w14:textId="77777777" w:rsidR="00575AC3" w:rsidRPr="006D40F0" w:rsidRDefault="00575AC3" w:rsidP="006D40F0">
      <w:r w:rsidRPr="006D40F0">
        <w:t>Posten gjelder vederlag for tildeling av oppdrettstillatelser og vekst i eksisterende tillatelser. Det vil i 2024 bli gjennomført tildeling av tillatelseskapasitet. Det er besluttet å tilby 6 pst. vekst i grønne områder iht. trafikklyssystemet. Dette tilsvarer 20 916 tonn maksimal tillatt biomasse (MTB). Veksten tildeles i to omganger: først vil en sjettedel av veksten tilbys som vekst i eksisterende tillatelser til fastpris, som for 2024 er fastsatt til 170 000 kroner per tonn MTB. Deretter vil øvrig vekst, samt eventuelle avslåtte tilbud om fastprisvekst, tilbys på auksjon.</w:t>
      </w:r>
    </w:p>
    <w:p w14:paraId="2EBD5D33" w14:textId="77777777" w:rsidR="00575AC3" w:rsidRPr="006D40F0" w:rsidRDefault="00575AC3" w:rsidP="006D40F0">
      <w:r w:rsidRPr="006D40F0">
        <w:t xml:space="preserve">Faktiske inntekter fra tildelingen avgjøres av hvor mye kapasitet som kjøpes og hva prisen i auksjonen blir. I budsjettfremlegget er inntekten beregningsteknisk anslått som om all kapasitet blir solgt til fastprisen, dvs. 170 000 kroner per tonn. Det beregningstekniske anslaget for vederlaget gir ikke uttrykk for forventede inntekter fra auksjonen. De faktiske prisene som oppnås i auksjonen, kan bli både høyere og lavere enn fastprisen. Det vises </w:t>
      </w:r>
      <w:proofErr w:type="gramStart"/>
      <w:r w:rsidRPr="006D40F0">
        <w:t>for øvrig</w:t>
      </w:r>
      <w:proofErr w:type="gramEnd"/>
      <w:r w:rsidRPr="006D40F0">
        <w:t xml:space="preserve"> til omtale under kap. 917, post 01 om at Fiskeridirektoratets utgifter i forbindelse med gjennomføring av auksjonen skal dekkes av inntektene. Det vises videre til omtale under kap. 919, post 60 om fordeling av inntekter til havbrukskommuner og -fylkeskommuner. For å legge til rette for rask og korrekt utbetaling til kommuner- og fylkeskommuner, foreslås en merinntektsfullmakt slik at utbetalingene tilsvarer forholdsmessige inntekter fra tildelingene, jf. forslag til romertallsvedtak.</w:t>
      </w:r>
    </w:p>
    <w:p w14:paraId="31AD475E" w14:textId="77777777" w:rsidR="00575AC3" w:rsidRPr="006D40F0" w:rsidRDefault="00575AC3" w:rsidP="006D40F0">
      <w:r w:rsidRPr="006D40F0">
        <w:t>Det foreslås rent beregningsteknisk å øke bevilgningen med 3 555,7 mill. kroner.</w:t>
      </w:r>
    </w:p>
    <w:p w14:paraId="5F97B2D2" w14:textId="77777777" w:rsidR="00575AC3" w:rsidRPr="006D40F0" w:rsidRDefault="00575AC3" w:rsidP="006D40F0">
      <w:pPr>
        <w:pStyle w:val="b-budkaptit"/>
      </w:pPr>
      <w:r w:rsidRPr="006D40F0">
        <w:t>Kap. 919 Diverse fiskeriformål</w:t>
      </w:r>
    </w:p>
    <w:p w14:paraId="59B3FBAD" w14:textId="77777777" w:rsidR="00575AC3" w:rsidRPr="006D40F0" w:rsidRDefault="00575AC3" w:rsidP="006D40F0">
      <w:pPr>
        <w:pStyle w:val="b-post"/>
      </w:pPr>
      <w:r w:rsidRPr="006D40F0">
        <w:t>Post 60 Tilskudd til kommuner og fylkeskommuner</w:t>
      </w:r>
    </w:p>
    <w:p w14:paraId="68CB106F" w14:textId="77777777" w:rsidR="00575AC3" w:rsidRPr="006D40F0" w:rsidRDefault="00575AC3" w:rsidP="006D40F0">
      <w:r w:rsidRPr="006D40F0">
        <w:t xml:space="preserve">Det foreslås rent beregningsteknisk å øke bevilgningen med 1 954,5 mill. kroner. Det vises til omtale under kap. 3917, post 13. Bevilgningen gjelder kommunenes og fylkeskommunenes andel av vederlag for tildelte oppdrettstillatelser, samt provenyet fra produksjonsavgiften. Det ble gjennom behandlingen av </w:t>
      </w:r>
      <w:proofErr w:type="spellStart"/>
      <w:r w:rsidRPr="006D40F0">
        <w:t>Innst</w:t>
      </w:r>
      <w:proofErr w:type="spellEnd"/>
      <w:r w:rsidRPr="006D40F0">
        <w:t>. 372 L (2022–2023) besluttet at 55 pst. av inntektene fra salg av nye konsesjoner skal fordeles til havbrukskommuner og fylkeskommuner via Havbruksfondet.</w:t>
      </w:r>
    </w:p>
    <w:p w14:paraId="51426470" w14:textId="77777777" w:rsidR="00575AC3" w:rsidRPr="006D40F0" w:rsidRDefault="00575AC3" w:rsidP="006D40F0">
      <w:r w:rsidRPr="006D40F0">
        <w:t xml:space="preserve">Forslaget under kap. 3917, post 13 på 3 555,7 mill. kroner er et rent beregningsteknisk anslag. Det er ikke kjent hvilke priser som vil oppnås i forbindelse med tildelingen. I anslaget legges det </w:t>
      </w:r>
      <w:r w:rsidRPr="006D40F0">
        <w:lastRenderedPageBreak/>
        <w:t>derfor til grunn et rent beregningsteknisk anslag for vederlaget. Beregningsteknisk er det forutsatt at all tilbudt kapasitet blir omsatt til fastpris, dvs. 170 000 kroner per tonn. Det beregningstekniske anslaget for vederlaget gir ikke uttrykk for forventede inntekter fra auksjonen. De faktiske prisene som oppnås i auksjonen, kan bli både høyere og lavere enn fastprisen.</w:t>
      </w:r>
    </w:p>
    <w:p w14:paraId="7B140F06" w14:textId="77777777" w:rsidR="00575AC3" w:rsidRPr="006D40F0" w:rsidRDefault="00575AC3" w:rsidP="006D40F0">
      <w:r w:rsidRPr="006D40F0">
        <w:t>For å legge til rette for at korrekt beløp utbetales raskt til kommunene, foreslås en merinntektsfullmakt slik at utbetalingene tilsvarer forholdsmessig inntekter fra tildelingene, jf. forslag til romertallsvedtak.</w:t>
      </w:r>
    </w:p>
    <w:p w14:paraId="4B91606D" w14:textId="77777777" w:rsidR="00575AC3" w:rsidRPr="006D40F0" w:rsidRDefault="00575AC3" w:rsidP="006D40F0">
      <w:pPr>
        <w:pStyle w:val="b-post"/>
      </w:pPr>
      <w:r w:rsidRPr="006D40F0">
        <w:t>Post 76 Tilskudd til fiskeriforskning, kan overføres</w:t>
      </w:r>
    </w:p>
    <w:p w14:paraId="232D0A32" w14:textId="77777777" w:rsidR="00575AC3" w:rsidRPr="006D40F0" w:rsidRDefault="00575AC3" w:rsidP="006D40F0">
      <w:r w:rsidRPr="006D40F0">
        <w:t>Bevilgningen på posten motsvares av inntekter fra fiskeriforskningsavgiften, jf. kap. 5574, post 74. Midlene går til en tilskuddsordning for å finansiere bruk av fartøy og andre ekstrakostnader ved toktbasert fiskeriforskning. På bakgrunn av oppdatert anslag for inntektene fra fiskeriforskningsavgiften foreslås det å øke bevilgningen med 400 000 kroner.</w:t>
      </w:r>
    </w:p>
    <w:p w14:paraId="11ECD66A" w14:textId="77777777" w:rsidR="00575AC3" w:rsidRPr="006D40F0" w:rsidRDefault="00575AC3" w:rsidP="006D40F0">
      <w:pPr>
        <w:pStyle w:val="b-budkaptit"/>
      </w:pPr>
      <w:r w:rsidRPr="006D40F0">
        <w:t>Kap. 920 Norges forskningsråd</w:t>
      </w:r>
    </w:p>
    <w:p w14:paraId="45EA6777" w14:textId="77777777" w:rsidR="00575AC3" w:rsidRPr="006D40F0" w:rsidRDefault="00575AC3" w:rsidP="006D40F0">
      <w:pPr>
        <w:pStyle w:val="b-post"/>
      </w:pPr>
      <w:r w:rsidRPr="006D40F0">
        <w:t>Post 50 Tilskudd til næringsrettet forskning og grunnbevilgning til teknisk-industrielle institutter mv.</w:t>
      </w:r>
    </w:p>
    <w:p w14:paraId="4C901A98" w14:textId="77777777" w:rsidR="00575AC3" w:rsidRPr="006D40F0" w:rsidRDefault="00575AC3" w:rsidP="006D40F0">
      <w:r w:rsidRPr="006D40F0">
        <w:t>FoU-statistikken som Statistisk Sentralbyrå (SSB) leverer til Forskningsrådet er inkludert i nasjonalt statistikkprogram. Tidligere ble dette finansiert med midler fra Nærings- og fiskeridepartementet og Kunnskapsdepartementet, på grunnlag av avtaler mellom Forskningsrådet og SSB. Fra 2024 skal dette arbeidet finansieres gjennom Finansdepartementets bevilgning til SSB. Det foreslås derfor å overføre 1,8 mill. kroner fra kap. 920, post 50 til Finansdepartementets kap. 1620, post 01.</w:t>
      </w:r>
    </w:p>
    <w:p w14:paraId="4F59154E" w14:textId="77777777" w:rsidR="00575AC3" w:rsidRPr="006D40F0" w:rsidRDefault="00575AC3" w:rsidP="006D40F0">
      <w:r w:rsidRPr="006D40F0">
        <w:t>Videre har Nærings- og fiskeridepartementet gitt Forskningsrådet i oppdrag å følge opp to tiltak i regjeringens mineralstrategi og to oppdrag relatert til helsenæringen og produksjon av legemidler. Det foreslås å overføre til sammen 5,4 mill. kroner fra kap. 920, post 50 til Kunnskapsdepartementets kap. 285 post 55 for å dekke Forskningsrådets virksomhetskostnader knyttet til arbeidet.</w:t>
      </w:r>
    </w:p>
    <w:p w14:paraId="2793343E" w14:textId="77777777" w:rsidR="00575AC3" w:rsidRPr="006D40F0" w:rsidRDefault="00575AC3" w:rsidP="006D40F0">
      <w:r w:rsidRPr="006D40F0">
        <w:t>Samlet foreslås det å redusere bevilgningen med 7,2 mill. kroner.</w:t>
      </w:r>
    </w:p>
    <w:p w14:paraId="5547FF5F" w14:textId="77777777" w:rsidR="00575AC3" w:rsidRPr="006D40F0" w:rsidRDefault="00575AC3" w:rsidP="006D40F0">
      <w:pPr>
        <w:pStyle w:val="b-post"/>
      </w:pPr>
      <w:r w:rsidRPr="006D40F0">
        <w:t>Post 51 Tilskudd til marin og maritim forskning og grunnbevilgning til primærnæringsinstitutter mv.</w:t>
      </w:r>
    </w:p>
    <w:p w14:paraId="461CB8FA" w14:textId="77777777" w:rsidR="00575AC3" w:rsidRPr="006D40F0" w:rsidRDefault="00575AC3" w:rsidP="006D40F0">
      <w:r w:rsidRPr="006D40F0">
        <w:t xml:space="preserve">Nærings- og fiskeridepartementet har gitt Forskningsrådet i oppdrag å administrere arbeidsgiveransvar og faglig oppfølging av en nasjonal ekspert til Europakommisjonen DG </w:t>
      </w:r>
      <w:proofErr w:type="spellStart"/>
      <w:r w:rsidRPr="006D40F0">
        <w:t>research</w:t>
      </w:r>
      <w:proofErr w:type="spellEnd"/>
      <w:r w:rsidRPr="006D40F0">
        <w:t xml:space="preserve"> and </w:t>
      </w:r>
      <w:proofErr w:type="spellStart"/>
      <w:r w:rsidRPr="006D40F0">
        <w:t>innovation</w:t>
      </w:r>
      <w:proofErr w:type="spellEnd"/>
      <w:r w:rsidRPr="006D40F0">
        <w:t xml:space="preserve">, under ordningen </w:t>
      </w:r>
      <w:proofErr w:type="spellStart"/>
      <w:r w:rsidRPr="006D40F0">
        <w:t>Seconded</w:t>
      </w:r>
      <w:proofErr w:type="spellEnd"/>
      <w:r w:rsidRPr="006D40F0">
        <w:t xml:space="preserve"> National Experts. Det foreslås å overføre 2,5 mill. kroner fra post 51 til Kunnskapsdepartementets kap. 285, post 55 til å dekke Forskningsrådets virksomhetskostnader tilknyttet oppdraget.</w:t>
      </w:r>
    </w:p>
    <w:p w14:paraId="56F12403" w14:textId="77777777" w:rsidR="00575AC3" w:rsidRPr="006D40F0" w:rsidRDefault="00575AC3" w:rsidP="006D40F0">
      <w:r w:rsidRPr="006D40F0">
        <w:t>Regjeringen har lansert et målrettet samfunnsoppdrag om bærekraftig fôr, jf. omtale under kap. 900, post 21. For å dekke kostnader til sekretariatet i 2024 foreslås det å redusere bevilgningen med 0,3 mill. kroner mot en tilsvarende økning på Kunnskapsdepartementets kap. 285, post 55.</w:t>
      </w:r>
    </w:p>
    <w:p w14:paraId="7BFF7515" w14:textId="77777777" w:rsidR="00575AC3" w:rsidRPr="006D40F0" w:rsidRDefault="00575AC3" w:rsidP="006D40F0">
      <w:r w:rsidRPr="006D40F0">
        <w:t>Samlet foreslås det å redusere bevilgningen med 2,8 mill. kroner.</w:t>
      </w:r>
    </w:p>
    <w:p w14:paraId="123B9959" w14:textId="77777777" w:rsidR="00575AC3" w:rsidRPr="006D40F0" w:rsidRDefault="00575AC3" w:rsidP="006D40F0">
      <w:pPr>
        <w:pStyle w:val="b-budkaptit"/>
      </w:pPr>
      <w:r w:rsidRPr="006D40F0">
        <w:lastRenderedPageBreak/>
        <w:t>Kap. 922 Romvirksomhet</w:t>
      </w:r>
    </w:p>
    <w:p w14:paraId="1376A268" w14:textId="77777777" w:rsidR="00575AC3" w:rsidRPr="006D40F0" w:rsidRDefault="00575AC3" w:rsidP="006D40F0">
      <w:pPr>
        <w:pStyle w:val="b-post"/>
      </w:pPr>
      <w:r w:rsidRPr="006D40F0">
        <w:t xml:space="preserve">Post 70 Kontingent i European Space </w:t>
      </w:r>
      <w:proofErr w:type="spellStart"/>
      <w:r w:rsidRPr="006D40F0">
        <w:t>Agency</w:t>
      </w:r>
      <w:proofErr w:type="spellEnd"/>
      <w:r w:rsidRPr="006D40F0">
        <w:t xml:space="preserve"> (ESA)</w:t>
      </w:r>
    </w:p>
    <w:p w14:paraId="494136AA" w14:textId="77777777" w:rsidR="00575AC3" w:rsidRPr="006D40F0" w:rsidRDefault="00575AC3" w:rsidP="006D40F0">
      <w:r w:rsidRPr="006D40F0">
        <w:t xml:space="preserve">Det er bevilget 291,4 mill. kroner i kontingent til Den europeiske romorganisasjonen (European Space </w:t>
      </w:r>
      <w:proofErr w:type="spellStart"/>
      <w:r w:rsidRPr="006D40F0">
        <w:t>Agency</w:t>
      </w:r>
      <w:proofErr w:type="spellEnd"/>
      <w:r w:rsidRPr="006D40F0">
        <w:t>, ESA) i Saldert budsjett 2024. Nivået på ESAs budsjett bestemmes på ESAs ministerrådsmøter. Hvert land betaler en andel basert på størrelsen på nettonasjonalinntekt (NNI). Vedtaket i Stortinget var basert på forutsetningene om at Norges NNI-andel for perioden 2021–2023 var satt til 2,33 pst. av ESAs budsjett. Etter budsjettfremleggelse ble NNI-andelen for 2024 redusert til 2,23 pst. Det førte til en lavere kontingent enn opprinnelig anslått. Norges kontingent i ESA utbetales i euro. Valutakursen på utbetalingsdato for første avdrag til ESA i januar 2024 var betydelig lavere enn kursen som ble lagt til grunn i statsbudsjettet for 2024.</w:t>
      </w:r>
    </w:p>
    <w:p w14:paraId="65DAEB27" w14:textId="77777777" w:rsidR="00575AC3" w:rsidRPr="006D40F0" w:rsidRDefault="00575AC3" w:rsidP="006D40F0">
      <w:r w:rsidRPr="006D40F0">
        <w:t>Bevilgningen foreslås redusert med 24,9 mill. kroner.</w:t>
      </w:r>
    </w:p>
    <w:p w14:paraId="1A7C1761" w14:textId="77777777" w:rsidR="00575AC3" w:rsidRPr="006D40F0" w:rsidRDefault="00575AC3" w:rsidP="006D40F0">
      <w:pPr>
        <w:pStyle w:val="b-post"/>
      </w:pPr>
      <w:r w:rsidRPr="006D40F0">
        <w:t>Post 71 Internasjonal romvirksomhet</w:t>
      </w:r>
    </w:p>
    <w:p w14:paraId="2599A068" w14:textId="77777777" w:rsidR="00575AC3" w:rsidRPr="006D40F0" w:rsidRDefault="00575AC3" w:rsidP="006D40F0">
      <w:r w:rsidRPr="006D40F0">
        <w:t xml:space="preserve">Det er bevilget 642,4 mill. kroner til internasjonal romvirksomhet i Saldert budsjett 2024. Bevilgningen dekker kontingent til ESAs industrirettede romprogrammer, </w:t>
      </w:r>
      <w:proofErr w:type="spellStart"/>
      <w:r w:rsidRPr="006D40F0">
        <w:t>Esrange</w:t>
      </w:r>
      <w:proofErr w:type="spellEnd"/>
      <w:r w:rsidRPr="006D40F0">
        <w:t xml:space="preserve"> Andøya Special Project (EASP)-avtalen med Tyskland, Frankrike, Sveits og Sverige, bidrag til utdanningskontoret ESERO ved Andøya Space og </w:t>
      </w:r>
      <w:proofErr w:type="spellStart"/>
      <w:r w:rsidRPr="006D40F0">
        <w:t>Radarsat</w:t>
      </w:r>
      <w:proofErr w:type="spellEnd"/>
      <w:r w:rsidRPr="006D40F0">
        <w:t>-avtalen. Midlene utbetales i hovedsak i euro og dollar.</w:t>
      </w:r>
    </w:p>
    <w:p w14:paraId="11AB8A27" w14:textId="77777777" w:rsidR="00575AC3" w:rsidRPr="006D40F0" w:rsidRDefault="00575AC3" w:rsidP="006D40F0">
      <w:r w:rsidRPr="006D40F0">
        <w:t>Bevegelsen i valutakursen for både euro og dollar tilsier at bevilgningsbehovet reduseres med 30 mill. kroner sammenlignet med saldert budsjett. I tillegg er fremdriften i enkelte av ESAs planlagte programmer forskjøvet og Norge har fått tilbakebetalt midler som er flyttet mellom ulike programposter. Det reduserer bevilgningsbehovet med 105,1 mill. kroner i 2024.</w:t>
      </w:r>
    </w:p>
    <w:p w14:paraId="7CDFC1DF" w14:textId="77777777" w:rsidR="00575AC3" w:rsidRPr="006D40F0" w:rsidRDefault="00575AC3" w:rsidP="006D40F0">
      <w:proofErr w:type="spellStart"/>
      <w:r w:rsidRPr="006D40F0">
        <w:t>Radarsat</w:t>
      </w:r>
      <w:proofErr w:type="spellEnd"/>
      <w:r w:rsidRPr="006D40F0">
        <w:t xml:space="preserve">-avtalen har i flere omganger blitt forlenget for å dekke norske etaters brukerbehov etter at satellitten Sentinel-1B uventet sluttet å virke i 2021. På grunn av forsinkelser med erstatningssatellitten foreslås </w:t>
      </w:r>
      <w:proofErr w:type="spellStart"/>
      <w:r w:rsidRPr="006D40F0">
        <w:t>Radarsat</w:t>
      </w:r>
      <w:proofErr w:type="spellEnd"/>
      <w:r w:rsidRPr="006D40F0">
        <w:t>-avtalen igjen forlenget etter samme betalingsmodell som tidligere, der departementene som representerer de største brukerbehovene sammen finansierer forlengelsen med overføringer til kap. 922, post 71. Foruten Nærings- og fiskeridepartementet, jf. omtale under kap. 916, post 01 og kap. 917, post 01, omfatter dette 4,7 mill. kroner fra Forsvarsdepartementet, 0,4 mill. kroner fra Energidepartementet og 1 mill. kroner fra Klima- og miljødepartementet. Den foreslåtte forlengelsen koster 750 000 dollar eller om lag 7,9 mill. kroner.</w:t>
      </w:r>
    </w:p>
    <w:p w14:paraId="2F1D81B2" w14:textId="77777777" w:rsidR="00575AC3" w:rsidRPr="006D40F0" w:rsidRDefault="00575AC3" w:rsidP="006D40F0">
      <w:r w:rsidRPr="006D40F0">
        <w:t>Ved en feil ble det utbetalt 6,6 mill. kroner for mye fra NFD til post 71 i desember 2023. For å korrigere for dette foreslås det at bevilgningen reduseres tilsvarende i 2024.</w:t>
      </w:r>
    </w:p>
    <w:p w14:paraId="1A0562E8" w14:textId="77777777" w:rsidR="00575AC3" w:rsidRPr="006D40F0" w:rsidRDefault="00575AC3" w:rsidP="006D40F0">
      <w:r w:rsidRPr="006D40F0">
        <w:t>Samlet foreslås bevilgningen redusert med 133,8 mill. kroner.</w:t>
      </w:r>
    </w:p>
    <w:p w14:paraId="5BB01E92" w14:textId="77777777" w:rsidR="00575AC3" w:rsidRPr="006D40F0" w:rsidRDefault="00575AC3" w:rsidP="006D40F0">
      <w:pPr>
        <w:pStyle w:val="b-post"/>
      </w:pPr>
      <w:r w:rsidRPr="006D40F0">
        <w:t>Post 73 EUs romprogrammer</w:t>
      </w:r>
    </w:p>
    <w:p w14:paraId="0E919B09" w14:textId="77777777" w:rsidR="00575AC3" w:rsidRPr="006D40F0" w:rsidRDefault="00575AC3" w:rsidP="006D40F0">
      <w:r w:rsidRPr="006D40F0">
        <w:t xml:space="preserve">Norge har forpliktet seg til å utbetale om lag 3,7 mrd. kroner til deltakelse i EUs romprogram for perioden 2021–2027. Det er også gjenværende forpliktelser knyttet til programperioden 2014–2020. Den endelige summen er avhengig av størrelsen på Norges økonomi sammenlignet med </w:t>
      </w:r>
      <w:r w:rsidRPr="006D40F0">
        <w:lastRenderedPageBreak/>
        <w:t>EU, inflasjon og valutakurs. I Saldert budsjett 2024 ble det bevilget 886,7 mill. kroner til deltakelse i EUs romprogram. Midlene skal dekke nåværende og gamle forpliktelser, medlemskontingenten for norsk deltakelse i EUs nye romprogram og i EUs byrå for romprogrammet.</w:t>
      </w:r>
    </w:p>
    <w:p w14:paraId="02F57380" w14:textId="77777777" w:rsidR="00575AC3" w:rsidRPr="006D40F0" w:rsidRDefault="00575AC3" w:rsidP="006D40F0">
      <w:r w:rsidRPr="006D40F0">
        <w:t>Utbetalinger gjøres i august hvert år. EU sender oppdatert budsjett flere ganger i året, sist i desember 2023. EUs foreløpige budsjett viste da en estimert totalkostnad for 2024 på 72,04 mill. euro, eller 824,4 mill. kroner. Dette gir et redusert bevilgningsbehov på 62,3 mill. kroner, og posten foreslås redusert tilsvarende.</w:t>
      </w:r>
    </w:p>
    <w:p w14:paraId="1D5CB711" w14:textId="77777777" w:rsidR="00575AC3" w:rsidRPr="006D40F0" w:rsidRDefault="00575AC3" w:rsidP="006D40F0">
      <w:pPr>
        <w:pStyle w:val="b-post"/>
      </w:pPr>
      <w:r w:rsidRPr="006D40F0">
        <w:t>Post 74 Nasjonal infrastruktur og tekniske aktiviteter, kan overføres</w:t>
      </w:r>
    </w:p>
    <w:p w14:paraId="08E7B82F" w14:textId="77777777" w:rsidR="00575AC3" w:rsidRPr="006D40F0" w:rsidRDefault="00575AC3" w:rsidP="006D40F0">
      <w:r w:rsidRPr="006D40F0">
        <w:t xml:space="preserve">I Saldert budsjett 2024 vedtok Stortinget å øremerke 5 mill. kroner på kap. 922, post 74 til prosjektmidler for etablering av et senter for jordobservasjon i Tromsø. Fordi dette tilskuddet skiller seg betydelig fra de øvrige aktivitetene posten finansierer og krever forskriftsfesting, foreslås det å opprette en ny post 75 </w:t>
      </w:r>
      <w:r w:rsidRPr="00575AC3">
        <w:rPr>
          <w:rStyle w:val="kursiv"/>
        </w:rPr>
        <w:t>Tilskuddsordning tilknyttet nasjonalt senter for jordobservasjon i Tromsø</w:t>
      </w:r>
      <w:r w:rsidRPr="006D40F0">
        <w:t xml:space="preserve"> og flytte midlene til den nye posten. Omdisponeringen har ingen konsekvens for innretningen på midlene.</w:t>
      </w:r>
    </w:p>
    <w:p w14:paraId="3C91A59C" w14:textId="77777777" w:rsidR="00575AC3" w:rsidRPr="006D40F0" w:rsidRDefault="00575AC3" w:rsidP="006D40F0">
      <w:r w:rsidRPr="006D40F0">
        <w:t>Bevilgningen foreslås redusert med 5 mill. kroner, mot en tilsvarende økning på post 75.</w:t>
      </w:r>
    </w:p>
    <w:p w14:paraId="3A8B36E7" w14:textId="77777777" w:rsidR="00575AC3" w:rsidRPr="006D40F0" w:rsidRDefault="00575AC3" w:rsidP="006D40F0">
      <w:pPr>
        <w:pStyle w:val="b-post"/>
      </w:pPr>
      <w:r w:rsidRPr="006D40F0">
        <w:t>Post 75 (Ny) Tilskuddsordning tilknyttet nasjonalt senter for jordobservasjon i Tromsø, kan overføres</w:t>
      </w:r>
    </w:p>
    <w:p w14:paraId="09C5FE9C" w14:textId="77777777" w:rsidR="00575AC3" w:rsidRPr="006D40F0" w:rsidRDefault="00575AC3" w:rsidP="006D40F0">
      <w:r w:rsidRPr="006D40F0">
        <w:t>Tilskuddet kan ikke lyses ut før forskriften er vedtatt. Det er stor usikkerhet om utbetalingstakten til bevilgningen. Dersom det forutsettes at midlene skal tildeles i løpet av inneværende år, vil det gi kort tid til søknadsbehandling og utbetaling. Det er ønskelig å legge til rette for utvikling av gode prosjekter og en forsvarlig søknadsbehandling. På denne bakgrunn foreslås det at post 75 tilføres stikkordet «kan overføres».</w:t>
      </w:r>
    </w:p>
    <w:p w14:paraId="0BC54D1D" w14:textId="77777777" w:rsidR="00575AC3" w:rsidRPr="006D40F0" w:rsidRDefault="00575AC3" w:rsidP="006D40F0">
      <w:r w:rsidRPr="006D40F0">
        <w:t>Det foreslås en bevilgning på 5 mill. kroner, mot en tilsvarende reduksjon under post 74, jf. omtale under post 74.</w:t>
      </w:r>
    </w:p>
    <w:p w14:paraId="2B2C0BFB" w14:textId="77777777" w:rsidR="00575AC3" w:rsidRPr="006D40F0" w:rsidRDefault="00575AC3" w:rsidP="006D40F0">
      <w:pPr>
        <w:pStyle w:val="b-budkaptit"/>
      </w:pPr>
      <w:r w:rsidRPr="006D40F0">
        <w:t>Kap. 923 Havforskningsinstituttet</w:t>
      </w:r>
    </w:p>
    <w:p w14:paraId="53D469BC" w14:textId="77777777" w:rsidR="00575AC3" w:rsidRPr="006D40F0" w:rsidRDefault="00575AC3" w:rsidP="006D40F0">
      <w:pPr>
        <w:pStyle w:val="b-post"/>
      </w:pPr>
      <w:r w:rsidRPr="006D40F0">
        <w:t>Post 01 Driftsutgifter, kan nyttes under post 21</w:t>
      </w:r>
    </w:p>
    <w:p w14:paraId="16E92B10" w14:textId="77777777" w:rsidR="00575AC3" w:rsidRPr="006D40F0" w:rsidRDefault="00575AC3" w:rsidP="006D40F0">
      <w:r w:rsidRPr="006D40F0">
        <w:t>Det foreslås å tilføye stikkordet «kan nyttes under post 21» til Havforskningsinstituttets kap. 923, post 01, jf. forslag til romertallsvedtak.</w:t>
      </w:r>
    </w:p>
    <w:p w14:paraId="0A25CF85" w14:textId="77777777" w:rsidR="00575AC3" w:rsidRPr="006D40F0" w:rsidRDefault="00575AC3" w:rsidP="006D40F0">
      <w:r w:rsidRPr="006D40F0">
        <w:t>I 2021 var det en merutgift i oppdragsvirksomheten til Havforskningsinstituttet på grunn av mindreinntekter knyttet til oppdrag for Norad og FNs organisasjon for mat og landbruk (FAO) som følge av covid-19. Havforskningsinstituttet er bedt om å dekke inn 8,5 mill. kroner av merforbruket i 2024 ved innsparing på kap. 923, post 01. Det foreslås derfor at stikkordet «kan nyttes under post 21» tilføyes posten, jf. forslag til romertallsvedtak. Resterende merutgift vil bli dekket inn ved innsparinger påfølgende år.</w:t>
      </w:r>
    </w:p>
    <w:p w14:paraId="6796D876" w14:textId="77777777" w:rsidR="00575AC3" w:rsidRPr="006D40F0" w:rsidRDefault="00575AC3" w:rsidP="006D40F0">
      <w:pPr>
        <w:pStyle w:val="b-post"/>
      </w:pPr>
      <w:r w:rsidRPr="006D40F0">
        <w:lastRenderedPageBreak/>
        <w:t>Post 22 Fiskeriforskning og -overvåking, kan overføres</w:t>
      </w:r>
    </w:p>
    <w:p w14:paraId="20FB1B15" w14:textId="77777777" w:rsidR="00575AC3" w:rsidRPr="006D40F0" w:rsidRDefault="00575AC3" w:rsidP="006D40F0">
      <w:r w:rsidRPr="006D40F0">
        <w:t>Bevilgningen motsvares av inntekter fra fiskeriforskningsavgiften, jf. omtale under kap. 5574, post 74. Avgiften skal dekke deler av kostnadene ved å skaffe nødvendig kunnskapsgrunnlag for fiskeriforvaltningen. På grunn av endret anslag for inntektene fra avgiften foreslås det at bevilgningen økes med 11,8 mill. kroner.</w:t>
      </w:r>
    </w:p>
    <w:p w14:paraId="5C4AC3E7" w14:textId="77777777" w:rsidR="00575AC3" w:rsidRPr="006D40F0" w:rsidRDefault="00575AC3" w:rsidP="006D40F0">
      <w:pPr>
        <w:pStyle w:val="b-budkaptit"/>
      </w:pPr>
      <w:r w:rsidRPr="006D40F0">
        <w:t>Kap. 3923 Havforskningsinstituttet</w:t>
      </w:r>
    </w:p>
    <w:p w14:paraId="3B4A5580" w14:textId="77777777" w:rsidR="00575AC3" w:rsidRPr="006D40F0" w:rsidRDefault="00575AC3" w:rsidP="006D40F0">
      <w:pPr>
        <w:pStyle w:val="b-post"/>
      </w:pPr>
      <w:r w:rsidRPr="006D40F0">
        <w:t>Post 01 Oppdragsinntekter</w:t>
      </w:r>
    </w:p>
    <w:p w14:paraId="2DBEEE83" w14:textId="77777777" w:rsidR="00575AC3" w:rsidRPr="006D40F0" w:rsidRDefault="00575AC3" w:rsidP="006D40F0">
      <w:r w:rsidRPr="006D40F0">
        <w:t>I arbeidet med 2024-budsjettet ble bevilgningen på kap. 923, post 21 prisjustert med 28,0 mill. kroner, mens bevilgningen på kap. 3923, post 01 ble prisjustert med 19,2 mill. kroner. Disse postene henger sammen og skulle vært prisjustert med likt beløp. For å korrigere feil i prisjusteringen foreslås det at inntektsbevilgningen økes med 8,8 mill. kroner.</w:t>
      </w:r>
    </w:p>
    <w:p w14:paraId="10D0D75B" w14:textId="77777777" w:rsidR="00575AC3" w:rsidRPr="006D40F0" w:rsidRDefault="00575AC3" w:rsidP="006D40F0">
      <w:pPr>
        <w:pStyle w:val="b-budkaptit"/>
      </w:pPr>
      <w:r w:rsidRPr="006D40F0">
        <w:t>Kap. 926 Havforskningsinstituttet, forskningsfartøy</w:t>
      </w:r>
    </w:p>
    <w:p w14:paraId="36E287A4" w14:textId="77777777" w:rsidR="00575AC3" w:rsidRPr="006D40F0" w:rsidRDefault="00575AC3" w:rsidP="006D40F0">
      <w:pPr>
        <w:pStyle w:val="b-post"/>
      </w:pPr>
      <w:r w:rsidRPr="006D40F0">
        <w:t>Post 45 (Ny) Større utstyrsanskaffelser og vedlikehold, kan overføres</w:t>
      </w:r>
    </w:p>
    <w:p w14:paraId="2B7A604B" w14:textId="77777777" w:rsidR="00575AC3" w:rsidRPr="006D40F0" w:rsidRDefault="00575AC3" w:rsidP="006D40F0">
      <w:r w:rsidRPr="006D40F0">
        <w:t xml:space="preserve">I forbindelse med revidert nasjonalbudsjett 2020 ble det satt av 75 mill. kroner til investeringer i seildroner og undervannsrobotikk. Anskaffelsen av disse forskningsfarkostene har tatt lang tid, og ved utgangen av 2023 gjenstod 4,1 mill. kroner av bevilgningen. Beløpet utgjør 10 pst. av anskaffelsen av undervannsfarkoster, der sluttleveransen er utsatt til første halvår 2024. Siden det ikke har vært bevilgning på posten de to siste årene, kunne ikke </w:t>
      </w:r>
      <w:proofErr w:type="spellStart"/>
      <w:r w:rsidRPr="006D40F0">
        <w:t>mindreutgiften</w:t>
      </w:r>
      <w:proofErr w:type="spellEnd"/>
      <w:r w:rsidRPr="006D40F0">
        <w:t xml:space="preserve"> overføres. Det foreslås derfor en bevilgning på 4,1 mill. kroner til å fullføre anskaffelsen av forskningsfarkostene.</w:t>
      </w:r>
    </w:p>
    <w:p w14:paraId="10CCDC30" w14:textId="77777777" w:rsidR="00575AC3" w:rsidRPr="006D40F0" w:rsidRDefault="00575AC3" w:rsidP="006D40F0">
      <w:pPr>
        <w:pStyle w:val="b-budkaptit"/>
      </w:pPr>
      <w:r w:rsidRPr="006D40F0">
        <w:t>Kap. 3926 Havforskningsinstituttet, forskningsfartøy</w:t>
      </w:r>
    </w:p>
    <w:p w14:paraId="1E27E718" w14:textId="77777777" w:rsidR="00575AC3" w:rsidRPr="006D40F0" w:rsidRDefault="00575AC3" w:rsidP="006D40F0">
      <w:pPr>
        <w:pStyle w:val="b-post"/>
      </w:pPr>
      <w:r w:rsidRPr="006D40F0">
        <w:t>Post 01 Oppdragsinntekter</w:t>
      </w:r>
    </w:p>
    <w:p w14:paraId="7BD94C65" w14:textId="77777777" w:rsidR="00575AC3" w:rsidRPr="006D40F0" w:rsidRDefault="00575AC3" w:rsidP="006D40F0">
      <w:r w:rsidRPr="006D40F0">
        <w:t>I arbeidet med 2024-budsjettet ble bevilgningen på kap. 926, post 21 prisjustert med 12,5 mill. kroner, mens bevilgningen på kap. 3926, post 01 ble prisjustert med 8,4 mill. kroner. Disse postene henger sammen og skulle ha vært prisjustert med likt beløp. For å rette opp feil i prisjusteringen foreslås det at bevilgningen økes med 4,1 mill. kroner.</w:t>
      </w:r>
    </w:p>
    <w:p w14:paraId="5A54C63C" w14:textId="77777777" w:rsidR="00575AC3" w:rsidRPr="006D40F0" w:rsidRDefault="00575AC3" w:rsidP="006D40F0">
      <w:pPr>
        <w:pStyle w:val="b-budkaptit"/>
      </w:pPr>
      <w:r w:rsidRPr="006D40F0">
        <w:t>Kap. 928 Annen marin forskning og utvikling</w:t>
      </w:r>
    </w:p>
    <w:p w14:paraId="0145DC45" w14:textId="77777777" w:rsidR="00575AC3" w:rsidRPr="006D40F0" w:rsidRDefault="00575AC3" w:rsidP="006D40F0">
      <w:pPr>
        <w:pStyle w:val="b-post"/>
      </w:pPr>
      <w:r w:rsidRPr="006D40F0">
        <w:t>Post 21 Spesielle driftsutgifter, kan overføres</w:t>
      </w:r>
    </w:p>
    <w:p w14:paraId="701FE8D4" w14:textId="77777777" w:rsidR="00575AC3" w:rsidRPr="006D40F0" w:rsidRDefault="00575AC3" w:rsidP="006D40F0">
      <w:r w:rsidRPr="006D40F0">
        <w:t xml:space="preserve">Polarforskningsprogrammet </w:t>
      </w:r>
      <w:proofErr w:type="spellStart"/>
      <w:r w:rsidRPr="006D40F0">
        <w:t>GoNorth</w:t>
      </w:r>
      <w:proofErr w:type="spellEnd"/>
      <w:r w:rsidRPr="006D40F0">
        <w:t xml:space="preserve"> (</w:t>
      </w:r>
      <w:proofErr w:type="spellStart"/>
      <w:r w:rsidRPr="006D40F0">
        <w:t>Geosciences</w:t>
      </w:r>
      <w:proofErr w:type="spellEnd"/>
      <w:r w:rsidRPr="006D40F0">
        <w:t xml:space="preserve"> in </w:t>
      </w:r>
      <w:proofErr w:type="spellStart"/>
      <w:r w:rsidRPr="006D40F0">
        <w:t>the</w:t>
      </w:r>
      <w:proofErr w:type="spellEnd"/>
      <w:r w:rsidRPr="006D40F0">
        <w:t xml:space="preserve"> Northern Arctic) skal gjennomføre et forskningstokt i 2024. Formålet med </w:t>
      </w:r>
      <w:proofErr w:type="spellStart"/>
      <w:r w:rsidRPr="006D40F0">
        <w:t>GoNorth</w:t>
      </w:r>
      <w:proofErr w:type="spellEnd"/>
      <w:r w:rsidRPr="006D40F0">
        <w:t xml:space="preserve"> er økt norsk forskningsinnsats og kunnskap i polhavsområdene.</w:t>
      </w:r>
    </w:p>
    <w:p w14:paraId="1333FBD7" w14:textId="77777777" w:rsidR="00575AC3" w:rsidRPr="006D40F0" w:rsidRDefault="00575AC3" w:rsidP="006D40F0">
      <w:r w:rsidRPr="006D40F0">
        <w:t xml:space="preserve">Det er bevilget 10,6 mill. kroner til </w:t>
      </w:r>
      <w:proofErr w:type="spellStart"/>
      <w:r w:rsidRPr="006D40F0">
        <w:t>GoNorth</w:t>
      </w:r>
      <w:proofErr w:type="spellEnd"/>
      <w:r w:rsidRPr="006D40F0">
        <w:t xml:space="preserve"> til tokt i Saldert budsjett 2024, men </w:t>
      </w:r>
      <w:proofErr w:type="spellStart"/>
      <w:r w:rsidRPr="006D40F0">
        <w:t>GoNorth</w:t>
      </w:r>
      <w:proofErr w:type="spellEnd"/>
      <w:r w:rsidRPr="006D40F0">
        <w:t xml:space="preserve"> har behov for ytterligere midler til toktgjennomføring. Det foreslås derfor at bevilgningen økes med 5 mill. kroner mot en tilsvarende reduksjon på Utenriksdepartementets kap. 118, post 70.</w:t>
      </w:r>
    </w:p>
    <w:p w14:paraId="4C5118A2" w14:textId="77777777" w:rsidR="00575AC3" w:rsidRPr="006D40F0" w:rsidRDefault="00575AC3" w:rsidP="006D40F0">
      <w:pPr>
        <w:pStyle w:val="b-budkaptit"/>
      </w:pPr>
      <w:r w:rsidRPr="006D40F0">
        <w:lastRenderedPageBreak/>
        <w:t>Kap. 935 Patentstyret</w:t>
      </w:r>
    </w:p>
    <w:p w14:paraId="5E2ADB29" w14:textId="77777777" w:rsidR="00575AC3" w:rsidRPr="006D40F0" w:rsidRDefault="00575AC3" w:rsidP="006D40F0">
      <w:pPr>
        <w:pStyle w:val="b-post"/>
      </w:pPr>
      <w:r w:rsidRPr="006D40F0">
        <w:t>Post 01 Driftsutgifter</w:t>
      </w:r>
    </w:p>
    <w:p w14:paraId="2D26ABB5" w14:textId="77777777" w:rsidR="00575AC3" w:rsidRPr="006D40F0" w:rsidRDefault="00575AC3" w:rsidP="006D40F0">
      <w:r w:rsidRPr="006D40F0">
        <w:t xml:space="preserve">Det foreslås å øke bevilgningen med 2,5 mill. kroner til digital sikkerhet og beredskap. For at Patentstyret skal kunne etterleve Nasjonal sikkerhetsmyndighets (NSMs) grunnprinsipper for informasjonssikkerhet, er det behov for rask iverksetting av flere tiltak for å redusere virksomhetens digitale sårbarhet, herunder verktøy for å registrere </w:t>
      </w:r>
      <w:proofErr w:type="spellStart"/>
      <w:r w:rsidRPr="006D40F0">
        <w:t>trusselovervåkning</w:t>
      </w:r>
      <w:proofErr w:type="spellEnd"/>
      <w:r w:rsidRPr="006D40F0">
        <w:t xml:space="preserve"> og hendelser, testtjenester og rådgivning for digital sikkerhet.</w:t>
      </w:r>
    </w:p>
    <w:p w14:paraId="3F96033D" w14:textId="77777777" w:rsidR="00575AC3" w:rsidRPr="006D40F0" w:rsidRDefault="00575AC3" w:rsidP="006D40F0">
      <w:r w:rsidRPr="006D40F0">
        <w:t xml:space="preserve">Videre skal Patentstyrets skjemaer inn i ny dataløsning i overgangen til Nye </w:t>
      </w:r>
      <w:proofErr w:type="spellStart"/>
      <w:r w:rsidRPr="006D40F0">
        <w:t>Altinn</w:t>
      </w:r>
      <w:proofErr w:type="spellEnd"/>
      <w:r w:rsidRPr="006D40F0">
        <w:t xml:space="preserve">, deriblant alle søknadsskjemaer for patent, design og varemerke. Bevilgningen foreslås økt med 2 mill. kroner for å ivareta omleggingskostnadene ved overgangen til Nye </w:t>
      </w:r>
      <w:proofErr w:type="spellStart"/>
      <w:r w:rsidRPr="006D40F0">
        <w:t>Altinn</w:t>
      </w:r>
      <w:proofErr w:type="spellEnd"/>
      <w:r w:rsidRPr="006D40F0">
        <w:t>.</w:t>
      </w:r>
    </w:p>
    <w:p w14:paraId="790715BF" w14:textId="77777777" w:rsidR="00575AC3" w:rsidRPr="006D40F0" w:rsidRDefault="00575AC3" w:rsidP="006D40F0">
      <w:r w:rsidRPr="006D40F0">
        <w:t>Samlet foreslås bevilgningen økt med 4,5 mill. kroner.</w:t>
      </w:r>
    </w:p>
    <w:p w14:paraId="1FDA3162" w14:textId="77777777" w:rsidR="00575AC3" w:rsidRPr="006D40F0" w:rsidRDefault="00575AC3" w:rsidP="006D40F0">
      <w:pPr>
        <w:pStyle w:val="b-budkaptit"/>
      </w:pPr>
      <w:r w:rsidRPr="006D40F0">
        <w:t>Kap. 950 Forvaltning av statlig eierskap</w:t>
      </w:r>
    </w:p>
    <w:p w14:paraId="10A52CC9" w14:textId="77777777" w:rsidR="00575AC3" w:rsidRPr="006D40F0" w:rsidRDefault="00575AC3" w:rsidP="006D40F0">
      <w:pPr>
        <w:pStyle w:val="b-post"/>
      </w:pPr>
      <w:r w:rsidRPr="006D40F0">
        <w:t>Post 96 (Ny) Aksjer</w:t>
      </w:r>
    </w:p>
    <w:p w14:paraId="2BB3C6A1" w14:textId="77777777" w:rsidR="00575AC3" w:rsidRPr="006D40F0" w:rsidRDefault="00575AC3" w:rsidP="006D40F0">
      <w:proofErr w:type="spellStart"/>
      <w:r w:rsidRPr="006D40F0">
        <w:t>Mantena</w:t>
      </w:r>
      <w:proofErr w:type="spellEnd"/>
      <w:r w:rsidRPr="006D40F0">
        <w:t xml:space="preserve"> AS har kapitalbehov, blant annet på grunn av behov for varelagernedskriving og midlertidig likviditetsbehov.</w:t>
      </w:r>
    </w:p>
    <w:p w14:paraId="2AD7DD64" w14:textId="77777777" w:rsidR="00575AC3" w:rsidRPr="006D40F0" w:rsidRDefault="00575AC3" w:rsidP="006D40F0">
      <w:proofErr w:type="spellStart"/>
      <w:r w:rsidRPr="006D40F0">
        <w:t>Mantena</w:t>
      </w:r>
      <w:proofErr w:type="spellEnd"/>
      <w:r w:rsidRPr="006D40F0">
        <w:t xml:space="preserve"> tilhører selskapskategori 1, der statens mål som eier er høyest mulig avkastning over tid innenfor bærekraftige rammer. Selskapet er heleid av staten ved Nærings- og fiskeridepartementet. Statens begrunnelse for eierskapet i </w:t>
      </w:r>
      <w:proofErr w:type="spellStart"/>
      <w:r w:rsidRPr="006D40F0">
        <w:t>Mantena</w:t>
      </w:r>
      <w:proofErr w:type="spellEnd"/>
      <w:r w:rsidRPr="006D40F0">
        <w:t xml:space="preserve"> er å ha en leverandør av vedlikeholds- og verkstedtjenester for skinnegående materiell. </w:t>
      </w:r>
      <w:proofErr w:type="spellStart"/>
      <w:r w:rsidRPr="006D40F0">
        <w:t>Mantena</w:t>
      </w:r>
      <w:proofErr w:type="spellEnd"/>
      <w:r w:rsidRPr="006D40F0">
        <w:t xml:space="preserve"> omsetter for om lag 1,6 mrd. kroner og har virksomhet i Norge og Sverige. Selskapet har om lag 800 ansatte, hvorav om lag 650 i Norge.</w:t>
      </w:r>
    </w:p>
    <w:p w14:paraId="36550312" w14:textId="77777777" w:rsidR="00575AC3" w:rsidRPr="006D40F0" w:rsidRDefault="00575AC3" w:rsidP="006D40F0">
      <w:proofErr w:type="spellStart"/>
      <w:r w:rsidRPr="006D40F0">
        <w:t>Mantena</w:t>
      </w:r>
      <w:proofErr w:type="spellEnd"/>
      <w:r w:rsidRPr="006D40F0">
        <w:t xml:space="preserve"> ble skilt ut fra Vy og konkurranseutsatt fra 2017. </w:t>
      </w:r>
      <w:proofErr w:type="spellStart"/>
      <w:r w:rsidRPr="006D40F0">
        <w:t>Mantena</w:t>
      </w:r>
      <w:proofErr w:type="spellEnd"/>
      <w:r w:rsidRPr="006D40F0">
        <w:t xml:space="preserve"> fikk i den forbindelse 202 mill. kroner av staten for å innfri reguleringsforpliktelsen i Statens pensjonskasse (SPK) og ytterligere bevilgninger 2019-2023 til en overgangsordning for eldre arbeidstakere. Selskapet fikk også et kapitaltilskudd på 170 mill. kroner i 2019 for å legge til rette for en hensiktsmessig kapitalstruktur og likviditet i en krevende omstillingsfase. Selskapet kan ved utskillelse ha blitt for svakt kapitalisert gitt virksomhetens risiko, herunder et økende ukurant varelager med tilhørende nedskrivingsbehov i takt med at eldre togtyper i Norge fases ut.</w:t>
      </w:r>
    </w:p>
    <w:p w14:paraId="766396CA" w14:textId="77777777" w:rsidR="00575AC3" w:rsidRPr="006D40F0" w:rsidRDefault="00575AC3" w:rsidP="006D40F0">
      <w:proofErr w:type="spellStart"/>
      <w:r w:rsidRPr="006D40F0">
        <w:t>Mantena</w:t>
      </w:r>
      <w:proofErr w:type="spellEnd"/>
      <w:r w:rsidRPr="006D40F0">
        <w:t xml:space="preserve"> har de siste årene iverksatt flere tiltak for lønnsomhetsforbedringer, herunder blant annet nedbemanning, reforhandling av kontrakter og kostnadsreduksjoner. Lønnsomhetsutviklingen er positiv, men det er fortsatt omstillingsbehov.</w:t>
      </w:r>
    </w:p>
    <w:p w14:paraId="659CA7A3" w14:textId="77777777" w:rsidR="00575AC3" w:rsidRPr="006D40F0" w:rsidRDefault="00575AC3" w:rsidP="006D40F0">
      <w:r w:rsidRPr="006D40F0">
        <w:t xml:space="preserve">Styret i </w:t>
      </w:r>
      <w:proofErr w:type="spellStart"/>
      <w:r w:rsidRPr="006D40F0">
        <w:t>Mantena</w:t>
      </w:r>
      <w:proofErr w:type="spellEnd"/>
      <w:r w:rsidRPr="006D40F0">
        <w:t xml:space="preserve"> har i forbindelse med anmodningen om ny egenkapital fra eier, utarbeidet en ny forretningsplan for selskapet. Selskapets overordnede plan er effektivisering i Norge, vekst i Sverige og nytt komponentverksted som skal bidra til kostnadsbesparelser. Departementet har kommunisert til selskapet at ambisjonsnivå og fremdrift ift. realisering av tiltak i forretningsplanen må styrkes</w:t>
      </w:r>
    </w:p>
    <w:p w14:paraId="45D7F38D" w14:textId="77777777" w:rsidR="00575AC3" w:rsidRPr="006D40F0" w:rsidRDefault="00575AC3" w:rsidP="006D40F0">
      <w:r w:rsidRPr="006D40F0">
        <w:t xml:space="preserve">Arctic Securities (Arctic) har vært engasjert som statens finansielle rådgiver. Arctic anbefaler at </w:t>
      </w:r>
      <w:proofErr w:type="spellStart"/>
      <w:r w:rsidRPr="006D40F0">
        <w:t>Mantenas</w:t>
      </w:r>
      <w:proofErr w:type="spellEnd"/>
      <w:r w:rsidRPr="006D40F0">
        <w:t xml:space="preserve"> forretningsplan styrkes og at lønnsomhet prioriteres fremfor vekst. Dersom eier ikke </w:t>
      </w:r>
      <w:r w:rsidRPr="006D40F0">
        <w:lastRenderedPageBreak/>
        <w:t xml:space="preserve">bidrar med ny egenkapital, er det ifølge rådgiver høy risiko for konkurs, noe som vil være verdiødeleggende. Arctic anslår selskapets kapitalbehov til å være i størrelsesorden 200-300 mill. kroner. Videre vurderer Arctic at en slik egenkapitaltilførsel vil være forretningsmessig og at staten kan få en markedsmessig avkastning på denne kapitalen. Arctic forventer vekst i togtrafikk og dermed økt behov for </w:t>
      </w:r>
      <w:proofErr w:type="spellStart"/>
      <w:r w:rsidRPr="006D40F0">
        <w:t>togvedlikehold</w:t>
      </w:r>
      <w:proofErr w:type="spellEnd"/>
      <w:r w:rsidRPr="006D40F0">
        <w:t xml:space="preserve"> fremover. Trenden i konkurransebildet synes å være vertikal integrering, hvor ansvaret for vedlikeholdstjenester flyttes til </w:t>
      </w:r>
      <w:proofErr w:type="spellStart"/>
      <w:r w:rsidRPr="006D40F0">
        <w:t>togprodusenter</w:t>
      </w:r>
      <w:proofErr w:type="spellEnd"/>
      <w:r w:rsidRPr="006D40F0">
        <w:t xml:space="preserve"> eller togoperatører, med tilhørende konsolidering i bransjen. Arctics vurdering er at avkastningene på et kapitalinnskudd på 250 mill. kroner vil være konkurransedyktig med avkastningen fra annen virksomhet med samme kommersielle risiko. Regjeringen foreslår basert på rådgivers vurdering at det bevilges 250 mill. kroner i ny egenkapital til </w:t>
      </w:r>
      <w:proofErr w:type="spellStart"/>
      <w:r w:rsidRPr="006D40F0">
        <w:t>Mantena</w:t>
      </w:r>
      <w:proofErr w:type="spellEnd"/>
      <w:r w:rsidRPr="006D40F0">
        <w:t xml:space="preserve"> AS.</w:t>
      </w:r>
    </w:p>
    <w:p w14:paraId="08A7522D" w14:textId="77777777" w:rsidR="00575AC3" w:rsidRPr="006D40F0" w:rsidRDefault="00575AC3" w:rsidP="006D40F0">
      <w:r w:rsidRPr="006D40F0">
        <w:t xml:space="preserve">Finansdepartementet vurderer videre at vilkårene for å budsjettere utgiften som en lånetransaksjon, er oppfylt. Som del av denne vurderingen, er det praksis at departementet ser hen til rådgivers vurdering. Arctic vurderer en kapitaltilførsel på 200–250 mill. kroner som forretningsmessig, riktig ut fra en ren kommersiell vurdering og i tråd med hva andre eiere med tilstrekkelig tilgang på kapital ville vurdert som en ansvarlig beslutning. Dette begrunnes med at verdien av selskapets eksisterende egenkapital sannsynligvis vil gå tapt dersom selskapet ikke tilføres kapital. Rådgiver har ikke beregnet hvilken avkastning staten kan </w:t>
      </w:r>
      <w:proofErr w:type="gramStart"/>
      <w:r w:rsidRPr="006D40F0">
        <w:t>påregne</w:t>
      </w:r>
      <w:proofErr w:type="gramEnd"/>
      <w:r w:rsidRPr="006D40F0">
        <w:t xml:space="preserve"> på kapitaltilførselen på 200–250 mill. kroner. Samtidig er rådgiver tydelig på at avkastningen på kapitalinnskuddet vil være konkurransedyktig med avkastningen fra annen virksomhet med samme kommersielle risiko.</w:t>
      </w:r>
    </w:p>
    <w:p w14:paraId="160835AF" w14:textId="77777777" w:rsidR="00575AC3" w:rsidRPr="006D40F0" w:rsidRDefault="00575AC3" w:rsidP="006D40F0">
      <w:r w:rsidRPr="006D40F0">
        <w:t>Tilførsel av kapital kan skje i én eller flere transjer, og det vil ved tilførsel av kapital bli kommunisert tydelige forventninger om ytterligere lønnsomhetstiltak til styret.</w:t>
      </w:r>
    </w:p>
    <w:p w14:paraId="540029EE" w14:textId="77777777" w:rsidR="00575AC3" w:rsidRPr="006D40F0" w:rsidRDefault="00575AC3" w:rsidP="006D40F0">
      <w:pPr>
        <w:pStyle w:val="b-budkaptit"/>
      </w:pPr>
      <w:r w:rsidRPr="006D40F0">
        <w:t>Kap. 3950 Forvaltning av statlig eierskap</w:t>
      </w:r>
    </w:p>
    <w:p w14:paraId="25556182" w14:textId="77777777" w:rsidR="00575AC3" w:rsidRPr="006D40F0" w:rsidRDefault="00575AC3" w:rsidP="006D40F0">
      <w:pPr>
        <w:pStyle w:val="b-post"/>
      </w:pPr>
      <w:r w:rsidRPr="006D40F0">
        <w:t>Post 96 Salg av aksjer</w:t>
      </w:r>
    </w:p>
    <w:p w14:paraId="578A8E18" w14:textId="77777777" w:rsidR="00575AC3" w:rsidRPr="006D40F0" w:rsidRDefault="00575AC3" w:rsidP="006D40F0">
      <w:r w:rsidRPr="006D40F0">
        <w:t>Under posten føres inntekter fra mulige aksjesalg samt vederlag ved sletting av aksjer i forbindelse med at selskaper med statlig eierandel gjennomfører tilbakekjøpsprogram. Det er bevilget 25 mill. kroner på posten i Saldert budsjett 2024. På ekstraordinær generalforsamling i Eksportfinans ASA 5. desember 2023, vedtok aksjonærene reduksjon av selskapets frie egenkapital med totalt 1 mrd. kroner forutsatt Finanstilsynets samtykke. Bakgrunnen for vedtaket var at selskapet anses overkapitalisert. Finanstilsynet ga i mars 2024 positivt svar på søknaden og klarsignal til at pengene kunne utbetales. Staten mottok i mars 2024 sin forholdsmessige andel på 150 mill. kroner.</w:t>
      </w:r>
    </w:p>
    <w:p w14:paraId="797A0EB3" w14:textId="77777777" w:rsidR="00575AC3" w:rsidRPr="006D40F0" w:rsidRDefault="00575AC3" w:rsidP="006D40F0">
      <w:r w:rsidRPr="006D40F0">
        <w:t>Det foreslås derfor at bevilgningen økes med 125 mill. kroner</w:t>
      </w:r>
    </w:p>
    <w:p w14:paraId="5A92DD04" w14:textId="77777777" w:rsidR="00575AC3" w:rsidRPr="006D40F0" w:rsidRDefault="00575AC3" w:rsidP="006D40F0">
      <w:pPr>
        <w:pStyle w:val="b-budkaptit"/>
      </w:pPr>
      <w:r w:rsidRPr="006D40F0">
        <w:t>Kap. 951 (Nytt) Store Norske Spitsbergen Kulkompani AS</w:t>
      </w:r>
    </w:p>
    <w:p w14:paraId="4F35C32F" w14:textId="77777777" w:rsidR="00575AC3" w:rsidRPr="006D40F0" w:rsidRDefault="00575AC3" w:rsidP="006D40F0">
      <w:pPr>
        <w:pStyle w:val="b-post"/>
      </w:pPr>
      <w:r w:rsidRPr="006D40F0">
        <w:t>Post 90 (Ny) Lån</w:t>
      </w:r>
    </w:p>
    <w:p w14:paraId="5C8DCF05" w14:textId="77777777" w:rsidR="00575AC3" w:rsidRPr="006D40F0" w:rsidRDefault="00575AC3" w:rsidP="006D40F0">
      <w:r w:rsidRPr="006D40F0">
        <w:t xml:space="preserve">Store Norske Spitsbergen Kulkompani AS (Store Norske) eier og forvalter i dag i overkant av 500 boliger i Longyearbyen. Dette utgjør en betydelig andel av den totale boligmassen i Longyearbyen. Staten er eier i Store Norske for å bidra til at samfunnet i Longyearbyen opprettholdes </w:t>
      </w:r>
      <w:r w:rsidRPr="006D40F0">
        <w:lastRenderedPageBreak/>
        <w:t>og videreutvikles på en måte som understøtter de overordnede målene i norsk svalbardpolitikk. Statens mål som eier er blant annet kostnadseffektiv forvaltning og utvikling av boliger i Longyearbyen. Det er vedtektsfestet at Store Norske ikke kan ta opp ekstern gjeld, unntatt ordinær kassakreditt eller annen ordinær driftsfinansiering, uten samtykke fra Nærings- og fiskeridepartementet.</w:t>
      </w:r>
    </w:p>
    <w:p w14:paraId="474BD0B4" w14:textId="77777777" w:rsidR="00575AC3" w:rsidRPr="006D40F0" w:rsidRDefault="00575AC3" w:rsidP="006D40F0">
      <w:r w:rsidRPr="006D40F0">
        <w:t xml:space="preserve">Store Norskes boligvirksomhet er organisert i datterselskapet Store Norske Boliger AS (SNB). Et flertall av </w:t>
      </w:r>
      <w:proofErr w:type="spellStart"/>
      <w:r w:rsidRPr="006D40F0">
        <w:t>SNBs</w:t>
      </w:r>
      <w:proofErr w:type="spellEnd"/>
      <w:r w:rsidRPr="006D40F0">
        <w:t xml:space="preserve"> boliger har nådd teknisk levealder. SNB arbeider derfor med en konseptvalgutredning som har til formål å etablere en langsiktig plan for oppgradering av boligmassen i Longyearbyen, gjennom klimasikring, energieffektivisering og generell standardheving med tilhørende finansieringsbehov.</w:t>
      </w:r>
    </w:p>
    <w:p w14:paraId="429253B8" w14:textId="77777777" w:rsidR="00575AC3" w:rsidRPr="006D40F0" w:rsidRDefault="00575AC3" w:rsidP="006D40F0">
      <w:r w:rsidRPr="006D40F0">
        <w:t>I parallell med arbeidet med konseptvalgutredningen bør det ifølge styret i Store Norske gjennomføres rehabiliteringstiltak på flere boliger. SNB eier i dag 110 boenheter på «Blåmyra» i Longyearbyen. Boligene er bygget i 1985 og har behov for rehabilitering. I motsetning til mange andre boliger i Longyearbyen er boligene på «Blåmyra» godt fundamentert, og styret vurderer det derfor som fornuftig å gjennomføre en rehabilitering som vil bidra til lavere driftskostnader, økte leieinntekter og en forventet levetidsforlengelse på 30 år. Prosjektet har en kostnadsramme på 86 mill. kroner og det planlegges for oppstart i løpet av høsten 2024.</w:t>
      </w:r>
    </w:p>
    <w:p w14:paraId="02A29AE1" w14:textId="77777777" w:rsidR="00575AC3" w:rsidRPr="006D40F0" w:rsidRDefault="00575AC3" w:rsidP="006D40F0">
      <w:r w:rsidRPr="006D40F0">
        <w:t xml:space="preserve">Flere av boligene i Longyearbyen er risikoutsatt for brann. SNB fikk også påført skader på deler av sine boliger i en brann i 2022. Oppgradering av disse boligene og gjennomføring av ulike branntiltak i boligmassen er planlagt i 2024 med en total kostnadsramme på 19 mill. kroner. Ut over dette vurderer styret at det er behov for å øke </w:t>
      </w:r>
      <w:proofErr w:type="spellStart"/>
      <w:r w:rsidRPr="006D40F0">
        <w:t>SNBs</w:t>
      </w:r>
      <w:proofErr w:type="spellEnd"/>
      <w:r w:rsidRPr="006D40F0">
        <w:t xml:space="preserve"> investeringskapasitet. Styret har derfor anmodet om 25 mill. kroner i kapital slik at det er rom for å gjennomføre eventuelle øvrige tiltak i tråd med selskapets mål og strategiske prioriteringer. Styret vurderer at soliditeten og lønnsomhetsutviklingen i SNB er god, og at det er rom for å øke den rentebærende gjelden i selskapet. Med bakgrunn i dette har styret anmodet om at hele kapitalbehovet på 130 mill. kroner tilføres som lån.</w:t>
      </w:r>
    </w:p>
    <w:p w14:paraId="331C65D5" w14:textId="77777777" w:rsidR="00575AC3" w:rsidRPr="006D40F0" w:rsidRDefault="00575AC3" w:rsidP="006D40F0">
      <w:r w:rsidRPr="006D40F0">
        <w:t>Nærings- og fiskeridepartementet vurderer at tiltakene som styret har anmodet om kapital til, er godt tilpasset Store Norskes strategi, statens mål som eier og bidrar til å understøtte de overordnede målene i norsk svalbardpolitikk. Finansdepartementet vurderer videre at vilkårene for å budsjettere utgiften som en lånetransaksjon, er oppfylt. Lånebetingelsene og risikoen i prosjektet vil være de samme som for øvrige lån som tidligere er gitt til Store Norskes boligvirksomhet, og disse betingelsene har blitt vurdert å være markedsmessige av ekstern rådgiver. Videre vil statens avkastning komme i form av økte leieinntekter, noe som innebærer at avkastningen er finansiell og stammer fra inntekter i et marked. Regjeringen foreslår på dette grunnlag at det bevilges 130 mill. kroner i lån til Store Norske. Lånet vil bli gitt med pant i boliger. Avdrag og renter vil innarbeides i de årlige budsjettene.</w:t>
      </w:r>
    </w:p>
    <w:p w14:paraId="637B69C8" w14:textId="77777777" w:rsidR="00575AC3" w:rsidRPr="006D40F0" w:rsidRDefault="00575AC3" w:rsidP="006D40F0">
      <w:pPr>
        <w:pStyle w:val="b-budkaptit"/>
      </w:pPr>
      <w:r w:rsidRPr="006D40F0">
        <w:t xml:space="preserve">Kap. 952 </w:t>
      </w:r>
      <w:proofErr w:type="spellStart"/>
      <w:r w:rsidRPr="006D40F0">
        <w:t>Investinor</w:t>
      </w:r>
      <w:proofErr w:type="spellEnd"/>
      <w:r w:rsidRPr="006D40F0">
        <w:t xml:space="preserve"> AS</w:t>
      </w:r>
    </w:p>
    <w:p w14:paraId="1096007D" w14:textId="77777777" w:rsidR="00575AC3" w:rsidRPr="006D40F0" w:rsidRDefault="00575AC3" w:rsidP="006D40F0">
      <w:pPr>
        <w:pStyle w:val="b-post"/>
      </w:pPr>
      <w:r w:rsidRPr="006D40F0">
        <w:t>Post 51 (Ny) Tapsfond såkornkapital</w:t>
      </w:r>
    </w:p>
    <w:p w14:paraId="659D854A" w14:textId="77777777" w:rsidR="00575AC3" w:rsidRPr="006D40F0" w:rsidRDefault="00575AC3" w:rsidP="006D40F0">
      <w:r w:rsidRPr="006D40F0">
        <w:t xml:space="preserve">Det vises til omtaler i Prop. 25 S (2023–2024) under kap. 952, post 51, kap. 3952, post 50 og 90, samt kap. 5628, post 80 om avvikling av enkelte såkornfond opprettet mellom 2006 og 2009, og </w:t>
      </w:r>
      <w:r w:rsidRPr="006D40F0">
        <w:lastRenderedPageBreak/>
        <w:t xml:space="preserve">tilbakebetaling av lån og renter fra fond opprettet i perioden. Det ble avklart med </w:t>
      </w:r>
      <w:proofErr w:type="spellStart"/>
      <w:r w:rsidRPr="006D40F0">
        <w:t>Investinor</w:t>
      </w:r>
      <w:proofErr w:type="spellEnd"/>
      <w:r w:rsidRPr="006D40F0">
        <w:t xml:space="preserve"> at de faktiske beløpene knyttet til disse fire bevilgningene skulle håndteres som en netto tilbakebetaling fra </w:t>
      </w:r>
      <w:proofErr w:type="spellStart"/>
      <w:r w:rsidRPr="006D40F0">
        <w:t>Investinor</w:t>
      </w:r>
      <w:proofErr w:type="spellEnd"/>
      <w:r w:rsidRPr="006D40F0">
        <w:t>. Innbetalingen fant ikke sted før i starten av januar 2024, og det ble derfor ikke utgifts- og inntektsført noe på de fire postene i 2023. Midlene foreslås derfor bevilget på nytt i 2024.</w:t>
      </w:r>
    </w:p>
    <w:p w14:paraId="670F4577" w14:textId="77777777" w:rsidR="00575AC3" w:rsidRPr="006D40F0" w:rsidRDefault="00575AC3" w:rsidP="006D40F0">
      <w:r w:rsidRPr="006D40F0">
        <w:t>Det foreslås en bevilgning på 182,3 mill. kroner til dekning av tap på lån ut over tapsavsetning og tap på renter på lån til såkornfond. Dette dekker faktiske tap og er noe lavere enn det som ble bevilget i forbindelse med Prop. 25 S (2023–2024).</w:t>
      </w:r>
    </w:p>
    <w:p w14:paraId="4FE8E169" w14:textId="77777777" w:rsidR="00575AC3" w:rsidRPr="006D40F0" w:rsidRDefault="00575AC3" w:rsidP="006D40F0">
      <w:pPr>
        <w:pStyle w:val="b-budkaptit"/>
      </w:pPr>
      <w:r w:rsidRPr="006D40F0">
        <w:t xml:space="preserve">Kap. 3952 (Nytt) </w:t>
      </w:r>
      <w:proofErr w:type="spellStart"/>
      <w:r w:rsidRPr="006D40F0">
        <w:t>Investinor</w:t>
      </w:r>
      <w:proofErr w:type="spellEnd"/>
      <w:r w:rsidRPr="006D40F0">
        <w:t xml:space="preserve"> AS</w:t>
      </w:r>
    </w:p>
    <w:p w14:paraId="341C6AA9" w14:textId="77777777" w:rsidR="00575AC3" w:rsidRPr="006D40F0" w:rsidRDefault="00575AC3" w:rsidP="006D40F0">
      <w:pPr>
        <w:pStyle w:val="b-post"/>
      </w:pPr>
      <w:r w:rsidRPr="006D40F0">
        <w:t>Post 50 (Ny) Tilbakeført kapital, pre-såkornfond m.m.</w:t>
      </w:r>
    </w:p>
    <w:p w14:paraId="4134B65A" w14:textId="77777777" w:rsidR="00575AC3" w:rsidRPr="006D40F0" w:rsidRDefault="00575AC3" w:rsidP="006D40F0">
      <w:r w:rsidRPr="006D40F0">
        <w:t xml:space="preserve">Det vises til omtale av forsinkede innbetalinger under kap. 952 </w:t>
      </w:r>
      <w:proofErr w:type="spellStart"/>
      <w:r w:rsidRPr="006D40F0">
        <w:t>Investinor</w:t>
      </w:r>
      <w:proofErr w:type="spellEnd"/>
      <w:r w:rsidRPr="006D40F0">
        <w:t xml:space="preserve"> AS. Det foreslås en ny bevilgning for 2024 på 23,2 mill. kroner knyttet til tilbakeført kapital fra såkornfond opprettet etter 2012 og fra pre-såkornfond.</w:t>
      </w:r>
    </w:p>
    <w:p w14:paraId="1E44762F" w14:textId="77777777" w:rsidR="00575AC3" w:rsidRPr="006D40F0" w:rsidRDefault="00575AC3" w:rsidP="006D40F0">
      <w:pPr>
        <w:pStyle w:val="b-post"/>
      </w:pPr>
      <w:r w:rsidRPr="006D40F0">
        <w:t>Post 90 (Ny) Tilbakeført kapital, såkornfond</w:t>
      </w:r>
    </w:p>
    <w:p w14:paraId="4376BA99" w14:textId="77777777" w:rsidR="00575AC3" w:rsidRPr="006D40F0" w:rsidRDefault="00575AC3" w:rsidP="006D40F0">
      <w:r w:rsidRPr="006D40F0">
        <w:t xml:space="preserve">Det vises til omtale av forsinkede innbetalinger under kap. 952 </w:t>
      </w:r>
      <w:proofErr w:type="spellStart"/>
      <w:r w:rsidRPr="006D40F0">
        <w:t>Investinor</w:t>
      </w:r>
      <w:proofErr w:type="spellEnd"/>
      <w:r w:rsidRPr="006D40F0">
        <w:t xml:space="preserve"> AS. Det foreslås en ny bevilgning på 102,6 mill. kroner knyttet til tilbakeført kapital fra såkornfond opprettet i 2006.</w:t>
      </w:r>
    </w:p>
    <w:p w14:paraId="3CE14B09" w14:textId="77777777" w:rsidR="00575AC3" w:rsidRPr="006D40F0" w:rsidRDefault="00575AC3" w:rsidP="006D40F0">
      <w:pPr>
        <w:pStyle w:val="b-budkaptit"/>
      </w:pPr>
      <w:r w:rsidRPr="006D40F0">
        <w:t xml:space="preserve">Kap. 5628 (Nytt) Renter fra </w:t>
      </w:r>
      <w:proofErr w:type="spellStart"/>
      <w:r w:rsidRPr="006D40F0">
        <w:t>Investinor</w:t>
      </w:r>
      <w:proofErr w:type="spellEnd"/>
      <w:r w:rsidRPr="006D40F0">
        <w:t xml:space="preserve"> AS</w:t>
      </w:r>
    </w:p>
    <w:p w14:paraId="2A086EBD" w14:textId="77777777" w:rsidR="00575AC3" w:rsidRPr="006D40F0" w:rsidRDefault="00575AC3" w:rsidP="006D40F0">
      <w:pPr>
        <w:pStyle w:val="b-post"/>
      </w:pPr>
      <w:r w:rsidRPr="006D40F0">
        <w:t>Post 80 (Ny) Renter fra såkornfond</w:t>
      </w:r>
    </w:p>
    <w:p w14:paraId="208D13AA" w14:textId="77777777" w:rsidR="00575AC3" w:rsidRPr="006D40F0" w:rsidRDefault="00575AC3" w:rsidP="006D40F0">
      <w:r w:rsidRPr="006D40F0">
        <w:t xml:space="preserve">Det vises til omtale av forsinkede innbetalinger fra avviklede såkornfond under kap. 952 </w:t>
      </w:r>
      <w:proofErr w:type="spellStart"/>
      <w:r w:rsidRPr="006D40F0">
        <w:t>Investinor</w:t>
      </w:r>
      <w:proofErr w:type="spellEnd"/>
      <w:r w:rsidRPr="006D40F0">
        <w:t xml:space="preserve"> AS. Det foreslås en bevilgning på 132,2 mill. kroner knyttet til renter på lån til såkornfond opprettet i 2006.</w:t>
      </w:r>
    </w:p>
    <w:p w14:paraId="5F3833C7" w14:textId="77777777" w:rsidR="00575AC3" w:rsidRPr="006D40F0" w:rsidRDefault="00575AC3" w:rsidP="006D40F0">
      <w:pPr>
        <w:pStyle w:val="b-budkaptit"/>
      </w:pPr>
      <w:r w:rsidRPr="006D40F0">
        <w:t xml:space="preserve">Kap. 954 </w:t>
      </w:r>
      <w:proofErr w:type="spellStart"/>
      <w:r w:rsidRPr="006D40F0">
        <w:t>Petoro</w:t>
      </w:r>
      <w:proofErr w:type="spellEnd"/>
      <w:r w:rsidRPr="006D40F0">
        <w:t xml:space="preserve"> AS</w:t>
      </w:r>
    </w:p>
    <w:p w14:paraId="0A273D07" w14:textId="77777777" w:rsidR="00575AC3" w:rsidRPr="006D40F0" w:rsidRDefault="00575AC3" w:rsidP="006D40F0">
      <w:pPr>
        <w:pStyle w:val="b-post"/>
      </w:pPr>
      <w:r w:rsidRPr="006D40F0">
        <w:t>Post 70 Tilskudd til administrasjon</w:t>
      </w:r>
    </w:p>
    <w:p w14:paraId="1E5CDFF4" w14:textId="77777777" w:rsidR="00575AC3" w:rsidRPr="006D40F0" w:rsidRDefault="00575AC3" w:rsidP="006D40F0">
      <w:proofErr w:type="spellStart"/>
      <w:r w:rsidRPr="006D40F0">
        <w:t>Petoro</w:t>
      </w:r>
      <w:proofErr w:type="spellEnd"/>
      <w:r w:rsidRPr="006D40F0">
        <w:t xml:space="preserve"> AS er et statlig eid aksjeselskap som ivaretar Statens direkte økonomiske engasjement i petroleumsvirksomheten (SDØE) på et forretningsmessig grunnlag. Gjennom SDØE deltar staten i utvinningstillatelser, rørledninger og landanlegg for petroleum. </w:t>
      </w:r>
      <w:proofErr w:type="spellStart"/>
      <w:r w:rsidRPr="006D40F0">
        <w:t>Petoro</w:t>
      </w:r>
      <w:proofErr w:type="spellEnd"/>
      <w:r w:rsidRPr="006D40F0">
        <w:t xml:space="preserve"> opptrer som rettighetshaver for SDØE-andelene og har rettigheter og plikter som andre rettighetshavere. </w:t>
      </w:r>
      <w:proofErr w:type="spellStart"/>
      <w:r w:rsidRPr="006D40F0">
        <w:t>Petoros</w:t>
      </w:r>
      <w:proofErr w:type="spellEnd"/>
      <w:r w:rsidRPr="006D40F0">
        <w:t xml:space="preserve"> overordnede mål for ivaretakelsen av SDØE-porteføljen er å skape størst mulig verdi og oppnå høyest mulig inntekt til staten.</w:t>
      </w:r>
    </w:p>
    <w:p w14:paraId="6C086622" w14:textId="77777777" w:rsidR="00575AC3" w:rsidRPr="006D40F0" w:rsidRDefault="00575AC3" w:rsidP="006D40F0">
      <w:r w:rsidRPr="006D40F0">
        <w:t>Store deler av eierskapet til gasstransportsystemet på norsk kontinentalsokkel har tillatelser der konsesjonstiden går ut i 2028. Staten tar sikte på å benytte seg av hjemfallsretten ved utløpet av konsesjonstiden og ønsker et helstatlig eierskap for de sentrale delene av gasstransportsystemet, jf. Prop. 1 S (2023–2024) for daværende Olje- og energidepartementet. Energidepartementet gjennomfører nå sonderinger med eksisterende rettighetshavere om dette.</w:t>
      </w:r>
    </w:p>
    <w:p w14:paraId="19432608" w14:textId="77777777" w:rsidR="00575AC3" w:rsidRPr="006D40F0" w:rsidRDefault="00575AC3" w:rsidP="006D40F0">
      <w:r w:rsidRPr="006D40F0">
        <w:lastRenderedPageBreak/>
        <w:t xml:space="preserve">1. januar 2024 er, etter ønske fra flere av dagens eiere av den omfattede gasstransportinfrastrukturen, en mulig effektiv økonomisk dato for statlig overtakelse, dvs. at mulige transaksjoner vil kunne bli gjennomført mot slutten av inneværende år. Det legges opp til at dagens modell, hvor </w:t>
      </w:r>
      <w:proofErr w:type="spellStart"/>
      <w:r w:rsidRPr="006D40F0">
        <w:t>Petoro</w:t>
      </w:r>
      <w:proofErr w:type="spellEnd"/>
      <w:r w:rsidRPr="006D40F0">
        <w:t xml:space="preserve"> forvalter statens eierskap i gassinfrastrukturen gjennom SDØE, vil videreføres ved økt eller helstatlig eierskap. For å kunne forberede og ivareta arbeidsoppgaver knyttet til en mulig større eierandel i gasstransportsystemet på en forsvarlig måte, foreslås det å øke administrasjonstilskuddet med 3 mill. kroner i 2024.</w:t>
      </w:r>
    </w:p>
    <w:p w14:paraId="4016C82A" w14:textId="77777777" w:rsidR="00575AC3" w:rsidRPr="006D40F0" w:rsidRDefault="00575AC3" w:rsidP="006D40F0">
      <w:pPr>
        <w:pStyle w:val="b-budkaptit"/>
      </w:pPr>
      <w:r w:rsidRPr="006D40F0">
        <w:t>Kap. 2421 Innovasjon Norge</w:t>
      </w:r>
    </w:p>
    <w:p w14:paraId="4509C322" w14:textId="77777777" w:rsidR="00575AC3" w:rsidRPr="006D40F0" w:rsidRDefault="00575AC3" w:rsidP="006D40F0">
      <w:pPr>
        <w:pStyle w:val="b-post"/>
      </w:pPr>
      <w:r w:rsidRPr="006D40F0">
        <w:t>Post 55 (Ny) Grønn industrifinansiering</w:t>
      </w:r>
    </w:p>
    <w:p w14:paraId="228FBAF5" w14:textId="77777777" w:rsidR="00575AC3" w:rsidRPr="006D40F0" w:rsidRDefault="00575AC3" w:rsidP="006D40F0">
      <w:r w:rsidRPr="006D40F0">
        <w:t>Det vises til Stortingets vedtak i forbindelse med budsjettforliket om statsbudsjettet for 2024 om å opprette en ordning for grønn industrifinansiering, herunder en bevilgning på 1,75 mrd. kroner til tapsavsetning for ordningen. Ordningen har en ramme på inntil 5 mrd. kroner. Næringskomiteen bemerket i sin innstilling at ordningen blant annet skulle være for prosjekter i tidlig- og oppskaleringsfase, ikke inneholde konverteringsrettigheter, være markedsmessig og forvaltes av Eksportfinansiering Norge (Eksfin). Stortinget har bedt regjeringen komme tilbake med forslag til øvrig innretning av ordningen senest i forbindelse med revidert nasjonalbudsjett for 2024.</w:t>
      </w:r>
    </w:p>
    <w:p w14:paraId="7F04070A" w14:textId="77777777" w:rsidR="00575AC3" w:rsidRPr="006D40F0" w:rsidRDefault="00575AC3" w:rsidP="006D40F0">
      <w:r w:rsidRPr="006D40F0">
        <w:t>Nærings- og fiskeridepartementet har utredet innretningen på ordningen blant annet med bakgrunn i over 80 høringsinnspill og dialog med Eksfin, Innovasjon Norge og Nysnø Klimainvesteringer.</w:t>
      </w:r>
    </w:p>
    <w:p w14:paraId="588F1A1F" w14:textId="77777777" w:rsidR="00575AC3" w:rsidRPr="006D40F0" w:rsidRDefault="00575AC3" w:rsidP="006D40F0">
      <w:r w:rsidRPr="006D40F0">
        <w:t xml:space="preserve">Høringsinstansene gir i hovedsak sin tilslutning til ordningen. Et klart flertall av tilbakemeldingene peker på at ordningen kan gi </w:t>
      </w:r>
      <w:proofErr w:type="spellStart"/>
      <w:r w:rsidRPr="006D40F0">
        <w:t>addisjonalitet</w:t>
      </w:r>
      <w:proofErr w:type="spellEnd"/>
      <w:r w:rsidRPr="006D40F0">
        <w:t xml:space="preserve"> dersom den innrettes mot å finansiere førstegangsetablering av nyskapende produksjon i industriell skala, herunder testing. Det pekes også på at ordningen bør innrettes som statlige lån eller garantier med støtteelement, men med betingelse om privat medfinansiering.</w:t>
      </w:r>
    </w:p>
    <w:p w14:paraId="04E9EB1C" w14:textId="77777777" w:rsidR="00575AC3" w:rsidRPr="006D40F0" w:rsidRDefault="00575AC3" w:rsidP="006D40F0">
      <w:r w:rsidRPr="006D40F0">
        <w:t xml:space="preserve">Ordningen vil ha grenseflater til eksisterende virkemidler både hos Innovasjon Norge (IN), Nysnø Klimainvesteringer AS, </w:t>
      </w:r>
      <w:proofErr w:type="spellStart"/>
      <w:r w:rsidRPr="006D40F0">
        <w:t>Enova</w:t>
      </w:r>
      <w:proofErr w:type="spellEnd"/>
      <w:r w:rsidRPr="006D40F0">
        <w:t xml:space="preserve"> og Eksfin samt nordiske og europeiske virkemiddelaktører. Blant de norske aktørene er det Innovasjon Norge som har mest erfaring med markedsnære ordninger som også innebærer en grad av statsstøtte. Selskapet har også lang erfaring med låneordninger og samarbeid med private banker og nasjonale og internasjonale virkemiddelaktører. INs statsstøtterettslige kompetanse vil sørge for en rask og trygg implementering. En samlet vurdering tilsier derfor at ordningen bør legges til Innovasjon Norge. Det er i tråd med tilbakemeldingene i innspillsrunden og dialogen med aktørene.</w:t>
      </w:r>
    </w:p>
    <w:p w14:paraId="1CED4E77" w14:textId="77777777" w:rsidR="00575AC3" w:rsidRPr="006D40F0" w:rsidRDefault="00575AC3" w:rsidP="006D40F0">
      <w:r w:rsidRPr="006D40F0">
        <w:t xml:space="preserve">Etter regjeringens vurdering bør ordningen utformes for å utløse bærekraftig verdiskaping i Norge i tråd med formålet med Grønt industriløft. Grønt industriløft skal fremme attraktive arbeidsplasser, verdier og velferd for fremtiden i Norge, fremme utslippsreduksjoner og grønn omstilling, og redusere sårbarheter i verdikjeder som er sentrale for det grønne skiftet. Dette er hensyn som har blitt viktigere med endringer i energi- og sikkerhetssituasjonen i Europa. Målgruppen for ordningen bør være nyskapende, grønne industriprosjekter i vekst- og oppskaleringsfase. For å være utløsende er det nødvendig å tilby andre finansieringsvilkår enn det som er tilgjengelig i markedet. Ordningen bør primært innrettes som en låneordning, men Innovasjon </w:t>
      </w:r>
      <w:r w:rsidRPr="006D40F0">
        <w:lastRenderedPageBreak/>
        <w:t>Norge kan også gis anledning til å stille garantier for finansiering fra andre aktører. Finansieringen under ordningen kan gis med et støtteelement, i form av for eksempel reduserte renter, lengre løpetider eller avdragsfrihet i en periode. Det skal være privat medfinansiering i alle prosjektene. Innovasjon Norge betaler renter til staten på innlånene til ordningen.</w:t>
      </w:r>
    </w:p>
    <w:p w14:paraId="56E7F509" w14:textId="77777777" w:rsidR="00575AC3" w:rsidRPr="006D40F0" w:rsidRDefault="00575AC3" w:rsidP="006D40F0">
      <w:r w:rsidRPr="006D40F0">
        <w:t xml:space="preserve">Under ordningen bør staten også kunne ta del i avkastningen fra vellykkede prosjekter gjennom ulike betingelser som knyttes til finansieringen, slik det er anledning til under andre låneordninger i Innovasjon Norge. Der hele eller deler av lån ikke går til utbetaling, frigis låneramme og midler til tapsavsetning for nye utlån under ordningen. Det samme gjelder for rentemarginer, andre betingelser som gir ordningen del i avkastning fra vellykkede prosjekter og verdier som gjenvinnes fra tapsføringer i prosjekter som ikke lykkes. Grønn industrifinansiering bør bygge på erfaringer og praksis fra ordningene med innovasjonslån og grønne </w:t>
      </w:r>
      <w:proofErr w:type="spellStart"/>
      <w:r w:rsidRPr="006D40F0">
        <w:t>vekstlån</w:t>
      </w:r>
      <w:proofErr w:type="spellEnd"/>
      <w:r w:rsidRPr="006D40F0">
        <w:t xml:space="preserve"> i Innovasjon Norge. Disse ordningene gir også en metodikk for forsvarlig porteføljestyring i ordningen som hensyntar risikoen for tap i de ulike prosjektene og prosjektets mulige bidrag til verdiskaping. Dette innebærer at det tas høyde for en større risiko enn normale markedstransaksjoner, ved at det gjøres avsetninger for de enkelte prosjektene i et tapsfond og eventuelt rentestøttefond for ordningen.</w:t>
      </w:r>
    </w:p>
    <w:p w14:paraId="1BB030E4" w14:textId="77777777" w:rsidR="00575AC3" w:rsidRPr="006D40F0" w:rsidRDefault="00575AC3" w:rsidP="006D40F0">
      <w:r w:rsidRPr="006D40F0">
        <w:t>Innovasjon Norge kan gi forpliktende tilsagn om lån innenfor lånerammen på 5 mrd. kroner. Samtidig setter staten av 1,75 mrd. kroner til tap i ordningen. Det kan ikke gis lån under ordningen med mindre det er gjort forholdsmessige avsetninger i tapsfondet. Innovasjon Norge har ansvar for at avsetningene til tap gjenspeiler den reelle risikoen i porteføljen. Tapsfondet skal dekke bokførte tap som følge av konstaterte tap og endringer i spesifiserte tapsnedskrivninger og ha dekning for påregnelige tap i lånenes løpetid. Tapsavsetningen skal også dekke midlene til rentestøttefondet, hvor det gjøres avsetninger for å dekke kostnader ved subsidierte lån i form av rentefritak. Det tas utbytte fra Grønn industrifinansiering for alle beløp innestående på tapsavsetningen som overstiger det Stortinget til enhver tid har bevilget til tap.</w:t>
      </w:r>
    </w:p>
    <w:p w14:paraId="51504D67" w14:textId="77777777" w:rsidR="00575AC3" w:rsidRPr="006D40F0" w:rsidRDefault="00575AC3" w:rsidP="006D40F0">
      <w:r w:rsidRPr="006D40F0">
        <w:t>Innovasjon Norge skal påse at ordningen innrettes slik at den er innenfor rammene av statsstøttereglene. For større prosjekter kan notifisering under det midlertidige krise- og omstillingsregelverket for statsstøtte etter Russlands aggresjon mot Ukraina (TCTF) være nødvendig.</w:t>
      </w:r>
    </w:p>
    <w:p w14:paraId="10B65990" w14:textId="77777777" w:rsidR="00575AC3" w:rsidRPr="006D40F0" w:rsidRDefault="00575AC3" w:rsidP="006D40F0">
      <w:r w:rsidRPr="006D40F0">
        <w:t>På dette grunnlaget foreslås det å flytte bevilgingen til tapsavsetning for Grønn industrifinansiering fra kap. 2460 Eksportfinansiering Norge, post 58 Grønn industrifinansiering til kap. 2421 Innovasjon Norge, post 55 Grønn industrifinansiering. Det foreslås også en lånefullmakt på 5 mrd. kroner og en garantifullmakt, jf. forslag til romertallsvedtak.</w:t>
      </w:r>
    </w:p>
    <w:p w14:paraId="3E96A76E" w14:textId="77777777" w:rsidR="00575AC3" w:rsidRPr="006D40F0" w:rsidRDefault="00575AC3" w:rsidP="006D40F0">
      <w:pPr>
        <w:pStyle w:val="b-post"/>
      </w:pPr>
      <w:r w:rsidRPr="006D40F0">
        <w:t>Post 71 Innovative næringsmiljøer, kan overføres</w:t>
      </w:r>
    </w:p>
    <w:p w14:paraId="34A1F0B1" w14:textId="77777777" w:rsidR="00575AC3" w:rsidRPr="006D40F0" w:rsidRDefault="00575AC3" w:rsidP="006D40F0">
      <w:r w:rsidRPr="006D40F0">
        <w:t>I Saldert budsjett 2024 er det bevilget 126,3 mill. kroner og gitt en tilsagnsfullmakt på 155 mill. kroner til Innovasjon Norge til dette formålet. Ved utgangen av 2023 var 101,8 mill. kroner av tilsagnsfullmakten bundet opp i tilsagn. Basert på Innovasjon Norges utbetalingsprognoser vil det være nødvendig med en bevilgning på 161,3 mill. kroner for å dekke de utbetalingene som forventes å komme i 2024. Det foreslås derfor å øke bevilgningen med 35 mill. kroner, og redusere tilsagnsfullmakten tilsvarende, til 120 mill. kroner, jf. forslag til romertallsvedtak.</w:t>
      </w:r>
    </w:p>
    <w:p w14:paraId="439B85F3" w14:textId="77777777" w:rsidR="00575AC3" w:rsidRPr="006D40F0" w:rsidRDefault="00575AC3" w:rsidP="006D40F0">
      <w:pPr>
        <w:pStyle w:val="b-post"/>
      </w:pPr>
      <w:r w:rsidRPr="006D40F0">
        <w:lastRenderedPageBreak/>
        <w:t>Post 74 Reiseliv, profilering og kompetanse, kan overføres</w:t>
      </w:r>
    </w:p>
    <w:p w14:paraId="406E9857" w14:textId="77777777" w:rsidR="00575AC3" w:rsidRPr="006D40F0" w:rsidRDefault="00575AC3" w:rsidP="006D40F0">
      <w:r w:rsidRPr="006D40F0">
        <w:t>Ukraina ønsker å styrke næringssamarbeidet med Europa, herunder Norge. Næringsaktivitet i Ukraina er viktig for å skape arbeidsplasser og skatteinntekter. Mobilisering av privat sektor vil være avgjørende for å få gjennomført og finansiert gjenoppbyggingen av Ukraina. Innovasjon Norge kan ha en rolle i å tilrettelegge for at norsk næringsliv bidrar til økonomisk aktivitet i Ukraina.</w:t>
      </w:r>
    </w:p>
    <w:p w14:paraId="6DD70C02" w14:textId="77777777" w:rsidR="00575AC3" w:rsidRPr="006D40F0" w:rsidRDefault="00575AC3" w:rsidP="006D40F0">
      <w:r w:rsidRPr="006D40F0">
        <w:t>Det foreslås å øke bevilgningen med 2 mill. kroner for å starte arbeidet med å bygge opp relevant kompetanse om Ukraina ved hovedkontoret til Innovasjon Norge i Oslo. Hensikten er å øke kompetansen om Ukraina og landets behov, og om hvordan norsk næringsliv kan bidra til gjenoppbyggingen. Innovasjon Norge må samarbeide med andre relevante aktører, som Norsk-ukrainsk handelskammer, NHO og Norad, for å bidra til en effektiv innretning av arbeidet.</w:t>
      </w:r>
    </w:p>
    <w:p w14:paraId="6DF490B9" w14:textId="77777777" w:rsidR="00575AC3" w:rsidRPr="006D40F0" w:rsidRDefault="00575AC3" w:rsidP="006D40F0">
      <w:pPr>
        <w:pStyle w:val="b-post"/>
      </w:pPr>
      <w:r w:rsidRPr="006D40F0">
        <w:t>Post 75 Grønn plattform, kan overføres, kan nyttes under post 50, 71 og 76</w:t>
      </w:r>
    </w:p>
    <w:p w14:paraId="5A610DE7" w14:textId="77777777" w:rsidR="00575AC3" w:rsidRPr="006D40F0" w:rsidRDefault="00575AC3" w:rsidP="006D40F0">
      <w:r w:rsidRPr="006D40F0">
        <w:t>I Saldert budsjett for 2024 er tilsagnsfullmakten for Grønn plattform under Innovasjon Norge fastsatt til 345 mill. kroner. Utbetalingstakten på prosjektene under Grønn plattform avviker vesentlig fra Innovasjon Norges øvrige ordninger, noe som gjør det krevende å anslå utbetalingene fra posten. Det ble derfor utbetalt et langt lavere beløp i 2023 enn det prognosene tilsa. Konsekvensen var at man ved utgangen av 2023 sto igjen med en større fremtidig utbetalingsforpliktelse enn det tilsagnsfullmakten for 2024 ga rom for. Det foreslås derfor å øke tilsagnsfullmakten med 98,1 mill. kroner til 443,1 mill. kroner, jf. forslag til romertallsvedtak.</w:t>
      </w:r>
    </w:p>
    <w:p w14:paraId="585F4B21" w14:textId="77777777" w:rsidR="00575AC3" w:rsidRPr="006D40F0" w:rsidRDefault="00575AC3" w:rsidP="006D40F0">
      <w:pPr>
        <w:pStyle w:val="b-budkaptit"/>
      </w:pPr>
      <w:r w:rsidRPr="006D40F0">
        <w:t>Kap. 5325 Innovasjon Norge</w:t>
      </w:r>
    </w:p>
    <w:p w14:paraId="5AD226A0" w14:textId="77777777" w:rsidR="00575AC3" w:rsidRPr="006D40F0" w:rsidRDefault="00575AC3" w:rsidP="006D40F0">
      <w:pPr>
        <w:pStyle w:val="b-post"/>
      </w:pPr>
      <w:r w:rsidRPr="006D40F0">
        <w:t>Post 53 (Ny) Tilbakeføring av ubrukte tiltakspakkemidler</w:t>
      </w:r>
    </w:p>
    <w:p w14:paraId="4B20A8B5" w14:textId="77777777" w:rsidR="00575AC3" w:rsidRPr="006D40F0" w:rsidRDefault="00575AC3" w:rsidP="006D40F0">
      <w:r w:rsidRPr="006D40F0">
        <w:t xml:space="preserve">Det foreslås å tilbakeføre 200,8 mill. kroner av midler bevilget på kap. 2421, post 50 til midlertidige koronatiltak i årene 2020 og 2021. Tilbakeføringen omfatter annullerte tilsagn i hovedsak knyttet til ekstraordinært innovasjonstilskudd og omstillingstilskudd til reiselivs- og </w:t>
      </w:r>
      <w:proofErr w:type="spellStart"/>
      <w:r w:rsidRPr="006D40F0">
        <w:t>eventbransjen</w:t>
      </w:r>
      <w:proofErr w:type="spellEnd"/>
      <w:r w:rsidRPr="006D40F0">
        <w:t>. Det holdes tilbake noe annullerte midler for å dekke kostnader knyttet til oppfølging av gjenværende, ikke utbetalte tilsagn om ekstraordinært innovasjonstilskudd, omstillingstilskudd til reiselivsnæringen mv.</w:t>
      </w:r>
    </w:p>
    <w:p w14:paraId="3EF506C3" w14:textId="77777777" w:rsidR="00575AC3" w:rsidRPr="006D40F0" w:rsidRDefault="00575AC3" w:rsidP="006D40F0">
      <w:pPr>
        <w:pStyle w:val="b-post"/>
      </w:pPr>
      <w:r w:rsidRPr="006D40F0">
        <w:t>Post 70 Låneprovisjoner</w:t>
      </w:r>
    </w:p>
    <w:p w14:paraId="59114CF7" w14:textId="77777777" w:rsidR="00575AC3" w:rsidRPr="006D40F0" w:rsidRDefault="00575AC3" w:rsidP="006D40F0">
      <w:r w:rsidRPr="006D40F0">
        <w:t>Innovasjon Norge betaler en låneprovisjon på 0,4 pst. av sine innlån i statskassen. Provisjonen innbetales etterskuddsvis. Låneprovisjon for 2023 som innbetales i 2024, utgjør om lag 68,3 mill. kroner. Nye innlån har vært noe lavere i 2023 enn tidligere anslått. Bevilgningen foreslås på denne bakgrunn redusert med 3,7 mill. kroner.</w:t>
      </w:r>
    </w:p>
    <w:p w14:paraId="07C28FAD" w14:textId="77777777" w:rsidR="00575AC3" w:rsidRPr="006D40F0" w:rsidRDefault="00575AC3" w:rsidP="006D40F0">
      <w:pPr>
        <w:pStyle w:val="b-budkaptit"/>
      </w:pPr>
      <w:r w:rsidRPr="006D40F0">
        <w:lastRenderedPageBreak/>
        <w:t>Kap. 5625 Renter og utbytte fra Innovasjon Norge</w:t>
      </w:r>
    </w:p>
    <w:p w14:paraId="4E0EA18F" w14:textId="77777777" w:rsidR="00575AC3" w:rsidRPr="006D40F0" w:rsidRDefault="00575AC3" w:rsidP="006D40F0">
      <w:pPr>
        <w:pStyle w:val="b-post"/>
      </w:pPr>
      <w:r w:rsidRPr="006D40F0">
        <w:t>Post 80 Renter på lån fra statskassen</w:t>
      </w:r>
    </w:p>
    <w:p w14:paraId="2258D041" w14:textId="77777777" w:rsidR="00575AC3" w:rsidRPr="006D40F0" w:rsidRDefault="00575AC3" w:rsidP="006D40F0">
      <w:r w:rsidRPr="006D40F0">
        <w:t>Det er bevilget 605 mill. kroner i Saldert budsjett 2024. De faktiske rentene på kortsiktige innlån som Innovasjon Norge har inngått så langt og som har renteforfall i 2024, har gjennomgående høyere rentesatser enn det som ble lagt til grunn for bevilgningsforslaget i Prop. 1 S (2023–2024). Det anslås nå at renteinntektene vil utgjøre om lag 740 mill. kroner i 2024. Bevilgningen foreslås derfor økt med 135 mill. kroner.</w:t>
      </w:r>
    </w:p>
    <w:p w14:paraId="443A1745" w14:textId="77777777" w:rsidR="00575AC3" w:rsidRPr="006D40F0" w:rsidRDefault="00575AC3" w:rsidP="006D40F0">
      <w:pPr>
        <w:pStyle w:val="b-post"/>
      </w:pPr>
      <w:r w:rsidRPr="006D40F0">
        <w:t>Post 81 Rentemargin, innovasjonslåneordningen</w:t>
      </w:r>
    </w:p>
    <w:p w14:paraId="039B7AC0" w14:textId="77777777" w:rsidR="00575AC3" w:rsidRPr="006D40F0" w:rsidRDefault="00575AC3" w:rsidP="006D40F0">
      <w:r w:rsidRPr="006D40F0">
        <w:t>Innovasjon Norges innovasjonslåneordning finansieres med innlån fra statskassen hvor renten følger statspapirer med tilsvarende løpetid. Ordningens administrasjonskostnader dekkes av rentemarginen mellom innlån og utlån. Nettobeløpet etter at administrasjonskostnadene er dekket, skal tilbakeføres statskassen i påfølgende år. Netto rentemargin ble i 2024 budsjettert til 22 mill. kroner. Det faktiske beløpet ble 28,9 mill. kroner. Bevilgningen foreslås derfor økt med 6,9 mill. kroner.</w:t>
      </w:r>
    </w:p>
    <w:p w14:paraId="7EC0D291" w14:textId="77777777" w:rsidR="00575AC3" w:rsidRPr="006D40F0" w:rsidRDefault="00575AC3" w:rsidP="006D40F0">
      <w:pPr>
        <w:pStyle w:val="b-post"/>
      </w:pPr>
      <w:r w:rsidRPr="006D40F0">
        <w:t>Post 85 Utbytte, lavrisikolåneordningen</w:t>
      </w:r>
    </w:p>
    <w:p w14:paraId="465AF511" w14:textId="77777777" w:rsidR="00575AC3" w:rsidRPr="006D40F0" w:rsidRDefault="00575AC3" w:rsidP="006D40F0">
      <w:r w:rsidRPr="006D40F0">
        <w:t>Det er satt et krav om at Innovasjon Norges egenkapitalandel for lavrisikolåneordningen skal være på 10,5 pst. Alt overskytende overskudd når egenkapitaldekning på 10,5 pst. er nådd, skal tilbakeføres til staten. Overskuddet for 2023 ble budsjettert til 440 mill. kroner, mens årsregnskapet viser et overskudd på om lag 602,2 mill. kroner. Økningen skyldes høyere renteinntekter og langt mindre konstaterte tap enn budsjettert. 50 mill. kroner av utbyttet holdes tilbake for å dekke eventuelle reklamasjonskrav knyttet til avhending av Innovasjon Norges hovedkontor i Oslo som ble solgt i 2023. Dette vil bli innbetalt til statskassa i senere år dersom det ikke fremmes noe slikt krav.</w:t>
      </w:r>
    </w:p>
    <w:p w14:paraId="2A7878B3" w14:textId="77777777" w:rsidR="00575AC3" w:rsidRPr="006D40F0" w:rsidRDefault="00575AC3" w:rsidP="006D40F0">
      <w:r w:rsidRPr="006D40F0">
        <w:t>Bevilgningen foreslås økt med 112,2 mill. kroner.</w:t>
      </w:r>
    </w:p>
    <w:p w14:paraId="6ABB379A" w14:textId="77777777" w:rsidR="00575AC3" w:rsidRPr="006D40F0" w:rsidRDefault="00575AC3" w:rsidP="006D40F0">
      <w:pPr>
        <w:pStyle w:val="b-budkaptit"/>
      </w:pPr>
      <w:r w:rsidRPr="006D40F0">
        <w:t>Kap. 2426 Siva SF</w:t>
      </w:r>
    </w:p>
    <w:p w14:paraId="2B510136" w14:textId="77777777" w:rsidR="00575AC3" w:rsidRPr="006D40F0" w:rsidRDefault="00575AC3" w:rsidP="006D40F0">
      <w:pPr>
        <w:pStyle w:val="b-post"/>
      </w:pPr>
      <w:r w:rsidRPr="006D40F0">
        <w:t>Post 70 Tilskudd</w:t>
      </w:r>
    </w:p>
    <w:p w14:paraId="5DA84E88" w14:textId="77777777" w:rsidR="00575AC3" w:rsidRPr="006D40F0" w:rsidRDefault="00575AC3" w:rsidP="006D40F0">
      <w:r w:rsidRPr="006D40F0">
        <w:t>Det foreslås at bevilgningen økes med 2 mill. kroner, jf. omtale under post 71.</w:t>
      </w:r>
    </w:p>
    <w:p w14:paraId="1CD9900D" w14:textId="77777777" w:rsidR="00575AC3" w:rsidRPr="006D40F0" w:rsidRDefault="00575AC3" w:rsidP="006D40F0">
      <w:pPr>
        <w:pStyle w:val="b-post"/>
      </w:pPr>
      <w:r w:rsidRPr="006D40F0">
        <w:t>Post 71 Tilskudd til testfasiliteter</w:t>
      </w:r>
    </w:p>
    <w:p w14:paraId="6177F1A0" w14:textId="77777777" w:rsidR="00575AC3" w:rsidRPr="006D40F0" w:rsidRDefault="00575AC3" w:rsidP="006D40F0">
      <w:r w:rsidRPr="006D40F0">
        <w:t>Av bevilgningen for 2024 ble det avsatt 2 mill. kroner til å dekke arbeidet med å utrede behovet for et katapulttilbud innenfor helsenæringen, arbeidet for en nasjonal satsing innenfor legemiddelproduksjon og vurdering av tilbudet til prosjekter innenfor automatisering og digitalisering (Industri 4.0). Da dette dreier seg om utredningsmidler, foreslås midlene flyttet til post 70. Bevilgningen foreslås derfor redusert med 2 mill. kroner.</w:t>
      </w:r>
    </w:p>
    <w:p w14:paraId="517D7C16" w14:textId="77777777" w:rsidR="00575AC3" w:rsidRPr="006D40F0" w:rsidRDefault="00575AC3" w:rsidP="006D40F0">
      <w:pPr>
        <w:pStyle w:val="b-budkaptit"/>
      </w:pPr>
      <w:r w:rsidRPr="006D40F0">
        <w:lastRenderedPageBreak/>
        <w:t>Kap. 2440/5440 Statens direkte økonomiske engasjement i petroleumsvirksomheten (SDØE)</w:t>
      </w:r>
    </w:p>
    <w:p w14:paraId="560E4696" w14:textId="77777777" w:rsidR="00575AC3" w:rsidRDefault="00575AC3" w:rsidP="006D40F0">
      <w:r w:rsidRPr="006D40F0">
        <w:t xml:space="preserve">Bevilgningen på kap. 2440, post 30 </w:t>
      </w:r>
      <w:r w:rsidRPr="00575AC3">
        <w:rPr>
          <w:rStyle w:val="kursiv"/>
        </w:rPr>
        <w:t>Investeringer</w:t>
      </w:r>
      <w:r w:rsidRPr="006D40F0">
        <w:t xml:space="preserve"> foreslås økt med 4 100 mill. kroner. Økningen skyldes hovedsakelig høyere utbyggingsinvesteringer på Johan Castberg, økte driftsinvesteringer på flere felt, herunder investeringer knyttet til Troll elektrifisering og levetidsprosjekter på Heidrun, samt økt produksjonsboring på enkeltfelt.</w:t>
      </w:r>
    </w:p>
    <w:p w14:paraId="24B18240" w14:textId="48DE9E80" w:rsidR="00265CE1" w:rsidRPr="006D40F0" w:rsidRDefault="00265CE1" w:rsidP="00265CE1">
      <w:pPr>
        <w:pStyle w:val="tabell-tittel"/>
      </w:pPr>
      <w:r w:rsidRPr="006D40F0">
        <w:t>Endring av bevilgninger under kap. 2440 og 5440 Statens direkte økonomiske engasjement i petroleumsvirksomheten</w:t>
      </w:r>
    </w:p>
    <w:p w14:paraId="7CB6C639" w14:textId="77777777" w:rsidR="00575AC3" w:rsidRPr="006D40F0" w:rsidRDefault="00575AC3" w:rsidP="006D40F0">
      <w:pPr>
        <w:pStyle w:val="Tabellnavn"/>
      </w:pPr>
      <w:r w:rsidRPr="006D40F0">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00"/>
        <w:gridCol w:w="4420"/>
        <w:gridCol w:w="1220"/>
        <w:gridCol w:w="1500"/>
        <w:gridCol w:w="1280"/>
      </w:tblGrid>
      <w:tr w:rsidR="00DD49A7" w:rsidRPr="006D40F0" w14:paraId="1C11BC10" w14:textId="77777777">
        <w:trPr>
          <w:trHeight w:val="360"/>
        </w:trPr>
        <w:tc>
          <w:tcPr>
            <w:tcW w:w="9520" w:type="dxa"/>
            <w:gridSpan w:val="5"/>
            <w:tcBorders>
              <w:top w:val="nil"/>
              <w:left w:val="nil"/>
              <w:bottom w:val="single" w:sz="4" w:space="0" w:color="000000"/>
              <w:right w:val="nil"/>
            </w:tcBorders>
            <w:tcMar>
              <w:top w:w="128" w:type="dxa"/>
              <w:left w:w="43" w:type="dxa"/>
              <w:bottom w:w="43" w:type="dxa"/>
              <w:right w:w="43" w:type="dxa"/>
            </w:tcMar>
            <w:vAlign w:val="bottom"/>
          </w:tcPr>
          <w:p w14:paraId="6126798B" w14:textId="77777777" w:rsidR="00575AC3" w:rsidRPr="006D40F0" w:rsidRDefault="00575AC3" w:rsidP="006D40F0">
            <w:r w:rsidRPr="006D40F0">
              <w:t>(mill. kroner)</w:t>
            </w:r>
          </w:p>
        </w:tc>
      </w:tr>
      <w:tr w:rsidR="00DD49A7" w:rsidRPr="006D40F0" w14:paraId="6A2FFCA3" w14:textId="77777777">
        <w:trPr>
          <w:trHeight w:val="600"/>
        </w:trPr>
        <w:tc>
          <w:tcPr>
            <w:tcW w:w="5520" w:type="dxa"/>
            <w:gridSpan w:val="2"/>
            <w:tcBorders>
              <w:top w:val="nil"/>
              <w:left w:val="nil"/>
              <w:bottom w:val="single" w:sz="4" w:space="0" w:color="000000"/>
              <w:right w:val="nil"/>
            </w:tcBorders>
            <w:tcMar>
              <w:top w:w="128" w:type="dxa"/>
              <w:left w:w="43" w:type="dxa"/>
              <w:bottom w:w="43" w:type="dxa"/>
              <w:right w:w="43" w:type="dxa"/>
            </w:tcMar>
            <w:vAlign w:val="bottom"/>
          </w:tcPr>
          <w:p w14:paraId="6F68813C" w14:textId="77777777" w:rsidR="00575AC3" w:rsidRPr="006D40F0" w:rsidRDefault="00575AC3" w:rsidP="006D40F0">
            <w:r w:rsidRPr="006D40F0">
              <w:t>Kap./post/underpost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732C952" w14:textId="77777777" w:rsidR="00575AC3" w:rsidRPr="006D40F0" w:rsidRDefault="00575AC3" w:rsidP="006D40F0">
            <w:r w:rsidRPr="006D40F0">
              <w:t>Saldert budsjett 2024</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1261FF45" w14:textId="77777777" w:rsidR="00575AC3" w:rsidRPr="006D40F0" w:rsidRDefault="00575AC3" w:rsidP="006D40F0">
            <w:r w:rsidRPr="006D40F0">
              <w:t>Forslag til ny bevilgning</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548AC18C" w14:textId="77777777" w:rsidR="00575AC3" w:rsidRPr="006D40F0" w:rsidRDefault="00575AC3" w:rsidP="006D40F0">
            <w:r w:rsidRPr="006D40F0">
              <w:t>Endring</w:t>
            </w:r>
          </w:p>
        </w:tc>
      </w:tr>
      <w:tr w:rsidR="00DD49A7" w:rsidRPr="006D40F0" w14:paraId="663A540F" w14:textId="77777777">
        <w:trPr>
          <w:trHeight w:val="380"/>
        </w:trPr>
        <w:tc>
          <w:tcPr>
            <w:tcW w:w="5520" w:type="dxa"/>
            <w:gridSpan w:val="2"/>
            <w:tcBorders>
              <w:top w:val="single" w:sz="4" w:space="0" w:color="000000"/>
              <w:left w:val="nil"/>
              <w:bottom w:val="nil"/>
              <w:right w:val="nil"/>
            </w:tcBorders>
            <w:tcMar>
              <w:top w:w="128" w:type="dxa"/>
              <w:left w:w="43" w:type="dxa"/>
              <w:bottom w:w="43" w:type="dxa"/>
              <w:right w:w="43" w:type="dxa"/>
            </w:tcMar>
          </w:tcPr>
          <w:p w14:paraId="4DFBDED1" w14:textId="77777777" w:rsidR="00575AC3" w:rsidRPr="006D40F0" w:rsidRDefault="00575AC3" w:rsidP="006D40F0">
            <w:r w:rsidRPr="00575AC3">
              <w:rPr>
                <w:rStyle w:val="kursiv"/>
              </w:rPr>
              <w:t>Kap. 2440</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29FDD74" w14:textId="77777777" w:rsidR="00575AC3" w:rsidRPr="006D40F0" w:rsidRDefault="00575AC3" w:rsidP="006D40F0"/>
        </w:tc>
        <w:tc>
          <w:tcPr>
            <w:tcW w:w="1500" w:type="dxa"/>
            <w:tcBorders>
              <w:top w:val="single" w:sz="4" w:space="0" w:color="000000"/>
              <w:left w:val="nil"/>
              <w:bottom w:val="nil"/>
              <w:right w:val="nil"/>
            </w:tcBorders>
            <w:tcMar>
              <w:top w:w="128" w:type="dxa"/>
              <w:left w:w="43" w:type="dxa"/>
              <w:bottom w:w="43" w:type="dxa"/>
              <w:right w:w="43" w:type="dxa"/>
            </w:tcMar>
            <w:vAlign w:val="bottom"/>
          </w:tcPr>
          <w:p w14:paraId="59FF89B3" w14:textId="77777777" w:rsidR="00575AC3" w:rsidRPr="006D40F0" w:rsidRDefault="00575AC3" w:rsidP="006D40F0"/>
        </w:tc>
        <w:tc>
          <w:tcPr>
            <w:tcW w:w="1280" w:type="dxa"/>
            <w:tcBorders>
              <w:top w:val="single" w:sz="4" w:space="0" w:color="000000"/>
              <w:left w:val="nil"/>
              <w:bottom w:val="nil"/>
              <w:right w:val="nil"/>
            </w:tcBorders>
            <w:tcMar>
              <w:top w:w="128" w:type="dxa"/>
              <w:left w:w="43" w:type="dxa"/>
              <w:bottom w:w="43" w:type="dxa"/>
              <w:right w:w="43" w:type="dxa"/>
            </w:tcMar>
            <w:vAlign w:val="bottom"/>
          </w:tcPr>
          <w:p w14:paraId="3B527AB5" w14:textId="77777777" w:rsidR="00575AC3" w:rsidRPr="006D40F0" w:rsidRDefault="00575AC3" w:rsidP="006D40F0"/>
        </w:tc>
      </w:tr>
      <w:tr w:rsidR="00DD49A7" w:rsidRPr="006D40F0" w14:paraId="3F10BB9E" w14:textId="77777777">
        <w:trPr>
          <w:trHeight w:val="380"/>
        </w:trPr>
        <w:tc>
          <w:tcPr>
            <w:tcW w:w="1100" w:type="dxa"/>
            <w:tcBorders>
              <w:top w:val="nil"/>
              <w:left w:val="nil"/>
              <w:bottom w:val="single" w:sz="4" w:space="0" w:color="000000"/>
              <w:right w:val="nil"/>
            </w:tcBorders>
            <w:tcMar>
              <w:top w:w="128" w:type="dxa"/>
              <w:left w:w="43" w:type="dxa"/>
              <w:bottom w:w="43" w:type="dxa"/>
              <w:right w:w="43" w:type="dxa"/>
            </w:tcMar>
          </w:tcPr>
          <w:p w14:paraId="66B7A946" w14:textId="77777777" w:rsidR="00575AC3" w:rsidRPr="006D40F0" w:rsidRDefault="00575AC3" w:rsidP="006D40F0">
            <w:r w:rsidRPr="006D40F0">
              <w:t>30</w:t>
            </w:r>
          </w:p>
        </w:tc>
        <w:tc>
          <w:tcPr>
            <w:tcW w:w="4420" w:type="dxa"/>
            <w:tcBorders>
              <w:top w:val="nil"/>
              <w:left w:val="nil"/>
              <w:bottom w:val="single" w:sz="4" w:space="0" w:color="000000"/>
              <w:right w:val="nil"/>
            </w:tcBorders>
            <w:tcMar>
              <w:top w:w="128" w:type="dxa"/>
              <w:left w:w="43" w:type="dxa"/>
              <w:bottom w:w="43" w:type="dxa"/>
              <w:right w:w="43" w:type="dxa"/>
            </w:tcMar>
            <w:vAlign w:val="bottom"/>
          </w:tcPr>
          <w:p w14:paraId="2EE5DCDD" w14:textId="77777777" w:rsidR="00575AC3" w:rsidRPr="006D40F0" w:rsidRDefault="00575AC3" w:rsidP="006D40F0">
            <w:r w:rsidRPr="006D40F0">
              <w:t>Investeringer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4356DC7B" w14:textId="77777777" w:rsidR="00575AC3" w:rsidRPr="006D40F0" w:rsidRDefault="00575AC3" w:rsidP="006D40F0">
            <w:r w:rsidRPr="006D40F0">
              <w:t>26 000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76553E7C" w14:textId="77777777" w:rsidR="00575AC3" w:rsidRPr="006D40F0" w:rsidRDefault="00575AC3" w:rsidP="006D40F0">
            <w:r w:rsidRPr="006D40F0">
              <w:t>30 100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3F4B1927" w14:textId="77777777" w:rsidR="00575AC3" w:rsidRPr="006D40F0" w:rsidRDefault="00575AC3" w:rsidP="006D40F0">
            <w:r w:rsidRPr="006D40F0">
              <w:t>4 100</w:t>
            </w:r>
          </w:p>
        </w:tc>
      </w:tr>
      <w:tr w:rsidR="00DD49A7" w:rsidRPr="006D40F0" w14:paraId="612C503D" w14:textId="77777777">
        <w:trPr>
          <w:trHeight w:val="380"/>
        </w:trPr>
        <w:tc>
          <w:tcPr>
            <w:tcW w:w="1100" w:type="dxa"/>
            <w:tcBorders>
              <w:top w:val="single" w:sz="4" w:space="0" w:color="000000"/>
              <w:left w:val="nil"/>
              <w:bottom w:val="single" w:sz="4" w:space="0" w:color="000000"/>
              <w:right w:val="nil"/>
            </w:tcBorders>
            <w:tcMar>
              <w:top w:w="128" w:type="dxa"/>
              <w:left w:w="43" w:type="dxa"/>
              <w:bottom w:w="43" w:type="dxa"/>
              <w:right w:w="43" w:type="dxa"/>
            </w:tcMar>
          </w:tcPr>
          <w:p w14:paraId="7FFA7D0D" w14:textId="77777777" w:rsidR="00575AC3" w:rsidRPr="006D40F0" w:rsidRDefault="00575AC3" w:rsidP="006D40F0"/>
        </w:tc>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9C6810" w14:textId="77777777" w:rsidR="00575AC3" w:rsidRPr="006D40F0" w:rsidRDefault="00575AC3" w:rsidP="006D40F0">
            <w:r w:rsidRPr="006D40F0">
              <w:t>Sum kap. 2440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510FE5" w14:textId="77777777" w:rsidR="00575AC3" w:rsidRPr="006D40F0" w:rsidRDefault="00575AC3" w:rsidP="006D40F0">
            <w:r w:rsidRPr="006D40F0">
              <w:t>26 000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B951C" w14:textId="77777777" w:rsidR="00575AC3" w:rsidRPr="006D40F0" w:rsidRDefault="00575AC3" w:rsidP="006D40F0">
            <w:r w:rsidRPr="006D40F0">
              <w:t>30 100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F459F8" w14:textId="77777777" w:rsidR="00575AC3" w:rsidRPr="006D40F0" w:rsidRDefault="00575AC3" w:rsidP="006D40F0">
            <w:r w:rsidRPr="006D40F0">
              <w:t>4 100</w:t>
            </w:r>
          </w:p>
        </w:tc>
      </w:tr>
      <w:tr w:rsidR="00DD49A7" w:rsidRPr="006D40F0" w14:paraId="261EC6E2" w14:textId="77777777">
        <w:trPr>
          <w:trHeight w:val="380"/>
        </w:trPr>
        <w:tc>
          <w:tcPr>
            <w:tcW w:w="5520" w:type="dxa"/>
            <w:gridSpan w:val="2"/>
            <w:tcBorders>
              <w:top w:val="nil"/>
              <w:left w:val="nil"/>
              <w:bottom w:val="nil"/>
              <w:right w:val="nil"/>
            </w:tcBorders>
            <w:tcMar>
              <w:top w:w="128" w:type="dxa"/>
              <w:left w:w="43" w:type="dxa"/>
              <w:bottom w:w="43" w:type="dxa"/>
              <w:right w:w="43" w:type="dxa"/>
            </w:tcMar>
          </w:tcPr>
          <w:p w14:paraId="7C0F297F" w14:textId="77777777" w:rsidR="00575AC3" w:rsidRPr="006D40F0" w:rsidRDefault="00575AC3" w:rsidP="006D40F0">
            <w:r w:rsidRPr="00575AC3">
              <w:rPr>
                <w:rStyle w:val="kursiv"/>
              </w:rPr>
              <w:t>Kap. 5440</w:t>
            </w:r>
          </w:p>
        </w:tc>
        <w:tc>
          <w:tcPr>
            <w:tcW w:w="1220" w:type="dxa"/>
            <w:tcBorders>
              <w:top w:val="nil"/>
              <w:left w:val="nil"/>
              <w:bottom w:val="nil"/>
              <w:right w:val="nil"/>
            </w:tcBorders>
            <w:tcMar>
              <w:top w:w="128" w:type="dxa"/>
              <w:left w:w="43" w:type="dxa"/>
              <w:bottom w:w="43" w:type="dxa"/>
              <w:right w:w="43" w:type="dxa"/>
            </w:tcMar>
            <w:vAlign w:val="bottom"/>
          </w:tcPr>
          <w:p w14:paraId="6CB7D835" w14:textId="77777777" w:rsidR="00575AC3" w:rsidRPr="006D40F0" w:rsidRDefault="00575AC3" w:rsidP="006D40F0"/>
        </w:tc>
        <w:tc>
          <w:tcPr>
            <w:tcW w:w="1500" w:type="dxa"/>
            <w:tcBorders>
              <w:top w:val="nil"/>
              <w:left w:val="nil"/>
              <w:bottom w:val="nil"/>
              <w:right w:val="nil"/>
            </w:tcBorders>
            <w:tcMar>
              <w:top w:w="128" w:type="dxa"/>
              <w:left w:w="43" w:type="dxa"/>
              <w:bottom w:w="43" w:type="dxa"/>
              <w:right w:w="43" w:type="dxa"/>
            </w:tcMar>
            <w:vAlign w:val="bottom"/>
          </w:tcPr>
          <w:p w14:paraId="63EE58D2" w14:textId="77777777" w:rsidR="00575AC3" w:rsidRPr="006D40F0" w:rsidRDefault="00575AC3" w:rsidP="006D40F0"/>
        </w:tc>
        <w:tc>
          <w:tcPr>
            <w:tcW w:w="1280" w:type="dxa"/>
            <w:tcBorders>
              <w:top w:val="nil"/>
              <w:left w:val="nil"/>
              <w:bottom w:val="nil"/>
              <w:right w:val="nil"/>
            </w:tcBorders>
            <w:tcMar>
              <w:top w:w="128" w:type="dxa"/>
              <w:left w:w="43" w:type="dxa"/>
              <w:bottom w:w="43" w:type="dxa"/>
              <w:right w:w="43" w:type="dxa"/>
            </w:tcMar>
            <w:vAlign w:val="bottom"/>
          </w:tcPr>
          <w:p w14:paraId="49D25BF6" w14:textId="77777777" w:rsidR="00575AC3" w:rsidRPr="006D40F0" w:rsidRDefault="00575AC3" w:rsidP="006D40F0"/>
        </w:tc>
      </w:tr>
      <w:tr w:rsidR="00DD49A7" w:rsidRPr="006D40F0" w14:paraId="6F2334CF" w14:textId="77777777">
        <w:trPr>
          <w:trHeight w:val="380"/>
        </w:trPr>
        <w:tc>
          <w:tcPr>
            <w:tcW w:w="1100" w:type="dxa"/>
            <w:tcBorders>
              <w:top w:val="nil"/>
              <w:left w:val="nil"/>
              <w:bottom w:val="nil"/>
              <w:right w:val="nil"/>
            </w:tcBorders>
            <w:tcMar>
              <w:top w:w="128" w:type="dxa"/>
              <w:left w:w="43" w:type="dxa"/>
              <w:bottom w:w="43" w:type="dxa"/>
              <w:right w:w="43" w:type="dxa"/>
            </w:tcMar>
          </w:tcPr>
          <w:p w14:paraId="05C08FC4" w14:textId="77777777" w:rsidR="00575AC3" w:rsidRPr="006D40F0" w:rsidRDefault="00575AC3" w:rsidP="006D40F0">
            <w:r w:rsidRPr="006D40F0">
              <w:t>24.1</w:t>
            </w:r>
          </w:p>
        </w:tc>
        <w:tc>
          <w:tcPr>
            <w:tcW w:w="4420" w:type="dxa"/>
            <w:tcBorders>
              <w:top w:val="nil"/>
              <w:left w:val="nil"/>
              <w:bottom w:val="nil"/>
              <w:right w:val="nil"/>
            </w:tcBorders>
            <w:tcMar>
              <w:top w:w="128" w:type="dxa"/>
              <w:left w:w="43" w:type="dxa"/>
              <w:bottom w:w="43" w:type="dxa"/>
              <w:right w:w="43" w:type="dxa"/>
            </w:tcMar>
            <w:vAlign w:val="bottom"/>
          </w:tcPr>
          <w:p w14:paraId="47580681" w14:textId="77777777" w:rsidR="00575AC3" w:rsidRPr="006D40F0" w:rsidRDefault="00575AC3" w:rsidP="006D40F0">
            <w:r w:rsidRPr="006D40F0">
              <w:t>Driftsinntekter</w:t>
            </w:r>
          </w:p>
        </w:tc>
        <w:tc>
          <w:tcPr>
            <w:tcW w:w="1220" w:type="dxa"/>
            <w:tcBorders>
              <w:top w:val="nil"/>
              <w:left w:val="nil"/>
              <w:bottom w:val="nil"/>
              <w:right w:val="nil"/>
            </w:tcBorders>
            <w:tcMar>
              <w:top w:w="128" w:type="dxa"/>
              <w:left w:w="43" w:type="dxa"/>
              <w:bottom w:w="43" w:type="dxa"/>
              <w:right w:w="43" w:type="dxa"/>
            </w:tcMar>
            <w:vAlign w:val="bottom"/>
          </w:tcPr>
          <w:p w14:paraId="16FE5477" w14:textId="77777777" w:rsidR="00575AC3" w:rsidRPr="006D40F0" w:rsidRDefault="00575AC3" w:rsidP="006D40F0">
            <w:r w:rsidRPr="006D40F0">
              <w:t>383 400</w:t>
            </w:r>
          </w:p>
        </w:tc>
        <w:tc>
          <w:tcPr>
            <w:tcW w:w="1500" w:type="dxa"/>
            <w:tcBorders>
              <w:top w:val="nil"/>
              <w:left w:val="nil"/>
              <w:bottom w:val="nil"/>
              <w:right w:val="nil"/>
            </w:tcBorders>
            <w:tcMar>
              <w:top w:w="128" w:type="dxa"/>
              <w:left w:w="43" w:type="dxa"/>
              <w:bottom w:w="43" w:type="dxa"/>
              <w:right w:w="43" w:type="dxa"/>
            </w:tcMar>
            <w:vAlign w:val="bottom"/>
          </w:tcPr>
          <w:p w14:paraId="35FB054A" w14:textId="77777777" w:rsidR="00575AC3" w:rsidRPr="006D40F0" w:rsidRDefault="00575AC3" w:rsidP="006D40F0">
            <w:r w:rsidRPr="006D40F0">
              <w:t>272 400</w:t>
            </w:r>
          </w:p>
        </w:tc>
        <w:tc>
          <w:tcPr>
            <w:tcW w:w="1280" w:type="dxa"/>
            <w:tcBorders>
              <w:top w:val="nil"/>
              <w:left w:val="nil"/>
              <w:bottom w:val="nil"/>
              <w:right w:val="nil"/>
            </w:tcBorders>
            <w:tcMar>
              <w:top w:w="128" w:type="dxa"/>
              <w:left w:w="43" w:type="dxa"/>
              <w:bottom w:w="43" w:type="dxa"/>
              <w:right w:w="43" w:type="dxa"/>
            </w:tcMar>
            <w:vAlign w:val="bottom"/>
          </w:tcPr>
          <w:p w14:paraId="7A06BA3A" w14:textId="77777777" w:rsidR="00575AC3" w:rsidRPr="006D40F0" w:rsidRDefault="00575AC3" w:rsidP="006D40F0">
            <w:r w:rsidRPr="006D40F0">
              <w:t>-111 000</w:t>
            </w:r>
          </w:p>
        </w:tc>
      </w:tr>
      <w:tr w:rsidR="00DD49A7" w:rsidRPr="006D40F0" w14:paraId="3513F974" w14:textId="77777777">
        <w:trPr>
          <w:trHeight w:val="380"/>
        </w:trPr>
        <w:tc>
          <w:tcPr>
            <w:tcW w:w="1100" w:type="dxa"/>
            <w:tcBorders>
              <w:top w:val="nil"/>
              <w:left w:val="nil"/>
              <w:bottom w:val="nil"/>
              <w:right w:val="nil"/>
            </w:tcBorders>
            <w:tcMar>
              <w:top w:w="128" w:type="dxa"/>
              <w:left w:w="43" w:type="dxa"/>
              <w:bottom w:w="43" w:type="dxa"/>
              <w:right w:w="43" w:type="dxa"/>
            </w:tcMar>
          </w:tcPr>
          <w:p w14:paraId="34ADDF36" w14:textId="77777777" w:rsidR="00575AC3" w:rsidRPr="006D40F0" w:rsidRDefault="00575AC3" w:rsidP="006D40F0">
            <w:r w:rsidRPr="006D40F0">
              <w:t>24.2</w:t>
            </w:r>
          </w:p>
        </w:tc>
        <w:tc>
          <w:tcPr>
            <w:tcW w:w="4420" w:type="dxa"/>
            <w:tcBorders>
              <w:top w:val="nil"/>
              <w:left w:val="nil"/>
              <w:bottom w:val="nil"/>
              <w:right w:val="nil"/>
            </w:tcBorders>
            <w:tcMar>
              <w:top w:w="128" w:type="dxa"/>
              <w:left w:w="43" w:type="dxa"/>
              <w:bottom w:w="43" w:type="dxa"/>
              <w:right w:w="43" w:type="dxa"/>
            </w:tcMar>
            <w:vAlign w:val="bottom"/>
          </w:tcPr>
          <w:p w14:paraId="0D58F7C2" w14:textId="77777777" w:rsidR="00575AC3" w:rsidRPr="006D40F0" w:rsidRDefault="00575AC3" w:rsidP="006D40F0">
            <w:r w:rsidRPr="006D40F0">
              <w:t>Driftsutgifter</w:t>
            </w:r>
          </w:p>
        </w:tc>
        <w:tc>
          <w:tcPr>
            <w:tcW w:w="1220" w:type="dxa"/>
            <w:tcBorders>
              <w:top w:val="nil"/>
              <w:left w:val="nil"/>
              <w:bottom w:val="nil"/>
              <w:right w:val="nil"/>
            </w:tcBorders>
            <w:tcMar>
              <w:top w:w="128" w:type="dxa"/>
              <w:left w:w="43" w:type="dxa"/>
              <w:bottom w:w="43" w:type="dxa"/>
              <w:right w:w="43" w:type="dxa"/>
            </w:tcMar>
            <w:vAlign w:val="bottom"/>
          </w:tcPr>
          <w:p w14:paraId="2925787D" w14:textId="77777777" w:rsidR="00575AC3" w:rsidRPr="006D40F0" w:rsidRDefault="00575AC3" w:rsidP="006D40F0">
            <w:r w:rsidRPr="006D40F0">
              <w:t>-53 400</w:t>
            </w:r>
          </w:p>
        </w:tc>
        <w:tc>
          <w:tcPr>
            <w:tcW w:w="1500" w:type="dxa"/>
            <w:tcBorders>
              <w:top w:val="nil"/>
              <w:left w:val="nil"/>
              <w:bottom w:val="nil"/>
              <w:right w:val="nil"/>
            </w:tcBorders>
            <w:tcMar>
              <w:top w:w="128" w:type="dxa"/>
              <w:left w:w="43" w:type="dxa"/>
              <w:bottom w:w="43" w:type="dxa"/>
              <w:right w:w="43" w:type="dxa"/>
            </w:tcMar>
            <w:vAlign w:val="bottom"/>
          </w:tcPr>
          <w:p w14:paraId="1D8C10EE" w14:textId="77777777" w:rsidR="00575AC3" w:rsidRPr="006D40F0" w:rsidRDefault="00575AC3" w:rsidP="006D40F0">
            <w:r w:rsidRPr="006D40F0">
              <w:t>-46 600</w:t>
            </w:r>
          </w:p>
        </w:tc>
        <w:tc>
          <w:tcPr>
            <w:tcW w:w="1280" w:type="dxa"/>
            <w:tcBorders>
              <w:top w:val="nil"/>
              <w:left w:val="nil"/>
              <w:bottom w:val="nil"/>
              <w:right w:val="nil"/>
            </w:tcBorders>
            <w:tcMar>
              <w:top w:w="128" w:type="dxa"/>
              <w:left w:w="43" w:type="dxa"/>
              <w:bottom w:w="43" w:type="dxa"/>
              <w:right w:w="43" w:type="dxa"/>
            </w:tcMar>
            <w:vAlign w:val="bottom"/>
          </w:tcPr>
          <w:p w14:paraId="217232CF" w14:textId="77777777" w:rsidR="00575AC3" w:rsidRPr="006D40F0" w:rsidRDefault="00575AC3" w:rsidP="006D40F0">
            <w:r w:rsidRPr="006D40F0">
              <w:t>6 800</w:t>
            </w:r>
          </w:p>
        </w:tc>
      </w:tr>
      <w:tr w:rsidR="00DD49A7" w:rsidRPr="006D40F0" w14:paraId="4B75EA18" w14:textId="77777777">
        <w:trPr>
          <w:trHeight w:val="380"/>
        </w:trPr>
        <w:tc>
          <w:tcPr>
            <w:tcW w:w="1100" w:type="dxa"/>
            <w:tcBorders>
              <w:top w:val="nil"/>
              <w:left w:val="nil"/>
              <w:bottom w:val="nil"/>
              <w:right w:val="nil"/>
            </w:tcBorders>
            <w:tcMar>
              <w:top w:w="128" w:type="dxa"/>
              <w:left w:w="43" w:type="dxa"/>
              <w:bottom w:w="43" w:type="dxa"/>
              <w:right w:w="43" w:type="dxa"/>
            </w:tcMar>
          </w:tcPr>
          <w:p w14:paraId="5A55B134" w14:textId="77777777" w:rsidR="00575AC3" w:rsidRPr="006D40F0" w:rsidRDefault="00575AC3" w:rsidP="006D40F0">
            <w:r w:rsidRPr="006D40F0">
              <w:t>24.3</w:t>
            </w:r>
          </w:p>
        </w:tc>
        <w:tc>
          <w:tcPr>
            <w:tcW w:w="4420" w:type="dxa"/>
            <w:tcBorders>
              <w:top w:val="nil"/>
              <w:left w:val="nil"/>
              <w:bottom w:val="nil"/>
              <w:right w:val="nil"/>
            </w:tcBorders>
            <w:tcMar>
              <w:top w:w="128" w:type="dxa"/>
              <w:left w:w="43" w:type="dxa"/>
              <w:bottom w:w="43" w:type="dxa"/>
              <w:right w:w="43" w:type="dxa"/>
            </w:tcMar>
            <w:vAlign w:val="bottom"/>
          </w:tcPr>
          <w:p w14:paraId="247BFE78" w14:textId="77777777" w:rsidR="00575AC3" w:rsidRPr="006D40F0" w:rsidRDefault="00575AC3" w:rsidP="006D40F0">
            <w:r w:rsidRPr="006D40F0">
              <w:t>Lete- og feltutviklingsutgifter</w:t>
            </w:r>
          </w:p>
        </w:tc>
        <w:tc>
          <w:tcPr>
            <w:tcW w:w="1220" w:type="dxa"/>
            <w:tcBorders>
              <w:top w:val="nil"/>
              <w:left w:val="nil"/>
              <w:bottom w:val="nil"/>
              <w:right w:val="nil"/>
            </w:tcBorders>
            <w:tcMar>
              <w:top w:w="128" w:type="dxa"/>
              <w:left w:w="43" w:type="dxa"/>
              <w:bottom w:w="43" w:type="dxa"/>
              <w:right w:w="43" w:type="dxa"/>
            </w:tcMar>
            <w:vAlign w:val="bottom"/>
          </w:tcPr>
          <w:p w14:paraId="43DE0E9F" w14:textId="77777777" w:rsidR="00575AC3" w:rsidRPr="006D40F0" w:rsidRDefault="00575AC3" w:rsidP="006D40F0">
            <w:r w:rsidRPr="006D40F0">
              <w:t>-1 700</w:t>
            </w:r>
          </w:p>
        </w:tc>
        <w:tc>
          <w:tcPr>
            <w:tcW w:w="1500" w:type="dxa"/>
            <w:tcBorders>
              <w:top w:val="nil"/>
              <w:left w:val="nil"/>
              <w:bottom w:val="nil"/>
              <w:right w:val="nil"/>
            </w:tcBorders>
            <w:tcMar>
              <w:top w:w="128" w:type="dxa"/>
              <w:left w:w="43" w:type="dxa"/>
              <w:bottom w:w="43" w:type="dxa"/>
              <w:right w:w="43" w:type="dxa"/>
            </w:tcMar>
            <w:vAlign w:val="bottom"/>
          </w:tcPr>
          <w:p w14:paraId="38E3B91D" w14:textId="77777777" w:rsidR="00575AC3" w:rsidRPr="006D40F0" w:rsidRDefault="00575AC3" w:rsidP="006D40F0">
            <w:r w:rsidRPr="006D40F0">
              <w:t>-2 200</w:t>
            </w:r>
          </w:p>
        </w:tc>
        <w:tc>
          <w:tcPr>
            <w:tcW w:w="1280" w:type="dxa"/>
            <w:tcBorders>
              <w:top w:val="nil"/>
              <w:left w:val="nil"/>
              <w:bottom w:val="nil"/>
              <w:right w:val="nil"/>
            </w:tcBorders>
            <w:tcMar>
              <w:top w:w="128" w:type="dxa"/>
              <w:left w:w="43" w:type="dxa"/>
              <w:bottom w:w="43" w:type="dxa"/>
              <w:right w:w="43" w:type="dxa"/>
            </w:tcMar>
            <w:vAlign w:val="bottom"/>
          </w:tcPr>
          <w:p w14:paraId="13414EBA" w14:textId="77777777" w:rsidR="00575AC3" w:rsidRPr="006D40F0" w:rsidRDefault="00575AC3" w:rsidP="006D40F0">
            <w:r w:rsidRPr="006D40F0">
              <w:t>-500</w:t>
            </w:r>
          </w:p>
        </w:tc>
      </w:tr>
      <w:tr w:rsidR="00DD49A7" w:rsidRPr="006D40F0" w14:paraId="360F0C95" w14:textId="77777777">
        <w:trPr>
          <w:trHeight w:val="380"/>
        </w:trPr>
        <w:tc>
          <w:tcPr>
            <w:tcW w:w="1100" w:type="dxa"/>
            <w:tcBorders>
              <w:top w:val="nil"/>
              <w:left w:val="nil"/>
              <w:bottom w:val="nil"/>
              <w:right w:val="nil"/>
            </w:tcBorders>
            <w:tcMar>
              <w:top w:w="128" w:type="dxa"/>
              <w:left w:w="43" w:type="dxa"/>
              <w:bottom w:w="43" w:type="dxa"/>
              <w:right w:w="43" w:type="dxa"/>
            </w:tcMar>
          </w:tcPr>
          <w:p w14:paraId="05A28139" w14:textId="77777777" w:rsidR="00575AC3" w:rsidRPr="006D40F0" w:rsidRDefault="00575AC3" w:rsidP="006D40F0">
            <w:r w:rsidRPr="006D40F0">
              <w:t>24.4</w:t>
            </w:r>
          </w:p>
        </w:tc>
        <w:tc>
          <w:tcPr>
            <w:tcW w:w="4420" w:type="dxa"/>
            <w:tcBorders>
              <w:top w:val="nil"/>
              <w:left w:val="nil"/>
              <w:bottom w:val="nil"/>
              <w:right w:val="nil"/>
            </w:tcBorders>
            <w:tcMar>
              <w:top w:w="128" w:type="dxa"/>
              <w:left w:w="43" w:type="dxa"/>
              <w:bottom w:w="43" w:type="dxa"/>
              <w:right w:w="43" w:type="dxa"/>
            </w:tcMar>
            <w:vAlign w:val="bottom"/>
          </w:tcPr>
          <w:p w14:paraId="46442DC4" w14:textId="77777777" w:rsidR="00575AC3" w:rsidRPr="006D40F0" w:rsidRDefault="00575AC3" w:rsidP="006D40F0">
            <w:r w:rsidRPr="006D40F0">
              <w:t>Avskrivninger</w:t>
            </w:r>
          </w:p>
        </w:tc>
        <w:tc>
          <w:tcPr>
            <w:tcW w:w="1220" w:type="dxa"/>
            <w:tcBorders>
              <w:top w:val="nil"/>
              <w:left w:val="nil"/>
              <w:bottom w:val="nil"/>
              <w:right w:val="nil"/>
            </w:tcBorders>
            <w:tcMar>
              <w:top w:w="128" w:type="dxa"/>
              <w:left w:w="43" w:type="dxa"/>
              <w:bottom w:w="43" w:type="dxa"/>
              <w:right w:w="43" w:type="dxa"/>
            </w:tcMar>
            <w:vAlign w:val="bottom"/>
          </w:tcPr>
          <w:p w14:paraId="409C8BAC" w14:textId="77777777" w:rsidR="00575AC3" w:rsidRPr="006D40F0" w:rsidRDefault="00575AC3" w:rsidP="006D40F0">
            <w:r w:rsidRPr="006D40F0">
              <w:t>-29 100</w:t>
            </w:r>
          </w:p>
        </w:tc>
        <w:tc>
          <w:tcPr>
            <w:tcW w:w="1500" w:type="dxa"/>
            <w:tcBorders>
              <w:top w:val="nil"/>
              <w:left w:val="nil"/>
              <w:bottom w:val="nil"/>
              <w:right w:val="nil"/>
            </w:tcBorders>
            <w:tcMar>
              <w:top w:w="128" w:type="dxa"/>
              <w:left w:w="43" w:type="dxa"/>
              <w:bottom w:w="43" w:type="dxa"/>
              <w:right w:w="43" w:type="dxa"/>
            </w:tcMar>
            <w:vAlign w:val="bottom"/>
          </w:tcPr>
          <w:p w14:paraId="50A72CA9" w14:textId="77777777" w:rsidR="00575AC3" w:rsidRPr="006D40F0" w:rsidRDefault="00575AC3" w:rsidP="006D40F0">
            <w:r w:rsidRPr="006D40F0">
              <w:t>-28 000</w:t>
            </w:r>
          </w:p>
        </w:tc>
        <w:tc>
          <w:tcPr>
            <w:tcW w:w="1280" w:type="dxa"/>
            <w:tcBorders>
              <w:top w:val="nil"/>
              <w:left w:val="nil"/>
              <w:bottom w:val="nil"/>
              <w:right w:val="nil"/>
            </w:tcBorders>
            <w:tcMar>
              <w:top w:w="128" w:type="dxa"/>
              <w:left w:w="43" w:type="dxa"/>
              <w:bottom w:w="43" w:type="dxa"/>
              <w:right w:w="43" w:type="dxa"/>
            </w:tcMar>
            <w:vAlign w:val="bottom"/>
          </w:tcPr>
          <w:p w14:paraId="38692DCE" w14:textId="77777777" w:rsidR="00575AC3" w:rsidRPr="006D40F0" w:rsidRDefault="00575AC3" w:rsidP="006D40F0">
            <w:r w:rsidRPr="006D40F0">
              <w:t>1 100</w:t>
            </w:r>
          </w:p>
        </w:tc>
      </w:tr>
      <w:tr w:rsidR="00DD49A7" w:rsidRPr="006D40F0" w14:paraId="0E5297D8" w14:textId="77777777">
        <w:trPr>
          <w:trHeight w:val="380"/>
        </w:trPr>
        <w:tc>
          <w:tcPr>
            <w:tcW w:w="1100" w:type="dxa"/>
            <w:tcBorders>
              <w:top w:val="nil"/>
              <w:left w:val="nil"/>
              <w:bottom w:val="single" w:sz="4" w:space="0" w:color="000000"/>
              <w:right w:val="nil"/>
            </w:tcBorders>
            <w:tcMar>
              <w:top w:w="128" w:type="dxa"/>
              <w:left w:w="43" w:type="dxa"/>
              <w:bottom w:w="43" w:type="dxa"/>
              <w:right w:w="43" w:type="dxa"/>
            </w:tcMar>
          </w:tcPr>
          <w:p w14:paraId="7A62744F" w14:textId="77777777" w:rsidR="00575AC3" w:rsidRPr="006D40F0" w:rsidRDefault="00575AC3" w:rsidP="006D40F0">
            <w:r w:rsidRPr="006D40F0">
              <w:t>24.5</w:t>
            </w:r>
          </w:p>
        </w:tc>
        <w:tc>
          <w:tcPr>
            <w:tcW w:w="4420" w:type="dxa"/>
            <w:tcBorders>
              <w:top w:val="nil"/>
              <w:left w:val="nil"/>
              <w:bottom w:val="single" w:sz="4" w:space="0" w:color="000000"/>
              <w:right w:val="nil"/>
            </w:tcBorders>
            <w:tcMar>
              <w:top w:w="128" w:type="dxa"/>
              <w:left w:w="43" w:type="dxa"/>
              <w:bottom w:w="43" w:type="dxa"/>
              <w:right w:w="43" w:type="dxa"/>
            </w:tcMar>
            <w:vAlign w:val="bottom"/>
          </w:tcPr>
          <w:p w14:paraId="2E150624" w14:textId="77777777" w:rsidR="00575AC3" w:rsidRPr="006D40F0" w:rsidRDefault="00575AC3" w:rsidP="006D40F0">
            <w:r w:rsidRPr="006D40F0">
              <w:t>Renter av statens kapital</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7996E43" w14:textId="77777777" w:rsidR="00575AC3" w:rsidRPr="006D40F0" w:rsidRDefault="00575AC3" w:rsidP="006D40F0">
            <w:r w:rsidRPr="006D40F0">
              <w:t>-3 300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542802B7" w14:textId="77777777" w:rsidR="00575AC3" w:rsidRPr="006D40F0" w:rsidRDefault="00575AC3" w:rsidP="006D40F0">
            <w:r w:rsidRPr="006D40F0">
              <w:t>-3 800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DFD026B" w14:textId="77777777" w:rsidR="00575AC3" w:rsidRPr="006D40F0" w:rsidRDefault="00575AC3" w:rsidP="006D40F0">
            <w:r w:rsidRPr="006D40F0">
              <w:t>-500</w:t>
            </w:r>
          </w:p>
        </w:tc>
      </w:tr>
      <w:tr w:rsidR="00DD49A7" w:rsidRPr="006D40F0" w14:paraId="63816BFA" w14:textId="77777777">
        <w:trPr>
          <w:trHeight w:val="380"/>
        </w:trPr>
        <w:tc>
          <w:tcPr>
            <w:tcW w:w="1100" w:type="dxa"/>
            <w:tcBorders>
              <w:top w:val="single" w:sz="4" w:space="0" w:color="000000"/>
              <w:left w:val="nil"/>
              <w:bottom w:val="single" w:sz="4" w:space="0" w:color="000000"/>
              <w:right w:val="nil"/>
            </w:tcBorders>
            <w:tcMar>
              <w:top w:w="128" w:type="dxa"/>
              <w:left w:w="43" w:type="dxa"/>
              <w:bottom w:w="43" w:type="dxa"/>
              <w:right w:w="43" w:type="dxa"/>
            </w:tcMar>
          </w:tcPr>
          <w:p w14:paraId="1197EC33" w14:textId="77777777" w:rsidR="00575AC3" w:rsidRPr="006D40F0" w:rsidRDefault="00575AC3" w:rsidP="006D40F0">
            <w:r w:rsidRPr="006D40F0">
              <w:t>24</w:t>
            </w:r>
          </w:p>
        </w:tc>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4D12E2" w14:textId="77777777" w:rsidR="00575AC3" w:rsidRPr="006D40F0" w:rsidRDefault="00575AC3" w:rsidP="006D40F0">
            <w:r w:rsidRPr="006D40F0">
              <w:t>Driftsresultat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DA1DFB" w14:textId="77777777" w:rsidR="00575AC3" w:rsidRPr="006D40F0" w:rsidRDefault="00575AC3" w:rsidP="006D40F0">
            <w:r w:rsidRPr="006D40F0">
              <w:t>295 900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BCCA4C" w14:textId="77777777" w:rsidR="00575AC3" w:rsidRPr="006D40F0" w:rsidRDefault="00575AC3" w:rsidP="006D40F0">
            <w:r w:rsidRPr="006D40F0">
              <w:t>191 800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A9B495" w14:textId="77777777" w:rsidR="00575AC3" w:rsidRPr="006D40F0" w:rsidRDefault="00575AC3" w:rsidP="006D40F0">
            <w:r w:rsidRPr="006D40F0">
              <w:t>-104 100</w:t>
            </w:r>
          </w:p>
        </w:tc>
      </w:tr>
      <w:tr w:rsidR="00DD49A7" w:rsidRPr="006D40F0" w14:paraId="52B24573" w14:textId="77777777">
        <w:trPr>
          <w:trHeight w:val="380"/>
        </w:trPr>
        <w:tc>
          <w:tcPr>
            <w:tcW w:w="1100" w:type="dxa"/>
            <w:tcBorders>
              <w:top w:val="nil"/>
              <w:left w:val="nil"/>
              <w:bottom w:val="nil"/>
              <w:right w:val="nil"/>
            </w:tcBorders>
            <w:tcMar>
              <w:top w:w="128" w:type="dxa"/>
              <w:left w:w="43" w:type="dxa"/>
              <w:bottom w:w="43" w:type="dxa"/>
              <w:right w:w="43" w:type="dxa"/>
            </w:tcMar>
          </w:tcPr>
          <w:p w14:paraId="77184A55" w14:textId="77777777" w:rsidR="00575AC3" w:rsidRPr="006D40F0" w:rsidRDefault="00575AC3" w:rsidP="006D40F0">
            <w:r w:rsidRPr="006D40F0">
              <w:t>30</w:t>
            </w:r>
          </w:p>
        </w:tc>
        <w:tc>
          <w:tcPr>
            <w:tcW w:w="4420" w:type="dxa"/>
            <w:tcBorders>
              <w:top w:val="nil"/>
              <w:left w:val="nil"/>
              <w:bottom w:val="nil"/>
              <w:right w:val="nil"/>
            </w:tcBorders>
            <w:tcMar>
              <w:top w:w="128" w:type="dxa"/>
              <w:left w:w="43" w:type="dxa"/>
              <w:bottom w:w="43" w:type="dxa"/>
              <w:right w:w="43" w:type="dxa"/>
            </w:tcMar>
            <w:vAlign w:val="bottom"/>
          </w:tcPr>
          <w:p w14:paraId="79E88A06" w14:textId="77777777" w:rsidR="00575AC3" w:rsidRPr="006D40F0" w:rsidRDefault="00575AC3" w:rsidP="006D40F0">
            <w:r w:rsidRPr="006D40F0">
              <w:t>Avskrivninger</w:t>
            </w:r>
          </w:p>
        </w:tc>
        <w:tc>
          <w:tcPr>
            <w:tcW w:w="1220" w:type="dxa"/>
            <w:tcBorders>
              <w:top w:val="nil"/>
              <w:left w:val="nil"/>
              <w:bottom w:val="nil"/>
              <w:right w:val="nil"/>
            </w:tcBorders>
            <w:tcMar>
              <w:top w:w="128" w:type="dxa"/>
              <w:left w:w="43" w:type="dxa"/>
              <w:bottom w:w="43" w:type="dxa"/>
              <w:right w:w="43" w:type="dxa"/>
            </w:tcMar>
            <w:vAlign w:val="bottom"/>
          </w:tcPr>
          <w:p w14:paraId="6903FECA" w14:textId="77777777" w:rsidR="00575AC3" w:rsidRPr="006D40F0" w:rsidRDefault="00575AC3" w:rsidP="006D40F0">
            <w:r w:rsidRPr="006D40F0">
              <w:t>29 100</w:t>
            </w:r>
          </w:p>
        </w:tc>
        <w:tc>
          <w:tcPr>
            <w:tcW w:w="1500" w:type="dxa"/>
            <w:tcBorders>
              <w:top w:val="nil"/>
              <w:left w:val="nil"/>
              <w:bottom w:val="nil"/>
              <w:right w:val="nil"/>
            </w:tcBorders>
            <w:tcMar>
              <w:top w:w="128" w:type="dxa"/>
              <w:left w:w="43" w:type="dxa"/>
              <w:bottom w:w="43" w:type="dxa"/>
              <w:right w:w="43" w:type="dxa"/>
            </w:tcMar>
            <w:vAlign w:val="bottom"/>
          </w:tcPr>
          <w:p w14:paraId="595279E7" w14:textId="77777777" w:rsidR="00575AC3" w:rsidRPr="006D40F0" w:rsidRDefault="00575AC3" w:rsidP="006D40F0">
            <w:r w:rsidRPr="006D40F0">
              <w:t>28 000</w:t>
            </w:r>
          </w:p>
        </w:tc>
        <w:tc>
          <w:tcPr>
            <w:tcW w:w="1280" w:type="dxa"/>
            <w:tcBorders>
              <w:top w:val="nil"/>
              <w:left w:val="nil"/>
              <w:bottom w:val="nil"/>
              <w:right w:val="nil"/>
            </w:tcBorders>
            <w:tcMar>
              <w:top w:w="128" w:type="dxa"/>
              <w:left w:w="43" w:type="dxa"/>
              <w:bottom w:w="43" w:type="dxa"/>
              <w:right w:w="43" w:type="dxa"/>
            </w:tcMar>
            <w:vAlign w:val="bottom"/>
          </w:tcPr>
          <w:p w14:paraId="4C1B69AF" w14:textId="77777777" w:rsidR="00575AC3" w:rsidRPr="006D40F0" w:rsidRDefault="00575AC3" w:rsidP="006D40F0">
            <w:r w:rsidRPr="006D40F0">
              <w:t>-1 100</w:t>
            </w:r>
          </w:p>
        </w:tc>
      </w:tr>
      <w:tr w:rsidR="00DD49A7" w:rsidRPr="006D40F0" w14:paraId="58CA1941" w14:textId="77777777">
        <w:trPr>
          <w:trHeight w:val="380"/>
        </w:trPr>
        <w:tc>
          <w:tcPr>
            <w:tcW w:w="1100" w:type="dxa"/>
            <w:tcBorders>
              <w:top w:val="nil"/>
              <w:left w:val="nil"/>
              <w:bottom w:val="single" w:sz="4" w:space="0" w:color="000000"/>
              <w:right w:val="nil"/>
            </w:tcBorders>
            <w:tcMar>
              <w:top w:w="128" w:type="dxa"/>
              <w:left w:w="43" w:type="dxa"/>
              <w:bottom w:w="43" w:type="dxa"/>
              <w:right w:w="43" w:type="dxa"/>
            </w:tcMar>
          </w:tcPr>
          <w:p w14:paraId="1C1F35AE" w14:textId="77777777" w:rsidR="00575AC3" w:rsidRPr="006D40F0" w:rsidRDefault="00575AC3" w:rsidP="006D40F0">
            <w:r w:rsidRPr="006D40F0">
              <w:t>80</w:t>
            </w:r>
          </w:p>
        </w:tc>
        <w:tc>
          <w:tcPr>
            <w:tcW w:w="4420" w:type="dxa"/>
            <w:tcBorders>
              <w:top w:val="nil"/>
              <w:left w:val="nil"/>
              <w:bottom w:val="single" w:sz="4" w:space="0" w:color="000000"/>
              <w:right w:val="nil"/>
            </w:tcBorders>
            <w:tcMar>
              <w:top w:w="128" w:type="dxa"/>
              <w:left w:w="43" w:type="dxa"/>
              <w:bottom w:w="43" w:type="dxa"/>
              <w:right w:w="43" w:type="dxa"/>
            </w:tcMar>
            <w:vAlign w:val="bottom"/>
          </w:tcPr>
          <w:p w14:paraId="745B1313" w14:textId="77777777" w:rsidR="00575AC3" w:rsidRPr="006D40F0" w:rsidRDefault="00575AC3" w:rsidP="006D40F0">
            <w:r w:rsidRPr="006D40F0">
              <w:t>Renter av statens kapital</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4F7A8F3" w14:textId="77777777" w:rsidR="00575AC3" w:rsidRPr="006D40F0" w:rsidRDefault="00575AC3" w:rsidP="006D40F0">
            <w:r w:rsidRPr="006D40F0">
              <w:t>3 300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0C196598" w14:textId="77777777" w:rsidR="00575AC3" w:rsidRPr="006D40F0" w:rsidRDefault="00575AC3" w:rsidP="006D40F0">
            <w:r w:rsidRPr="006D40F0">
              <w:t>3 800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455B4099" w14:textId="77777777" w:rsidR="00575AC3" w:rsidRPr="006D40F0" w:rsidRDefault="00575AC3" w:rsidP="006D40F0">
            <w:r w:rsidRPr="006D40F0">
              <w:t>500</w:t>
            </w:r>
          </w:p>
        </w:tc>
      </w:tr>
      <w:tr w:rsidR="00DD49A7" w:rsidRPr="006D40F0" w14:paraId="55FC268D" w14:textId="77777777">
        <w:trPr>
          <w:trHeight w:val="380"/>
        </w:trPr>
        <w:tc>
          <w:tcPr>
            <w:tcW w:w="1100" w:type="dxa"/>
            <w:tcBorders>
              <w:top w:val="single" w:sz="4" w:space="0" w:color="000000"/>
              <w:left w:val="nil"/>
              <w:bottom w:val="single" w:sz="4" w:space="0" w:color="000000"/>
              <w:right w:val="nil"/>
            </w:tcBorders>
            <w:tcMar>
              <w:top w:w="128" w:type="dxa"/>
              <w:left w:w="43" w:type="dxa"/>
              <w:bottom w:w="43" w:type="dxa"/>
              <w:right w:w="43" w:type="dxa"/>
            </w:tcMar>
          </w:tcPr>
          <w:p w14:paraId="5C37AD20" w14:textId="77777777" w:rsidR="00575AC3" w:rsidRPr="006D40F0" w:rsidRDefault="00575AC3" w:rsidP="006D40F0"/>
        </w:tc>
        <w:tc>
          <w:tcPr>
            <w:tcW w:w="4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98EA6" w14:textId="77777777" w:rsidR="00575AC3" w:rsidRPr="006D40F0" w:rsidRDefault="00575AC3" w:rsidP="006D40F0">
            <w:r w:rsidRPr="006D40F0">
              <w:t>Sum kap. 5440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E250F8" w14:textId="77777777" w:rsidR="00575AC3" w:rsidRPr="006D40F0" w:rsidRDefault="00575AC3" w:rsidP="006D40F0">
            <w:r w:rsidRPr="006D40F0">
              <w:t>328 300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490BB1" w14:textId="77777777" w:rsidR="00575AC3" w:rsidRPr="006D40F0" w:rsidRDefault="00575AC3" w:rsidP="006D40F0">
            <w:r w:rsidRPr="006D40F0">
              <w:t>223 600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5257B9" w14:textId="77777777" w:rsidR="00575AC3" w:rsidRPr="006D40F0" w:rsidRDefault="00575AC3" w:rsidP="006D40F0">
            <w:r w:rsidRPr="006D40F0">
              <w:t>-104 700</w:t>
            </w:r>
          </w:p>
        </w:tc>
      </w:tr>
      <w:tr w:rsidR="00DD49A7" w:rsidRPr="006D40F0" w14:paraId="39D94378" w14:textId="77777777">
        <w:trPr>
          <w:trHeight w:val="380"/>
        </w:trPr>
        <w:tc>
          <w:tcPr>
            <w:tcW w:w="5520" w:type="dxa"/>
            <w:gridSpan w:val="2"/>
            <w:tcBorders>
              <w:top w:val="nil"/>
              <w:left w:val="nil"/>
              <w:bottom w:val="nil"/>
              <w:right w:val="nil"/>
            </w:tcBorders>
            <w:tcMar>
              <w:top w:w="128" w:type="dxa"/>
              <w:left w:w="43" w:type="dxa"/>
              <w:bottom w:w="43" w:type="dxa"/>
              <w:right w:w="43" w:type="dxa"/>
            </w:tcMar>
          </w:tcPr>
          <w:p w14:paraId="455FE0F7" w14:textId="77777777" w:rsidR="00575AC3" w:rsidRPr="006D40F0" w:rsidRDefault="00575AC3" w:rsidP="006D40F0">
            <w:r w:rsidRPr="006D40F0">
              <w:t>Kontantstrøm til SDØE:</w:t>
            </w:r>
          </w:p>
        </w:tc>
        <w:tc>
          <w:tcPr>
            <w:tcW w:w="1220" w:type="dxa"/>
            <w:tcBorders>
              <w:top w:val="nil"/>
              <w:left w:val="nil"/>
              <w:bottom w:val="nil"/>
              <w:right w:val="nil"/>
            </w:tcBorders>
            <w:tcMar>
              <w:top w:w="128" w:type="dxa"/>
              <w:left w:w="43" w:type="dxa"/>
              <w:bottom w:w="43" w:type="dxa"/>
              <w:right w:w="43" w:type="dxa"/>
            </w:tcMar>
            <w:vAlign w:val="bottom"/>
          </w:tcPr>
          <w:p w14:paraId="0A46333C" w14:textId="77777777" w:rsidR="00575AC3" w:rsidRPr="006D40F0" w:rsidRDefault="00575AC3" w:rsidP="006D40F0"/>
        </w:tc>
        <w:tc>
          <w:tcPr>
            <w:tcW w:w="1500" w:type="dxa"/>
            <w:tcBorders>
              <w:top w:val="nil"/>
              <w:left w:val="nil"/>
              <w:bottom w:val="nil"/>
              <w:right w:val="nil"/>
            </w:tcBorders>
            <w:tcMar>
              <w:top w:w="128" w:type="dxa"/>
              <w:left w:w="43" w:type="dxa"/>
              <w:bottom w:w="43" w:type="dxa"/>
              <w:right w:w="43" w:type="dxa"/>
            </w:tcMar>
            <w:vAlign w:val="bottom"/>
          </w:tcPr>
          <w:p w14:paraId="42282D8F" w14:textId="77777777" w:rsidR="00575AC3" w:rsidRPr="006D40F0" w:rsidRDefault="00575AC3" w:rsidP="006D40F0"/>
        </w:tc>
        <w:tc>
          <w:tcPr>
            <w:tcW w:w="1280" w:type="dxa"/>
            <w:tcBorders>
              <w:top w:val="nil"/>
              <w:left w:val="nil"/>
              <w:bottom w:val="nil"/>
              <w:right w:val="nil"/>
            </w:tcBorders>
            <w:tcMar>
              <w:top w:w="128" w:type="dxa"/>
              <w:left w:w="43" w:type="dxa"/>
              <w:bottom w:w="43" w:type="dxa"/>
              <w:right w:w="43" w:type="dxa"/>
            </w:tcMar>
            <w:vAlign w:val="bottom"/>
          </w:tcPr>
          <w:p w14:paraId="1A689999" w14:textId="77777777" w:rsidR="00575AC3" w:rsidRPr="006D40F0" w:rsidRDefault="00575AC3" w:rsidP="006D40F0"/>
        </w:tc>
      </w:tr>
      <w:tr w:rsidR="00DD49A7" w:rsidRPr="006D40F0" w14:paraId="1BD8CD26" w14:textId="77777777">
        <w:trPr>
          <w:trHeight w:val="380"/>
        </w:trPr>
        <w:tc>
          <w:tcPr>
            <w:tcW w:w="5520" w:type="dxa"/>
            <w:gridSpan w:val="2"/>
            <w:tcBorders>
              <w:top w:val="nil"/>
              <w:left w:val="nil"/>
              <w:bottom w:val="nil"/>
              <w:right w:val="nil"/>
            </w:tcBorders>
            <w:tcMar>
              <w:top w:w="128" w:type="dxa"/>
              <w:left w:w="43" w:type="dxa"/>
              <w:bottom w:w="43" w:type="dxa"/>
              <w:right w:w="43" w:type="dxa"/>
            </w:tcMar>
          </w:tcPr>
          <w:p w14:paraId="5EFE37F8" w14:textId="77777777" w:rsidR="00575AC3" w:rsidRPr="006D40F0" w:rsidRDefault="00575AC3" w:rsidP="006D40F0">
            <w:r w:rsidRPr="006D40F0">
              <w:lastRenderedPageBreak/>
              <w:t>Innbetalinger</w:t>
            </w:r>
          </w:p>
        </w:tc>
        <w:tc>
          <w:tcPr>
            <w:tcW w:w="1220" w:type="dxa"/>
            <w:tcBorders>
              <w:top w:val="nil"/>
              <w:left w:val="nil"/>
              <w:bottom w:val="nil"/>
              <w:right w:val="nil"/>
            </w:tcBorders>
            <w:tcMar>
              <w:top w:w="128" w:type="dxa"/>
              <w:left w:w="43" w:type="dxa"/>
              <w:bottom w:w="43" w:type="dxa"/>
              <w:right w:w="43" w:type="dxa"/>
            </w:tcMar>
            <w:vAlign w:val="bottom"/>
          </w:tcPr>
          <w:p w14:paraId="59B61C14" w14:textId="77777777" w:rsidR="00575AC3" w:rsidRPr="006D40F0" w:rsidRDefault="00575AC3" w:rsidP="006D40F0">
            <w:r w:rsidRPr="006D40F0">
              <w:t>383 400</w:t>
            </w:r>
          </w:p>
        </w:tc>
        <w:tc>
          <w:tcPr>
            <w:tcW w:w="1500" w:type="dxa"/>
            <w:tcBorders>
              <w:top w:val="nil"/>
              <w:left w:val="nil"/>
              <w:bottom w:val="nil"/>
              <w:right w:val="nil"/>
            </w:tcBorders>
            <w:tcMar>
              <w:top w:w="128" w:type="dxa"/>
              <w:left w:w="43" w:type="dxa"/>
              <w:bottom w:w="43" w:type="dxa"/>
              <w:right w:w="43" w:type="dxa"/>
            </w:tcMar>
            <w:vAlign w:val="bottom"/>
          </w:tcPr>
          <w:p w14:paraId="3A601630" w14:textId="77777777" w:rsidR="00575AC3" w:rsidRPr="006D40F0" w:rsidRDefault="00575AC3" w:rsidP="006D40F0">
            <w:r w:rsidRPr="006D40F0">
              <w:t>272 400</w:t>
            </w:r>
          </w:p>
        </w:tc>
        <w:tc>
          <w:tcPr>
            <w:tcW w:w="1280" w:type="dxa"/>
            <w:tcBorders>
              <w:top w:val="nil"/>
              <w:left w:val="nil"/>
              <w:bottom w:val="nil"/>
              <w:right w:val="nil"/>
            </w:tcBorders>
            <w:tcMar>
              <w:top w:w="128" w:type="dxa"/>
              <w:left w:w="43" w:type="dxa"/>
              <w:bottom w:w="43" w:type="dxa"/>
              <w:right w:w="43" w:type="dxa"/>
            </w:tcMar>
            <w:vAlign w:val="bottom"/>
          </w:tcPr>
          <w:p w14:paraId="134010FF" w14:textId="77777777" w:rsidR="00575AC3" w:rsidRPr="006D40F0" w:rsidRDefault="00575AC3" w:rsidP="006D40F0">
            <w:r w:rsidRPr="006D40F0">
              <w:t>-111 000</w:t>
            </w:r>
          </w:p>
        </w:tc>
      </w:tr>
      <w:tr w:rsidR="00DD49A7" w:rsidRPr="006D40F0" w14:paraId="7FD9F016" w14:textId="77777777">
        <w:trPr>
          <w:trHeight w:val="380"/>
        </w:trPr>
        <w:tc>
          <w:tcPr>
            <w:tcW w:w="5520" w:type="dxa"/>
            <w:gridSpan w:val="2"/>
            <w:tcBorders>
              <w:top w:val="nil"/>
              <w:left w:val="nil"/>
              <w:bottom w:val="single" w:sz="4" w:space="0" w:color="000000"/>
              <w:right w:val="nil"/>
            </w:tcBorders>
            <w:tcMar>
              <w:top w:w="128" w:type="dxa"/>
              <w:left w:w="43" w:type="dxa"/>
              <w:bottom w:w="43" w:type="dxa"/>
              <w:right w:w="43" w:type="dxa"/>
            </w:tcMar>
          </w:tcPr>
          <w:p w14:paraId="6742DB5B" w14:textId="77777777" w:rsidR="00575AC3" w:rsidRPr="006D40F0" w:rsidRDefault="00575AC3" w:rsidP="006D40F0">
            <w:r w:rsidRPr="006D40F0">
              <w:t>Utbetalinger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AE626E0" w14:textId="77777777" w:rsidR="00575AC3" w:rsidRPr="006D40F0" w:rsidRDefault="00575AC3" w:rsidP="006D40F0">
            <w:r w:rsidRPr="006D40F0">
              <w:t>81 100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A6E19AB" w14:textId="77777777" w:rsidR="00575AC3" w:rsidRPr="006D40F0" w:rsidRDefault="00575AC3" w:rsidP="006D40F0">
            <w:r w:rsidRPr="006D40F0">
              <w:t>78 900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CDB9B1A" w14:textId="77777777" w:rsidR="00575AC3" w:rsidRPr="006D40F0" w:rsidRDefault="00575AC3" w:rsidP="006D40F0">
            <w:r w:rsidRPr="006D40F0">
              <w:t>-2 200</w:t>
            </w:r>
          </w:p>
        </w:tc>
      </w:tr>
      <w:tr w:rsidR="00DD49A7" w:rsidRPr="006D40F0" w14:paraId="25A7C77F" w14:textId="77777777">
        <w:trPr>
          <w:trHeight w:val="380"/>
        </w:trPr>
        <w:tc>
          <w:tcPr>
            <w:tcW w:w="552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6DC6C4F" w14:textId="77777777" w:rsidR="00575AC3" w:rsidRPr="006D40F0" w:rsidRDefault="00575AC3" w:rsidP="006D40F0">
            <w:r w:rsidRPr="006D40F0">
              <w:t>Netto kontantstrøm fra SDØE</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33F754" w14:textId="77777777" w:rsidR="00575AC3" w:rsidRPr="006D40F0" w:rsidRDefault="00575AC3" w:rsidP="006D40F0">
            <w:r w:rsidRPr="006D40F0">
              <w:t>302 300</w:t>
            </w:r>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4292F" w14:textId="77777777" w:rsidR="00575AC3" w:rsidRPr="006D40F0" w:rsidRDefault="00575AC3" w:rsidP="006D40F0">
            <w:r w:rsidRPr="006D40F0">
              <w:t>193 500</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CCB77C" w14:textId="77777777" w:rsidR="00575AC3" w:rsidRPr="006D40F0" w:rsidRDefault="00575AC3" w:rsidP="006D40F0">
            <w:r w:rsidRPr="006D40F0">
              <w:t>-108 800</w:t>
            </w:r>
          </w:p>
        </w:tc>
      </w:tr>
    </w:tbl>
    <w:p w14:paraId="1575024C" w14:textId="77777777" w:rsidR="00575AC3" w:rsidRPr="006D40F0" w:rsidRDefault="00575AC3" w:rsidP="006D40F0">
      <w:r w:rsidRPr="006D40F0">
        <w:t>Anslaget på kap. 5440, underpost 24.1 Driftsinntekter reduseres med 111 000 mill. kroner. Reduksjonen skyldes i hovedsak redusert gassprisanslag, delvis motvirket av økt oljeprisanslag.</w:t>
      </w:r>
    </w:p>
    <w:p w14:paraId="44E5D043" w14:textId="77777777" w:rsidR="00575AC3" w:rsidRPr="006D40F0" w:rsidRDefault="00575AC3" w:rsidP="006D40F0">
      <w:r w:rsidRPr="006D40F0">
        <w:t>Anslaget for driftsutgifter er redusert med 6 800 mill. kroner. Reduksjonen skyldes reduserte kostnader knyttet til kjøp av tredjepartsgass delvis motvirket av økte vedlikeholdskostnader og kostnader i preinvesteringsfasen før konseptvalg på enkelte felt.</w:t>
      </w:r>
    </w:p>
    <w:p w14:paraId="3F736C16" w14:textId="77777777" w:rsidR="00575AC3" w:rsidRPr="006D40F0" w:rsidRDefault="00575AC3" w:rsidP="006D40F0">
      <w:r w:rsidRPr="006D40F0">
        <w:t xml:space="preserve">Anslaget for lete- og feltutviklingskostnader på kap. 5440, underpost 24.3 er økt med 500 mill. kroner på grunn av modning av </w:t>
      </w:r>
      <w:proofErr w:type="spellStart"/>
      <w:r w:rsidRPr="006D40F0">
        <w:t>leteplaner</w:t>
      </w:r>
      <w:proofErr w:type="spellEnd"/>
      <w:r w:rsidRPr="006D40F0">
        <w:t xml:space="preserve"> og at boring i enkelte letebrønner ble utsatt fra 2023 til 2024.</w:t>
      </w:r>
    </w:p>
    <w:p w14:paraId="4A06685A" w14:textId="77777777" w:rsidR="00575AC3" w:rsidRPr="006D40F0" w:rsidRDefault="00575AC3" w:rsidP="006D40F0">
      <w:r w:rsidRPr="006D40F0">
        <w:t>Anslaget for avskrivninger på kap. 5440, underpost 24.4 er redusert med 1 100 mill. kroner.</w:t>
      </w:r>
    </w:p>
    <w:p w14:paraId="72DE0ECC" w14:textId="77777777" w:rsidR="00575AC3" w:rsidRPr="006D40F0" w:rsidRDefault="00575AC3" w:rsidP="006D40F0">
      <w:r w:rsidRPr="006D40F0">
        <w:t>Anslaget for renter av statens kapital på kap. 5440, underpost 24.5 er økt med 500 mill. kroner.</w:t>
      </w:r>
    </w:p>
    <w:p w14:paraId="4BEA9A99" w14:textId="77777777" w:rsidR="00575AC3" w:rsidRPr="006D40F0" w:rsidRDefault="00575AC3" w:rsidP="006D40F0">
      <w:r w:rsidRPr="006D40F0">
        <w:t>Samlet innebærer forslaget at netto kontantstrøm fra SDØE reduseres med 108 800 mill. kroner, fra 302 300 mill. kroner til 193 500 mill. kroner.</w:t>
      </w:r>
    </w:p>
    <w:p w14:paraId="0239CE68" w14:textId="77777777" w:rsidR="00575AC3" w:rsidRPr="006D40F0" w:rsidRDefault="00575AC3" w:rsidP="006D40F0">
      <w:pPr>
        <w:pStyle w:val="b-budkaptit"/>
      </w:pPr>
      <w:r w:rsidRPr="006D40F0">
        <w:t>Kap. 2460 Eksportfinansiering Norge</w:t>
      </w:r>
    </w:p>
    <w:p w14:paraId="7EB011B1" w14:textId="77777777" w:rsidR="00575AC3" w:rsidRPr="006D40F0" w:rsidRDefault="00575AC3" w:rsidP="006D40F0">
      <w:pPr>
        <w:pStyle w:val="b-post"/>
      </w:pPr>
      <w:r w:rsidRPr="006D40F0">
        <w:t>Post 58 Grønn industrifinansiering</w:t>
      </w:r>
    </w:p>
    <w:p w14:paraId="43A3B00F" w14:textId="77777777" w:rsidR="00575AC3" w:rsidRPr="006D40F0" w:rsidRDefault="00575AC3" w:rsidP="006D40F0">
      <w:r w:rsidRPr="006D40F0">
        <w:t>Det foreslås at ordningen legges til Innovasjon Norge og at bevilgningen på 1 750 mill. kroner flyttes til Innovasjon Norge, jf. omtale under kap. 2421, post 55.</w:t>
      </w:r>
    </w:p>
    <w:p w14:paraId="79A60A7C" w14:textId="77777777" w:rsidR="00575AC3" w:rsidRPr="006D40F0" w:rsidRDefault="00575AC3" w:rsidP="006D40F0">
      <w:pPr>
        <w:pStyle w:val="b-post"/>
      </w:pPr>
      <w:r w:rsidRPr="006D40F0">
        <w:t>Post 90 Utbetaling ifølge trekkfullmakt – Alminnelig garantiordning</w:t>
      </w:r>
    </w:p>
    <w:p w14:paraId="71ED2B7C" w14:textId="77777777" w:rsidR="00575AC3" w:rsidRPr="006D40F0" w:rsidRDefault="00575AC3" w:rsidP="006D40F0">
      <w:r w:rsidRPr="006D40F0">
        <w:t>Posten gjelder lån til Eksportfinansiering Norge (Eksfin) for å dekke utbetalinger under Alminnelig garantiordning. Ved utgangen av 2023 var lånesaldoen til Eksfin 2,96 mrd. kroner. Det er bevilget 1,1 mrd. kroner til økte utlån i Saldert budsjett 2024. Oppdaterte prognoser fra Eksfin tilsier at det ikke vil være behov for å trekke opp nye lån på trekkfullmakten i 2024. Det foreslås derfor å redusere bevilgningen med 1,1 mrd. kroner.</w:t>
      </w:r>
    </w:p>
    <w:p w14:paraId="32AA1861" w14:textId="77777777" w:rsidR="00575AC3" w:rsidRPr="006D40F0" w:rsidRDefault="00575AC3" w:rsidP="006D40F0">
      <w:pPr>
        <w:pStyle w:val="b-budkaptit"/>
      </w:pPr>
      <w:r w:rsidRPr="006D40F0">
        <w:t>Kap. 5460 Eksportfinansiering Norge</w:t>
      </w:r>
    </w:p>
    <w:p w14:paraId="4275FD1B" w14:textId="77777777" w:rsidR="00575AC3" w:rsidRPr="006D40F0" w:rsidRDefault="00575AC3" w:rsidP="006D40F0">
      <w:pPr>
        <w:pStyle w:val="b-post"/>
      </w:pPr>
      <w:r w:rsidRPr="006D40F0">
        <w:t>Post 51 (Ny) Tilbakeføring av tapsavsetning for risikoavlastningsordningen for garantier til Reisegarantifondet</w:t>
      </w:r>
    </w:p>
    <w:p w14:paraId="437BD3AB" w14:textId="77777777" w:rsidR="00575AC3" w:rsidRPr="006D40F0" w:rsidRDefault="00575AC3" w:rsidP="006D40F0">
      <w:r w:rsidRPr="006D40F0">
        <w:t xml:space="preserve">Risikoavlastningsordningen for garantier til Reisegarantifondet ble avsluttet 31. desember 2021, men gjaldt reiser ut 2022. Da ordningen ble etablert, ble det bevilget et tilskudd til tap på 420 mill. kroner, jf. omtale i </w:t>
      </w:r>
      <w:proofErr w:type="spellStart"/>
      <w:r w:rsidRPr="006D40F0">
        <w:t>Innst</w:t>
      </w:r>
      <w:proofErr w:type="spellEnd"/>
      <w:r w:rsidRPr="006D40F0">
        <w:t xml:space="preserve">. 489 S og Prop. 107 S (2020–2021). Per 31. desember 2023 var det 2,9 mill. kroner i utestående garantiansvar og 29 mill. kroner i tapsavsetning. Det har vært lite aktivitet i ordningen, og tapsavsetningen kan reduseres. Det foreslås at 80 pst. av </w:t>
      </w:r>
      <w:r w:rsidRPr="006D40F0">
        <w:lastRenderedPageBreak/>
        <w:t>utestående garantiansvar blir stående igjen som tapsavsetning, tilsvarende 2,3 mill. kroner. Det foreslås derfor å tilbakeføre 26,7 mill. kroner til statskassen.</w:t>
      </w:r>
    </w:p>
    <w:p w14:paraId="00741F51" w14:textId="77777777" w:rsidR="00575AC3" w:rsidRPr="006D40F0" w:rsidRDefault="00575AC3" w:rsidP="006D40F0">
      <w:pPr>
        <w:pStyle w:val="b-post"/>
      </w:pPr>
      <w:r w:rsidRPr="006D40F0">
        <w:t>Post 52 Tilbakeføring fra Eksfin av tidligere bevilget tapsavsetning</w:t>
      </w:r>
    </w:p>
    <w:p w14:paraId="01E211E3" w14:textId="77777777" w:rsidR="00575AC3" w:rsidRPr="006D40F0" w:rsidRDefault="00575AC3" w:rsidP="006D40F0">
      <w:r w:rsidRPr="006D40F0">
        <w:t xml:space="preserve">Våren 2020 ble det satt av 10 mrd. kroner til tap knyttet til Alminnelig garantiordning, jf. omtale i </w:t>
      </w:r>
      <w:proofErr w:type="spellStart"/>
      <w:r w:rsidRPr="006D40F0">
        <w:t>Innst</w:t>
      </w:r>
      <w:proofErr w:type="spellEnd"/>
      <w:r w:rsidRPr="006D40F0">
        <w:t>. 360 S (2019–2020) og Prop. 117 S (2019–2020). Den positive markedsutviklingen i offshoresektoren har bidratt med betydelige inntekter til Eksportfinansiering Norge (Eksfin) ved gjenopptatt avdragsbetaling og økte verdier av panteobjektene (skip og lignende). Det har forbedret balansen mellom frisk og misligholdt portefølje. Videre har det ført til en økning i de forventede inntektene fra den delen av porteføljen som tidligere var antatt å skulle påføre store tap. Det var bakgrunnen for at 9 mrd. kroner av tapsavsetningen kunne trekkes tilbake i Saldert budsjett 2024.</w:t>
      </w:r>
    </w:p>
    <w:p w14:paraId="58D4F26D" w14:textId="77777777" w:rsidR="00575AC3" w:rsidRPr="006D40F0" w:rsidRDefault="00575AC3" w:rsidP="006D40F0">
      <w:r w:rsidRPr="006D40F0">
        <w:t>Den misligholdte porteføljen relatert til offshoresektoren har det siste året blitt redusert fra 21 mrd. kroner til 11,7 mrd. kroner. Det er fremdeles betydelig usikkerhet knyttet til fordringene i denne delen av Eksfins portefølje, men utviklingen går i riktig retning. Av de resterende 11,7 mrd. kronene forventes det at Eksfin vil gjenvinne 9,8 mrd. kroner gjennom avdragsbetaling og avtalte salg (6,2 mrd. kroner) og gjennom forventede innfrielser eller salg (3,6 mrd. kroner). Etter disse transaksjonene vil den gjenværende eksponeringen mot sektoren være på om lag 2 mrd. kroner. Av denne summen antas det at omtrent halvparten ikke vil kunne gjenvinnes. Det tapet vil kunne dekkes inn gjennom avsetninger fra den sunne delen av porteføljen, som for de neste ti årene forventes å bidra med 9,3 mrd. kroner til tapsfondet.</w:t>
      </w:r>
    </w:p>
    <w:p w14:paraId="7C653771" w14:textId="77777777" w:rsidR="00575AC3" w:rsidRPr="006D40F0" w:rsidRDefault="00575AC3" w:rsidP="006D40F0">
      <w:r w:rsidRPr="006D40F0">
        <w:t>På denne bakgrunn er det ikke lenger behov for tapsavsetning fra staten under Alminnelig garantiordning, og det foreslås derfor at resterende 1 mrd. kroner tilbakeføres statskassen og bevilgningen på posten økes tilsvarende.</w:t>
      </w:r>
    </w:p>
    <w:p w14:paraId="520CD499" w14:textId="77777777" w:rsidR="00575AC3" w:rsidRPr="006D40F0" w:rsidRDefault="00575AC3" w:rsidP="006D40F0">
      <w:pPr>
        <w:pStyle w:val="b-post"/>
      </w:pPr>
      <w:r w:rsidRPr="006D40F0">
        <w:t>Post 53 (Ny) Tilbakeføring av tapsavsetning under Luftfartsgarantiordningen</w:t>
      </w:r>
    </w:p>
    <w:p w14:paraId="5144D6CF" w14:textId="77777777" w:rsidR="00575AC3" w:rsidRPr="006D40F0" w:rsidRDefault="00575AC3" w:rsidP="006D40F0">
      <w:r w:rsidRPr="006D40F0">
        <w:t>Luftfartsgarantiordningen ble avsluttet 30. juni 2021, og det er ikke lenger garantiansvar under ordningen. Det ble tilbakeført 300 mill. kroner av 4 mrd. kroner fra tapsfondet knyttet til ordningen i 2023</w:t>
      </w:r>
      <w:proofErr w:type="gramStart"/>
      <w:r w:rsidRPr="006D40F0">
        <w:t>, ,</w:t>
      </w:r>
      <w:proofErr w:type="gramEnd"/>
      <w:r w:rsidRPr="006D40F0">
        <w:t xml:space="preserve"> jf. </w:t>
      </w:r>
      <w:proofErr w:type="spellStart"/>
      <w:r w:rsidRPr="006D40F0">
        <w:t>Innst</w:t>
      </w:r>
      <w:proofErr w:type="spellEnd"/>
      <w:r w:rsidRPr="006D40F0">
        <w:t>. 158 S og Prop. 25 (2023–2024). Ved utgangen av 2023 var det to lån under ordningen. Gjenstående avdrag på 49,7 mill. kroner på det ene lånet ble tilbakebetalt i januar 2024, og lånet ble dermed avsluttet. Det tilbakebetalte beløpet reduserer behovet for tapsavsetning.</w:t>
      </w:r>
    </w:p>
    <w:p w14:paraId="58F1AC3F" w14:textId="77777777" w:rsidR="00575AC3" w:rsidRPr="006D40F0" w:rsidRDefault="00575AC3" w:rsidP="006D40F0">
      <w:r w:rsidRPr="006D40F0">
        <w:t>Det foreslås en bevilgning på 49,7 mill. kroner.</w:t>
      </w:r>
    </w:p>
    <w:p w14:paraId="4A69E00D" w14:textId="77777777" w:rsidR="00575AC3" w:rsidRPr="006D40F0" w:rsidRDefault="00575AC3" w:rsidP="006D40F0">
      <w:pPr>
        <w:pStyle w:val="b-post"/>
      </w:pPr>
      <w:r w:rsidRPr="006D40F0">
        <w:t>Post 56 (Ny) Tilbakeføring av tapsavsetning for midlertidig lånegarantiordning for høye strømpriser</w:t>
      </w:r>
    </w:p>
    <w:p w14:paraId="5AC53387" w14:textId="77777777" w:rsidR="00575AC3" w:rsidRPr="006D40F0" w:rsidRDefault="00575AC3" w:rsidP="006D40F0">
      <w:r w:rsidRPr="006D40F0">
        <w:t xml:space="preserve">Lånegarantiordningen for høye strømpriser ble etablert i 2022 med en garantiramme på 1 mrd. kroner. I tillegg ble det bevilget et tilskudd på 200 mill. kroner til tap, jf. omtale i </w:t>
      </w:r>
      <w:proofErr w:type="spellStart"/>
      <w:r w:rsidRPr="006D40F0">
        <w:t>Innst</w:t>
      </w:r>
      <w:proofErr w:type="spellEnd"/>
      <w:r w:rsidRPr="006D40F0">
        <w:t xml:space="preserve">. 34 S (2022–2023) og Prop. 142 S (2021–2022). Ordningen stengte for nye søknader våren 2023. Per 31. desember 2023 var det 17,8 mill. kroner i utestående garantiansvar. Ordningen har vært lite </w:t>
      </w:r>
      <w:r w:rsidRPr="006D40F0">
        <w:lastRenderedPageBreak/>
        <w:t>brukt, og Eksfin vurderer at mesteparten av tapsavsetningen kan bli tilbakeført. Det foreslås at 182,2 mill. kroner tilbakeføres statskassen.</w:t>
      </w:r>
    </w:p>
    <w:p w14:paraId="5A56B5F5" w14:textId="77777777" w:rsidR="00575AC3" w:rsidRPr="006D40F0" w:rsidRDefault="00575AC3" w:rsidP="006D40F0">
      <w:pPr>
        <w:pStyle w:val="b-post"/>
      </w:pPr>
      <w:r w:rsidRPr="006D40F0">
        <w:t>Post 78 Inntekter fra midlertidig lånegarantiordning ifm. høye strømpriser</w:t>
      </w:r>
    </w:p>
    <w:p w14:paraId="4B8F51C5" w14:textId="77777777" w:rsidR="00575AC3" w:rsidRPr="006D40F0" w:rsidRDefault="00575AC3" w:rsidP="006D40F0">
      <w:r w:rsidRPr="006D40F0">
        <w:t>Lånegarantiordningen for høye strømpriser ble etablert i 2022, jf. omtale under post 56. Ordningen stengte for nye søknader våren 2023. Ordningen har blitt mindre brukt enn anslått, og Eksfin har derfor nedjustert anslaget på inntekter fra utestående garantiansvar. Det foreslås at bevilgningen reduseres med 900 000 kroner.</w:t>
      </w:r>
    </w:p>
    <w:p w14:paraId="5440BD45" w14:textId="77777777" w:rsidR="00575AC3" w:rsidRPr="006D40F0" w:rsidRDefault="00575AC3" w:rsidP="006D40F0">
      <w:pPr>
        <w:pStyle w:val="b-post"/>
      </w:pPr>
      <w:r w:rsidRPr="006D40F0">
        <w:t>Post 89 (Ny) Garantiprovisjon</w:t>
      </w:r>
    </w:p>
    <w:p w14:paraId="52A9DD93" w14:textId="77777777" w:rsidR="00575AC3" w:rsidRPr="006D40F0" w:rsidRDefault="00575AC3" w:rsidP="006D40F0">
      <w:r w:rsidRPr="006D40F0">
        <w:t xml:space="preserve">Det vises til omtale under kap. 900, post 23. For å avhjelpe virkningene av koronapandemien ble det våren 2020 etablert en garantiordning for lån til små og mellomstore virksomheter, jf. </w:t>
      </w:r>
      <w:proofErr w:type="spellStart"/>
      <w:r w:rsidRPr="006D40F0">
        <w:t>Innst</w:t>
      </w:r>
      <w:proofErr w:type="spellEnd"/>
      <w:r w:rsidRPr="006D40F0">
        <w:t>. 200 S (2019–2020) og Prop. 57 S (2019–2020). Bedriftene som har fått garantert lån skal betale en årlig garantiprovisjon til staten, i tillegg til at bankene skal betale en årlig garantiavgift. Det er anslått at dette kan gi inntekter på 40 mill. kroner i 2024. I forbindelse med at ansvaret for oppfølgingen av garantiordningen for lån til små og mellomstore bedrifter flyttes fra Finansdepartementet til Nærings- og fiskeridepartementet, foreslås det å overføre bevilgningen på 40 mill. kroner fra kap. 5605, post 89 til kap. 5460 Eksportfinansiering Norge, ny post 89 Garantiprovisjon.</w:t>
      </w:r>
    </w:p>
    <w:p w14:paraId="59A6449D" w14:textId="77777777" w:rsidR="00575AC3" w:rsidRPr="006D40F0" w:rsidRDefault="00575AC3" w:rsidP="006D40F0">
      <w:pPr>
        <w:pStyle w:val="b-post"/>
      </w:pPr>
      <w:r w:rsidRPr="006D40F0">
        <w:t>Post 90 Avdrag på lån knyttet til bruk av trekkfullmakt under Alminnelig garantiordning</w:t>
      </w:r>
    </w:p>
    <w:p w14:paraId="5AA330AC" w14:textId="77777777" w:rsidR="00575AC3" w:rsidRPr="006D40F0" w:rsidRDefault="00575AC3" w:rsidP="006D40F0">
      <w:r w:rsidRPr="006D40F0">
        <w:t>Posten gjelder avdrag på lån til Eksportfinansiering Norge (Eksfin) knyttet til utbetalinger under Alminnelig garantiordning. Mye av gjenvinningen av fordringsmassen som lå til grunn for anslaget for 2024 i saldert budsjett, ble innbetalt i løpet av 2023. Anslaget for avdrag i 2024 er nedjustert med 1,8 mrd. kroner, til 2,6 mrd. kroner. Bevilgningen foreslås derfor redusert med 1,8 mrd. kroner.</w:t>
      </w:r>
    </w:p>
    <w:p w14:paraId="418F1711" w14:textId="77777777" w:rsidR="00575AC3" w:rsidRPr="006D40F0" w:rsidRDefault="00575AC3" w:rsidP="006D40F0">
      <w:pPr>
        <w:pStyle w:val="b-budkaptit"/>
      </w:pPr>
      <w:r w:rsidRPr="006D40F0">
        <w:t>Kap. 5614 Renter under Eksportfinansiering Norge</w:t>
      </w:r>
    </w:p>
    <w:p w14:paraId="2974C630" w14:textId="77777777" w:rsidR="00575AC3" w:rsidRPr="006D40F0" w:rsidRDefault="00575AC3" w:rsidP="006D40F0">
      <w:pPr>
        <w:pStyle w:val="b-post"/>
      </w:pPr>
      <w:r w:rsidRPr="006D40F0">
        <w:t>Post 80 Renter fra lån til Alminnelig garantiordning</w:t>
      </w:r>
    </w:p>
    <w:p w14:paraId="7FE3DF33" w14:textId="77777777" w:rsidR="00575AC3" w:rsidRPr="006D40F0" w:rsidRDefault="00575AC3" w:rsidP="006D40F0">
      <w:r w:rsidRPr="006D40F0">
        <w:t>I Saldert budsjett 2024 ble renteinnbetalingene fra lån til Alminnelig garantiordning anslått til 276 mill. kroner. Som følge av en forbedret markedssituasjon og effektivt gjenvinningsarbeid av Eksfin, ble det tilbakebetalt mer i 2023 enn anslått. Ved utgangen av 2023 var lånesaldoen på 2,96 mrd. kroner. Eksfin mener at det ikke vil være behov for å trekke opp nye lån i løpet av 2024. Rentekostnaden på opptrukket lån vil dermed bli redusert. Det foreslås at bevilgningen reduseres med 108 mill. kroner.</w:t>
      </w:r>
    </w:p>
    <w:p w14:paraId="63F69778" w14:textId="77777777" w:rsidR="00575AC3" w:rsidRPr="006D40F0" w:rsidRDefault="00575AC3" w:rsidP="006D40F0">
      <w:pPr>
        <w:pStyle w:val="b-budkaptit"/>
      </w:pPr>
      <w:r w:rsidRPr="006D40F0">
        <w:lastRenderedPageBreak/>
        <w:t>Kap. 5574 Sektoravgifter under Nærings- og fiskeridepartementet</w:t>
      </w:r>
    </w:p>
    <w:p w14:paraId="061DBED3" w14:textId="77777777" w:rsidR="00575AC3" w:rsidRPr="006D40F0" w:rsidRDefault="00575AC3" w:rsidP="006D40F0">
      <w:pPr>
        <w:pStyle w:val="b-post"/>
      </w:pPr>
      <w:r w:rsidRPr="006D40F0">
        <w:t>Post 74 Fiskeriforskningsavgift</w:t>
      </w:r>
    </w:p>
    <w:p w14:paraId="3E2E4B2A" w14:textId="77777777" w:rsidR="00575AC3" w:rsidRPr="006D40F0" w:rsidRDefault="00575AC3" w:rsidP="006D40F0">
      <w:r w:rsidRPr="006D40F0">
        <w:t>Fiskeriforskningsavgiften utgjør 1,35 pst. av førstehåndsomsetningen for villfisk. Fiskeridirektoratet har utarbeidet oppdaterte anslag for førstehåndsverdien fra norske fiskerier. Det oppdaterte anslaget innebærer økte inntekter fra fiskeriforskningsavgiften på 18,8 mill. kroner.</w:t>
      </w:r>
    </w:p>
    <w:p w14:paraId="11067209" w14:textId="77777777" w:rsidR="00575AC3" w:rsidRPr="006D40F0" w:rsidRDefault="00575AC3" w:rsidP="006D40F0">
      <w:r w:rsidRPr="006D40F0">
        <w:t>Det foreslås derfor at bevilgningen økes med 18,8 mill. kroner. Videre foreslås det at anslåtte økte inntekter fra fiskeriforskningsavgiften fordeles slik:</w:t>
      </w:r>
    </w:p>
    <w:p w14:paraId="3F518CB3" w14:textId="77777777" w:rsidR="00575AC3" w:rsidRPr="006D40F0" w:rsidRDefault="00575AC3" w:rsidP="006D40F0">
      <w:pPr>
        <w:pStyle w:val="Liste"/>
      </w:pPr>
      <w:r w:rsidRPr="006D40F0">
        <w:t>Kap. 917 Fiskeridirektoratet, post 22 Fiskeriforskning og -overvåking: 6,6 mill. kroner</w:t>
      </w:r>
    </w:p>
    <w:p w14:paraId="368F892B" w14:textId="77777777" w:rsidR="00575AC3" w:rsidRPr="006D40F0" w:rsidRDefault="00575AC3" w:rsidP="006D40F0">
      <w:pPr>
        <w:pStyle w:val="Liste"/>
      </w:pPr>
      <w:r w:rsidRPr="006D40F0">
        <w:t>Kap. 919 Diverse fiskeriformål, post 76 Tilskudd til fiskeriforskning: 0,4 mill. kroner</w:t>
      </w:r>
    </w:p>
    <w:p w14:paraId="3B8DFDCE" w14:textId="77777777" w:rsidR="00575AC3" w:rsidRPr="006D40F0" w:rsidRDefault="00575AC3" w:rsidP="006D40F0">
      <w:pPr>
        <w:pStyle w:val="Liste"/>
      </w:pPr>
      <w:r w:rsidRPr="006D40F0">
        <w:t>Kap. 923 Havforskningsinstituttet, post 22 Fiskeriforskning og -overvåking: 11,8 mill. kroner</w:t>
      </w:r>
    </w:p>
    <w:p w14:paraId="514E90BE" w14:textId="77777777" w:rsidR="00575AC3" w:rsidRPr="006D40F0" w:rsidRDefault="00575AC3" w:rsidP="006D40F0">
      <w:pPr>
        <w:pStyle w:val="b-post"/>
      </w:pPr>
      <w:r w:rsidRPr="006D40F0">
        <w:t>Post 76 Kontrollavgift fiskeflåten</w:t>
      </w:r>
    </w:p>
    <w:p w14:paraId="4E1398BF" w14:textId="77777777" w:rsidR="00575AC3" w:rsidRPr="006D40F0" w:rsidRDefault="00575AC3" w:rsidP="006D40F0">
      <w:r w:rsidRPr="006D40F0">
        <w:t>Det er bevilget 54,5 mill. kroner i 2024. Kontrollavgiften er en avgift på 0,22 pst. av førstehåndsomsetningen til norske fiskefartøy over 15 meter. Basert på oppdaterte anslag, foreslås det å redusere bevilgningen med 4,3 mill. kroner.</w:t>
      </w:r>
    </w:p>
    <w:p w14:paraId="60D7BB6A" w14:textId="77777777" w:rsidR="00575AC3" w:rsidRPr="006D40F0" w:rsidRDefault="00575AC3" w:rsidP="006D40F0">
      <w:pPr>
        <w:pStyle w:val="b-post"/>
      </w:pPr>
      <w:r w:rsidRPr="006D40F0">
        <w:t>Post 77 Sektoravgifter Kystverket</w:t>
      </w:r>
    </w:p>
    <w:p w14:paraId="4F3DBE27" w14:textId="77777777" w:rsidR="00575AC3" w:rsidRPr="006D40F0" w:rsidRDefault="00575AC3" w:rsidP="006D40F0">
      <w:r w:rsidRPr="006D40F0">
        <w:t>Bevilgningen foreslås økt med til sammen 159,6 mill. kroner, jf. omtale under kap. 916 post 01, post 22 og post 45. Avgiftssatsene forblir uendret.</w:t>
      </w:r>
    </w:p>
    <w:p w14:paraId="0EB4C68C" w14:textId="77777777" w:rsidR="00575AC3" w:rsidRPr="006D40F0" w:rsidRDefault="00575AC3" w:rsidP="006D40F0">
      <w:pPr>
        <w:pStyle w:val="b-budkaptit"/>
      </w:pPr>
      <w:r w:rsidRPr="006D40F0">
        <w:t>Kap. 5656 Aksjer under Nærings- og fiskeridepartementets forvaltning</w:t>
      </w:r>
    </w:p>
    <w:p w14:paraId="48319D4F" w14:textId="77777777" w:rsidR="00575AC3" w:rsidRPr="006D40F0" w:rsidRDefault="00575AC3" w:rsidP="006D40F0">
      <w:pPr>
        <w:pStyle w:val="b-post"/>
      </w:pPr>
      <w:r w:rsidRPr="006D40F0">
        <w:t>Post 85 Utbytte</w:t>
      </w:r>
    </w:p>
    <w:p w14:paraId="326CBF3C" w14:textId="77777777" w:rsidR="00575AC3" w:rsidRPr="006D40F0" w:rsidRDefault="00575AC3" w:rsidP="006D40F0">
      <w:r w:rsidRPr="006D40F0">
        <w:t xml:space="preserve">Basert på opplysninger fra selskapene anslås utbytteinntektene fra Nærings- og fiskeridepartements selskaper utenom </w:t>
      </w:r>
      <w:proofErr w:type="spellStart"/>
      <w:r w:rsidRPr="006D40F0">
        <w:t>Equinor</w:t>
      </w:r>
      <w:proofErr w:type="spellEnd"/>
      <w:r w:rsidRPr="006D40F0">
        <w:t xml:space="preserve"> til 32,7 mrd. kroner i 2024. Det er ned fra 37,7 mrd. kroner i Saldert budsjett 2024, jf. tabellen under.</w:t>
      </w:r>
    </w:p>
    <w:p w14:paraId="10F12AFB" w14:textId="77777777" w:rsidR="00575AC3" w:rsidRPr="006D40F0" w:rsidRDefault="00575AC3" w:rsidP="006D40F0">
      <w:r w:rsidRPr="006D40F0">
        <w:t xml:space="preserve">Utbyttene fra de børsnoterte selskapene utenom </w:t>
      </w:r>
      <w:proofErr w:type="spellStart"/>
      <w:r w:rsidRPr="006D40F0">
        <w:t>Equinor</w:t>
      </w:r>
      <w:proofErr w:type="spellEnd"/>
      <w:r w:rsidRPr="006D40F0">
        <w:t xml:space="preserve"> anslås til 19,1 mrd. kroner, sammenlignet med 23,1 mrd. kroner i Saldert budsjett 2024. Anslag for utbytter fra de børsnoterte selskapene er basert på styrenes forslag til utbytte for regnskapsåret 2023. For Telenor og </w:t>
      </w:r>
      <w:proofErr w:type="spellStart"/>
      <w:r w:rsidRPr="006D40F0">
        <w:t>Equinor</w:t>
      </w:r>
      <w:proofErr w:type="spellEnd"/>
      <w:r w:rsidRPr="006D40F0">
        <w:t xml:space="preserve"> som har tilbakekjøpsprogrammer og tilbakekjøpsavtaler med staten om sletting av aksjer, og flere utbyttebetalinger i løpet av året, kan anslaget være noe for høyt ettersom antall aksjer vil reduseres i løpet av 2024.</w:t>
      </w:r>
    </w:p>
    <w:p w14:paraId="0F0A8BEB" w14:textId="77777777" w:rsidR="00575AC3" w:rsidRDefault="00575AC3" w:rsidP="006D40F0">
      <w:r w:rsidRPr="006D40F0">
        <w:t>Utbyttene fra de unoterte selskapene anslås til 13,6 mrd. kroner. Anslagene er usikre og avhenger av selskapenes endelige regnskapstall for 2023 og selskapenes utvikling. For Statkraft, Argentum og Posten Bring er utbytteanslagene redusert på grunn av svakere resultater enn lagt til grunn i Saldert budsjett 2024. For Nammo er utbytteanslaget økt på grunn av bedre resultat enn lagt til grunn i Saldert budsjett 2024.</w:t>
      </w:r>
    </w:p>
    <w:p w14:paraId="76AB5503" w14:textId="25E953B2" w:rsidR="00265CE1" w:rsidRPr="006D40F0" w:rsidRDefault="00265CE1" w:rsidP="00265CE1">
      <w:pPr>
        <w:pStyle w:val="tabell-tittel"/>
      </w:pPr>
      <w:r w:rsidRPr="006D40F0">
        <w:lastRenderedPageBreak/>
        <w:t>Utbytteanslag</w:t>
      </w:r>
    </w:p>
    <w:p w14:paraId="22A67AB5" w14:textId="77777777" w:rsidR="00575AC3" w:rsidRPr="006D40F0" w:rsidRDefault="00575AC3" w:rsidP="006D40F0">
      <w:pPr>
        <w:pStyle w:val="Tabellnavn"/>
      </w:pPr>
      <w:r w:rsidRPr="006D40F0">
        <w:t>04J2xt2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620"/>
        <w:gridCol w:w="1240"/>
        <w:gridCol w:w="1460"/>
        <w:gridCol w:w="1240"/>
      </w:tblGrid>
      <w:tr w:rsidR="00DD49A7" w:rsidRPr="006D40F0" w14:paraId="31C451E2" w14:textId="77777777" w:rsidTr="00265CE1">
        <w:trPr>
          <w:trHeight w:val="360"/>
        </w:trPr>
        <w:tc>
          <w:tcPr>
            <w:tcW w:w="9560" w:type="dxa"/>
            <w:gridSpan w:val="4"/>
            <w:tcBorders>
              <w:top w:val="nil"/>
              <w:left w:val="nil"/>
              <w:bottom w:val="single" w:sz="4" w:space="0" w:color="000000"/>
              <w:right w:val="nil"/>
            </w:tcBorders>
            <w:tcMar>
              <w:top w:w="128" w:type="dxa"/>
              <w:left w:w="43" w:type="dxa"/>
              <w:bottom w:w="43" w:type="dxa"/>
              <w:right w:w="43" w:type="dxa"/>
            </w:tcMar>
            <w:vAlign w:val="bottom"/>
          </w:tcPr>
          <w:p w14:paraId="560C5276" w14:textId="77777777" w:rsidR="00575AC3" w:rsidRPr="006D40F0" w:rsidRDefault="00575AC3" w:rsidP="006D40F0">
            <w:r w:rsidRPr="006D40F0">
              <w:t>(mill. kroner)</w:t>
            </w:r>
          </w:p>
        </w:tc>
      </w:tr>
      <w:tr w:rsidR="00DD49A7" w:rsidRPr="006D40F0" w14:paraId="2C7A929A" w14:textId="77777777" w:rsidTr="00265CE1">
        <w:trPr>
          <w:trHeight w:val="600"/>
        </w:trPr>
        <w:tc>
          <w:tcPr>
            <w:tcW w:w="5620" w:type="dxa"/>
            <w:tcBorders>
              <w:top w:val="nil"/>
              <w:left w:val="nil"/>
              <w:bottom w:val="single" w:sz="4" w:space="0" w:color="000000"/>
              <w:right w:val="nil"/>
            </w:tcBorders>
            <w:tcMar>
              <w:top w:w="128" w:type="dxa"/>
              <w:left w:w="43" w:type="dxa"/>
              <w:bottom w:w="43" w:type="dxa"/>
              <w:right w:w="43" w:type="dxa"/>
            </w:tcMar>
            <w:vAlign w:val="bottom"/>
          </w:tcPr>
          <w:p w14:paraId="53861CD9" w14:textId="77777777" w:rsidR="00575AC3" w:rsidRPr="006D40F0" w:rsidRDefault="00575AC3" w:rsidP="006D40F0"/>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B0D9130" w14:textId="77777777" w:rsidR="00575AC3" w:rsidRPr="006D40F0" w:rsidRDefault="00575AC3" w:rsidP="006D40F0">
            <w:r w:rsidRPr="006D40F0">
              <w:t>Saldert budsjett 2024</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287CEE8" w14:textId="77777777" w:rsidR="00575AC3" w:rsidRPr="006D40F0" w:rsidRDefault="00575AC3" w:rsidP="006D40F0">
            <w:r w:rsidRPr="006D40F0">
              <w:t>RNB 2024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F196669" w14:textId="77777777" w:rsidR="00575AC3" w:rsidRPr="006D40F0" w:rsidRDefault="00575AC3" w:rsidP="006D40F0">
            <w:r w:rsidRPr="006D40F0">
              <w:t>Endring</w:t>
            </w:r>
          </w:p>
        </w:tc>
      </w:tr>
      <w:tr w:rsidR="00DD49A7" w:rsidRPr="006D40F0" w14:paraId="2264631A" w14:textId="77777777" w:rsidTr="00265CE1">
        <w:trPr>
          <w:trHeight w:val="380"/>
        </w:trPr>
        <w:tc>
          <w:tcPr>
            <w:tcW w:w="9560" w:type="dxa"/>
            <w:gridSpan w:val="4"/>
            <w:tcBorders>
              <w:top w:val="single" w:sz="4" w:space="0" w:color="000000"/>
              <w:left w:val="nil"/>
              <w:bottom w:val="nil"/>
              <w:right w:val="nil"/>
            </w:tcBorders>
            <w:tcMar>
              <w:top w:w="128" w:type="dxa"/>
              <w:left w:w="43" w:type="dxa"/>
              <w:bottom w:w="43" w:type="dxa"/>
              <w:right w:w="43" w:type="dxa"/>
            </w:tcMar>
          </w:tcPr>
          <w:p w14:paraId="7556EA38" w14:textId="77777777" w:rsidR="00575AC3" w:rsidRPr="006D40F0" w:rsidRDefault="00575AC3" w:rsidP="006D40F0">
            <w:r w:rsidRPr="00575AC3">
              <w:rPr>
                <w:rStyle w:val="kursiv"/>
              </w:rPr>
              <w:t>Børsnoterte selskaper:</w:t>
            </w:r>
          </w:p>
        </w:tc>
      </w:tr>
      <w:tr w:rsidR="00DD49A7" w:rsidRPr="006D40F0" w14:paraId="352E6D75"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003AA08F" w14:textId="77777777" w:rsidR="00575AC3" w:rsidRPr="006D40F0" w:rsidRDefault="00575AC3" w:rsidP="006D40F0">
            <w:proofErr w:type="spellStart"/>
            <w:r w:rsidRPr="006D40F0">
              <w:t>Akastor</w:t>
            </w:r>
            <w:proofErr w:type="spellEnd"/>
            <w:r w:rsidRPr="006D40F0">
              <w:t xml:space="preserve"> ASA</w:t>
            </w:r>
          </w:p>
        </w:tc>
        <w:tc>
          <w:tcPr>
            <w:tcW w:w="1240" w:type="dxa"/>
            <w:tcBorders>
              <w:top w:val="nil"/>
              <w:left w:val="nil"/>
              <w:bottom w:val="nil"/>
              <w:right w:val="nil"/>
            </w:tcBorders>
            <w:tcMar>
              <w:top w:w="128" w:type="dxa"/>
              <w:left w:w="43" w:type="dxa"/>
              <w:bottom w:w="43" w:type="dxa"/>
              <w:right w:w="43" w:type="dxa"/>
            </w:tcMar>
            <w:vAlign w:val="bottom"/>
          </w:tcPr>
          <w:p w14:paraId="642E45B2" w14:textId="77777777" w:rsidR="00575AC3" w:rsidRPr="006D40F0" w:rsidRDefault="00575AC3" w:rsidP="006D40F0">
            <w:r w:rsidRPr="006D40F0">
              <w:t>0,0</w:t>
            </w:r>
          </w:p>
        </w:tc>
        <w:tc>
          <w:tcPr>
            <w:tcW w:w="1460" w:type="dxa"/>
            <w:tcBorders>
              <w:top w:val="nil"/>
              <w:left w:val="nil"/>
              <w:bottom w:val="nil"/>
              <w:right w:val="nil"/>
            </w:tcBorders>
            <w:tcMar>
              <w:top w:w="128" w:type="dxa"/>
              <w:left w:w="43" w:type="dxa"/>
              <w:bottom w:w="43" w:type="dxa"/>
              <w:right w:w="43" w:type="dxa"/>
            </w:tcMar>
            <w:vAlign w:val="bottom"/>
          </w:tcPr>
          <w:p w14:paraId="5E349CE6" w14:textId="77777777" w:rsidR="00575AC3" w:rsidRPr="006D40F0" w:rsidRDefault="00575AC3" w:rsidP="006D40F0">
            <w:r w:rsidRPr="006D40F0">
              <w:t>0,0</w:t>
            </w:r>
          </w:p>
        </w:tc>
        <w:tc>
          <w:tcPr>
            <w:tcW w:w="1240" w:type="dxa"/>
            <w:tcBorders>
              <w:top w:val="nil"/>
              <w:left w:val="nil"/>
              <w:bottom w:val="nil"/>
              <w:right w:val="nil"/>
            </w:tcBorders>
            <w:tcMar>
              <w:top w:w="128" w:type="dxa"/>
              <w:left w:w="43" w:type="dxa"/>
              <w:bottom w:w="43" w:type="dxa"/>
              <w:right w:w="43" w:type="dxa"/>
            </w:tcMar>
            <w:vAlign w:val="bottom"/>
          </w:tcPr>
          <w:p w14:paraId="2374069D" w14:textId="77777777" w:rsidR="00575AC3" w:rsidRPr="006D40F0" w:rsidRDefault="00575AC3" w:rsidP="006D40F0">
            <w:r w:rsidRPr="006D40F0">
              <w:t>0,0</w:t>
            </w:r>
          </w:p>
        </w:tc>
      </w:tr>
      <w:tr w:rsidR="00DD49A7" w:rsidRPr="006D40F0" w14:paraId="247A2A1C"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5129F2BA" w14:textId="77777777" w:rsidR="00575AC3" w:rsidRPr="006D40F0" w:rsidRDefault="00575AC3" w:rsidP="006D40F0">
            <w:r w:rsidRPr="006D40F0">
              <w:t>Aker Solutions ASA</w:t>
            </w:r>
          </w:p>
        </w:tc>
        <w:tc>
          <w:tcPr>
            <w:tcW w:w="1240" w:type="dxa"/>
            <w:tcBorders>
              <w:top w:val="nil"/>
              <w:left w:val="nil"/>
              <w:bottom w:val="nil"/>
              <w:right w:val="nil"/>
            </w:tcBorders>
            <w:tcMar>
              <w:top w:w="128" w:type="dxa"/>
              <w:left w:w="43" w:type="dxa"/>
              <w:bottom w:w="43" w:type="dxa"/>
              <w:right w:w="43" w:type="dxa"/>
            </w:tcMar>
            <w:vAlign w:val="bottom"/>
          </w:tcPr>
          <w:p w14:paraId="51519F83" w14:textId="77777777" w:rsidR="00575AC3" w:rsidRPr="006D40F0" w:rsidRDefault="00575AC3" w:rsidP="006D40F0">
            <w:r w:rsidRPr="006D40F0">
              <w:t>30,1</w:t>
            </w:r>
          </w:p>
        </w:tc>
        <w:tc>
          <w:tcPr>
            <w:tcW w:w="1460" w:type="dxa"/>
            <w:tcBorders>
              <w:top w:val="nil"/>
              <w:left w:val="nil"/>
              <w:bottom w:val="nil"/>
              <w:right w:val="nil"/>
            </w:tcBorders>
            <w:tcMar>
              <w:top w:w="128" w:type="dxa"/>
              <w:left w:w="43" w:type="dxa"/>
              <w:bottom w:w="43" w:type="dxa"/>
              <w:right w:w="43" w:type="dxa"/>
            </w:tcMar>
            <w:vAlign w:val="bottom"/>
          </w:tcPr>
          <w:p w14:paraId="43614B8B" w14:textId="77777777" w:rsidR="00575AC3" w:rsidRPr="006D40F0" w:rsidRDefault="00575AC3" w:rsidP="006D40F0">
            <w:r w:rsidRPr="006D40F0">
              <w:t>60,2</w:t>
            </w:r>
          </w:p>
        </w:tc>
        <w:tc>
          <w:tcPr>
            <w:tcW w:w="1240" w:type="dxa"/>
            <w:tcBorders>
              <w:top w:val="nil"/>
              <w:left w:val="nil"/>
              <w:bottom w:val="nil"/>
              <w:right w:val="nil"/>
            </w:tcBorders>
            <w:tcMar>
              <w:top w:w="128" w:type="dxa"/>
              <w:left w:w="43" w:type="dxa"/>
              <w:bottom w:w="43" w:type="dxa"/>
              <w:right w:w="43" w:type="dxa"/>
            </w:tcMar>
            <w:vAlign w:val="bottom"/>
          </w:tcPr>
          <w:p w14:paraId="069BDD01" w14:textId="77777777" w:rsidR="00575AC3" w:rsidRPr="006D40F0" w:rsidRDefault="00575AC3" w:rsidP="006D40F0">
            <w:r w:rsidRPr="006D40F0">
              <w:t>30,1</w:t>
            </w:r>
          </w:p>
        </w:tc>
      </w:tr>
      <w:tr w:rsidR="00DD49A7" w:rsidRPr="006D40F0" w14:paraId="647247C1"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7DAE373B" w14:textId="77777777" w:rsidR="00575AC3" w:rsidRPr="006D40F0" w:rsidRDefault="00575AC3" w:rsidP="006D40F0">
            <w:r w:rsidRPr="006D40F0">
              <w:t>DNB Bank ASA</w:t>
            </w:r>
          </w:p>
        </w:tc>
        <w:tc>
          <w:tcPr>
            <w:tcW w:w="1240" w:type="dxa"/>
            <w:tcBorders>
              <w:top w:val="nil"/>
              <w:left w:val="nil"/>
              <w:bottom w:val="nil"/>
              <w:right w:val="nil"/>
            </w:tcBorders>
            <w:tcMar>
              <w:top w:w="128" w:type="dxa"/>
              <w:left w:w="43" w:type="dxa"/>
              <w:bottom w:w="43" w:type="dxa"/>
              <w:right w:w="43" w:type="dxa"/>
            </w:tcMar>
            <w:vAlign w:val="bottom"/>
          </w:tcPr>
          <w:p w14:paraId="1F89C214" w14:textId="77777777" w:rsidR="00575AC3" w:rsidRPr="006D40F0" w:rsidRDefault="00575AC3" w:rsidP="006D40F0">
            <w:r w:rsidRPr="006D40F0">
              <w:t>6 556,1</w:t>
            </w:r>
          </w:p>
        </w:tc>
        <w:tc>
          <w:tcPr>
            <w:tcW w:w="1460" w:type="dxa"/>
            <w:tcBorders>
              <w:top w:val="nil"/>
              <w:left w:val="nil"/>
              <w:bottom w:val="nil"/>
              <w:right w:val="nil"/>
            </w:tcBorders>
            <w:tcMar>
              <w:top w:w="128" w:type="dxa"/>
              <w:left w:w="43" w:type="dxa"/>
              <w:bottom w:w="43" w:type="dxa"/>
              <w:right w:w="43" w:type="dxa"/>
            </w:tcMar>
            <w:vAlign w:val="bottom"/>
          </w:tcPr>
          <w:p w14:paraId="02E7459F" w14:textId="77777777" w:rsidR="00575AC3" w:rsidRPr="006D40F0" w:rsidRDefault="00575AC3" w:rsidP="006D40F0">
            <w:r w:rsidRPr="006D40F0">
              <w:t>8 391,8</w:t>
            </w:r>
          </w:p>
        </w:tc>
        <w:tc>
          <w:tcPr>
            <w:tcW w:w="1240" w:type="dxa"/>
            <w:tcBorders>
              <w:top w:val="nil"/>
              <w:left w:val="nil"/>
              <w:bottom w:val="nil"/>
              <w:right w:val="nil"/>
            </w:tcBorders>
            <w:tcMar>
              <w:top w:w="128" w:type="dxa"/>
              <w:left w:w="43" w:type="dxa"/>
              <w:bottom w:w="43" w:type="dxa"/>
              <w:right w:w="43" w:type="dxa"/>
            </w:tcMar>
            <w:vAlign w:val="bottom"/>
          </w:tcPr>
          <w:p w14:paraId="7D669BC1" w14:textId="77777777" w:rsidR="00575AC3" w:rsidRPr="006D40F0" w:rsidRDefault="00575AC3" w:rsidP="006D40F0">
            <w:r w:rsidRPr="006D40F0">
              <w:t>1 835,7</w:t>
            </w:r>
          </w:p>
        </w:tc>
      </w:tr>
      <w:tr w:rsidR="00DD49A7" w:rsidRPr="006D40F0" w14:paraId="05EC03BF"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0F37A5A3" w14:textId="77777777" w:rsidR="00575AC3" w:rsidRPr="006D40F0" w:rsidRDefault="00575AC3" w:rsidP="006D40F0">
            <w:r w:rsidRPr="006D40F0">
              <w:t>Kongsberg Gruppen ASA</w:t>
            </w:r>
          </w:p>
        </w:tc>
        <w:tc>
          <w:tcPr>
            <w:tcW w:w="1240" w:type="dxa"/>
            <w:tcBorders>
              <w:top w:val="nil"/>
              <w:left w:val="nil"/>
              <w:bottom w:val="nil"/>
              <w:right w:val="nil"/>
            </w:tcBorders>
            <w:tcMar>
              <w:top w:w="128" w:type="dxa"/>
              <w:left w:w="43" w:type="dxa"/>
              <w:bottom w:w="43" w:type="dxa"/>
              <w:right w:w="43" w:type="dxa"/>
            </w:tcMar>
            <w:vAlign w:val="bottom"/>
          </w:tcPr>
          <w:p w14:paraId="64DA0E9E" w14:textId="77777777" w:rsidR="00575AC3" w:rsidRPr="006D40F0" w:rsidRDefault="00575AC3" w:rsidP="006D40F0">
            <w:r w:rsidRPr="006D40F0">
              <w:t>319,2</w:t>
            </w:r>
          </w:p>
        </w:tc>
        <w:tc>
          <w:tcPr>
            <w:tcW w:w="1460" w:type="dxa"/>
            <w:tcBorders>
              <w:top w:val="nil"/>
              <w:left w:val="nil"/>
              <w:bottom w:val="nil"/>
              <w:right w:val="nil"/>
            </w:tcBorders>
            <w:tcMar>
              <w:top w:w="128" w:type="dxa"/>
              <w:left w:w="43" w:type="dxa"/>
              <w:bottom w:w="43" w:type="dxa"/>
              <w:right w:w="43" w:type="dxa"/>
            </w:tcMar>
            <w:vAlign w:val="bottom"/>
          </w:tcPr>
          <w:p w14:paraId="1C6FAA47" w14:textId="77777777" w:rsidR="00575AC3" w:rsidRPr="006D40F0" w:rsidRDefault="00575AC3" w:rsidP="006D40F0">
            <w:r w:rsidRPr="006D40F0">
              <w:t>1 231,6</w:t>
            </w:r>
          </w:p>
        </w:tc>
        <w:tc>
          <w:tcPr>
            <w:tcW w:w="1240" w:type="dxa"/>
            <w:tcBorders>
              <w:top w:val="nil"/>
              <w:left w:val="nil"/>
              <w:bottom w:val="nil"/>
              <w:right w:val="nil"/>
            </w:tcBorders>
            <w:tcMar>
              <w:top w:w="128" w:type="dxa"/>
              <w:left w:w="43" w:type="dxa"/>
              <w:bottom w:w="43" w:type="dxa"/>
              <w:right w:w="43" w:type="dxa"/>
            </w:tcMar>
            <w:vAlign w:val="bottom"/>
          </w:tcPr>
          <w:p w14:paraId="02E42855" w14:textId="77777777" w:rsidR="00575AC3" w:rsidRPr="006D40F0" w:rsidRDefault="00575AC3" w:rsidP="006D40F0">
            <w:r w:rsidRPr="006D40F0">
              <w:t>912,4</w:t>
            </w:r>
          </w:p>
        </w:tc>
      </w:tr>
      <w:tr w:rsidR="00DD49A7" w:rsidRPr="006D40F0" w14:paraId="0385AB8C"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4A587913" w14:textId="77777777" w:rsidR="00575AC3" w:rsidRPr="006D40F0" w:rsidRDefault="00575AC3" w:rsidP="006D40F0">
            <w:r w:rsidRPr="006D40F0">
              <w:t>Norsk Hydro ASA</w:t>
            </w:r>
          </w:p>
        </w:tc>
        <w:tc>
          <w:tcPr>
            <w:tcW w:w="1240" w:type="dxa"/>
            <w:tcBorders>
              <w:top w:val="nil"/>
              <w:left w:val="nil"/>
              <w:bottom w:val="nil"/>
              <w:right w:val="nil"/>
            </w:tcBorders>
            <w:tcMar>
              <w:top w:w="128" w:type="dxa"/>
              <w:left w:w="43" w:type="dxa"/>
              <w:bottom w:w="43" w:type="dxa"/>
              <w:right w:w="43" w:type="dxa"/>
            </w:tcMar>
            <w:vAlign w:val="bottom"/>
          </w:tcPr>
          <w:p w14:paraId="3F29B1B3" w14:textId="77777777" w:rsidR="00575AC3" w:rsidRPr="006D40F0" w:rsidRDefault="00575AC3" w:rsidP="006D40F0">
            <w:r w:rsidRPr="006D40F0">
              <w:t>4 005,1</w:t>
            </w:r>
          </w:p>
        </w:tc>
        <w:tc>
          <w:tcPr>
            <w:tcW w:w="1460" w:type="dxa"/>
            <w:tcBorders>
              <w:top w:val="nil"/>
              <w:left w:val="nil"/>
              <w:bottom w:val="nil"/>
              <w:right w:val="nil"/>
            </w:tcBorders>
            <w:tcMar>
              <w:top w:w="128" w:type="dxa"/>
              <w:left w:w="43" w:type="dxa"/>
              <w:bottom w:w="43" w:type="dxa"/>
              <w:right w:w="43" w:type="dxa"/>
            </w:tcMar>
            <w:vAlign w:val="bottom"/>
          </w:tcPr>
          <w:p w14:paraId="3D92E87C" w14:textId="77777777" w:rsidR="00575AC3" w:rsidRPr="006D40F0" w:rsidRDefault="00575AC3" w:rsidP="006D40F0">
            <w:r w:rsidRPr="006D40F0">
              <w:t>1 748,4</w:t>
            </w:r>
          </w:p>
        </w:tc>
        <w:tc>
          <w:tcPr>
            <w:tcW w:w="1240" w:type="dxa"/>
            <w:tcBorders>
              <w:top w:val="nil"/>
              <w:left w:val="nil"/>
              <w:bottom w:val="nil"/>
              <w:right w:val="nil"/>
            </w:tcBorders>
            <w:tcMar>
              <w:top w:w="128" w:type="dxa"/>
              <w:left w:w="43" w:type="dxa"/>
              <w:bottom w:w="43" w:type="dxa"/>
              <w:right w:w="43" w:type="dxa"/>
            </w:tcMar>
            <w:vAlign w:val="bottom"/>
          </w:tcPr>
          <w:p w14:paraId="47EDA953" w14:textId="77777777" w:rsidR="00575AC3" w:rsidRPr="006D40F0" w:rsidRDefault="00575AC3" w:rsidP="006D40F0">
            <w:r w:rsidRPr="006D40F0">
              <w:t>-2 256,7</w:t>
            </w:r>
          </w:p>
        </w:tc>
      </w:tr>
      <w:tr w:rsidR="00DD49A7" w:rsidRPr="006D40F0" w14:paraId="38E583EC"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3A12DDE5" w14:textId="77777777" w:rsidR="00575AC3" w:rsidRPr="006D40F0" w:rsidRDefault="00575AC3" w:rsidP="006D40F0">
            <w:r w:rsidRPr="006D40F0">
              <w:t>Telenor ASA</w:t>
            </w:r>
          </w:p>
        </w:tc>
        <w:tc>
          <w:tcPr>
            <w:tcW w:w="1240" w:type="dxa"/>
            <w:tcBorders>
              <w:top w:val="nil"/>
              <w:left w:val="nil"/>
              <w:bottom w:val="nil"/>
              <w:right w:val="nil"/>
            </w:tcBorders>
            <w:tcMar>
              <w:top w:w="128" w:type="dxa"/>
              <w:left w:w="43" w:type="dxa"/>
              <w:bottom w:w="43" w:type="dxa"/>
              <w:right w:w="43" w:type="dxa"/>
            </w:tcMar>
            <w:vAlign w:val="bottom"/>
          </w:tcPr>
          <w:p w14:paraId="00D77156" w14:textId="77777777" w:rsidR="00575AC3" w:rsidRPr="006D40F0" w:rsidRDefault="00575AC3" w:rsidP="006D40F0">
            <w:r w:rsidRPr="006D40F0">
              <w:t>7 099,1</w:t>
            </w:r>
          </w:p>
        </w:tc>
        <w:tc>
          <w:tcPr>
            <w:tcW w:w="1460" w:type="dxa"/>
            <w:tcBorders>
              <w:top w:val="nil"/>
              <w:left w:val="nil"/>
              <w:bottom w:val="nil"/>
              <w:right w:val="nil"/>
            </w:tcBorders>
            <w:tcMar>
              <w:top w:w="128" w:type="dxa"/>
              <w:left w:w="43" w:type="dxa"/>
              <w:bottom w:w="43" w:type="dxa"/>
              <w:right w:w="43" w:type="dxa"/>
            </w:tcMar>
            <w:vAlign w:val="bottom"/>
          </w:tcPr>
          <w:p w14:paraId="6423AD3B" w14:textId="77777777" w:rsidR="00575AC3" w:rsidRPr="006D40F0" w:rsidRDefault="00575AC3" w:rsidP="006D40F0">
            <w:r w:rsidRPr="006D40F0">
              <w:t>7 174,6</w:t>
            </w:r>
          </w:p>
        </w:tc>
        <w:tc>
          <w:tcPr>
            <w:tcW w:w="1240" w:type="dxa"/>
            <w:tcBorders>
              <w:top w:val="nil"/>
              <w:left w:val="nil"/>
              <w:bottom w:val="nil"/>
              <w:right w:val="nil"/>
            </w:tcBorders>
            <w:tcMar>
              <w:top w:w="128" w:type="dxa"/>
              <w:left w:w="43" w:type="dxa"/>
              <w:bottom w:w="43" w:type="dxa"/>
              <w:right w:w="43" w:type="dxa"/>
            </w:tcMar>
            <w:vAlign w:val="bottom"/>
          </w:tcPr>
          <w:p w14:paraId="47B9AB18" w14:textId="77777777" w:rsidR="00575AC3" w:rsidRPr="006D40F0" w:rsidRDefault="00575AC3" w:rsidP="006D40F0">
            <w:r w:rsidRPr="006D40F0">
              <w:t>75,5</w:t>
            </w:r>
          </w:p>
        </w:tc>
      </w:tr>
      <w:tr w:rsidR="00DD49A7" w:rsidRPr="006D40F0" w14:paraId="664CE929" w14:textId="77777777" w:rsidTr="00265CE1">
        <w:trPr>
          <w:trHeight w:val="380"/>
        </w:trPr>
        <w:tc>
          <w:tcPr>
            <w:tcW w:w="5620" w:type="dxa"/>
            <w:tcBorders>
              <w:top w:val="nil"/>
              <w:left w:val="nil"/>
              <w:bottom w:val="single" w:sz="4" w:space="0" w:color="000000"/>
              <w:right w:val="nil"/>
            </w:tcBorders>
            <w:tcMar>
              <w:top w:w="128" w:type="dxa"/>
              <w:left w:w="43" w:type="dxa"/>
              <w:bottom w:w="43" w:type="dxa"/>
              <w:right w:w="43" w:type="dxa"/>
            </w:tcMar>
          </w:tcPr>
          <w:p w14:paraId="5802C428" w14:textId="77777777" w:rsidR="00575AC3" w:rsidRPr="006D40F0" w:rsidRDefault="00575AC3" w:rsidP="006D40F0">
            <w:r w:rsidRPr="006D40F0">
              <w:t>Yara International ASA</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D2C210C" w14:textId="77777777" w:rsidR="00575AC3" w:rsidRPr="006D40F0" w:rsidRDefault="00575AC3" w:rsidP="006D40F0">
            <w:r w:rsidRPr="006D40F0">
              <w:t>5 073,2</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20FCC67E" w14:textId="77777777" w:rsidR="00575AC3" w:rsidRPr="006D40F0" w:rsidRDefault="00575AC3" w:rsidP="006D40F0">
            <w:r w:rsidRPr="006D40F0">
              <w:t>461,2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C579070" w14:textId="77777777" w:rsidR="00575AC3" w:rsidRPr="006D40F0" w:rsidRDefault="00575AC3" w:rsidP="006D40F0">
            <w:r w:rsidRPr="006D40F0">
              <w:t>-4 612,0</w:t>
            </w:r>
          </w:p>
        </w:tc>
      </w:tr>
      <w:tr w:rsidR="00DD49A7" w:rsidRPr="006D40F0" w14:paraId="5986F4AE"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2F99A6E2" w14:textId="77777777" w:rsidR="00575AC3" w:rsidRPr="006D40F0" w:rsidRDefault="00575AC3" w:rsidP="006D40F0">
            <w:r w:rsidRPr="00575AC3">
              <w:rPr>
                <w:rStyle w:val="kursiv"/>
              </w:rPr>
              <w:t>Unoterte selskaper:</w:t>
            </w:r>
          </w:p>
        </w:tc>
        <w:tc>
          <w:tcPr>
            <w:tcW w:w="1240" w:type="dxa"/>
            <w:tcBorders>
              <w:top w:val="nil"/>
              <w:left w:val="nil"/>
              <w:bottom w:val="nil"/>
              <w:right w:val="nil"/>
            </w:tcBorders>
            <w:tcMar>
              <w:top w:w="128" w:type="dxa"/>
              <w:left w:w="43" w:type="dxa"/>
              <w:bottom w:w="43" w:type="dxa"/>
              <w:right w:w="43" w:type="dxa"/>
            </w:tcMar>
            <w:vAlign w:val="bottom"/>
          </w:tcPr>
          <w:p w14:paraId="34A3EF8A" w14:textId="77777777" w:rsidR="00575AC3" w:rsidRPr="006D40F0" w:rsidRDefault="00575AC3" w:rsidP="006D40F0"/>
        </w:tc>
        <w:tc>
          <w:tcPr>
            <w:tcW w:w="1460" w:type="dxa"/>
            <w:tcBorders>
              <w:top w:val="nil"/>
              <w:left w:val="nil"/>
              <w:bottom w:val="nil"/>
              <w:right w:val="nil"/>
            </w:tcBorders>
            <w:tcMar>
              <w:top w:w="128" w:type="dxa"/>
              <w:left w:w="43" w:type="dxa"/>
              <w:bottom w:w="43" w:type="dxa"/>
              <w:right w:w="43" w:type="dxa"/>
            </w:tcMar>
            <w:vAlign w:val="bottom"/>
          </w:tcPr>
          <w:p w14:paraId="102946E5" w14:textId="77777777" w:rsidR="00575AC3" w:rsidRPr="006D40F0" w:rsidRDefault="00575AC3" w:rsidP="006D40F0"/>
        </w:tc>
        <w:tc>
          <w:tcPr>
            <w:tcW w:w="1240" w:type="dxa"/>
            <w:tcBorders>
              <w:top w:val="nil"/>
              <w:left w:val="nil"/>
              <w:bottom w:val="nil"/>
              <w:right w:val="nil"/>
            </w:tcBorders>
            <w:tcMar>
              <w:top w:w="128" w:type="dxa"/>
              <w:left w:w="43" w:type="dxa"/>
              <w:bottom w:w="43" w:type="dxa"/>
              <w:right w:w="43" w:type="dxa"/>
            </w:tcMar>
            <w:vAlign w:val="bottom"/>
          </w:tcPr>
          <w:p w14:paraId="1A9176CA" w14:textId="77777777" w:rsidR="00575AC3" w:rsidRPr="006D40F0" w:rsidRDefault="00575AC3" w:rsidP="006D40F0"/>
        </w:tc>
      </w:tr>
      <w:tr w:rsidR="00DD49A7" w:rsidRPr="006D40F0" w14:paraId="397E7384"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29659420" w14:textId="77777777" w:rsidR="00575AC3" w:rsidRPr="006D40F0" w:rsidRDefault="00575AC3" w:rsidP="006D40F0">
            <w:r w:rsidRPr="006D40F0">
              <w:t>Argentum Fondsinvesteringer AS</w:t>
            </w:r>
          </w:p>
        </w:tc>
        <w:tc>
          <w:tcPr>
            <w:tcW w:w="1240" w:type="dxa"/>
            <w:tcBorders>
              <w:top w:val="nil"/>
              <w:left w:val="nil"/>
              <w:bottom w:val="nil"/>
              <w:right w:val="nil"/>
            </w:tcBorders>
            <w:tcMar>
              <w:top w:w="128" w:type="dxa"/>
              <w:left w:w="43" w:type="dxa"/>
              <w:bottom w:w="43" w:type="dxa"/>
              <w:right w:w="43" w:type="dxa"/>
            </w:tcMar>
            <w:vAlign w:val="bottom"/>
          </w:tcPr>
          <w:p w14:paraId="38F04C18" w14:textId="77777777" w:rsidR="00575AC3" w:rsidRPr="006D40F0" w:rsidRDefault="00575AC3" w:rsidP="006D40F0">
            <w:r w:rsidRPr="006D40F0">
              <w:t>500,0</w:t>
            </w:r>
          </w:p>
        </w:tc>
        <w:tc>
          <w:tcPr>
            <w:tcW w:w="1460" w:type="dxa"/>
            <w:tcBorders>
              <w:top w:val="nil"/>
              <w:left w:val="nil"/>
              <w:bottom w:val="nil"/>
              <w:right w:val="nil"/>
            </w:tcBorders>
            <w:tcMar>
              <w:top w:w="128" w:type="dxa"/>
              <w:left w:w="43" w:type="dxa"/>
              <w:bottom w:w="43" w:type="dxa"/>
              <w:right w:w="43" w:type="dxa"/>
            </w:tcMar>
            <w:vAlign w:val="bottom"/>
          </w:tcPr>
          <w:p w14:paraId="75A3FE98" w14:textId="77777777" w:rsidR="00575AC3" w:rsidRPr="006D40F0" w:rsidRDefault="00575AC3" w:rsidP="006D40F0">
            <w:r w:rsidRPr="006D40F0">
              <w:t>200,0</w:t>
            </w:r>
          </w:p>
        </w:tc>
        <w:tc>
          <w:tcPr>
            <w:tcW w:w="1240" w:type="dxa"/>
            <w:tcBorders>
              <w:top w:val="nil"/>
              <w:left w:val="nil"/>
              <w:bottom w:val="nil"/>
              <w:right w:val="nil"/>
            </w:tcBorders>
            <w:tcMar>
              <w:top w:w="128" w:type="dxa"/>
              <w:left w:w="43" w:type="dxa"/>
              <w:bottom w:w="43" w:type="dxa"/>
              <w:right w:w="43" w:type="dxa"/>
            </w:tcMar>
            <w:vAlign w:val="bottom"/>
          </w:tcPr>
          <w:p w14:paraId="2F6B112B" w14:textId="77777777" w:rsidR="00575AC3" w:rsidRPr="006D40F0" w:rsidRDefault="00575AC3" w:rsidP="006D40F0">
            <w:r w:rsidRPr="006D40F0">
              <w:t>-300,0</w:t>
            </w:r>
          </w:p>
        </w:tc>
      </w:tr>
      <w:tr w:rsidR="00DD49A7" w:rsidRPr="006D40F0" w14:paraId="23BEE26C"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43226113" w14:textId="77777777" w:rsidR="00575AC3" w:rsidRPr="006D40F0" w:rsidRDefault="00575AC3" w:rsidP="006D40F0">
            <w:r w:rsidRPr="006D40F0">
              <w:t>Baneservice AS</w:t>
            </w:r>
          </w:p>
        </w:tc>
        <w:tc>
          <w:tcPr>
            <w:tcW w:w="1240" w:type="dxa"/>
            <w:tcBorders>
              <w:top w:val="nil"/>
              <w:left w:val="nil"/>
              <w:bottom w:val="nil"/>
              <w:right w:val="nil"/>
            </w:tcBorders>
            <w:tcMar>
              <w:top w:w="128" w:type="dxa"/>
              <w:left w:w="43" w:type="dxa"/>
              <w:bottom w:w="43" w:type="dxa"/>
              <w:right w:w="43" w:type="dxa"/>
            </w:tcMar>
            <w:vAlign w:val="bottom"/>
          </w:tcPr>
          <w:p w14:paraId="18F2F2BE" w14:textId="77777777" w:rsidR="00575AC3" w:rsidRPr="006D40F0" w:rsidRDefault="00575AC3" w:rsidP="006D40F0">
            <w:r w:rsidRPr="006D40F0">
              <w:t>40,0</w:t>
            </w:r>
          </w:p>
        </w:tc>
        <w:tc>
          <w:tcPr>
            <w:tcW w:w="1460" w:type="dxa"/>
            <w:tcBorders>
              <w:top w:val="nil"/>
              <w:left w:val="nil"/>
              <w:bottom w:val="nil"/>
              <w:right w:val="nil"/>
            </w:tcBorders>
            <w:tcMar>
              <w:top w:w="128" w:type="dxa"/>
              <w:left w:w="43" w:type="dxa"/>
              <w:bottom w:w="43" w:type="dxa"/>
              <w:right w:w="43" w:type="dxa"/>
            </w:tcMar>
            <w:vAlign w:val="bottom"/>
          </w:tcPr>
          <w:p w14:paraId="3B571886" w14:textId="77777777" w:rsidR="00575AC3" w:rsidRPr="006D40F0" w:rsidRDefault="00575AC3" w:rsidP="006D40F0">
            <w:r w:rsidRPr="006D40F0">
              <w:t>42,4</w:t>
            </w:r>
          </w:p>
        </w:tc>
        <w:tc>
          <w:tcPr>
            <w:tcW w:w="1240" w:type="dxa"/>
            <w:tcBorders>
              <w:top w:val="nil"/>
              <w:left w:val="nil"/>
              <w:bottom w:val="nil"/>
              <w:right w:val="nil"/>
            </w:tcBorders>
            <w:tcMar>
              <w:top w:w="128" w:type="dxa"/>
              <w:left w:w="43" w:type="dxa"/>
              <w:bottom w:w="43" w:type="dxa"/>
              <w:right w:w="43" w:type="dxa"/>
            </w:tcMar>
            <w:vAlign w:val="bottom"/>
          </w:tcPr>
          <w:p w14:paraId="17549AAF" w14:textId="77777777" w:rsidR="00575AC3" w:rsidRPr="006D40F0" w:rsidRDefault="00575AC3" w:rsidP="006D40F0">
            <w:r w:rsidRPr="006D40F0">
              <w:t>2,4</w:t>
            </w:r>
          </w:p>
        </w:tc>
      </w:tr>
      <w:tr w:rsidR="00DD49A7" w:rsidRPr="006D40F0" w14:paraId="1F3A969D"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6D012193" w14:textId="77777777" w:rsidR="00575AC3" w:rsidRPr="006D40F0" w:rsidRDefault="00575AC3" w:rsidP="006D40F0">
            <w:r w:rsidRPr="006D40F0">
              <w:t>Eksportfinans ASA</w:t>
            </w:r>
          </w:p>
        </w:tc>
        <w:tc>
          <w:tcPr>
            <w:tcW w:w="1240" w:type="dxa"/>
            <w:tcBorders>
              <w:top w:val="nil"/>
              <w:left w:val="nil"/>
              <w:bottom w:val="nil"/>
              <w:right w:val="nil"/>
            </w:tcBorders>
            <w:tcMar>
              <w:top w:w="128" w:type="dxa"/>
              <w:left w:w="43" w:type="dxa"/>
              <w:bottom w:w="43" w:type="dxa"/>
              <w:right w:w="43" w:type="dxa"/>
            </w:tcMar>
            <w:vAlign w:val="bottom"/>
          </w:tcPr>
          <w:p w14:paraId="5F71E429" w14:textId="77777777" w:rsidR="00575AC3" w:rsidRPr="006D40F0" w:rsidRDefault="00575AC3" w:rsidP="006D40F0">
            <w:r w:rsidRPr="006D40F0">
              <w:t>0,0</w:t>
            </w:r>
          </w:p>
        </w:tc>
        <w:tc>
          <w:tcPr>
            <w:tcW w:w="1460" w:type="dxa"/>
            <w:tcBorders>
              <w:top w:val="nil"/>
              <w:left w:val="nil"/>
              <w:bottom w:val="nil"/>
              <w:right w:val="nil"/>
            </w:tcBorders>
            <w:tcMar>
              <w:top w:w="128" w:type="dxa"/>
              <w:left w:w="43" w:type="dxa"/>
              <w:bottom w:w="43" w:type="dxa"/>
              <w:right w:w="43" w:type="dxa"/>
            </w:tcMar>
            <w:vAlign w:val="bottom"/>
          </w:tcPr>
          <w:p w14:paraId="2F4AD821" w14:textId="77777777" w:rsidR="00575AC3" w:rsidRPr="006D40F0" w:rsidRDefault="00575AC3" w:rsidP="006D40F0">
            <w:r w:rsidRPr="006D40F0">
              <w:t>48,0</w:t>
            </w:r>
          </w:p>
        </w:tc>
        <w:tc>
          <w:tcPr>
            <w:tcW w:w="1240" w:type="dxa"/>
            <w:tcBorders>
              <w:top w:val="nil"/>
              <w:left w:val="nil"/>
              <w:bottom w:val="nil"/>
              <w:right w:val="nil"/>
            </w:tcBorders>
            <w:tcMar>
              <w:top w:w="128" w:type="dxa"/>
              <w:left w:w="43" w:type="dxa"/>
              <w:bottom w:w="43" w:type="dxa"/>
              <w:right w:w="43" w:type="dxa"/>
            </w:tcMar>
            <w:vAlign w:val="bottom"/>
          </w:tcPr>
          <w:p w14:paraId="65523EA8" w14:textId="77777777" w:rsidR="00575AC3" w:rsidRPr="006D40F0" w:rsidRDefault="00575AC3" w:rsidP="006D40F0">
            <w:r w:rsidRPr="006D40F0">
              <w:t>48,0</w:t>
            </w:r>
          </w:p>
        </w:tc>
      </w:tr>
      <w:tr w:rsidR="00DD49A7" w:rsidRPr="006D40F0" w14:paraId="68841D5D"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25B0C7E0" w14:textId="77777777" w:rsidR="00575AC3" w:rsidRPr="006D40F0" w:rsidRDefault="00575AC3" w:rsidP="006D40F0">
            <w:r w:rsidRPr="006D40F0">
              <w:t>Flytoget AS</w:t>
            </w:r>
          </w:p>
        </w:tc>
        <w:tc>
          <w:tcPr>
            <w:tcW w:w="1240" w:type="dxa"/>
            <w:tcBorders>
              <w:top w:val="nil"/>
              <w:left w:val="nil"/>
              <w:bottom w:val="nil"/>
              <w:right w:val="nil"/>
            </w:tcBorders>
            <w:tcMar>
              <w:top w:w="128" w:type="dxa"/>
              <w:left w:w="43" w:type="dxa"/>
              <w:bottom w:w="43" w:type="dxa"/>
              <w:right w:w="43" w:type="dxa"/>
            </w:tcMar>
            <w:vAlign w:val="bottom"/>
          </w:tcPr>
          <w:p w14:paraId="09F090C1" w14:textId="77777777" w:rsidR="00575AC3" w:rsidRPr="006D40F0" w:rsidRDefault="00575AC3" w:rsidP="006D40F0">
            <w:r w:rsidRPr="006D40F0">
              <w:t>0,0</w:t>
            </w:r>
          </w:p>
        </w:tc>
        <w:tc>
          <w:tcPr>
            <w:tcW w:w="1460" w:type="dxa"/>
            <w:tcBorders>
              <w:top w:val="nil"/>
              <w:left w:val="nil"/>
              <w:bottom w:val="nil"/>
              <w:right w:val="nil"/>
            </w:tcBorders>
            <w:tcMar>
              <w:top w:w="128" w:type="dxa"/>
              <w:left w:w="43" w:type="dxa"/>
              <w:bottom w:w="43" w:type="dxa"/>
              <w:right w:w="43" w:type="dxa"/>
            </w:tcMar>
            <w:vAlign w:val="bottom"/>
          </w:tcPr>
          <w:p w14:paraId="6CEDEE50" w14:textId="77777777" w:rsidR="00575AC3" w:rsidRPr="006D40F0" w:rsidRDefault="00575AC3" w:rsidP="006D40F0">
            <w:r w:rsidRPr="006D40F0">
              <w:t>0,0</w:t>
            </w:r>
          </w:p>
        </w:tc>
        <w:tc>
          <w:tcPr>
            <w:tcW w:w="1240" w:type="dxa"/>
            <w:tcBorders>
              <w:top w:val="nil"/>
              <w:left w:val="nil"/>
              <w:bottom w:val="nil"/>
              <w:right w:val="nil"/>
            </w:tcBorders>
            <w:tcMar>
              <w:top w:w="128" w:type="dxa"/>
              <w:left w:w="43" w:type="dxa"/>
              <w:bottom w:w="43" w:type="dxa"/>
              <w:right w:w="43" w:type="dxa"/>
            </w:tcMar>
            <w:vAlign w:val="bottom"/>
          </w:tcPr>
          <w:p w14:paraId="7EDC67B9" w14:textId="77777777" w:rsidR="00575AC3" w:rsidRPr="006D40F0" w:rsidRDefault="00575AC3" w:rsidP="006D40F0">
            <w:r w:rsidRPr="006D40F0">
              <w:t>0,0</w:t>
            </w:r>
          </w:p>
        </w:tc>
      </w:tr>
      <w:tr w:rsidR="00DD49A7" w:rsidRPr="006D40F0" w14:paraId="03E10C61"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2F676E0D" w14:textId="77777777" w:rsidR="00575AC3" w:rsidRPr="006D40F0" w:rsidRDefault="00575AC3" w:rsidP="006D40F0">
            <w:proofErr w:type="spellStart"/>
            <w:r w:rsidRPr="006D40F0">
              <w:t>Investinor</w:t>
            </w:r>
            <w:proofErr w:type="spellEnd"/>
            <w:r w:rsidRPr="006D40F0">
              <w:t xml:space="preserve"> AS</w:t>
            </w:r>
          </w:p>
        </w:tc>
        <w:tc>
          <w:tcPr>
            <w:tcW w:w="1240" w:type="dxa"/>
            <w:tcBorders>
              <w:top w:val="nil"/>
              <w:left w:val="nil"/>
              <w:bottom w:val="nil"/>
              <w:right w:val="nil"/>
            </w:tcBorders>
            <w:tcMar>
              <w:top w:w="128" w:type="dxa"/>
              <w:left w:w="43" w:type="dxa"/>
              <w:bottom w:w="43" w:type="dxa"/>
              <w:right w:w="43" w:type="dxa"/>
            </w:tcMar>
            <w:vAlign w:val="bottom"/>
          </w:tcPr>
          <w:p w14:paraId="2DF5A677" w14:textId="77777777" w:rsidR="00575AC3" w:rsidRPr="006D40F0" w:rsidRDefault="00575AC3" w:rsidP="006D40F0">
            <w:r w:rsidRPr="006D40F0">
              <w:t>0,0</w:t>
            </w:r>
          </w:p>
        </w:tc>
        <w:tc>
          <w:tcPr>
            <w:tcW w:w="1460" w:type="dxa"/>
            <w:tcBorders>
              <w:top w:val="nil"/>
              <w:left w:val="nil"/>
              <w:bottom w:val="nil"/>
              <w:right w:val="nil"/>
            </w:tcBorders>
            <w:tcMar>
              <w:top w:w="128" w:type="dxa"/>
              <w:left w:w="43" w:type="dxa"/>
              <w:bottom w:w="43" w:type="dxa"/>
              <w:right w:w="43" w:type="dxa"/>
            </w:tcMar>
            <w:vAlign w:val="bottom"/>
          </w:tcPr>
          <w:p w14:paraId="43FFF07B" w14:textId="77777777" w:rsidR="00575AC3" w:rsidRPr="006D40F0" w:rsidRDefault="00575AC3" w:rsidP="006D40F0">
            <w:r w:rsidRPr="006D40F0">
              <w:t>0,0</w:t>
            </w:r>
          </w:p>
        </w:tc>
        <w:tc>
          <w:tcPr>
            <w:tcW w:w="1240" w:type="dxa"/>
            <w:tcBorders>
              <w:top w:val="nil"/>
              <w:left w:val="nil"/>
              <w:bottom w:val="nil"/>
              <w:right w:val="nil"/>
            </w:tcBorders>
            <w:tcMar>
              <w:top w:w="128" w:type="dxa"/>
              <w:left w:w="43" w:type="dxa"/>
              <w:bottom w:w="43" w:type="dxa"/>
              <w:right w:w="43" w:type="dxa"/>
            </w:tcMar>
            <w:vAlign w:val="bottom"/>
          </w:tcPr>
          <w:p w14:paraId="4CB982F0" w14:textId="77777777" w:rsidR="00575AC3" w:rsidRPr="006D40F0" w:rsidRDefault="00575AC3" w:rsidP="006D40F0">
            <w:r w:rsidRPr="006D40F0">
              <w:t>0,0</w:t>
            </w:r>
          </w:p>
        </w:tc>
      </w:tr>
      <w:tr w:rsidR="00DD49A7" w:rsidRPr="006D40F0" w14:paraId="04056CB2"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6BA49AE2" w14:textId="77777777" w:rsidR="00575AC3" w:rsidRPr="006D40F0" w:rsidRDefault="00575AC3" w:rsidP="006D40F0">
            <w:proofErr w:type="spellStart"/>
            <w:r w:rsidRPr="006D40F0">
              <w:t>Mantena</w:t>
            </w:r>
            <w:proofErr w:type="spellEnd"/>
            <w:r w:rsidRPr="006D40F0">
              <w:t xml:space="preserve"> AS</w:t>
            </w:r>
          </w:p>
        </w:tc>
        <w:tc>
          <w:tcPr>
            <w:tcW w:w="1240" w:type="dxa"/>
            <w:tcBorders>
              <w:top w:val="nil"/>
              <w:left w:val="nil"/>
              <w:bottom w:val="nil"/>
              <w:right w:val="nil"/>
            </w:tcBorders>
            <w:tcMar>
              <w:top w:w="128" w:type="dxa"/>
              <w:left w:w="43" w:type="dxa"/>
              <w:bottom w:w="43" w:type="dxa"/>
              <w:right w:w="43" w:type="dxa"/>
            </w:tcMar>
            <w:vAlign w:val="bottom"/>
          </w:tcPr>
          <w:p w14:paraId="24D6D267" w14:textId="77777777" w:rsidR="00575AC3" w:rsidRPr="006D40F0" w:rsidRDefault="00575AC3" w:rsidP="006D40F0">
            <w:r w:rsidRPr="006D40F0">
              <w:t>0,0</w:t>
            </w:r>
          </w:p>
        </w:tc>
        <w:tc>
          <w:tcPr>
            <w:tcW w:w="1460" w:type="dxa"/>
            <w:tcBorders>
              <w:top w:val="nil"/>
              <w:left w:val="nil"/>
              <w:bottom w:val="nil"/>
              <w:right w:val="nil"/>
            </w:tcBorders>
            <w:tcMar>
              <w:top w:w="128" w:type="dxa"/>
              <w:left w:w="43" w:type="dxa"/>
              <w:bottom w:w="43" w:type="dxa"/>
              <w:right w:w="43" w:type="dxa"/>
            </w:tcMar>
            <w:vAlign w:val="bottom"/>
          </w:tcPr>
          <w:p w14:paraId="60528E76" w14:textId="77777777" w:rsidR="00575AC3" w:rsidRPr="006D40F0" w:rsidRDefault="00575AC3" w:rsidP="006D40F0">
            <w:r w:rsidRPr="006D40F0">
              <w:t>0,0</w:t>
            </w:r>
          </w:p>
        </w:tc>
        <w:tc>
          <w:tcPr>
            <w:tcW w:w="1240" w:type="dxa"/>
            <w:tcBorders>
              <w:top w:val="nil"/>
              <w:left w:val="nil"/>
              <w:bottom w:val="nil"/>
              <w:right w:val="nil"/>
            </w:tcBorders>
            <w:tcMar>
              <w:top w:w="128" w:type="dxa"/>
              <w:left w:w="43" w:type="dxa"/>
              <w:bottom w:w="43" w:type="dxa"/>
              <w:right w:w="43" w:type="dxa"/>
            </w:tcMar>
            <w:vAlign w:val="bottom"/>
          </w:tcPr>
          <w:p w14:paraId="5A3024ED" w14:textId="77777777" w:rsidR="00575AC3" w:rsidRPr="006D40F0" w:rsidRDefault="00575AC3" w:rsidP="006D40F0">
            <w:r w:rsidRPr="006D40F0">
              <w:t>0,0</w:t>
            </w:r>
          </w:p>
        </w:tc>
      </w:tr>
      <w:tr w:rsidR="00DD49A7" w:rsidRPr="006D40F0" w14:paraId="2B3C64D1"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5F279EE9" w14:textId="77777777" w:rsidR="00575AC3" w:rsidRPr="006D40F0" w:rsidRDefault="00575AC3" w:rsidP="006D40F0">
            <w:r w:rsidRPr="006D40F0">
              <w:t>Mesta AS</w:t>
            </w:r>
          </w:p>
        </w:tc>
        <w:tc>
          <w:tcPr>
            <w:tcW w:w="1240" w:type="dxa"/>
            <w:tcBorders>
              <w:top w:val="nil"/>
              <w:left w:val="nil"/>
              <w:bottom w:val="nil"/>
              <w:right w:val="nil"/>
            </w:tcBorders>
            <w:tcMar>
              <w:top w:w="128" w:type="dxa"/>
              <w:left w:w="43" w:type="dxa"/>
              <w:bottom w:w="43" w:type="dxa"/>
              <w:right w:w="43" w:type="dxa"/>
            </w:tcMar>
            <w:vAlign w:val="bottom"/>
          </w:tcPr>
          <w:p w14:paraId="0E083DF8" w14:textId="77777777" w:rsidR="00575AC3" w:rsidRPr="006D40F0" w:rsidRDefault="00575AC3" w:rsidP="006D40F0">
            <w:r w:rsidRPr="006D40F0">
              <w:t>30,0</w:t>
            </w:r>
          </w:p>
        </w:tc>
        <w:tc>
          <w:tcPr>
            <w:tcW w:w="1460" w:type="dxa"/>
            <w:tcBorders>
              <w:top w:val="nil"/>
              <w:left w:val="nil"/>
              <w:bottom w:val="nil"/>
              <w:right w:val="nil"/>
            </w:tcBorders>
            <w:tcMar>
              <w:top w:w="128" w:type="dxa"/>
              <w:left w:w="43" w:type="dxa"/>
              <w:bottom w:w="43" w:type="dxa"/>
              <w:right w:w="43" w:type="dxa"/>
            </w:tcMar>
            <w:vAlign w:val="bottom"/>
          </w:tcPr>
          <w:p w14:paraId="6D3E0717" w14:textId="77777777" w:rsidR="00575AC3" w:rsidRPr="006D40F0" w:rsidRDefault="00575AC3" w:rsidP="006D40F0">
            <w:r w:rsidRPr="006D40F0">
              <w:t>30,0</w:t>
            </w:r>
          </w:p>
        </w:tc>
        <w:tc>
          <w:tcPr>
            <w:tcW w:w="1240" w:type="dxa"/>
            <w:tcBorders>
              <w:top w:val="nil"/>
              <w:left w:val="nil"/>
              <w:bottom w:val="nil"/>
              <w:right w:val="nil"/>
            </w:tcBorders>
            <w:tcMar>
              <w:top w:w="128" w:type="dxa"/>
              <w:left w:w="43" w:type="dxa"/>
              <w:bottom w:w="43" w:type="dxa"/>
              <w:right w:w="43" w:type="dxa"/>
            </w:tcMar>
            <w:vAlign w:val="bottom"/>
          </w:tcPr>
          <w:p w14:paraId="7FA2FFCD" w14:textId="77777777" w:rsidR="00575AC3" w:rsidRPr="006D40F0" w:rsidRDefault="00575AC3" w:rsidP="006D40F0">
            <w:r w:rsidRPr="006D40F0">
              <w:t>0,0</w:t>
            </w:r>
          </w:p>
        </w:tc>
      </w:tr>
      <w:tr w:rsidR="00DD49A7" w:rsidRPr="006D40F0" w14:paraId="7B829A1E"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46F47DD1" w14:textId="77777777" w:rsidR="00575AC3" w:rsidRPr="006D40F0" w:rsidRDefault="00575AC3" w:rsidP="006D40F0">
            <w:r w:rsidRPr="006D40F0">
              <w:t>Nammo AS</w:t>
            </w:r>
          </w:p>
        </w:tc>
        <w:tc>
          <w:tcPr>
            <w:tcW w:w="1240" w:type="dxa"/>
            <w:tcBorders>
              <w:top w:val="nil"/>
              <w:left w:val="nil"/>
              <w:bottom w:val="nil"/>
              <w:right w:val="nil"/>
            </w:tcBorders>
            <w:tcMar>
              <w:top w:w="128" w:type="dxa"/>
              <w:left w:w="43" w:type="dxa"/>
              <w:bottom w:w="43" w:type="dxa"/>
              <w:right w:w="43" w:type="dxa"/>
            </w:tcMar>
            <w:vAlign w:val="bottom"/>
          </w:tcPr>
          <w:p w14:paraId="2C8B973D" w14:textId="77777777" w:rsidR="00575AC3" w:rsidRPr="006D40F0" w:rsidRDefault="00575AC3" w:rsidP="006D40F0">
            <w:r w:rsidRPr="006D40F0">
              <w:t>127,0</w:t>
            </w:r>
          </w:p>
        </w:tc>
        <w:tc>
          <w:tcPr>
            <w:tcW w:w="1460" w:type="dxa"/>
            <w:tcBorders>
              <w:top w:val="nil"/>
              <w:left w:val="nil"/>
              <w:bottom w:val="nil"/>
              <w:right w:val="nil"/>
            </w:tcBorders>
            <w:tcMar>
              <w:top w:w="128" w:type="dxa"/>
              <w:left w:w="43" w:type="dxa"/>
              <w:bottom w:w="43" w:type="dxa"/>
              <w:right w:w="43" w:type="dxa"/>
            </w:tcMar>
            <w:vAlign w:val="bottom"/>
          </w:tcPr>
          <w:p w14:paraId="0235D09C" w14:textId="77777777" w:rsidR="00575AC3" w:rsidRPr="006D40F0" w:rsidRDefault="00575AC3" w:rsidP="006D40F0">
            <w:r w:rsidRPr="006D40F0">
              <w:t>152,3</w:t>
            </w:r>
          </w:p>
        </w:tc>
        <w:tc>
          <w:tcPr>
            <w:tcW w:w="1240" w:type="dxa"/>
            <w:tcBorders>
              <w:top w:val="nil"/>
              <w:left w:val="nil"/>
              <w:bottom w:val="nil"/>
              <w:right w:val="nil"/>
            </w:tcBorders>
            <w:tcMar>
              <w:top w:w="128" w:type="dxa"/>
              <w:left w:w="43" w:type="dxa"/>
              <w:bottom w:w="43" w:type="dxa"/>
              <w:right w:w="43" w:type="dxa"/>
            </w:tcMar>
            <w:vAlign w:val="bottom"/>
          </w:tcPr>
          <w:p w14:paraId="6590B528" w14:textId="77777777" w:rsidR="00575AC3" w:rsidRPr="006D40F0" w:rsidRDefault="00575AC3" w:rsidP="006D40F0">
            <w:r w:rsidRPr="006D40F0">
              <w:t>25,3</w:t>
            </w:r>
          </w:p>
        </w:tc>
      </w:tr>
      <w:tr w:rsidR="00DD49A7" w:rsidRPr="006D40F0" w14:paraId="45A4E981"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5C5F78E4" w14:textId="77777777" w:rsidR="00575AC3" w:rsidRPr="006D40F0" w:rsidRDefault="00575AC3" w:rsidP="006D40F0">
            <w:r w:rsidRPr="006D40F0">
              <w:t>Nysnø Klimainvesteringer AS</w:t>
            </w:r>
          </w:p>
        </w:tc>
        <w:tc>
          <w:tcPr>
            <w:tcW w:w="1240" w:type="dxa"/>
            <w:tcBorders>
              <w:top w:val="nil"/>
              <w:left w:val="nil"/>
              <w:bottom w:val="nil"/>
              <w:right w:val="nil"/>
            </w:tcBorders>
            <w:tcMar>
              <w:top w:w="128" w:type="dxa"/>
              <w:left w:w="43" w:type="dxa"/>
              <w:bottom w:w="43" w:type="dxa"/>
              <w:right w:w="43" w:type="dxa"/>
            </w:tcMar>
            <w:vAlign w:val="bottom"/>
          </w:tcPr>
          <w:p w14:paraId="55ADB6BE" w14:textId="77777777" w:rsidR="00575AC3" w:rsidRPr="006D40F0" w:rsidRDefault="00575AC3" w:rsidP="006D40F0">
            <w:r w:rsidRPr="006D40F0">
              <w:t xml:space="preserve"> 0,0</w:t>
            </w:r>
          </w:p>
        </w:tc>
        <w:tc>
          <w:tcPr>
            <w:tcW w:w="1460" w:type="dxa"/>
            <w:tcBorders>
              <w:top w:val="nil"/>
              <w:left w:val="nil"/>
              <w:bottom w:val="nil"/>
              <w:right w:val="nil"/>
            </w:tcBorders>
            <w:tcMar>
              <w:top w:w="128" w:type="dxa"/>
              <w:left w:w="43" w:type="dxa"/>
              <w:bottom w:w="43" w:type="dxa"/>
              <w:right w:w="43" w:type="dxa"/>
            </w:tcMar>
            <w:vAlign w:val="bottom"/>
          </w:tcPr>
          <w:p w14:paraId="044870CB" w14:textId="77777777" w:rsidR="00575AC3" w:rsidRPr="006D40F0" w:rsidRDefault="00575AC3" w:rsidP="006D40F0">
            <w:r w:rsidRPr="006D40F0">
              <w:t>0,0</w:t>
            </w:r>
          </w:p>
        </w:tc>
        <w:tc>
          <w:tcPr>
            <w:tcW w:w="1240" w:type="dxa"/>
            <w:tcBorders>
              <w:top w:val="nil"/>
              <w:left w:val="nil"/>
              <w:bottom w:val="nil"/>
              <w:right w:val="nil"/>
            </w:tcBorders>
            <w:tcMar>
              <w:top w:w="128" w:type="dxa"/>
              <w:left w:w="43" w:type="dxa"/>
              <w:bottom w:w="43" w:type="dxa"/>
              <w:right w:w="43" w:type="dxa"/>
            </w:tcMar>
            <w:vAlign w:val="bottom"/>
          </w:tcPr>
          <w:p w14:paraId="6A1BC016" w14:textId="77777777" w:rsidR="00575AC3" w:rsidRPr="006D40F0" w:rsidRDefault="00575AC3" w:rsidP="006D40F0">
            <w:r w:rsidRPr="006D40F0">
              <w:t>0,0</w:t>
            </w:r>
          </w:p>
        </w:tc>
      </w:tr>
      <w:tr w:rsidR="00DD49A7" w:rsidRPr="006D40F0" w14:paraId="172603FB"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629EC7B6" w14:textId="77777777" w:rsidR="00575AC3" w:rsidRPr="006D40F0" w:rsidRDefault="00575AC3" w:rsidP="006D40F0">
            <w:r w:rsidRPr="006D40F0">
              <w:lastRenderedPageBreak/>
              <w:t>Posten Bring AS</w:t>
            </w:r>
          </w:p>
        </w:tc>
        <w:tc>
          <w:tcPr>
            <w:tcW w:w="1240" w:type="dxa"/>
            <w:tcBorders>
              <w:top w:val="nil"/>
              <w:left w:val="nil"/>
              <w:bottom w:val="nil"/>
              <w:right w:val="nil"/>
            </w:tcBorders>
            <w:tcMar>
              <w:top w:w="128" w:type="dxa"/>
              <w:left w:w="43" w:type="dxa"/>
              <w:bottom w:w="43" w:type="dxa"/>
              <w:right w:w="43" w:type="dxa"/>
            </w:tcMar>
            <w:vAlign w:val="bottom"/>
          </w:tcPr>
          <w:p w14:paraId="006086C2" w14:textId="77777777" w:rsidR="00575AC3" w:rsidRPr="006D40F0" w:rsidRDefault="00575AC3" w:rsidP="006D40F0">
            <w:r w:rsidRPr="006D40F0">
              <w:t>140,0</w:t>
            </w:r>
          </w:p>
        </w:tc>
        <w:tc>
          <w:tcPr>
            <w:tcW w:w="1460" w:type="dxa"/>
            <w:tcBorders>
              <w:top w:val="nil"/>
              <w:left w:val="nil"/>
              <w:bottom w:val="nil"/>
              <w:right w:val="nil"/>
            </w:tcBorders>
            <w:tcMar>
              <w:top w:w="128" w:type="dxa"/>
              <w:left w:w="43" w:type="dxa"/>
              <w:bottom w:w="43" w:type="dxa"/>
              <w:right w:w="43" w:type="dxa"/>
            </w:tcMar>
            <w:vAlign w:val="bottom"/>
          </w:tcPr>
          <w:p w14:paraId="121E7AB3" w14:textId="77777777" w:rsidR="00575AC3" w:rsidRPr="006D40F0" w:rsidRDefault="00575AC3" w:rsidP="006D40F0">
            <w:r w:rsidRPr="006D40F0">
              <w:t>125,0</w:t>
            </w:r>
          </w:p>
        </w:tc>
        <w:tc>
          <w:tcPr>
            <w:tcW w:w="1240" w:type="dxa"/>
            <w:tcBorders>
              <w:top w:val="nil"/>
              <w:left w:val="nil"/>
              <w:bottom w:val="nil"/>
              <w:right w:val="nil"/>
            </w:tcBorders>
            <w:tcMar>
              <w:top w:w="128" w:type="dxa"/>
              <w:left w:w="43" w:type="dxa"/>
              <w:bottom w:w="43" w:type="dxa"/>
              <w:right w:w="43" w:type="dxa"/>
            </w:tcMar>
            <w:vAlign w:val="bottom"/>
          </w:tcPr>
          <w:p w14:paraId="3655DDAD" w14:textId="77777777" w:rsidR="00575AC3" w:rsidRPr="006D40F0" w:rsidRDefault="00575AC3" w:rsidP="006D40F0">
            <w:r w:rsidRPr="006D40F0">
              <w:t>-15,0</w:t>
            </w:r>
          </w:p>
        </w:tc>
      </w:tr>
      <w:tr w:rsidR="00DD49A7" w:rsidRPr="006D40F0" w14:paraId="69FE7A85" w14:textId="77777777" w:rsidTr="00265CE1">
        <w:trPr>
          <w:trHeight w:val="380"/>
        </w:trPr>
        <w:tc>
          <w:tcPr>
            <w:tcW w:w="5620" w:type="dxa"/>
            <w:tcBorders>
              <w:top w:val="nil"/>
              <w:left w:val="nil"/>
              <w:bottom w:val="nil"/>
              <w:right w:val="nil"/>
            </w:tcBorders>
            <w:tcMar>
              <w:top w:w="128" w:type="dxa"/>
              <w:left w:w="43" w:type="dxa"/>
              <w:bottom w:w="43" w:type="dxa"/>
              <w:right w:w="43" w:type="dxa"/>
            </w:tcMar>
          </w:tcPr>
          <w:p w14:paraId="287380D6" w14:textId="77777777" w:rsidR="00575AC3" w:rsidRPr="006D40F0" w:rsidRDefault="00575AC3" w:rsidP="006D40F0">
            <w:r w:rsidRPr="006D40F0">
              <w:t>Statkraft SF</w:t>
            </w:r>
          </w:p>
        </w:tc>
        <w:tc>
          <w:tcPr>
            <w:tcW w:w="1240" w:type="dxa"/>
            <w:tcBorders>
              <w:top w:val="nil"/>
              <w:left w:val="nil"/>
              <w:bottom w:val="nil"/>
              <w:right w:val="nil"/>
            </w:tcBorders>
            <w:tcMar>
              <w:top w:w="128" w:type="dxa"/>
              <w:left w:w="43" w:type="dxa"/>
              <w:bottom w:w="43" w:type="dxa"/>
              <w:right w:w="43" w:type="dxa"/>
            </w:tcMar>
            <w:vAlign w:val="bottom"/>
          </w:tcPr>
          <w:p w14:paraId="7222649C" w14:textId="77777777" w:rsidR="00575AC3" w:rsidRPr="006D40F0" w:rsidRDefault="00575AC3" w:rsidP="006D40F0">
            <w:r w:rsidRPr="006D40F0">
              <w:t>13 754,0</w:t>
            </w:r>
          </w:p>
        </w:tc>
        <w:tc>
          <w:tcPr>
            <w:tcW w:w="1460" w:type="dxa"/>
            <w:tcBorders>
              <w:top w:val="nil"/>
              <w:left w:val="nil"/>
              <w:bottom w:val="nil"/>
              <w:right w:val="nil"/>
            </w:tcBorders>
            <w:tcMar>
              <w:top w:w="128" w:type="dxa"/>
              <w:left w:w="43" w:type="dxa"/>
              <w:bottom w:w="43" w:type="dxa"/>
              <w:right w:w="43" w:type="dxa"/>
            </w:tcMar>
            <w:vAlign w:val="bottom"/>
          </w:tcPr>
          <w:p w14:paraId="2C7AB0D4" w14:textId="77777777" w:rsidR="00575AC3" w:rsidRPr="006D40F0" w:rsidRDefault="00575AC3" w:rsidP="006D40F0">
            <w:r w:rsidRPr="006D40F0">
              <w:t>13 029,0</w:t>
            </w:r>
          </w:p>
        </w:tc>
        <w:tc>
          <w:tcPr>
            <w:tcW w:w="1240" w:type="dxa"/>
            <w:tcBorders>
              <w:top w:val="nil"/>
              <w:left w:val="nil"/>
              <w:bottom w:val="nil"/>
              <w:right w:val="nil"/>
            </w:tcBorders>
            <w:tcMar>
              <w:top w:w="128" w:type="dxa"/>
              <w:left w:w="43" w:type="dxa"/>
              <w:bottom w:w="43" w:type="dxa"/>
              <w:right w:w="43" w:type="dxa"/>
            </w:tcMar>
            <w:vAlign w:val="bottom"/>
          </w:tcPr>
          <w:p w14:paraId="79DE8E1A" w14:textId="77777777" w:rsidR="00575AC3" w:rsidRPr="006D40F0" w:rsidRDefault="00575AC3" w:rsidP="006D40F0">
            <w:r w:rsidRPr="006D40F0">
              <w:t>-725,0</w:t>
            </w:r>
          </w:p>
        </w:tc>
      </w:tr>
      <w:tr w:rsidR="00DD49A7" w:rsidRPr="006D40F0" w14:paraId="539B49F5" w14:textId="77777777" w:rsidTr="00265CE1">
        <w:trPr>
          <w:trHeight w:val="380"/>
        </w:trPr>
        <w:tc>
          <w:tcPr>
            <w:tcW w:w="5620" w:type="dxa"/>
            <w:tcBorders>
              <w:top w:val="nil"/>
              <w:left w:val="nil"/>
              <w:bottom w:val="single" w:sz="4" w:space="0" w:color="000000"/>
              <w:right w:val="nil"/>
            </w:tcBorders>
            <w:tcMar>
              <w:top w:w="128" w:type="dxa"/>
              <w:left w:w="43" w:type="dxa"/>
              <w:bottom w:w="43" w:type="dxa"/>
              <w:right w:w="43" w:type="dxa"/>
            </w:tcMar>
          </w:tcPr>
          <w:p w14:paraId="62AF42EA" w14:textId="77777777" w:rsidR="00575AC3" w:rsidRPr="006D40F0" w:rsidRDefault="00575AC3" w:rsidP="006D40F0">
            <w:r w:rsidRPr="006D40F0">
              <w:t>Store Norske Spitsbergen Kulkompani AS</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8A6FBD9" w14:textId="77777777" w:rsidR="00575AC3" w:rsidRPr="006D40F0" w:rsidRDefault="00575AC3" w:rsidP="006D40F0">
            <w:r w:rsidRPr="006D40F0">
              <w:t xml:space="preserve"> 0,0</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3918A2CD" w14:textId="77777777" w:rsidR="00575AC3" w:rsidRPr="006D40F0" w:rsidRDefault="00575AC3" w:rsidP="006D40F0">
            <w:r w:rsidRPr="006D40F0">
              <w:t>0,0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12A6CC4" w14:textId="77777777" w:rsidR="00575AC3" w:rsidRPr="006D40F0" w:rsidRDefault="00575AC3" w:rsidP="006D40F0">
            <w:r w:rsidRPr="006D40F0">
              <w:t>0,0</w:t>
            </w:r>
          </w:p>
        </w:tc>
      </w:tr>
      <w:tr w:rsidR="00DD49A7" w:rsidRPr="006D40F0" w14:paraId="21A10C03" w14:textId="77777777" w:rsidTr="00265CE1">
        <w:trPr>
          <w:trHeight w:val="380"/>
        </w:trPr>
        <w:tc>
          <w:tcPr>
            <w:tcW w:w="5620" w:type="dxa"/>
            <w:tcBorders>
              <w:top w:val="single" w:sz="4" w:space="0" w:color="000000"/>
              <w:left w:val="nil"/>
              <w:bottom w:val="single" w:sz="4" w:space="0" w:color="000000"/>
              <w:right w:val="nil"/>
            </w:tcBorders>
            <w:tcMar>
              <w:top w:w="128" w:type="dxa"/>
              <w:left w:w="43" w:type="dxa"/>
              <w:bottom w:w="43" w:type="dxa"/>
              <w:right w:w="43" w:type="dxa"/>
            </w:tcMar>
          </w:tcPr>
          <w:p w14:paraId="07712309" w14:textId="77777777" w:rsidR="00575AC3" w:rsidRPr="006D40F0" w:rsidRDefault="00575AC3" w:rsidP="006D40F0">
            <w:r w:rsidRPr="006D40F0">
              <w:t>Sum</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59C5D9" w14:textId="77777777" w:rsidR="00575AC3" w:rsidRPr="006D40F0" w:rsidRDefault="00575AC3" w:rsidP="006D40F0">
            <w:r w:rsidRPr="006D40F0">
              <w:t>37 673,8</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7C471" w14:textId="77777777" w:rsidR="00575AC3" w:rsidRPr="006D40F0" w:rsidRDefault="00575AC3" w:rsidP="006D40F0">
            <w:r w:rsidRPr="006D40F0">
              <w:t>32 694,4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7D5C8" w14:textId="77777777" w:rsidR="00575AC3" w:rsidRPr="006D40F0" w:rsidRDefault="00575AC3" w:rsidP="006D40F0">
            <w:r w:rsidRPr="006D40F0">
              <w:t>-4 979,4</w:t>
            </w:r>
          </w:p>
        </w:tc>
      </w:tr>
    </w:tbl>
    <w:p w14:paraId="25F0FE5C" w14:textId="77777777" w:rsidR="00575AC3" w:rsidRPr="006D40F0" w:rsidRDefault="00575AC3" w:rsidP="006D40F0">
      <w:r w:rsidRPr="006D40F0">
        <w:t>Bevilgningen foreslås redusert med 4 979,4 mill. kroner.</w:t>
      </w:r>
    </w:p>
    <w:p w14:paraId="295AD867" w14:textId="77777777" w:rsidR="00575AC3" w:rsidRPr="006D40F0" w:rsidRDefault="00575AC3" w:rsidP="006D40F0">
      <w:pPr>
        <w:pStyle w:val="b-budkaptit"/>
      </w:pPr>
      <w:r w:rsidRPr="006D40F0">
        <w:t xml:space="preserve">Kap. 5685 Aksjer i </w:t>
      </w:r>
      <w:proofErr w:type="spellStart"/>
      <w:r w:rsidRPr="006D40F0">
        <w:t>Equinor</w:t>
      </w:r>
      <w:proofErr w:type="spellEnd"/>
      <w:r w:rsidRPr="006D40F0">
        <w:t xml:space="preserve"> ASA</w:t>
      </w:r>
    </w:p>
    <w:p w14:paraId="1D2CBE1D" w14:textId="77777777" w:rsidR="00575AC3" w:rsidRPr="006D40F0" w:rsidRDefault="00575AC3" w:rsidP="006D40F0">
      <w:pPr>
        <w:pStyle w:val="b-post"/>
      </w:pPr>
      <w:r w:rsidRPr="006D40F0">
        <w:t>Post 85 Utbytte</w:t>
      </w:r>
    </w:p>
    <w:p w14:paraId="58861814" w14:textId="77777777" w:rsidR="00575AC3" w:rsidRPr="006D40F0" w:rsidRDefault="00575AC3" w:rsidP="006D40F0">
      <w:proofErr w:type="spellStart"/>
      <w:r w:rsidRPr="006D40F0">
        <w:t>Equinor</w:t>
      </w:r>
      <w:proofErr w:type="spellEnd"/>
      <w:r w:rsidRPr="006D40F0">
        <w:t xml:space="preserve"> utbetaler utbytte fire ganger i året. I løpet av et kalenderår utbetales utbyttet for 3. og 4. kvartal fra foregående kalenderår, samt 1. og 2. kvartal i inneværende kalenderår. Styret fastsetter utbytte for 1. til og med 3. kvartal (etter fullmakt fra generalforsamlingen), generalforsamlingen fastsetter utbyttet for 4. kvartal og året som helhet.</w:t>
      </w:r>
    </w:p>
    <w:p w14:paraId="2B56A44A" w14:textId="77777777" w:rsidR="00575AC3" w:rsidRPr="006D40F0" w:rsidRDefault="00575AC3" w:rsidP="006D40F0">
      <w:proofErr w:type="spellStart"/>
      <w:r w:rsidRPr="006D40F0">
        <w:t>Equinors</w:t>
      </w:r>
      <w:proofErr w:type="spellEnd"/>
      <w:r w:rsidRPr="006D40F0">
        <w:t xml:space="preserve"> utbytte for tredje kvartal 2023 er ordinært utbytte på 0,3 USD per aksje og et ekstraordinært utbytte på 0,6 USD per aksje. </w:t>
      </w:r>
      <w:proofErr w:type="spellStart"/>
      <w:r w:rsidRPr="006D40F0">
        <w:t>Equinors</w:t>
      </w:r>
      <w:proofErr w:type="spellEnd"/>
      <w:r w:rsidRPr="006D40F0">
        <w:t xml:space="preserve"> styre har foreslått et ordinært utbytte for fjerde kvartal 2023 på 0,35 USD per aksje og et ekstraordinært utbytte 0,35 dollar per aksje. Videre har </w:t>
      </w:r>
      <w:proofErr w:type="spellStart"/>
      <w:r w:rsidRPr="006D40F0">
        <w:t>Equinor</w:t>
      </w:r>
      <w:proofErr w:type="spellEnd"/>
      <w:r w:rsidRPr="006D40F0">
        <w:t xml:space="preserve"> signalisert at det vil bli betalt ekstraordinært utbytte på 0,35 dollar per aksje i 1. og 2. kvartal 2024. For budsjettformål legges det til grunn 0,35 USD per aksje i ordinært utbytte og 0,35 USD i ekstraordinært utbytte for 1. og 2. kvartal 2024. Det innebærer et samlet utbytte på 3 USD per aksje til utbetaling i 2024. Med en valutakurs på 10,5 NOK/USD, gir det en utbetaling på om lag 63,4 mrd. kroner i 2023. Anslaget i Saldert budsjett 2024 er om lag 38,3 mrd. kroner.</w:t>
      </w:r>
    </w:p>
    <w:p w14:paraId="35E96960" w14:textId="77777777" w:rsidR="00575AC3" w:rsidRPr="006D40F0" w:rsidRDefault="00575AC3" w:rsidP="006D40F0">
      <w:r w:rsidRPr="006D40F0">
        <w:t>Det foreslås å øke bevilgningen med 25,1 mrd. kroner.</w:t>
      </w:r>
    </w:p>
    <w:p w14:paraId="567C4E15" w14:textId="77777777" w:rsidR="00575AC3" w:rsidRPr="006D40F0" w:rsidRDefault="00575AC3" w:rsidP="006D40F0">
      <w:pPr>
        <w:pStyle w:val="Undertittel"/>
      </w:pPr>
      <w:r w:rsidRPr="006D40F0">
        <w:t>Andre saker</w:t>
      </w:r>
    </w:p>
    <w:p w14:paraId="79CC5D08" w14:textId="77777777" w:rsidR="00575AC3" w:rsidRPr="006D40F0" w:rsidRDefault="00575AC3" w:rsidP="006D40F0">
      <w:pPr>
        <w:pStyle w:val="avsnitt-undertittel"/>
      </w:pPr>
      <w:r w:rsidRPr="006D40F0">
        <w:t xml:space="preserve">Bytte av deltakerandeler mellom SDØE ved </w:t>
      </w:r>
      <w:proofErr w:type="spellStart"/>
      <w:r w:rsidRPr="006D40F0">
        <w:t>Petoro</w:t>
      </w:r>
      <w:proofErr w:type="spellEnd"/>
      <w:r w:rsidRPr="006D40F0">
        <w:t xml:space="preserve"> AS og </w:t>
      </w:r>
      <w:proofErr w:type="spellStart"/>
      <w:r w:rsidRPr="006D40F0">
        <w:t>Equinor</w:t>
      </w:r>
      <w:proofErr w:type="spellEnd"/>
      <w:r w:rsidRPr="006D40F0">
        <w:t xml:space="preserve"> ASA</w:t>
      </w:r>
    </w:p>
    <w:p w14:paraId="301A0134" w14:textId="77777777" w:rsidR="00575AC3" w:rsidRPr="006D40F0" w:rsidRDefault="00575AC3" w:rsidP="006D40F0">
      <w:r w:rsidRPr="006D40F0">
        <w:t xml:space="preserve">Styret i </w:t>
      </w:r>
      <w:proofErr w:type="spellStart"/>
      <w:r w:rsidRPr="006D40F0">
        <w:t>Petoro</w:t>
      </w:r>
      <w:proofErr w:type="spellEnd"/>
      <w:r w:rsidRPr="006D40F0">
        <w:t xml:space="preserve"> fremmet 15. april 2024 et forslag til generalforsamlingen om byttehandel av deltakerandeler mellom staten (Statens direkte økonomiske engasjement) ved </w:t>
      </w:r>
      <w:proofErr w:type="spellStart"/>
      <w:r w:rsidRPr="006D40F0">
        <w:t>Petoro</w:t>
      </w:r>
      <w:proofErr w:type="spellEnd"/>
      <w:r w:rsidRPr="006D40F0">
        <w:t xml:space="preserve"> og </w:t>
      </w:r>
      <w:proofErr w:type="spellStart"/>
      <w:r w:rsidRPr="006D40F0">
        <w:t>Equinor</w:t>
      </w:r>
      <w:proofErr w:type="spellEnd"/>
      <w:r w:rsidRPr="006D40F0">
        <w:t xml:space="preserve">, hovedsakelig på Haltenbanken. I henhold til petroleumslovens kap. 11 skal styret i </w:t>
      </w:r>
      <w:proofErr w:type="spellStart"/>
      <w:r w:rsidRPr="006D40F0">
        <w:t>Petoro</w:t>
      </w:r>
      <w:proofErr w:type="spellEnd"/>
      <w:r w:rsidRPr="006D40F0">
        <w:t xml:space="preserve"> sørge for at deltakerandelene blir undergitt forsvarlig forvaltning i samsvar med forretningsmessige prinsipper, samt vurdere sammensetningen av porteføljen av deltakerandeler og eventuelt fremme forslag til generalforsamlingen om mulige endringer.</w:t>
      </w:r>
    </w:p>
    <w:p w14:paraId="70AD071F" w14:textId="77777777" w:rsidR="00575AC3" w:rsidRPr="006D40F0" w:rsidRDefault="00575AC3" w:rsidP="006D40F0">
      <w:r w:rsidRPr="006D40F0">
        <w:t>Formålet med byttehandelen er å bidra til en likere eierstruktur på Haltenbanken, slik at selskapene oppnår en likere insentivstruktur. Dette kan bidra til bedre ressursutnyttelse og økt verdiskaping. Den foreslåtte transaksjonen innebærer at staten overdrar 21,4 pst. i Heidrun Unit, inkludert 21,4 pst. i Heidrun gasstransport, og 7,5 pst. i utvinningstillatelse 107 D (</w:t>
      </w:r>
      <w:proofErr w:type="spellStart"/>
      <w:r w:rsidRPr="006D40F0">
        <w:t>Noatun</w:t>
      </w:r>
      <w:proofErr w:type="spellEnd"/>
      <w:r w:rsidRPr="006D40F0">
        <w:t xml:space="preserve">) til </w:t>
      </w:r>
      <w:proofErr w:type="spellStart"/>
      <w:r w:rsidRPr="006D40F0">
        <w:t>Equinor</w:t>
      </w:r>
      <w:proofErr w:type="spellEnd"/>
      <w:r w:rsidRPr="006D40F0">
        <w:t xml:space="preserve">. Staten mottar 22,5 pst. i Tyrihans Unit, inkludert 22,5 pst. i Tyrihans rørledning og gassrørledning, 3,7 pst. i Johan Castberg, 9,3 pst. i utvinningstillatelse 124 (Carmen), og 10 pst. </w:t>
      </w:r>
      <w:r w:rsidRPr="006D40F0">
        <w:lastRenderedPageBreak/>
        <w:t xml:space="preserve">i utvinningstillatelse 375 (Beta) fra </w:t>
      </w:r>
      <w:proofErr w:type="spellStart"/>
      <w:r w:rsidRPr="006D40F0">
        <w:t>Equinor</w:t>
      </w:r>
      <w:proofErr w:type="spellEnd"/>
      <w:r w:rsidRPr="006D40F0">
        <w:t>. Andelen i Johan Castberg (Barentshavet) er inkludert for å oppnå verdimessig balanse i transaksjonen. Gjennom bytte av andeler reduseres deler av risikoen knyttet til utviklingen i olje- og gasspriser sammenlignet med kontantvederlag. Avtalen er satt opp til å være verdinøytral og gi en balansert risikoeksponering for staten ved at forholdet mellom olje og gassreserver i hovedsak bevares.</w:t>
      </w:r>
    </w:p>
    <w:p w14:paraId="38F72B4B" w14:textId="77777777" w:rsidR="00575AC3" w:rsidRPr="006D40F0" w:rsidRDefault="00575AC3" w:rsidP="006D40F0">
      <w:proofErr w:type="spellStart"/>
      <w:r w:rsidRPr="006D40F0">
        <w:t>Petoro</w:t>
      </w:r>
      <w:proofErr w:type="spellEnd"/>
      <w:r w:rsidRPr="006D40F0">
        <w:t xml:space="preserve"> og </w:t>
      </w:r>
      <w:proofErr w:type="spellStart"/>
      <w:r w:rsidRPr="006D40F0">
        <w:t>Equinor</w:t>
      </w:r>
      <w:proofErr w:type="spellEnd"/>
      <w:r w:rsidRPr="006D40F0">
        <w:t xml:space="preserve"> har inngått en avtale om ovennevnte transaksjon, og endelig godkjenning av overdragelsen kan vedtas av generalforsamlingen i </w:t>
      </w:r>
      <w:proofErr w:type="spellStart"/>
      <w:r w:rsidRPr="006D40F0">
        <w:t>Petoro</w:t>
      </w:r>
      <w:proofErr w:type="spellEnd"/>
      <w:r w:rsidRPr="006D40F0">
        <w:t xml:space="preserve"> når </w:t>
      </w:r>
      <w:proofErr w:type="spellStart"/>
      <w:r w:rsidRPr="006D40F0">
        <w:t>sStortingets</w:t>
      </w:r>
      <w:proofErr w:type="spellEnd"/>
      <w:r w:rsidRPr="006D40F0">
        <w:t xml:space="preserve"> fullmakt foreligger. Avtalen trer i kraft fra 1. januar 2025 og innebærer at staten ved SDØE kompenserer </w:t>
      </w:r>
      <w:proofErr w:type="spellStart"/>
      <w:r w:rsidRPr="006D40F0">
        <w:t>Equinor</w:t>
      </w:r>
      <w:proofErr w:type="spellEnd"/>
      <w:r w:rsidRPr="006D40F0">
        <w:t xml:space="preserve"> for verdien av skattebalansene. Oppgjøret med </w:t>
      </w:r>
      <w:proofErr w:type="spellStart"/>
      <w:r w:rsidRPr="006D40F0">
        <w:t>Equinor</w:t>
      </w:r>
      <w:proofErr w:type="spellEnd"/>
      <w:r w:rsidRPr="006D40F0">
        <w:t xml:space="preserve"> gjennomføres i 2025, og det vil tas høyde for dette ved utarbeidelsen av SDØE-budsjettet for 2025, jf. kap. 2440 post 30.</w:t>
      </w:r>
    </w:p>
    <w:p w14:paraId="7D44BFF9" w14:textId="77777777" w:rsidR="00575AC3" w:rsidRPr="006D40F0" w:rsidRDefault="00575AC3" w:rsidP="006D40F0">
      <w:r w:rsidRPr="006D40F0">
        <w:t xml:space="preserve">Staten er eier i </w:t>
      </w:r>
      <w:proofErr w:type="spellStart"/>
      <w:r w:rsidRPr="006D40F0">
        <w:t>Petoro</w:t>
      </w:r>
      <w:proofErr w:type="spellEnd"/>
      <w:r w:rsidRPr="006D40F0">
        <w:t xml:space="preserve"> for å ha en god ivaretakelse av SDØE-andelene og slik høste grunnrente fra virksomheten på norsk sokkel. Statens mål som eier er høyest mulig verdi og inntekter fra SDØE. </w:t>
      </w:r>
      <w:proofErr w:type="spellStart"/>
      <w:r w:rsidRPr="006D40F0">
        <w:t>Equinor</w:t>
      </w:r>
      <w:proofErr w:type="spellEnd"/>
      <w:r w:rsidRPr="006D40F0">
        <w:t xml:space="preserve"> og </w:t>
      </w:r>
      <w:proofErr w:type="spellStart"/>
      <w:r w:rsidRPr="006D40F0">
        <w:t>Petoro</w:t>
      </w:r>
      <w:proofErr w:type="spellEnd"/>
      <w:r w:rsidRPr="006D40F0">
        <w:t xml:space="preserve"> forventer betydelige verdiskapingsmuligheter ved å harmonisere eierskap og </w:t>
      </w:r>
      <w:proofErr w:type="gramStart"/>
      <w:r w:rsidRPr="006D40F0">
        <w:t>potensielt</w:t>
      </w:r>
      <w:proofErr w:type="gramEnd"/>
      <w:r w:rsidRPr="006D40F0">
        <w:t xml:space="preserve"> samordne felt som produseres over de samme installasjonene gjennom mer optimal produksjon, billigere og raskere utbygginger og mer effektiv drift. </w:t>
      </w:r>
      <w:proofErr w:type="spellStart"/>
      <w:r w:rsidRPr="006D40F0">
        <w:t>Petoro</w:t>
      </w:r>
      <w:proofErr w:type="spellEnd"/>
      <w:r w:rsidRPr="006D40F0">
        <w:t xml:space="preserve"> har på usikkert grunnlag anslått slike verdiskapingsmuligheter til mellom 1 og 3 mrd. kroner for SDØE.</w:t>
      </w:r>
    </w:p>
    <w:p w14:paraId="5185AA98" w14:textId="77777777" w:rsidR="00575AC3" w:rsidRPr="006D40F0" w:rsidRDefault="00575AC3" w:rsidP="006D40F0">
      <w:r w:rsidRPr="006D40F0">
        <w:t>Pareto Securities har på oppdrag fra Nærings- og fiskeridepartementet bistått med å vurdere de finansielle sidene ved transaksjonen. Pareto vurderer transaksjonen som verdinøytral gjennom et balansert bytteforhold av kontantstrømmer og verdier og at feltene og funnene i bytteforholdet er balansert og med sammenlignbar risikoeksponering. Pareto anbefaler ut fra en kommersiell og finansiell vurdering at staten kan gjennomføre den foreslåtte transaksjonen.</w:t>
      </w:r>
    </w:p>
    <w:p w14:paraId="0FEE5BDE" w14:textId="77777777" w:rsidR="00575AC3" w:rsidRPr="006D40F0" w:rsidRDefault="00575AC3" w:rsidP="006D40F0">
      <w:r w:rsidRPr="006D40F0">
        <w:t>Basert på styrets anbefaling, og i tråd med rådgivers vurdering, mener regjeringen at den foreslåtte transaksjonen bør gjennomføres. Transaksjonen fremstår verdiøkende for SDØE og kan bidra til positive ringvirkninger for ressursforvaltningen på Haltenbanken.</w:t>
      </w:r>
    </w:p>
    <w:p w14:paraId="46471489" w14:textId="77777777" w:rsidR="00575AC3" w:rsidRPr="006D40F0" w:rsidRDefault="00575AC3" w:rsidP="006D40F0">
      <w:r w:rsidRPr="006D40F0">
        <w:t>Omfanget av den skisserte transaksjonen er ikke innenfor Nærings- og fiskeridepartementets fullmakt XXIV («Overdragelse av andeler i utvinningstillatelser») eller XXV («Overdragelse og samordning av andeler i utvinningstillatelser») i Prop. 1 S 2023–2024. På den bakgrunn legger regjeringen saken frem for Stortinget, jf. forslag til romertallsvedtak.</w:t>
      </w:r>
    </w:p>
    <w:p w14:paraId="2FEBB126" w14:textId="77777777" w:rsidR="00575AC3" w:rsidRPr="006D40F0" w:rsidRDefault="00575AC3" w:rsidP="006D40F0">
      <w:pPr>
        <w:pStyle w:val="avsnitt-undertittel"/>
      </w:pPr>
      <w:r w:rsidRPr="006D40F0">
        <w:t>Fullmakt til å pådra staten forpliktelser utover budsjettåret</w:t>
      </w:r>
    </w:p>
    <w:p w14:paraId="7FF7CF6D" w14:textId="77777777" w:rsidR="00575AC3" w:rsidRPr="006D40F0" w:rsidRDefault="00575AC3" w:rsidP="006D40F0">
      <w:proofErr w:type="spellStart"/>
      <w:r w:rsidRPr="006D40F0">
        <w:t>Petoro</w:t>
      </w:r>
      <w:proofErr w:type="spellEnd"/>
      <w:r w:rsidRPr="006D40F0">
        <w:t xml:space="preserve"> får alle sine driftsutgifter dekket gjennom statsbudsjettet, og etter petroleumslovens § 11-3 er staten direkte ansvarlig for alle forpliktelser selskapet pådrar seg.</w:t>
      </w:r>
    </w:p>
    <w:p w14:paraId="60DD7385" w14:textId="77777777" w:rsidR="00575AC3" w:rsidRPr="006D40F0" w:rsidRDefault="00575AC3" w:rsidP="006D40F0">
      <w:r w:rsidRPr="006D40F0">
        <w:t xml:space="preserve">Det foreslås at Nærings- og fiskeridepartementet kan gi tilsagn til </w:t>
      </w:r>
      <w:proofErr w:type="spellStart"/>
      <w:r w:rsidRPr="006D40F0">
        <w:t>Petoro</w:t>
      </w:r>
      <w:proofErr w:type="spellEnd"/>
      <w:r w:rsidRPr="006D40F0">
        <w:t xml:space="preserve"> om tilskudd utover gitte bevilgninger, men slik at samlet ramme for nye tilsagn og gammelt ansvar ikke overstiger 35 mill. kroner, jf. forslag til romertallsvedtak.</w:t>
      </w:r>
    </w:p>
    <w:p w14:paraId="2AA596F3" w14:textId="77777777" w:rsidR="00575AC3" w:rsidRPr="006D40F0" w:rsidRDefault="00575AC3" w:rsidP="006D40F0">
      <w:pPr>
        <w:pStyle w:val="avsnitt-undertittel"/>
      </w:pPr>
      <w:r w:rsidRPr="006D40F0">
        <w:t>Investeringsfondet for Nordvest-Russland og Øst-Europa</w:t>
      </w:r>
    </w:p>
    <w:p w14:paraId="2D9CB5C1" w14:textId="77777777" w:rsidR="00575AC3" w:rsidRPr="006D40F0" w:rsidRDefault="00575AC3" w:rsidP="006D40F0">
      <w:r w:rsidRPr="006D40F0">
        <w:t xml:space="preserve">Under behandlingen av Prop. 118 S (2022–2023) ga Stortinget fullmakt til at Nærings- og fiskeridepartementet i 2023 kan si opp forvaltningsavtalen og forberede avvikling av Investeringsfondet for Nordvest- Russland og Øst-Europa. Innovasjon Norge forvalter eierskapet i fondet på </w:t>
      </w:r>
      <w:r w:rsidRPr="006D40F0">
        <w:lastRenderedPageBreak/>
        <w:t>vegne av staten. Innovasjon Norges avtale med forvalter er sagt opp med virkning fra 28. juni 2024.</w:t>
      </w:r>
    </w:p>
    <w:p w14:paraId="6FF57FE8" w14:textId="77777777" w:rsidR="00575AC3" w:rsidRPr="006D40F0" w:rsidRDefault="00575AC3" w:rsidP="006D40F0">
      <w:r w:rsidRPr="006D40F0">
        <w:t xml:space="preserve">For å følge opp etablerte engasjementer på en forsvarlig måte, foreslår regjeringen å legge ansvaret for avviklingen av fondet til </w:t>
      </w:r>
      <w:proofErr w:type="spellStart"/>
      <w:r w:rsidRPr="006D40F0">
        <w:t>Investinor</w:t>
      </w:r>
      <w:proofErr w:type="spellEnd"/>
      <w:r w:rsidRPr="006D40F0">
        <w:t xml:space="preserve"> AS etter oppsigelsestidens utløp, jf. forslag til romertallsvedtak. Fondet vil bli organisert som et midlertidig datterselskap under </w:t>
      </w:r>
      <w:proofErr w:type="spellStart"/>
      <w:r w:rsidRPr="006D40F0">
        <w:t>Investinor</w:t>
      </w:r>
      <w:proofErr w:type="spellEnd"/>
      <w:r w:rsidRPr="006D40F0">
        <w:t>, hvor tap og gevinster etter at kostnader knyttet til avviklingen av fondet er dekket, tilfaller staten. Regjeringen vil komme tilbake til forslag om bevilgninger som følge av avviklingen.</w:t>
      </w:r>
    </w:p>
    <w:p w14:paraId="3838DC78" w14:textId="77777777" w:rsidR="00575AC3" w:rsidRPr="006D40F0" w:rsidRDefault="00575AC3" w:rsidP="006D40F0">
      <w:pPr>
        <w:pStyle w:val="avsnitt-undertittel"/>
      </w:pPr>
      <w:r w:rsidRPr="006D40F0">
        <w:t>Økt kostnadsramme – Norsk havteknologisenter</w:t>
      </w:r>
    </w:p>
    <w:p w14:paraId="786EC4BA" w14:textId="77777777" w:rsidR="00575AC3" w:rsidRPr="006D40F0" w:rsidRDefault="00575AC3" w:rsidP="006D40F0">
      <w:r w:rsidRPr="006D40F0">
        <w:t>Kostnadsrammen for brukerutstyrsprosjektet for Norsk havteknologisenter er siden oppstart av prosjektet prisjustert basert på SBED-indeksen (Statens bygge- og eiendomsdirektorat-indeks), som normalt brukes til å prisjustere kalkylene og de vedtatte rammene. Prognosesenteret har på oppdrag fra Statsbygg utarbeidet oppdaterte beregninger av prosjektspesifikk prisvekst. Analysen viser at SBED-indeksen ikke har fanget opp den reelle prisveksten i brukerutstyrsprosjektet. Det kan ha sammenheng med blant annet prosjektets egenart.</w:t>
      </w:r>
    </w:p>
    <w:p w14:paraId="4C7E0B4E" w14:textId="77777777" w:rsidR="00575AC3" w:rsidRPr="006D40F0" w:rsidRDefault="00575AC3" w:rsidP="006D40F0">
      <w:r w:rsidRPr="006D40F0">
        <w:t>Prognosesenterets gjennomgang viser at den ekstraordinære prisveksten ut over prisveksten det allerede er kompensert for, utgjør 459 mill. kroner for kostnadsrammen (P50). Dette innebærer en kostnadsøkning som er 9,3 pst. høyere enn lagt til grunn.</w:t>
      </w:r>
    </w:p>
    <w:p w14:paraId="1A84935E" w14:textId="77777777" w:rsidR="00575AC3" w:rsidRPr="006D40F0" w:rsidRDefault="00575AC3" w:rsidP="006D40F0">
      <w:r w:rsidRPr="006D40F0">
        <w:t>Regjeringen foreslår på denne bakgrunn å øke kostnadsrammen for brukerutstyrsprosjektet Norsk havteknologisenter med 459 mill. kroner til 5 376 mill. kroner (prisnivå 1. juli 2024).</w:t>
      </w:r>
    </w:p>
    <w:p w14:paraId="6B16436E" w14:textId="77777777" w:rsidR="00575AC3" w:rsidRPr="006D40F0" w:rsidRDefault="00575AC3" w:rsidP="006D40F0">
      <w:pPr>
        <w:pStyle w:val="avsnitt-undertittel"/>
      </w:pPr>
      <w:r w:rsidRPr="006D40F0">
        <w:t>Konkurransetilsynets undersøkelser av marginer og lønnsomhet i dagligvarebransjen</w:t>
      </w:r>
    </w:p>
    <w:p w14:paraId="5025BB56" w14:textId="77777777" w:rsidR="00575AC3" w:rsidRPr="006D40F0" w:rsidRDefault="00575AC3" w:rsidP="006D40F0">
      <w:r w:rsidRPr="006D40F0">
        <w:t>I Nærings- og fiskeridepartementets Prop. 1 S (2023–2024) fremgår det at Konkurransetilsynet har fått i oppdrag å undersøke prisdannelse, lønnsomhet og marginer i dagligvarebransjen. Undersøkelsene skulle vært gjennomført i løpet av 2023, men har blitt forsinket. Bakgrunnen er blant annet flere forsinkelser i levering av nødvendige data til Konkurransetilsynet fra markedsaktørene, behov for innhenting av informasjon ut over opprinnelige informasjonspålegg samt behov for omfattende bearbeiding og kvalitetssikring av innhentede data. Nærings- og fiskeridepartementet mottok rapporten fra undersøkelsen av lønnsomhet i begynnelsen av mai. Marginrapporten planlegges oversendt innen juni 2024. Arbeidet med undersøkelser av marginer og lønnsomhet prioriteres høyt, og departementet har tett dialog med tilsynet om ferdigstillingen av undersøkelsene.</w:t>
      </w:r>
    </w:p>
    <w:p w14:paraId="5290AD21" w14:textId="77777777" w:rsidR="00575AC3" w:rsidRPr="006D40F0" w:rsidRDefault="00575AC3" w:rsidP="006D40F0">
      <w:pPr>
        <w:pStyle w:val="avsnitt-undertittel"/>
      </w:pPr>
      <w:r w:rsidRPr="006D40F0">
        <w:t xml:space="preserve">Økt tilskudd til drift av fangstsertifikatportalen Catch </w:t>
      </w:r>
      <w:proofErr w:type="spellStart"/>
      <w:r w:rsidRPr="006D40F0">
        <w:t>Certificate</w:t>
      </w:r>
      <w:proofErr w:type="spellEnd"/>
    </w:p>
    <w:p w14:paraId="134EB17E" w14:textId="77777777" w:rsidR="00575AC3" w:rsidRPr="006D40F0" w:rsidRDefault="00575AC3" w:rsidP="006D40F0">
      <w:r w:rsidRPr="006D40F0">
        <w:t xml:space="preserve">Det vises til omtale under kap. 919, post 75 Tilskudd til næringstiltak i fiskeriene i Prop. 1 S (2023–2024) for Nærings- og fiskeridepartementet. Skatteetaten har i en veiledende uttalelse til Nærings- og fiskeridepartementet uttalt at tilskuddet er merverdiavgiftspliktig. Nærings- og fiskeridepartementet vil derfor omdisponere 2,3 mill. kroner av gjeldende bevilgning på posten for å dekke kostnader til utgående merverdiavgift på tilskuddet. Dette innebærer at det foreslås avsatt totalt 7,3 mill. kroner til drift av Catch </w:t>
      </w:r>
      <w:proofErr w:type="spellStart"/>
      <w:r w:rsidRPr="006D40F0">
        <w:t>Certificate</w:t>
      </w:r>
      <w:proofErr w:type="spellEnd"/>
      <w:r w:rsidRPr="006D40F0">
        <w:t xml:space="preserve"> SA i 2024.</w:t>
      </w:r>
    </w:p>
    <w:p w14:paraId="4CFBF4D5" w14:textId="77777777" w:rsidR="00575AC3" w:rsidRPr="006D40F0" w:rsidRDefault="00575AC3" w:rsidP="006D40F0">
      <w:pPr>
        <w:pStyle w:val="avsnitt-undertittel"/>
      </w:pPr>
      <w:r w:rsidRPr="006D40F0">
        <w:lastRenderedPageBreak/>
        <w:t>Videre arbeid med ubåtvraket U-864 utenfor Fedje i </w:t>
      </w:r>
      <w:proofErr w:type="spellStart"/>
      <w:r w:rsidRPr="006D40F0">
        <w:t>Vestland</w:t>
      </w:r>
      <w:proofErr w:type="spellEnd"/>
    </w:p>
    <w:p w14:paraId="78EC62D9" w14:textId="77777777" w:rsidR="00575AC3" w:rsidRPr="006D40F0" w:rsidRDefault="00575AC3" w:rsidP="006D40F0">
      <w:r w:rsidRPr="006D40F0">
        <w:t>Ekspertutvalget som fikk i oppdrag å vurdere og anbefale videre tiltak for ubåtvraket U-864 og kvikksølvforurensningen, leverte sin rapport høsten 2022. Rapporten har vært på høring. Utvalget anbefalte en trinnvis prosess med heving av last etterfulgt av tildekking. Regjeringen har hatt rapporten og høringsinnspillene til behandling. I den videre håndteringen av vraket og kvikksølvforurensningen legger regjeringen til grunn en trinnvis prosess, hvor Kystverket i første omgang skal gjøre undersøkelser for å avklare om det er mulig å hente opp noe av kvikksølvlasten fra vraket. Dersom det er gjennomførbart og økonomisk forsvarlig, skal denne delen av kvikksølvet heves. Vraket og forurenset sjøbunn vil deretter bli dekket til.</w:t>
      </w:r>
    </w:p>
    <w:p w14:paraId="1F990603" w14:textId="77777777" w:rsidR="00575AC3" w:rsidRPr="006D40F0" w:rsidRDefault="00575AC3" w:rsidP="006D40F0">
      <w:pPr>
        <w:pStyle w:val="avsnitt-undertittel"/>
      </w:pPr>
      <w:r w:rsidRPr="006D40F0">
        <w:t xml:space="preserve">Oppfølging av anmodningsvedtak om innsyn i eierskap i norske aksjeselskaper og </w:t>
      </w:r>
      <w:proofErr w:type="spellStart"/>
      <w:r w:rsidRPr="006D40F0">
        <w:t>allmennaksjeselskaper</w:t>
      </w:r>
      <w:proofErr w:type="spellEnd"/>
    </w:p>
    <w:p w14:paraId="4C885936" w14:textId="77777777" w:rsidR="00575AC3" w:rsidRPr="006D40F0" w:rsidRDefault="00575AC3" w:rsidP="006D40F0">
      <w:r w:rsidRPr="006D40F0">
        <w:t xml:space="preserve">Ved behandling av </w:t>
      </w:r>
      <w:proofErr w:type="spellStart"/>
      <w:r w:rsidRPr="006D40F0">
        <w:t>Innst</w:t>
      </w:r>
      <w:proofErr w:type="spellEnd"/>
      <w:r w:rsidRPr="006D40F0">
        <w:t>. 2 S (2023–2024) fattet Stortinget 4. desember 2023 følgende anmodningsvedtak nr. 85 (2023–2024):</w:t>
      </w:r>
    </w:p>
    <w:p w14:paraId="25D34855" w14:textId="77777777" w:rsidR="00575AC3" w:rsidRPr="006D40F0" w:rsidRDefault="00575AC3" w:rsidP="006D40F0">
      <w:pPr>
        <w:pStyle w:val="blokksit"/>
      </w:pPr>
      <w:r w:rsidRPr="006D40F0">
        <w:t xml:space="preserve">«Stortinget ber regjeringen innen revidert budsjett for 2024 gjøre endringer i forskrifter for å bedre innsyn i eierskap til norske aksjeselskaper og </w:t>
      </w:r>
      <w:proofErr w:type="spellStart"/>
      <w:r w:rsidRPr="006D40F0">
        <w:t>allmennaksjeselskaper</w:t>
      </w:r>
      <w:proofErr w:type="spellEnd"/>
      <w:r w:rsidRPr="006D40F0">
        <w:t xml:space="preserve"> og å innen revidert budsjett 2025 komme tilbake til Stortinget med forslag til regelendringer som innebærer at norske aksjeselskaper skal rapportere endringer i eierskap til aksjer på en måte som kan gjøre dem tilgjengelig for allmennheten.»</w:t>
      </w:r>
    </w:p>
    <w:p w14:paraId="358AA4F2" w14:textId="77777777" w:rsidR="00575AC3" w:rsidRPr="006D40F0" w:rsidRDefault="00575AC3" w:rsidP="006D40F0">
      <w:r w:rsidRPr="006D40F0">
        <w:t>Nærings- og fiskeridepartementet sendte i april forslag til endringer i forskrift om innsyn i aksjeeierbøker og aksjeeierregistre samt innsyn i forvalterregistrerte aksjer, på høring. Det tas sikte på å fastsette forskriftsendringer så fort som mulig etter at høringen er gjennomført.</w:t>
      </w:r>
    </w:p>
    <w:p w14:paraId="22E69701" w14:textId="77777777" w:rsidR="00575AC3" w:rsidRPr="006D40F0" w:rsidRDefault="00575AC3" w:rsidP="006D40F0">
      <w:r w:rsidRPr="006D40F0">
        <w:t>I tillegg arbeider Nærings- og fiskeridepartementet med endringer i aksjelovenes regler om innsyn i eierskap. Forslag til endringer vil bli sendt på offentlig høring, med sikte på å fremme forslag for Stortinget så fort som mulig etter at høringen er avsluttet.</w:t>
      </w:r>
    </w:p>
    <w:p w14:paraId="033BD8F5" w14:textId="77777777" w:rsidR="00575AC3" w:rsidRPr="006D40F0" w:rsidRDefault="00575AC3" w:rsidP="006D40F0">
      <w:pPr>
        <w:pStyle w:val="Overskrift2"/>
      </w:pPr>
      <w:r w:rsidRPr="006D40F0">
        <w:t>Landbruks- og matdepartementet</w:t>
      </w:r>
    </w:p>
    <w:p w14:paraId="29FEEF72" w14:textId="77777777" w:rsidR="00575AC3" w:rsidRPr="006D40F0" w:rsidRDefault="00575AC3" w:rsidP="006D40F0">
      <w:pPr>
        <w:pStyle w:val="b-budkaptit"/>
      </w:pPr>
      <w:r w:rsidRPr="006D40F0">
        <w:t>Kap. 1100 Landbruks- og matdepartementet</w:t>
      </w:r>
    </w:p>
    <w:p w14:paraId="3434A3FC" w14:textId="77777777" w:rsidR="00575AC3" w:rsidRPr="006D40F0" w:rsidRDefault="00575AC3" w:rsidP="006D40F0">
      <w:pPr>
        <w:pStyle w:val="b-post"/>
      </w:pPr>
      <w:r w:rsidRPr="006D40F0">
        <w:t>Post 21 Spesielle driftsutgifter, kan overføres</w:t>
      </w:r>
    </w:p>
    <w:p w14:paraId="6283D489" w14:textId="77777777" w:rsidR="00575AC3" w:rsidRPr="006D40F0" w:rsidRDefault="00575AC3" w:rsidP="006D40F0">
      <w:r w:rsidRPr="006D40F0">
        <w:t xml:space="preserve">Landbruks- og matdepartementet har ansvaret for oppfølgingen av statens forpliktelse til å skaffe til veie tilleggsareal for vinterbeite for reindriften i Sør-Fosen og Nord-Fosen </w:t>
      </w:r>
      <w:proofErr w:type="spellStart"/>
      <w:r w:rsidRPr="006D40F0">
        <w:t>sijte</w:t>
      </w:r>
      <w:proofErr w:type="spellEnd"/>
      <w:r w:rsidRPr="006D40F0">
        <w:t>. Valg av areal skal gjøres i samråd med reindriften. Arealet må ha en slik beskaffenhet at det oppfyller kravene i reindriftsloven § 8. Det legges videre opp til en reguleringsprosess for å legge til rette for reindrift i det aktuelle området, og at staten tar ansvar for at det inngås avtaler med berørte grunneiere og rettighetshavere. Det tas sikte på at et eventuelt tilleggsareal skal kunne tas i bruk vintersesongen 2026/2027. Bevilgningen foreslås derfor økt med 2,0 mill. kroner.</w:t>
      </w:r>
    </w:p>
    <w:p w14:paraId="767D6B60" w14:textId="77777777" w:rsidR="00575AC3" w:rsidRPr="006D40F0" w:rsidRDefault="00575AC3" w:rsidP="006D40F0">
      <w:pPr>
        <w:pStyle w:val="b-budkaptit"/>
      </w:pPr>
      <w:r w:rsidRPr="006D40F0">
        <w:lastRenderedPageBreak/>
        <w:t>Kap. 1115 Mattilsynet</w:t>
      </w:r>
    </w:p>
    <w:p w14:paraId="448D3963" w14:textId="77777777" w:rsidR="00575AC3" w:rsidRPr="006D40F0" w:rsidRDefault="00575AC3" w:rsidP="006D40F0">
      <w:pPr>
        <w:pStyle w:val="b-post"/>
      </w:pPr>
      <w:r w:rsidRPr="006D40F0">
        <w:t>Post 01 Driftsutgifter</w:t>
      </w:r>
    </w:p>
    <w:p w14:paraId="78DF5A03" w14:textId="77777777" w:rsidR="00575AC3" w:rsidRPr="006D40F0" w:rsidRDefault="00575AC3" w:rsidP="006D40F0">
      <w:r w:rsidRPr="006D40F0">
        <w:t>For å hindre spredning av afrikansk svinepest til Norge har regjeringen gjort tiltak for å utrydde villsvin i Norge. Godtgjørelse ved felling av villsvin til grunneier og jegere ble økt i 2023. Også godtgjørelsen for melding om funn av påkjørte, syke eller døde villsvin er økt. I tillegg er det prioritert ressurser til informasjonstiltak. I forbindelse med ovennevnte ble det bevilget 1,5 mill. kroner til Mattilsynet i nysalderingen for 2023-budsjettet til tiltak til bekjempelse av villsvin. Helårsvirkning av tiltakene i 2024 utgjør 5,0 mill. kroner. Bevilgningen foreslås økt med 5,0 mill. kroner.</w:t>
      </w:r>
    </w:p>
    <w:p w14:paraId="2B8D1722" w14:textId="77777777" w:rsidR="00575AC3" w:rsidRPr="006D40F0" w:rsidRDefault="00575AC3" w:rsidP="006D40F0">
      <w:pPr>
        <w:pStyle w:val="b-budkaptit"/>
      </w:pPr>
      <w:r w:rsidRPr="006D40F0">
        <w:t>Kap. 1136 Norsk institutt for bioøkonomi</w:t>
      </w:r>
    </w:p>
    <w:p w14:paraId="5EBD3882" w14:textId="77777777" w:rsidR="00575AC3" w:rsidRPr="006D40F0" w:rsidRDefault="00575AC3" w:rsidP="006D40F0">
      <w:pPr>
        <w:pStyle w:val="b-post"/>
      </w:pPr>
      <w:r w:rsidRPr="006D40F0">
        <w:t>Post 50 Kunnskapsutvikling, formidling og beredskap</w:t>
      </w:r>
    </w:p>
    <w:p w14:paraId="1C2DC62B" w14:textId="77777777" w:rsidR="00575AC3" w:rsidRPr="006D40F0" w:rsidRDefault="00575AC3" w:rsidP="006D40F0">
      <w:r w:rsidRPr="006D40F0">
        <w:t>Bevilgningen skal dekke faglig aktivitet som bidrar til at Norsk institutt for bioøkonomi (NIBIO) når målene for virksomheten. Regjeringen la frem en tiltakspakke for reindrift og energi 20. desember 2023. Et av tiltakene er utredning av muligheter for å tilbakeføre områder som tidligere har vært reinbeite, og som nå ikke er i bruk til dette formålet, tilbake til reinbeite. Utredningen skal gjennomføres av Norsk institutt for bioøkonomi (NIBIO). Bevilgningen foreslås derfor økt med 1,0 mill. kroner.</w:t>
      </w:r>
    </w:p>
    <w:p w14:paraId="23182B87" w14:textId="77777777" w:rsidR="00575AC3" w:rsidRPr="006D40F0" w:rsidRDefault="00575AC3" w:rsidP="006D40F0">
      <w:pPr>
        <w:pStyle w:val="b-budkaptit"/>
      </w:pPr>
      <w:r w:rsidRPr="006D40F0">
        <w:t>Kap. 1138 Støtte til organisasjoner m.m.</w:t>
      </w:r>
    </w:p>
    <w:p w14:paraId="714A8D97" w14:textId="77777777" w:rsidR="00575AC3" w:rsidRPr="006D40F0" w:rsidRDefault="00575AC3" w:rsidP="006D40F0">
      <w:pPr>
        <w:pStyle w:val="b-post"/>
      </w:pPr>
      <w:r w:rsidRPr="006D40F0">
        <w:t>Post 70 Støtte til organisasjoner</w:t>
      </w:r>
    </w:p>
    <w:p w14:paraId="5426D8DC" w14:textId="77777777" w:rsidR="00575AC3" w:rsidRPr="006D40F0" w:rsidRDefault="00575AC3" w:rsidP="006D40F0">
      <w:r w:rsidRPr="006D40F0">
        <w:t xml:space="preserve">Bevilgningen foreslås økt med 3,0 mill. kroner til arrangementet </w:t>
      </w:r>
      <w:proofErr w:type="spellStart"/>
      <w:r w:rsidRPr="006D40F0">
        <w:t>Dyrsku’n</w:t>
      </w:r>
      <w:proofErr w:type="spellEnd"/>
      <w:r w:rsidRPr="006D40F0">
        <w:t>. Arrangementet er en viktig, nasjonal samlings- og formidlingsarena for mange som har interesse av norsk matproduksjon, handelsvirksomhet, jordbruk, skogbruk, lokalmat og reiseliv. Arrangementet fremhever dessuten viktige kvaliteter ved norsk landbruk og matproduksjon, og kan dermed stimulere til økt rekruttering til landbruksnæringen.</w:t>
      </w:r>
    </w:p>
    <w:p w14:paraId="715A4543" w14:textId="77777777" w:rsidR="00575AC3" w:rsidRPr="006D40F0" w:rsidRDefault="00575AC3" w:rsidP="006D40F0">
      <w:r w:rsidRPr="006D40F0">
        <w:t>Det tas forbehold om at det kan gis tilskudd etter EØS-avtalens regler for statsstøtte.</w:t>
      </w:r>
    </w:p>
    <w:p w14:paraId="2F201746" w14:textId="77777777" w:rsidR="00575AC3" w:rsidRPr="006D40F0" w:rsidRDefault="00575AC3" w:rsidP="006D40F0">
      <w:pPr>
        <w:pStyle w:val="b-budkaptit"/>
      </w:pPr>
      <w:r w:rsidRPr="006D40F0">
        <w:t>Kap. 1140 Høstbare viltressurser – forvaltning og tilskudd til viltformål (Viltfondet) m.m.</w:t>
      </w:r>
    </w:p>
    <w:p w14:paraId="7D299CB0" w14:textId="77777777" w:rsidR="00575AC3" w:rsidRPr="006D40F0" w:rsidRDefault="00575AC3" w:rsidP="006D40F0">
      <w:pPr>
        <w:pStyle w:val="b-post"/>
      </w:pPr>
      <w:r w:rsidRPr="006D40F0">
        <w:t>Post 21 Spesielle driftsutgifter, kan overføres</w:t>
      </w:r>
    </w:p>
    <w:p w14:paraId="406CF7FC" w14:textId="77777777" w:rsidR="00575AC3" w:rsidRPr="006D40F0" w:rsidRDefault="00575AC3" w:rsidP="006D40F0">
      <w:r w:rsidRPr="006D40F0">
        <w:t>Bevilgningen foreslås redusert med 4,5 mill. kroner grunnet lavere inntekter fra jeger- og fellingsavgifter enn tidligere anslått, jf. omtale under kap. 5576, post 72.</w:t>
      </w:r>
    </w:p>
    <w:p w14:paraId="2F7255B1" w14:textId="77777777" w:rsidR="00575AC3" w:rsidRPr="006D40F0" w:rsidRDefault="00575AC3" w:rsidP="006D40F0">
      <w:pPr>
        <w:pStyle w:val="b-post"/>
      </w:pPr>
      <w:r w:rsidRPr="006D40F0">
        <w:t>Post 71 Tilskudd til viltformål, kan overføres</w:t>
      </w:r>
    </w:p>
    <w:p w14:paraId="504E244B" w14:textId="77777777" w:rsidR="00575AC3" w:rsidRPr="006D40F0" w:rsidRDefault="00575AC3" w:rsidP="006D40F0">
      <w:r w:rsidRPr="006D40F0">
        <w:t>Bevilgningen foreslås redusert med 1,5 mill. kroner grunnet lavere inntekter fra jeger- og fellingsavgifter enn tidligere anslått, jf. omtale under kap. 5576, post 72.</w:t>
      </w:r>
    </w:p>
    <w:p w14:paraId="60D3258A" w14:textId="77777777" w:rsidR="00575AC3" w:rsidRPr="006D40F0" w:rsidRDefault="00575AC3" w:rsidP="006D40F0">
      <w:pPr>
        <w:pStyle w:val="b-budkaptit"/>
      </w:pPr>
      <w:r w:rsidRPr="006D40F0">
        <w:lastRenderedPageBreak/>
        <w:t>Kap. 1142 Landbruksdirektoratet</w:t>
      </w:r>
    </w:p>
    <w:p w14:paraId="1F54063D" w14:textId="77777777" w:rsidR="00575AC3" w:rsidRPr="006D40F0" w:rsidRDefault="00575AC3" w:rsidP="006D40F0">
      <w:pPr>
        <w:pStyle w:val="b-post"/>
      </w:pPr>
      <w:r w:rsidRPr="006D40F0">
        <w:t>Post 01 Driftsutgifter</w:t>
      </w:r>
    </w:p>
    <w:p w14:paraId="7580033C" w14:textId="77777777" w:rsidR="00575AC3" w:rsidRPr="006D40F0" w:rsidRDefault="00575AC3" w:rsidP="006D40F0">
      <w:r w:rsidRPr="006D40F0">
        <w:t>Regjeringen besluttet i mars 2023 at årsverk og oppgaver knyttet til forvaltning av høstbare viltressurser flyttes fra Miljødirektoratet i Trondheim til Landbruksdirektoratet i Steinkjer. Endringen av direktoratsansvaret er planlagt iverksatt fra 1. januar 2025, men medfører omstillingskostnader i 2024, blant annet knyttet til flytting og omlegging av store IKT-systemer. Bevilgningen foreslås økt med 10,0 mill. kroner, mot en tilsvarende reduksjon på kap. 1149, post 73.</w:t>
      </w:r>
    </w:p>
    <w:p w14:paraId="4B091406" w14:textId="77777777" w:rsidR="00575AC3" w:rsidRPr="006D40F0" w:rsidRDefault="00575AC3" w:rsidP="006D40F0">
      <w:r w:rsidRPr="006D40F0">
        <w:t>Fra 1. januar 2023 ble ansvaret for oppfølging av norsk-finsk reingjerdekonvensjon og vedlikehold av grensegjerdene mot Finland og Russland overført fra Statsforvalteren i Troms og Finnmark til Landbruksdirektoratet. Det er satt av 800 000 kroner til denne oppgaven i 2024 på kap. 1142, post 45. Midlene foreslås omdisponert til Landbruksdirektoratets driftsbudsjett post 01.</w:t>
      </w:r>
    </w:p>
    <w:p w14:paraId="36521481" w14:textId="77777777" w:rsidR="00575AC3" w:rsidRPr="006D40F0" w:rsidRDefault="00575AC3" w:rsidP="006D40F0">
      <w:r w:rsidRPr="006D40F0">
        <w:t>Bevilgningen foreslås derfor økt med 10,8 mill. kroner.</w:t>
      </w:r>
    </w:p>
    <w:p w14:paraId="05E9690A" w14:textId="77777777" w:rsidR="00575AC3" w:rsidRPr="006D40F0" w:rsidRDefault="00575AC3" w:rsidP="006D40F0">
      <w:pPr>
        <w:pStyle w:val="b-post"/>
      </w:pPr>
      <w:r w:rsidRPr="006D40F0">
        <w:t>Post 21 Spesielle driftsutgifter – Beredskapslagring av korn</w:t>
      </w:r>
    </w:p>
    <w:p w14:paraId="666F65BE" w14:textId="77777777" w:rsidR="00575AC3" w:rsidRPr="006D40F0" w:rsidRDefault="00575AC3" w:rsidP="006D40F0">
      <w:r w:rsidRPr="006D40F0">
        <w:t>Bevilgningen skal finansiere etablering av beredskapslager for matkorn. Formålet er å bidra til matsikkerhet og redusert sårbarhet ved en ekstraordinær forsyningskrise. Det er knyttet en bestillingsfullmakt til posten på 10,0 mill. kroner, med bakgrunn i at staten inngår kontrakter med flerårige forpliktelser. En mindre del av bevilgningen vil også bli brukt til å dekke administrative kostnader.</w:t>
      </w:r>
    </w:p>
    <w:p w14:paraId="5A9F244E" w14:textId="77777777" w:rsidR="00575AC3" w:rsidRPr="006D40F0" w:rsidRDefault="00575AC3" w:rsidP="006D40F0">
      <w:r w:rsidRPr="006D40F0">
        <w:t>I Prop. 1 S (2023–2024) ble det varslet at arbeidet med å leie lagertjenester og innkjøp av matkorn starter i 2024. Det tas sikte på en oppbygningsplan med innkjøp av inntil 15 000 tonn korn i året. Målet er at det skal være nok korn på lager til tre måneders forbruk innen utløpet av 2029. Tre måneders forbruk tilsvarer om lag 82 500 tonn korn.</w:t>
      </w:r>
    </w:p>
    <w:p w14:paraId="2640AEF6" w14:textId="77777777" w:rsidR="00575AC3" w:rsidRPr="006D40F0" w:rsidRDefault="00575AC3" w:rsidP="006D40F0">
      <w:r w:rsidRPr="006D40F0">
        <w:t>Oppdaterte anslag tilsier at ordningen vil ha en kostnad på om lag 2,7 mrd. 2024-kroner i perioden 2024–2053. Anslaget omfatter i) innkjøp av 82 500 tonn korn i perioden 2024–2029 og ii) lagertjenester for 82 500 tonn korn i perioden 2024–2053. Anslaget tar ikke hensyn til inntekter staten vil få ved salg av korn ved en eventuell avvikling av ordningen etter kontraktenes utløp.</w:t>
      </w:r>
    </w:p>
    <w:p w14:paraId="1A84D90E" w14:textId="77777777" w:rsidR="00575AC3" w:rsidRPr="006D40F0" w:rsidRDefault="00575AC3" w:rsidP="006D40F0">
      <w:r w:rsidRPr="006D40F0">
        <w:t>Den valgte modellen for beredskapslager for matkorn innebærer at det blir inngått langsiktige kontrakter med private aktører om lagertjenester, og at disse aktørene kjøper inn matkorn på vegne av staten. I tjenesten ligger lagring og rullering av korn samt oppbygging av lagerkapasitet.</w:t>
      </w:r>
    </w:p>
    <w:p w14:paraId="75879EB6" w14:textId="77777777" w:rsidR="00575AC3" w:rsidRPr="006D40F0" w:rsidRDefault="00575AC3" w:rsidP="006D40F0">
      <w:r w:rsidRPr="006D40F0">
        <w:t xml:space="preserve">Landbruksdirektoratet utlyste i mars 2024 en anbudskonkurranse om lagertjenester på 15 000 tonn korn med lagring fra 2024 og 15 000 tonn korn fra 2025 (totalt 30 000 tonn korn). Landbruksdirektoratet har tatt forbehold om Stortingets samtykke i anbudsgrunnlaget. De utlyste kontraktene gjelder lagertjenester i 25 år. Kostnadsrammen for kontraktene er satt til 1 mrd. kroner. Driftsoperatørene gir tilbud i mai 2024. Det er lagt opp til at kontraktene skal inngås i slutten av juni 2024, etter at Stortinget har gitt nødvendige fullmakter. Det er lagt opp til at staten kan si opp kontraktene om lagertjenester, mot erstatning tilsvarende positiv kontraktsinteresse (kontraktsverdi). Det er nødvendig å øke bestillingsfullmakten for å inngå kontraktene i 2024. På </w:t>
      </w:r>
      <w:r w:rsidRPr="006D40F0">
        <w:lastRenderedPageBreak/>
        <w:t>bakgrunn av ovennevnte foreslås det å øke bestillingsfullmakten for kap. 1142, post 21, med 990 mill. kroner, til 1 mrd. kroner, jf. forslag til romertallsvedtak.</w:t>
      </w:r>
    </w:p>
    <w:p w14:paraId="6EE0A7E5" w14:textId="77777777" w:rsidR="00575AC3" w:rsidRPr="006D40F0" w:rsidRDefault="00575AC3" w:rsidP="006D40F0">
      <w:r w:rsidRPr="006D40F0">
        <w:t>Regjeringen vil sikre god kostnadskontroll i ordningen og komme tilbake med forslag om videre opptrapping av beredskapslageret på egnet måte. I statsbudsjettet for 2025 vil det fremmes bestillingsfullmakt for kontrakter som Landbruksdirektoratet legger opp til å inngå i 2025.</w:t>
      </w:r>
    </w:p>
    <w:p w14:paraId="3B95FF17" w14:textId="77777777" w:rsidR="00575AC3" w:rsidRPr="006D40F0" w:rsidRDefault="00575AC3" w:rsidP="006D40F0">
      <w:pPr>
        <w:pStyle w:val="avsnitt-undertittel"/>
      </w:pPr>
      <w:r w:rsidRPr="006D40F0">
        <w:t>Om valg av modell for anskaffelse av lagertjenester under beredskapsordningen</w:t>
      </w:r>
    </w:p>
    <w:p w14:paraId="0467FBC9" w14:textId="77777777" w:rsidR="00575AC3" w:rsidRPr="006D40F0" w:rsidRDefault="00575AC3" w:rsidP="006D40F0">
      <w:r w:rsidRPr="006D40F0">
        <w:t>Valgt innretning for beredskapslager for matkorn baserer seg på at staten kjøper lagertjenester hos driftsoperatører i markedet. Modellen er valgt fremfor en løsning der staten bygger og eier lagringskapasiteten. Landbruks- og matdepartementet vurderer det som lite hensiktsmessig og kostnadskrevende at staten er eier av lagerkapasiteten. Det ville krevd at det etableres et administrativt forvaltningsregime for å håndtere drift og vedlikehold av lagerbygg og ansettelse av operatører med kornfaglig kompetanse. I tillegg ville staten fått investeringskostnader knyttet til oppbygning av lagerkapasitet. Lagrene vil dessuten ha liten restverdi for staten dersom beredskapslagring av matkorn avsluttes. Også for driftsoperatørene antas restverdien å være liten, men likevel større enn for staten. Restverdien for driftsoperatørene vil avhenge av hvilken type anlegg de vil bygge og hvilke alternative anvendelser anlegget vil kunne ha. Driftsoperatørene kan også utbedre kapasiteten for å forlenge anleggenes levetid. Anleggenes restverdi antas å være hensyntatt i tilbudene som gis på lagertjenesten.</w:t>
      </w:r>
    </w:p>
    <w:p w14:paraId="24330D1C" w14:textId="77777777" w:rsidR="00575AC3" w:rsidRPr="006D40F0" w:rsidRDefault="00575AC3" w:rsidP="006D40F0">
      <w:r w:rsidRPr="006D40F0">
        <w:t xml:space="preserve">Det er begrenset lagerkapasitet for korn i Norge. For å kunne etablere et beredskapslager for matkorn på tre måneders forbruk, er det behov for å bygge ny lagerkapasitet. Den valgte modellen innebærer å benytte seg av etablert lagerkapasitet. I tillegg skal driftsoperatørene stå for oppbygging av ny lagerkapasitet. Gjennom de langsiktige kontraktene for kjøp av lagringstjenester dekker staten derfor investeringskostnader for oppbygging av ny lagerkapasitet hos driftsoperatørene. Den valgte modellen legger etter Landbruks- og matdepartementets vurdering bedre til rette for en fleksibel og rasjonell håndtering av korn hos driftsoperatørene. Eksempel på dette er at det letter rullering av korn, at kostnadene ved kornhåndtering blir fordelt på et større volum og at lagrene hos driftsoperatørene utnyttes </w:t>
      </w:r>
      <w:proofErr w:type="gramStart"/>
      <w:r w:rsidRPr="006D40F0">
        <w:t>optimalt</w:t>
      </w:r>
      <w:proofErr w:type="gramEnd"/>
      <w:r w:rsidRPr="006D40F0">
        <w:t>.</w:t>
      </w:r>
    </w:p>
    <w:p w14:paraId="558AC2C3" w14:textId="77777777" w:rsidR="00575AC3" w:rsidRPr="006D40F0" w:rsidRDefault="00575AC3" w:rsidP="006D40F0">
      <w:r w:rsidRPr="00575AC3">
        <w:rPr>
          <w:rStyle w:val="kursiv"/>
        </w:rPr>
        <w:t>Instruks om håndtering av bygge- og leiesaker i statlig sivil sektor</w:t>
      </w:r>
      <w:r w:rsidRPr="006D40F0">
        <w:t xml:space="preserve"> regulerer bygge- og leiesaker i statlig sivil sektor. Instruksen gjelder for avtaler om leie av konkrete lokaler og ved byggeprosjekter. Den valgte modellen innebærer at driftsoperatørene konkurrerer om å tilby lagertjenester av matkorn, der konkurransen skal gi staten et tilstrekkelig volum med matkorn i en gitt krisesituasjon. Landbruks- og matdepartementet har vurdert at instruksen ikke kommer til anvendelse siden den valgte modellen innebærer en anskaffelse av en helhetlig tjeneste og ikke leie av et konkret bygg. Staten stiller ikke krav om at kornet skal oppbevares i et konkret bygg når lagertjenesten gjennomføres eller på en særskilt lokasjon, dette innebærer at driftsoperatøren selv velger hvor kornet skal lagres til enhver tid.</w:t>
      </w:r>
    </w:p>
    <w:p w14:paraId="475E99A4" w14:textId="77777777" w:rsidR="00575AC3" w:rsidRPr="006D40F0" w:rsidRDefault="00575AC3" w:rsidP="006D40F0">
      <w:pPr>
        <w:pStyle w:val="b-post"/>
      </w:pPr>
      <w:r w:rsidRPr="006D40F0">
        <w:lastRenderedPageBreak/>
        <w:t>Post 45 Større utstyrsanskaffelser og vedlikehold, kan overføres</w:t>
      </w:r>
    </w:p>
    <w:p w14:paraId="13390A83" w14:textId="77777777" w:rsidR="00575AC3" w:rsidRPr="006D40F0" w:rsidRDefault="00575AC3" w:rsidP="006D40F0">
      <w:r w:rsidRPr="006D40F0">
        <w:t>Posten foreslås redusert med 800 000 kroner mot en tilsvarende økning på kap. 1142, post 01. Omdisponeringen gjelder Landbruksdirektoratets oppgave med vedlikehold av grensegjerdene mot Finland og Russland. Det vises også til omtale på kap. 1142, post 01.</w:t>
      </w:r>
    </w:p>
    <w:p w14:paraId="0E550694" w14:textId="77777777" w:rsidR="00575AC3" w:rsidRPr="006D40F0" w:rsidRDefault="00575AC3" w:rsidP="006D40F0">
      <w:pPr>
        <w:pStyle w:val="b-post"/>
      </w:pPr>
      <w:r w:rsidRPr="006D40F0">
        <w:t>Post 60 Tilskudd til veterinærdekning</w:t>
      </w:r>
    </w:p>
    <w:p w14:paraId="6EEA1E13" w14:textId="77777777" w:rsidR="00575AC3" w:rsidRPr="006D40F0" w:rsidRDefault="00575AC3" w:rsidP="006D40F0">
      <w:r w:rsidRPr="006D40F0">
        <w:t xml:space="preserve">Bevilgningen skal bidra til tilfredsstillende tilgang på tjenester fra dyrehelsepersonell, inkl. tilskudd til veterinærdekning, stimuleringstiltak for tilgang på tjenester i næringssvake distrikter. I 2024 vil 5 mill. kroner av gjeldende bevilgning på posten bli brukt til å gjennomføre et prosjekt med mål om bedre veterinærtjenester i distriktene. Midlene utbetales til Den norske veterinærforening, som har påtatt seg koordinerings- og gjennomføringsansvar for prosjektet. En arbeidsgruppe har på oppdrag fra Landbruks- og matdepartementet utarbeidet rapporten </w:t>
      </w:r>
      <w:r w:rsidRPr="00575AC3">
        <w:rPr>
          <w:rStyle w:val="kursiv"/>
        </w:rPr>
        <w:t>Tilgang på veterinærtjenester i Norge</w:t>
      </w:r>
      <w:r w:rsidRPr="006D40F0">
        <w:t>. Arbeidsgruppen anbefaler en rekke ulike tiltak som kan bidra til å avhjelpe situasjonen. Prosjektet vil følge opp noen sentrale anbefalinger fra rapporten, og bidra til å gi kommuner bedre verktøy i rekruttering av veterinærer.</w:t>
      </w:r>
    </w:p>
    <w:p w14:paraId="2690B597" w14:textId="77777777" w:rsidR="00575AC3" w:rsidRPr="006D40F0" w:rsidRDefault="00575AC3" w:rsidP="006D40F0">
      <w:pPr>
        <w:pStyle w:val="b-post"/>
      </w:pPr>
      <w:r w:rsidRPr="006D40F0">
        <w:t>Post 71 Tiltak for bærekraftig reindrift, kan overføres</w:t>
      </w:r>
    </w:p>
    <w:p w14:paraId="189330E8" w14:textId="77777777" w:rsidR="00575AC3" w:rsidRPr="006D40F0" w:rsidRDefault="00575AC3" w:rsidP="006D40F0">
      <w:r w:rsidRPr="006D40F0">
        <w:t>Regjeringen la frem en tiltakspakke for reindrift og energi 20. desember 2023. Et av tiltakene er å etablere et nasjonalt kontaktforum for reindriften. Det skal gjennomføres årlige møter i kontaktforumet, som arrangeres etter tur i reindriftsfylkene. Forumet skal være en møteplass mellom reindriftsnæringen og myndighetene. Det foreslås at de årlige kostnadene til forumet dekkes over posten.</w:t>
      </w:r>
    </w:p>
    <w:p w14:paraId="61C7FFF5" w14:textId="77777777" w:rsidR="00575AC3" w:rsidRPr="006D40F0" w:rsidRDefault="00575AC3" w:rsidP="006D40F0">
      <w:r w:rsidRPr="006D40F0">
        <w:t>Bevilgningen foreslås økt med 500 000 kroner.</w:t>
      </w:r>
    </w:p>
    <w:p w14:paraId="50B34560" w14:textId="77777777" w:rsidR="00575AC3" w:rsidRPr="006D40F0" w:rsidRDefault="00575AC3" w:rsidP="006D40F0">
      <w:pPr>
        <w:pStyle w:val="b-post"/>
      </w:pPr>
      <w:r w:rsidRPr="006D40F0">
        <w:t>Post 75 Stønad til jordbruks- og veksthusnæringen for ekstraordinære strømutgifter, overslagsbevilgning</w:t>
      </w:r>
    </w:p>
    <w:p w14:paraId="087958E2" w14:textId="77777777" w:rsidR="00575AC3" w:rsidRPr="006D40F0" w:rsidRDefault="00575AC3" w:rsidP="006D40F0">
      <w:r w:rsidRPr="006D40F0">
        <w:t xml:space="preserve">I 2021 ble det opprettet en midlertidig strømstøtteordning for primærprodusenter i jordbruket, veksthusforetak og </w:t>
      </w:r>
      <w:proofErr w:type="spellStart"/>
      <w:r w:rsidRPr="006D40F0">
        <w:t>vanningslag</w:t>
      </w:r>
      <w:proofErr w:type="spellEnd"/>
      <w:r w:rsidRPr="006D40F0">
        <w:t>. Oppdaterte anslag for strømpriser og strømforbruk tilsier at bevilgningsbehovet på posten er lavere enn forventet. Bevilgningen foreslås derfor redusert med 37,5 mill. kroner.</w:t>
      </w:r>
    </w:p>
    <w:p w14:paraId="325383E2" w14:textId="77777777" w:rsidR="00575AC3" w:rsidRPr="006D40F0" w:rsidRDefault="00575AC3" w:rsidP="006D40F0">
      <w:pPr>
        <w:pStyle w:val="b-post"/>
      </w:pPr>
      <w:r w:rsidRPr="006D40F0">
        <w:t>Post 77 Tilskudd til kompensasjon ved avvikling av pelsdyrhold, kan overføres</w:t>
      </w:r>
    </w:p>
    <w:p w14:paraId="48F74E44" w14:textId="77777777" w:rsidR="00575AC3" w:rsidRPr="006D40F0" w:rsidRDefault="00575AC3" w:rsidP="006D40F0">
      <w:r w:rsidRPr="006D40F0">
        <w:t xml:space="preserve">Formålet med bevilgningen er å gi kompensasjon etter avvikling av pelsdyrhold. Det er usikkerhet knyttet til størrelsen på utbetalingene per vedtak og fremdriften for endelig vedtak og utbetaling. Det vil gjenstå utbetalinger i 2025, herunder kompensasjon for </w:t>
      </w:r>
      <w:proofErr w:type="spellStart"/>
      <w:r w:rsidRPr="006D40F0">
        <w:t>riving</w:t>
      </w:r>
      <w:proofErr w:type="spellEnd"/>
      <w:r w:rsidRPr="006D40F0">
        <w:t xml:space="preserve"> og opprydning. Gjeldende tilsagnsfullmakt tilknyttet posten er 250,0 mill. kroner. Landbruksdirektoratet anslår nå et behov for tilsagnsfullmakt på 305,0 mill. kroner i 2024, for utbetaling av kompensasjon i senere år. Tilsagnsfullmakten foreslås derfor økt med 55,0 mill. kroner, jf. forslag til romertallsvedtak.</w:t>
      </w:r>
    </w:p>
    <w:p w14:paraId="52826663" w14:textId="77777777" w:rsidR="00575AC3" w:rsidRPr="006D40F0" w:rsidRDefault="00575AC3" w:rsidP="006D40F0">
      <w:pPr>
        <w:pStyle w:val="b-post"/>
      </w:pPr>
      <w:r w:rsidRPr="006D40F0">
        <w:lastRenderedPageBreak/>
        <w:t>Post 79 (Ny) Tilskudd til reindriften for andel av verdiskaping fra vindkraft</w:t>
      </w:r>
    </w:p>
    <w:p w14:paraId="6F9EBC14" w14:textId="77777777" w:rsidR="00575AC3" w:rsidRPr="006D40F0" w:rsidRDefault="00575AC3" w:rsidP="006D40F0">
      <w:r w:rsidRPr="006D40F0">
        <w:t>I forbindelse med innføring av grunnrenteskatt på landbasert vindkraft ble det i statsbudsjettet for 2024 bestemt at et beløp tilsvarende 0,2 øre/kWh vindkraftproduksjon, skal avsettes til lokale formål som natur, reindrift og eventuelt andre formål som er direkte berørt av arealbruken. Med NVEs produksjonstall for 2022 vil et beløp tilsvarende 0,2 øre/kWh utgjøre 29,6 mill. kroner.</w:t>
      </w:r>
    </w:p>
    <w:p w14:paraId="37A23C7C" w14:textId="77777777" w:rsidR="00575AC3" w:rsidRPr="006D40F0" w:rsidRDefault="00575AC3" w:rsidP="006D40F0">
      <w:r w:rsidRPr="006D40F0">
        <w:t xml:space="preserve">Et av tiltakene i regjeringens tiltakspakke for reindrift og energi som ble lagt frem 20. desember 2023, er at en andel av dette skal komme reindriften til gode. I meklingen mellom Nord-Fosen </w:t>
      </w:r>
      <w:proofErr w:type="spellStart"/>
      <w:r w:rsidRPr="006D40F0">
        <w:t>sijte</w:t>
      </w:r>
      <w:proofErr w:type="spellEnd"/>
      <w:r w:rsidRPr="006D40F0">
        <w:t xml:space="preserve"> og vindkraftselskapet Roan DA, ble det varslet at regjeringen vil foreslå at en andel av verdiskapingen tilsvarende 0,1 øre/kWh skal gå direkte til reindriften, der hvor vindkraftprosjekt medfører negative konsekvenser av betydning for reindriftsvirksomhet. Det ble også varslet at regjeringen ville komme tilbake med nærmere forslag om utforming av ordningen i forbindelse med revidert nasjonalbudsjett 2024.</w:t>
      </w:r>
    </w:p>
    <w:p w14:paraId="65F72634" w14:textId="77777777" w:rsidR="00575AC3" w:rsidRPr="006D40F0" w:rsidRDefault="00575AC3" w:rsidP="006D40F0">
      <w:r w:rsidRPr="006D40F0">
        <w:t xml:space="preserve">Ordningen vil omfatte vindkraftproduksjon fra anlegg som er konsesjonspliktige etter energiloven. Norges vassdrags- og energidirektorat (NVE) vil gjøre årlige beregninger for hvert enkelt vindkraftverk. Forslaget til bevilgning i 2024 er basert på vindkraftproduksjonen i 2022. Tilskuddet skal beregnes på grunnlag av en oversikt over vindkraftverkets geografiske plassering, og en konkret vurdering av hvilke </w:t>
      </w:r>
      <w:proofErr w:type="spellStart"/>
      <w:r w:rsidRPr="006D40F0">
        <w:t>siidaer</w:t>
      </w:r>
      <w:proofErr w:type="spellEnd"/>
      <w:r w:rsidRPr="006D40F0">
        <w:t xml:space="preserve">/reinbeitedistrikter vindkraftverket kan, alene eller sett i sammenheng med andre tiltak, få negative konsekvenser for av betydning. Landbruksdirektoratet skal forvalte ordningen. Midlene skal overføres til distriktsfond eller </w:t>
      </w:r>
      <w:proofErr w:type="spellStart"/>
      <w:r w:rsidRPr="006D40F0">
        <w:t>siidafond</w:t>
      </w:r>
      <w:proofErr w:type="spellEnd"/>
      <w:r w:rsidRPr="006D40F0">
        <w:t>, og disponeres i henhold til vedtektene for de respektive fondene.</w:t>
      </w:r>
    </w:p>
    <w:p w14:paraId="55818BD4" w14:textId="77777777" w:rsidR="00575AC3" w:rsidRPr="006D40F0" w:rsidRDefault="00575AC3" w:rsidP="006D40F0">
      <w:r w:rsidRPr="006D40F0">
        <w:t>Det foreslås en bevilgning på 10,0 mill. kroner i 2024.</w:t>
      </w:r>
    </w:p>
    <w:p w14:paraId="65DE3647" w14:textId="77777777" w:rsidR="00575AC3" w:rsidRPr="006D40F0" w:rsidRDefault="00575AC3" w:rsidP="006D40F0">
      <w:pPr>
        <w:pStyle w:val="b-budkaptit"/>
      </w:pPr>
      <w:r w:rsidRPr="006D40F0">
        <w:t>Kap. 1149 Verdiskapings- og utviklingstiltak i landbruket</w:t>
      </w:r>
    </w:p>
    <w:p w14:paraId="18D54213" w14:textId="77777777" w:rsidR="00575AC3" w:rsidRPr="006D40F0" w:rsidRDefault="00575AC3" w:rsidP="006D40F0">
      <w:pPr>
        <w:pStyle w:val="b-post"/>
      </w:pPr>
      <w:r w:rsidRPr="006D40F0">
        <w:t>Post 73 Tilskudd til skog-, klima – og energitiltak, kan overføres</w:t>
      </w:r>
    </w:p>
    <w:p w14:paraId="4854852E" w14:textId="77777777" w:rsidR="00575AC3" w:rsidRPr="006D40F0" w:rsidRDefault="00575AC3" w:rsidP="006D40F0">
      <w:r w:rsidRPr="006D40F0">
        <w:t>Bevilgningen skal dekke tilskudd til skog, klima- og energitiltak. Posten foreslås redusert med 10,0 mill. kroner mot en tilsvarende økning på kap. 1142, post 01, til dekning av omstillingskostnader knyttet til endret direktoratsansvar for høstbare viltressurser, jf. omtale under kap. 1142, post 01.</w:t>
      </w:r>
    </w:p>
    <w:p w14:paraId="6D860AFA" w14:textId="77777777" w:rsidR="00575AC3" w:rsidRPr="006D40F0" w:rsidRDefault="00575AC3" w:rsidP="006D40F0">
      <w:pPr>
        <w:pStyle w:val="b-budkaptit"/>
      </w:pPr>
      <w:r w:rsidRPr="006D40F0">
        <w:t>Kap. 1150 Til gjennomføring av jordbruksavtalen m.m.</w:t>
      </w:r>
    </w:p>
    <w:p w14:paraId="4A600DC8" w14:textId="77777777" w:rsidR="00575AC3" w:rsidRPr="006D40F0" w:rsidRDefault="00575AC3" w:rsidP="006D40F0">
      <w:pPr>
        <w:pStyle w:val="b-post"/>
      </w:pPr>
      <w:r w:rsidRPr="006D40F0">
        <w:t>Post 71 Tilskudd ved produksjonssvikt, overslagsbevilgning</w:t>
      </w:r>
    </w:p>
    <w:p w14:paraId="61FDA053" w14:textId="77777777" w:rsidR="00575AC3" w:rsidRPr="006D40F0" w:rsidRDefault="00575AC3" w:rsidP="006D40F0">
      <w:r w:rsidRPr="006D40F0">
        <w:t>Tilskuddsordningen ved produksjonssvikt skal redusere økonomiske tap som oppstår ved produksjonssvikt knyttet til plante- og honningproduksjon forårsaket av klimatiske forhold. Omfanget av søknader om erstatning er stort i 2024, som følge av tørke, flom og store nedbørsmengder i 2023. En stor andel innvilgede søknader fra 2023, kommer først til utbetaling i 2024. Oppdaterte anslag for utbetalinger i 2024 er 800,1 mill. kroner. Prognosen er beregnet med grunnlag i innvilgede søknader og utbetalinger for allerede behandlede søknader fra skadeåret 2023. Prognosen er mer usikker enn normalt på grunn av antallet ubehandlede saker, tidligere forskuddsutbetalinger med grunnlag i gamle satser, samt endret forskuddsandel underveis i vekstsesongen.</w:t>
      </w:r>
    </w:p>
    <w:p w14:paraId="59FC74DB" w14:textId="77777777" w:rsidR="00575AC3" w:rsidRPr="006D40F0" w:rsidRDefault="00575AC3" w:rsidP="006D40F0">
      <w:r w:rsidRPr="006D40F0">
        <w:t>Bevilgningen foreslås økt med 697,7 mill. kroner.</w:t>
      </w:r>
    </w:p>
    <w:p w14:paraId="451BD431" w14:textId="77777777" w:rsidR="00575AC3" w:rsidRPr="006D40F0" w:rsidRDefault="00575AC3" w:rsidP="006D40F0">
      <w:pPr>
        <w:pStyle w:val="b-budkaptit"/>
      </w:pPr>
      <w:r w:rsidRPr="006D40F0">
        <w:lastRenderedPageBreak/>
        <w:t>Kap. 1152 Bionova</w:t>
      </w:r>
    </w:p>
    <w:p w14:paraId="57A84573" w14:textId="77777777" w:rsidR="00575AC3" w:rsidRPr="006D40F0" w:rsidRDefault="00575AC3" w:rsidP="006D40F0">
      <w:pPr>
        <w:pStyle w:val="b-post"/>
      </w:pPr>
      <w:r w:rsidRPr="006D40F0">
        <w:t>Post 70 Tilskudd til bioøkonomi og klimatiltak i jordbruket, kan overføres</w:t>
      </w:r>
    </w:p>
    <w:p w14:paraId="6D7D2AF6" w14:textId="77777777" w:rsidR="00575AC3" w:rsidRPr="006D40F0" w:rsidRDefault="00575AC3" w:rsidP="006D40F0">
      <w:r w:rsidRPr="006D40F0">
        <w:t xml:space="preserve">Bionova skal bidra til reduserte klimagassutslipp og økt karbonopptak og -lagring. Tilskudd gis i hovedsak til prosjekter innen bioøkonomi og klimatiltak i jordbruket. Utbetalingstakten er usikker og styres i stor grad av fremdriften i prosjektene. Siste </w:t>
      </w:r>
      <w:proofErr w:type="spellStart"/>
      <w:r w:rsidRPr="006D40F0">
        <w:t>tilskuddsutbetaling</w:t>
      </w:r>
      <w:proofErr w:type="spellEnd"/>
      <w:r w:rsidRPr="006D40F0">
        <w:t xml:space="preserve"> til prosjekter fra ordningen skjer normalt ett til tre år etter tilsagn er gitt. Det vil kunne oppstå forsinkelser i prosjekter og utbetalingstakten kan være usikker. Det foreslås derfor at post 70 tilføyes stikkordet «</w:t>
      </w:r>
      <w:r w:rsidRPr="00575AC3">
        <w:rPr>
          <w:rStyle w:val="kursiv"/>
        </w:rPr>
        <w:t>kan overføres»</w:t>
      </w:r>
      <w:r w:rsidRPr="006D40F0">
        <w:t>, jf. forslag til romertallsvedtak.</w:t>
      </w:r>
    </w:p>
    <w:p w14:paraId="75E60591" w14:textId="77777777" w:rsidR="00575AC3" w:rsidRPr="006D40F0" w:rsidRDefault="00575AC3" w:rsidP="006D40F0">
      <w:pPr>
        <w:pStyle w:val="b-budkaptit"/>
      </w:pPr>
      <w:r w:rsidRPr="006D40F0">
        <w:t>Kap. 5576 Sektoravgifter under Landbruks- og matdepartementet</w:t>
      </w:r>
    </w:p>
    <w:p w14:paraId="14708297" w14:textId="77777777" w:rsidR="00575AC3" w:rsidRPr="006D40F0" w:rsidRDefault="00575AC3" w:rsidP="006D40F0">
      <w:pPr>
        <w:pStyle w:val="b-post"/>
      </w:pPr>
      <w:r w:rsidRPr="006D40F0">
        <w:t>Post 72 Jeger- og fellingsavgifter</w:t>
      </w:r>
    </w:p>
    <w:p w14:paraId="3B4E9886" w14:textId="77777777" w:rsidR="00575AC3" w:rsidRPr="006D40F0" w:rsidRDefault="00575AC3" w:rsidP="006D40F0">
      <w:r w:rsidRPr="006D40F0">
        <w:t>Posten gjelder jeger- og fellingsavgifter som blir innbetalt til Viltfondet. Som følge av reduserte inntektsanslag foreslås det å redusere bevilgningen med 6,0 mill. kroner. Utgiftene under kap. 1140, post 21 og 71, reduseres tilsvarende, jf. omtale under kap. 1140.</w:t>
      </w:r>
    </w:p>
    <w:p w14:paraId="513E12F6" w14:textId="77777777" w:rsidR="00575AC3" w:rsidRPr="006D40F0" w:rsidRDefault="00575AC3" w:rsidP="006D40F0">
      <w:pPr>
        <w:pStyle w:val="b-budkaptit"/>
      </w:pPr>
      <w:r w:rsidRPr="006D40F0">
        <w:t>Kap. 5652 Statskog SF – renter og utbytte</w:t>
      </w:r>
    </w:p>
    <w:p w14:paraId="556A4FBE" w14:textId="77777777" w:rsidR="00575AC3" w:rsidRPr="006D40F0" w:rsidRDefault="00575AC3" w:rsidP="006D40F0">
      <w:pPr>
        <w:pStyle w:val="b-post"/>
      </w:pPr>
      <w:r w:rsidRPr="006D40F0">
        <w:t>Post 85 Utbytte</w:t>
      </w:r>
    </w:p>
    <w:p w14:paraId="6A8206D6" w14:textId="77777777" w:rsidR="00575AC3" w:rsidRPr="006D40F0" w:rsidRDefault="00575AC3" w:rsidP="006D40F0">
      <w:r w:rsidRPr="006D40F0">
        <w:t>Utbytte fra Statskog SF for 2023 er satt til 75 pst. av årsresultatet etter skatt, jf. Prop. 1 S (2023–2024) for Landbruks- og matdepartementet. Årsregnskapet for 2023 viser et resultat etter skatt på 244,1 mill. kroner.</w:t>
      </w:r>
    </w:p>
    <w:p w14:paraId="194D1F47" w14:textId="77777777" w:rsidR="00575AC3" w:rsidRPr="006D40F0" w:rsidRDefault="00575AC3" w:rsidP="006D40F0">
      <w:r w:rsidRPr="006D40F0">
        <w:t>Bevilgningen foreslås økt med 160,1 mill. kroner, til 183,1 mill. kroner.</w:t>
      </w:r>
    </w:p>
    <w:p w14:paraId="3EB5B0F9" w14:textId="77777777" w:rsidR="00575AC3" w:rsidRPr="006D40F0" w:rsidRDefault="00575AC3" w:rsidP="006D40F0">
      <w:pPr>
        <w:pStyle w:val="Undertittel"/>
      </w:pPr>
      <w:r w:rsidRPr="006D40F0">
        <w:t>Andre saker</w:t>
      </w:r>
    </w:p>
    <w:p w14:paraId="5B53138D" w14:textId="77777777" w:rsidR="00575AC3" w:rsidRPr="006D40F0" w:rsidRDefault="00575AC3" w:rsidP="006D40F0">
      <w:pPr>
        <w:pStyle w:val="avsnitt-undertittel"/>
      </w:pPr>
      <w:r w:rsidRPr="006D40F0">
        <w:t>Gebyrinntekter under Mattilsynet</w:t>
      </w:r>
    </w:p>
    <w:p w14:paraId="1D21F2EC" w14:textId="77777777" w:rsidR="00575AC3" w:rsidRPr="006D40F0" w:rsidRDefault="00575AC3" w:rsidP="006D40F0">
      <w:r w:rsidRPr="006D40F0">
        <w:t>Det legges opp til å sende på høring et forslag om endring av enkelte gebyrer i Mattilsynet. Dette gjelder i hovedsak gebyr knyttet til tilsyn med akvakultur. Det nye gebyrsystemet skal bidra til effektivisering, forenkling og økt forutsigbarhet både for Mattilsynet og relevante brukere.</w:t>
      </w:r>
    </w:p>
    <w:p w14:paraId="3A711463" w14:textId="77777777" w:rsidR="00575AC3" w:rsidRPr="006D40F0" w:rsidRDefault="00575AC3" w:rsidP="006D40F0">
      <w:pPr>
        <w:pStyle w:val="Overskrift2"/>
      </w:pPr>
      <w:r w:rsidRPr="006D40F0">
        <w:t>Samferdselsdepartementet</w:t>
      </w:r>
    </w:p>
    <w:p w14:paraId="1F27ECD6" w14:textId="77777777" w:rsidR="00575AC3" w:rsidRPr="006D40F0" w:rsidRDefault="00575AC3" w:rsidP="006D40F0">
      <w:pPr>
        <w:pStyle w:val="b-budkaptit"/>
      </w:pPr>
      <w:r w:rsidRPr="006D40F0">
        <w:t>Kap. 1300 Samferdselsdepartementet</w:t>
      </w:r>
    </w:p>
    <w:p w14:paraId="59B5A389" w14:textId="77777777" w:rsidR="00575AC3" w:rsidRPr="006D40F0" w:rsidRDefault="00575AC3" w:rsidP="006D40F0">
      <w:pPr>
        <w:pStyle w:val="b-post"/>
      </w:pPr>
      <w:r w:rsidRPr="006D40F0">
        <w:t>Post 01 Driftsutgifter</w:t>
      </w:r>
    </w:p>
    <w:p w14:paraId="284F97C9" w14:textId="77777777" w:rsidR="00575AC3" w:rsidRPr="006D40F0" w:rsidRDefault="00575AC3" w:rsidP="006D40F0">
      <w:r w:rsidRPr="006D40F0">
        <w:t>Bevilgningen på posten foreslås økt med 6 mill. kroner.</w:t>
      </w:r>
    </w:p>
    <w:p w14:paraId="107ECBC5" w14:textId="77777777" w:rsidR="00575AC3" w:rsidRPr="006D40F0" w:rsidRDefault="00575AC3" w:rsidP="006D40F0">
      <w:r w:rsidRPr="006D40F0">
        <w:t xml:space="preserve">I forbindelse med prosessen med å følge opp den økonomiske situasjonen i Avinor AS gjennomføres det en selskapsgjennomgang som omfatter en strategisk, finansiell og </w:t>
      </w:r>
      <w:proofErr w:type="spellStart"/>
      <w:r w:rsidRPr="006D40F0">
        <w:t>styringsmessig</w:t>
      </w:r>
      <w:proofErr w:type="spellEnd"/>
      <w:r w:rsidRPr="006D40F0">
        <w:t xml:space="preserve"> </w:t>
      </w:r>
      <w:r w:rsidRPr="006D40F0">
        <w:lastRenderedPageBreak/>
        <w:t xml:space="preserve">gjennomgang av selskapets virksomhet. Samlet ramme for oppdraget er anslått til 6 mill. kroner. Deler av bevilgningsøkningen dekkes inn ved reduksjon av kap. 1301, post 21 Utredninger </w:t>
      </w:r>
      <w:proofErr w:type="gramStart"/>
      <w:r w:rsidRPr="006D40F0">
        <w:t>vedrørende</w:t>
      </w:r>
      <w:proofErr w:type="gramEnd"/>
      <w:r w:rsidRPr="006D40F0">
        <w:t xml:space="preserve"> miljø, trafikksikkerhet mv.</w:t>
      </w:r>
    </w:p>
    <w:p w14:paraId="6B5BFE8F" w14:textId="77777777" w:rsidR="00575AC3" w:rsidRPr="006D40F0" w:rsidRDefault="00575AC3" w:rsidP="006D40F0">
      <w:pPr>
        <w:pStyle w:val="b-budkaptit"/>
      </w:pPr>
      <w:r w:rsidRPr="006D40F0">
        <w:t>Kap. 1301 Forskning og utvikling mv.</w:t>
      </w:r>
    </w:p>
    <w:p w14:paraId="4341A46B" w14:textId="77777777" w:rsidR="00575AC3" w:rsidRPr="006D40F0" w:rsidRDefault="00575AC3" w:rsidP="006D40F0">
      <w:pPr>
        <w:pStyle w:val="b-post"/>
      </w:pPr>
      <w:r w:rsidRPr="006D40F0">
        <w:t xml:space="preserve">Post 21 Utredninger </w:t>
      </w:r>
      <w:proofErr w:type="gramStart"/>
      <w:r w:rsidRPr="006D40F0">
        <w:t>vedrørende</w:t>
      </w:r>
      <w:proofErr w:type="gramEnd"/>
      <w:r w:rsidRPr="006D40F0">
        <w:t xml:space="preserve"> miljø, trafikksikkerhet mv.</w:t>
      </w:r>
    </w:p>
    <w:p w14:paraId="484D6913" w14:textId="77777777" w:rsidR="00575AC3" w:rsidRPr="006D40F0" w:rsidRDefault="00575AC3" w:rsidP="006D40F0">
      <w:r w:rsidRPr="006D40F0">
        <w:t>Det foreslås å redusere bevilgningen på posten med 2 mill. kroner, som delvis inndekning av foreslått økning på kap. 1300, post 01 Driftsutgifter.</w:t>
      </w:r>
    </w:p>
    <w:p w14:paraId="5CC4CD53" w14:textId="77777777" w:rsidR="00575AC3" w:rsidRPr="006D40F0" w:rsidRDefault="00575AC3" w:rsidP="006D40F0">
      <w:pPr>
        <w:pStyle w:val="b-post"/>
      </w:pPr>
      <w:r w:rsidRPr="006D40F0">
        <w:t>Post 50 Norges forskningsråd mv., kan overføres</w:t>
      </w:r>
    </w:p>
    <w:p w14:paraId="0505D7AD" w14:textId="77777777" w:rsidR="00575AC3" w:rsidRPr="006D40F0" w:rsidRDefault="00575AC3" w:rsidP="006D40F0">
      <w:r w:rsidRPr="006D40F0">
        <w:t>Det foreslås å redusere bevilgningen på posten med 2 mill. kroner, mot tilsvarende økning under Kunnskapsdepartementets kap. 285 Norges forskningsråd, post 55 Virksomhetskostnader. Midlene skal dekke utgifter til oppdrag som Samferdselsdepartementet har gitt Forskningsrådet for å følge opp tiltak i Nasjonal transportplan 2025–2036.</w:t>
      </w:r>
    </w:p>
    <w:p w14:paraId="4C2FB840" w14:textId="77777777" w:rsidR="00575AC3" w:rsidRPr="006D40F0" w:rsidRDefault="00575AC3" w:rsidP="006D40F0">
      <w:pPr>
        <w:pStyle w:val="b-budkaptit"/>
      </w:pPr>
      <w:r w:rsidRPr="006D40F0">
        <w:t>Kap. 4300 Samferdselsdepartementet</w:t>
      </w:r>
    </w:p>
    <w:p w14:paraId="5DBC5620" w14:textId="77777777" w:rsidR="00575AC3" w:rsidRPr="006D40F0" w:rsidRDefault="00575AC3" w:rsidP="006D40F0">
      <w:pPr>
        <w:pStyle w:val="b-post"/>
      </w:pPr>
      <w:r w:rsidRPr="006D40F0">
        <w:t>Post 85 (Ny) Overtredelsesgebyr for utslipp fra nye kjøretøy</w:t>
      </w:r>
    </w:p>
    <w:p w14:paraId="1D40F287" w14:textId="77777777" w:rsidR="00575AC3" w:rsidRPr="006D40F0" w:rsidRDefault="00575AC3" w:rsidP="006D40F0">
      <w:r w:rsidRPr="006D40F0">
        <w:t>Det foreslås å bevilge 110 mill. kroner på ny post 85 Overtredelsesgebyr for utslipp fra nye kjøretøy.</w:t>
      </w:r>
    </w:p>
    <w:p w14:paraId="5FA4E3E8" w14:textId="77777777" w:rsidR="00575AC3" w:rsidRPr="006D40F0" w:rsidRDefault="00575AC3" w:rsidP="006D40F0">
      <w:r w:rsidRPr="006D40F0">
        <w:t>EU krever inn gebyr ved et for høyt gjennomsnittlig CO</w:t>
      </w:r>
      <w:r w:rsidRPr="00575AC3">
        <w:rPr>
          <w:rStyle w:val="skrift-senket"/>
        </w:rPr>
        <w:t>2</w:t>
      </w:r>
      <w:r w:rsidRPr="006D40F0">
        <w:t>-utslipp fra den enkelte bilfabrikants samlede nyregistrerte kjøretøypark, jf. forordning (EU) (2019/631) om ytelsesstandarder for CO</w:t>
      </w:r>
      <w:r w:rsidRPr="00575AC3">
        <w:rPr>
          <w:rStyle w:val="skrift-senket"/>
        </w:rPr>
        <w:t>2</w:t>
      </w:r>
      <w:r w:rsidRPr="006D40F0">
        <w:t xml:space="preserve">-utslipp for nye kjøretøy. Gebyrene er knyttet til nye personbiler og lette nyttekjøretøy. Forordningen er innlemmet i norsk rett. En forholdsmessig andel av gebyrene som betales til EU-kommisjonen, tilfaller Norge via </w:t>
      </w:r>
      <w:proofErr w:type="spellStart"/>
      <w:r w:rsidRPr="006D40F0">
        <w:t>EFTAs</w:t>
      </w:r>
      <w:proofErr w:type="spellEnd"/>
      <w:r w:rsidRPr="006D40F0">
        <w:t xml:space="preserve"> overvåkingsorgan, ESA.</w:t>
      </w:r>
    </w:p>
    <w:p w14:paraId="53C82454" w14:textId="77777777" w:rsidR="00575AC3" w:rsidRPr="006D40F0" w:rsidRDefault="00575AC3" w:rsidP="006D40F0">
      <w:r w:rsidRPr="006D40F0">
        <w:t>Norges andel av de foreløpige beregnede gebyrinntektene for årene 2019 og 2020 er til sammen vel 9,7 mill. euro. Det tilsvarer om lag 110 mill. kroner. Nøyaktig beløp er avhengig av valutakursen på innbetalingstidspunktet.</w:t>
      </w:r>
    </w:p>
    <w:p w14:paraId="40269DAE" w14:textId="77777777" w:rsidR="00575AC3" w:rsidRPr="006D40F0" w:rsidRDefault="00575AC3" w:rsidP="006D40F0">
      <w:pPr>
        <w:pStyle w:val="b-budkaptit"/>
      </w:pPr>
      <w:r w:rsidRPr="006D40F0">
        <w:t>Kap. 1310 Flytransport</w:t>
      </w:r>
    </w:p>
    <w:p w14:paraId="247BFD05" w14:textId="77777777" w:rsidR="00575AC3" w:rsidRPr="006D40F0" w:rsidRDefault="00575AC3" w:rsidP="006D40F0">
      <w:pPr>
        <w:pStyle w:val="b-post"/>
      </w:pPr>
      <w:r w:rsidRPr="006D40F0">
        <w:t>Post 70 Kjøp av innenlandske flyruter, kan overføres</w:t>
      </w:r>
    </w:p>
    <w:p w14:paraId="43A6765E" w14:textId="77777777" w:rsidR="00575AC3" w:rsidRPr="006D40F0" w:rsidRDefault="00575AC3" w:rsidP="006D40F0">
      <w:r w:rsidRPr="006D40F0">
        <w:t>Bevilgningen på posten foreslås økt med 101,4 mill. kroner.</w:t>
      </w:r>
    </w:p>
    <w:p w14:paraId="6417CDE9" w14:textId="77777777" w:rsidR="00575AC3" w:rsidRPr="006D40F0" w:rsidRDefault="00575AC3" w:rsidP="006D40F0">
      <w:r w:rsidRPr="006D40F0">
        <w:t>Nye avtaler om kjøp av innenlandske flyruter (FOT-ruter) gjelder fra 1. april 2024. For enkelte av avtalene er tidspunktet for månedlig utbetaling av vederlag fremskyndet fra første dag i påfølgende måned til den femtende dagen i driftsmåneden. Endringen til delvis forskuddsbetaling medfører én ekstra månedsutbetaling i 2024. Endringen vil redusere vederlaget over hele avtaleperioden frem til 2028 med om lag 160 mill. kroner.</w:t>
      </w:r>
    </w:p>
    <w:p w14:paraId="004354B7" w14:textId="77777777" w:rsidR="00575AC3" w:rsidRPr="006D40F0" w:rsidRDefault="00575AC3" w:rsidP="006D40F0">
      <w:pPr>
        <w:pStyle w:val="b-budkaptit"/>
      </w:pPr>
      <w:r w:rsidRPr="006D40F0">
        <w:lastRenderedPageBreak/>
        <w:t>Kap. 1314 Statens havarikommisjon</w:t>
      </w:r>
    </w:p>
    <w:p w14:paraId="3215A7A1" w14:textId="77777777" w:rsidR="00575AC3" w:rsidRPr="006D40F0" w:rsidRDefault="00575AC3" w:rsidP="006D40F0">
      <w:pPr>
        <w:pStyle w:val="b-post"/>
      </w:pPr>
      <w:r w:rsidRPr="006D40F0">
        <w:t>Post 01 Driftsutgifter</w:t>
      </w:r>
    </w:p>
    <w:p w14:paraId="03CC9958" w14:textId="77777777" w:rsidR="00575AC3" w:rsidRPr="006D40F0" w:rsidRDefault="00575AC3" w:rsidP="006D40F0">
      <w:r w:rsidRPr="006D40F0">
        <w:t>Bevilgningen på posten foreslås økt med 3 mill. kroner for å dekke utgifter i forbindelse med undersøkelser etter helikopterulykken utenfor Bergen 28. februar 2024.</w:t>
      </w:r>
    </w:p>
    <w:p w14:paraId="5B237C44" w14:textId="77777777" w:rsidR="00575AC3" w:rsidRPr="006D40F0" w:rsidRDefault="00575AC3" w:rsidP="006D40F0">
      <w:r w:rsidRPr="006D40F0">
        <w:t>Utgiftene til denne undersøkelsen går ut over det som kan forventes dekket innenfor Statens havarikommisjons budsjett for 2024. Havarikommisjonen anslår at de samlede utgiftene til undersøkelsene i forbindelse med helikopterulykken kan komme på om lag 6 mill. kroner. Omfanget og hvor mye som påløper i 2024, er derimot usikkert.</w:t>
      </w:r>
    </w:p>
    <w:p w14:paraId="7B63187D" w14:textId="77777777" w:rsidR="00575AC3" w:rsidRPr="006D40F0" w:rsidRDefault="00575AC3" w:rsidP="006D40F0">
      <w:r w:rsidRPr="006D40F0">
        <w:t>For å dekke utgifter som kan påløpe for resten av 2024 foreslås det videre en fullmakt til å overskride bevilgningen på kap. 1314, post 01, med inntil 3 mill. kroner, jf. forslag til romertallsvedtak.</w:t>
      </w:r>
    </w:p>
    <w:p w14:paraId="23AF60CF" w14:textId="77777777" w:rsidR="00575AC3" w:rsidRPr="006D40F0" w:rsidRDefault="00575AC3" w:rsidP="006D40F0">
      <w:pPr>
        <w:pStyle w:val="b-budkaptit"/>
      </w:pPr>
      <w:r w:rsidRPr="006D40F0">
        <w:t>Kap. 1315 Tilskudd til Avinor AS</w:t>
      </w:r>
    </w:p>
    <w:p w14:paraId="1A21A02C" w14:textId="77777777" w:rsidR="00575AC3" w:rsidRPr="006D40F0" w:rsidRDefault="00575AC3" w:rsidP="006D40F0">
      <w:pPr>
        <w:pStyle w:val="b-post"/>
      </w:pPr>
      <w:r w:rsidRPr="006D40F0">
        <w:t>Post 71 Tilskudd til pålagte oppgaver, kan overføres</w:t>
      </w:r>
    </w:p>
    <w:p w14:paraId="170A6997" w14:textId="77777777" w:rsidR="00575AC3" w:rsidRPr="006D40F0" w:rsidRDefault="00575AC3" w:rsidP="006D40F0">
      <w:r w:rsidRPr="006D40F0">
        <w:t>Bevilgningen på posten foreslås redusert med 312 mill. kroner.</w:t>
      </w:r>
    </w:p>
    <w:p w14:paraId="058182C7" w14:textId="77777777" w:rsidR="00575AC3" w:rsidRPr="006D40F0" w:rsidRDefault="00575AC3" w:rsidP="006D40F0">
      <w:r w:rsidRPr="006D40F0">
        <w:t>Oppdaterte anslag for fremdrift i prosjektene ny lufthavn ved Mo i Rana og flytting av lufthavnen i Bodø tilsier nå lavere behov for midler i 2024 enn tidligere anslått.</w:t>
      </w:r>
    </w:p>
    <w:p w14:paraId="5482B341" w14:textId="77777777" w:rsidR="00575AC3" w:rsidRPr="006D40F0" w:rsidRDefault="00575AC3" w:rsidP="006D40F0">
      <w:r w:rsidRPr="006D40F0">
        <w:t>For ny lufthavn ved Mo i Rana er anslaget oppdatert med nye faktureringsplaner og en noe lavere prisstigning enn tidligere anslått. I tillegg ventes en noe lavere prosjektfremdrift i 2024 og tilsvarende økt fremdrift og likviditetsbehov i 2026.</w:t>
      </w:r>
    </w:p>
    <w:p w14:paraId="3523AFD6" w14:textId="77777777" w:rsidR="00575AC3" w:rsidRPr="006D40F0" w:rsidRDefault="00575AC3" w:rsidP="006D40F0">
      <w:r w:rsidRPr="006D40F0">
        <w:t>For flytting av Bodø lufthavn vil en større del av utgiftene til miljøoppryddingen på lufthavntomten som Avinor har kjøpt fra Forsvaret, først påløpe i 2025. Ved oppgjør av kjøpesummen for eiendommen til ny lufthavn ble det trukket fra et forskudd på 175 mill. kroner for å dekke miljøopprydding som Avinor skal utføre for Forsvarsbygg. Utbetalingen av det statlige tilskuddet til kjøpet av eiendommen ble redusert tilsvarende. Likviditetsbehovet er dermed redusert i 2024, men vil øke tilsvarende når miljøoppryddingen gjennomføres i 2025. I tillegg har prisstigningen i prosjektet vært noe lavere enn tidligere anslått.</w:t>
      </w:r>
    </w:p>
    <w:p w14:paraId="351D7BCF" w14:textId="77777777" w:rsidR="00575AC3" w:rsidRPr="006D40F0" w:rsidRDefault="00575AC3" w:rsidP="006D40F0">
      <w:pPr>
        <w:pStyle w:val="b-budkaptit"/>
      </w:pPr>
      <w:r w:rsidRPr="006D40F0">
        <w:t>Kap. 1320 Statens vegvesen</w:t>
      </w:r>
    </w:p>
    <w:p w14:paraId="47239096" w14:textId="77777777" w:rsidR="00575AC3" w:rsidRPr="006D40F0" w:rsidRDefault="00575AC3" w:rsidP="006D40F0">
      <w:pPr>
        <w:pStyle w:val="b-post"/>
      </w:pPr>
      <w:r w:rsidRPr="006D40F0">
        <w:t>Post 01 Driftsutgifter</w:t>
      </w:r>
    </w:p>
    <w:p w14:paraId="3A6EA2E9" w14:textId="77777777" w:rsidR="00575AC3" w:rsidRPr="006D40F0" w:rsidRDefault="00575AC3" w:rsidP="006D40F0">
      <w:r w:rsidRPr="006D40F0">
        <w:t xml:space="preserve">Det foreslås å øke bevilgningen på posten med 50 mill. kroner til vedlikehold og oppgradering av IT-systemene i Statens vegvesen og til teknologiutvikling for blant annet drift av fjelloverganger, håndtering av </w:t>
      </w:r>
      <w:proofErr w:type="spellStart"/>
      <w:r w:rsidRPr="006D40F0">
        <w:t>naturfare</w:t>
      </w:r>
      <w:proofErr w:type="spellEnd"/>
      <w:r w:rsidRPr="006D40F0">
        <w:t xml:space="preserve"> og intelligente transportsystemer.</w:t>
      </w:r>
    </w:p>
    <w:p w14:paraId="416C8502" w14:textId="77777777" w:rsidR="00575AC3" w:rsidRPr="006D40F0" w:rsidRDefault="00575AC3" w:rsidP="006D40F0">
      <w:r w:rsidRPr="006D40F0">
        <w:t xml:space="preserve">Utviklingen av digitale løsninger medfører økte utgifter til drift og forvaltning av systemer, samtidig som behovet for funksjonell videreutvikling og teknisk vedlikehold øker. Økt bevilgning legger til rette for å ivareta IT-systemene til etaten bedre. Det kan redusere langsiktige </w:t>
      </w:r>
      <w:r w:rsidRPr="006D40F0">
        <w:lastRenderedPageBreak/>
        <w:t>vedlikeholdskostnader og risikoen for programvarefeil, samt bidra til å opprettholde stabil og sikker drift av digitale tjenester.</w:t>
      </w:r>
    </w:p>
    <w:p w14:paraId="7B3778B0" w14:textId="77777777" w:rsidR="00575AC3" w:rsidRPr="006D40F0" w:rsidRDefault="00575AC3" w:rsidP="006D40F0">
      <w:pPr>
        <w:pStyle w:val="b-post"/>
      </w:pPr>
      <w:r w:rsidRPr="006D40F0">
        <w:t>Post 22 Drift og vedlikehold av riksveier, kan overføres, kan nyttes under post 29 og post 30</w:t>
      </w:r>
    </w:p>
    <w:p w14:paraId="1A1DE569" w14:textId="77777777" w:rsidR="00575AC3" w:rsidRPr="006D40F0" w:rsidRDefault="00575AC3" w:rsidP="006D40F0">
      <w:r w:rsidRPr="006D40F0">
        <w:t>Det foreslås å øke bevilgningen på posten med 640,6 mill. kroner. Forslaget innebærer økt vedlikehold på riksveier og bidrar til å redusere vedlikeholdsetterslepet. Aktuelle vedlikeholdstiltak er økt dekkelegging, dreneringstiltak, tiltak på broer og belysning. Deler av økningen vil gå til gjenstående utbedringsarbeider etter ekstremværet «Hans» i august 2023 og til å utbedre skader på veinettet etter ekstremvær i Nord-Norge i januar 2024.</w:t>
      </w:r>
    </w:p>
    <w:p w14:paraId="07F6AF29" w14:textId="77777777" w:rsidR="00575AC3" w:rsidRPr="006D40F0" w:rsidRDefault="00575AC3" w:rsidP="006D40F0">
      <w:pPr>
        <w:pStyle w:val="b-post"/>
      </w:pPr>
      <w:r w:rsidRPr="006D40F0">
        <w:t>Post 28 Trafikant- og kjøretøytilsyn, kan overføres</w:t>
      </w:r>
    </w:p>
    <w:p w14:paraId="1DAA6C59" w14:textId="77777777" w:rsidR="00575AC3" w:rsidRPr="006D40F0" w:rsidRDefault="00575AC3" w:rsidP="006D40F0">
      <w:r w:rsidRPr="006D40F0">
        <w:t>Bevilgningen på posten foreslås redusert med til sammen 80 mill. kroner.</w:t>
      </w:r>
    </w:p>
    <w:p w14:paraId="2E0B4B81" w14:textId="77777777" w:rsidR="00575AC3" w:rsidRPr="006D40F0" w:rsidRDefault="00575AC3" w:rsidP="006D40F0">
      <w:r w:rsidRPr="006D40F0">
        <w:t>Posten dekker lønns- og driftsutgifter på trafikant- og kjøretøyområdet. Statens vegvesen har gjennomført effektiviseringstiltak innenfor brukertjenester blant annet gjennom økt bruk av selvbetjeningsløsninger. I tillegg har Statens vegvesen hatt innsparinger på posten knyttet til ledige stillinger, etablering av ny kontrollstasjon i Porsgrunn og enkelte andre tiltak. På andre områder har det vært behov for å øke kapasiteten og bemanningen, blant annet i utekontrollen, tilsynsavdelingen, kjøretøyavdelingen og krimavdelingen. Samlet sett reduseres det totale bevilgningsbehovet på posten.</w:t>
      </w:r>
    </w:p>
    <w:p w14:paraId="025C5E0C" w14:textId="77777777" w:rsidR="00575AC3" w:rsidRPr="006D40F0" w:rsidRDefault="00575AC3" w:rsidP="006D40F0">
      <w:pPr>
        <w:pStyle w:val="b-post"/>
      </w:pPr>
      <w:r w:rsidRPr="006D40F0">
        <w:t>Post 61 Rentekompensasjon for transporttiltak i fylkene</w:t>
      </w:r>
    </w:p>
    <w:p w14:paraId="2C909F18" w14:textId="77777777" w:rsidR="00575AC3" w:rsidRPr="006D40F0" w:rsidRDefault="00575AC3" w:rsidP="006D40F0">
      <w:r w:rsidRPr="006D40F0">
        <w:t>Det foreslås å øke bevilgningen på posten med 125,3 mill. kroner på grunn av økte renteforutsetninger i rentekompensasjonsordningene for 2024.</w:t>
      </w:r>
    </w:p>
    <w:p w14:paraId="4334200E" w14:textId="77777777" w:rsidR="00575AC3" w:rsidRPr="006D40F0" w:rsidRDefault="00575AC3" w:rsidP="006D40F0">
      <w:pPr>
        <w:pStyle w:val="b-post"/>
      </w:pPr>
      <w:r w:rsidRPr="006D40F0">
        <w:t>Post 65 Tilskudd til fylkesveier, kan overføres</w:t>
      </w:r>
    </w:p>
    <w:p w14:paraId="41BE9CBE" w14:textId="77777777" w:rsidR="00575AC3" w:rsidRPr="006D40F0" w:rsidRDefault="00575AC3" w:rsidP="006D40F0">
      <w:r w:rsidRPr="006D40F0">
        <w:t xml:space="preserve">Bevilgningen på posten foreslås økt med til sammen 95,1 mill. kroner for å dekke deler av Innlandet fylkeskommunes merutgifter i forbindelse med kollapsen av </w:t>
      </w:r>
      <w:proofErr w:type="gramStart"/>
      <w:r w:rsidRPr="006D40F0">
        <w:t>Tretten bro</w:t>
      </w:r>
      <w:proofErr w:type="gramEnd"/>
      <w:r w:rsidRPr="006D40F0">
        <w:t>.</w:t>
      </w:r>
    </w:p>
    <w:p w14:paraId="488FEED4" w14:textId="77777777" w:rsidR="00575AC3" w:rsidRPr="006D40F0" w:rsidRDefault="00575AC3" w:rsidP="006D40F0">
      <w:r w:rsidRPr="006D40F0">
        <w:t xml:space="preserve">Det foreslås totalt 101,5 mill. kroner som et ekstraordinært tilskudd for å dekke fylkeskommunens merutgifter i 2022, 2023 og 2024 som følge av at </w:t>
      </w:r>
      <w:proofErr w:type="gramStart"/>
      <w:r w:rsidRPr="006D40F0">
        <w:t>Tretten bro</w:t>
      </w:r>
      <w:proofErr w:type="gramEnd"/>
      <w:r w:rsidRPr="006D40F0">
        <w:t xml:space="preserve"> på fv. 254 over Gudbrandsdalslågen kollapset i august 2022. 6,4 mill. kroner dekkes innenfor saldert budsjett på posten fordi enkelte prosjekter på posten har hatt lavere kostnader enn anslått.</w:t>
      </w:r>
    </w:p>
    <w:p w14:paraId="54CA11A2" w14:textId="77777777" w:rsidR="00575AC3" w:rsidRPr="006D40F0" w:rsidRDefault="00575AC3" w:rsidP="006D40F0">
      <w:r w:rsidRPr="006D40F0">
        <w:t>Tilskuddet vil dekke utgifter til opprydding, leie og oppsett av midlertidig bro, planlegging av ny bro, samt ekstraordinære interne kostnader for fylkeskommunen knyttet til hendelsen.</w:t>
      </w:r>
    </w:p>
    <w:p w14:paraId="67134CCA" w14:textId="77777777" w:rsidR="00575AC3" w:rsidRPr="006D40F0" w:rsidRDefault="00575AC3" w:rsidP="006D40F0">
      <w:r w:rsidRPr="006D40F0">
        <w:t>Forslaget omfatter ikke utgifter til bygging av ny bro. Innlandet fylkeskommune har fått utarbeidet et skisseprosjekt for ny bro som kan stå ferdig i 2028. Det er forutsatt at den midlertidige broen blir stående frem til ny bro er åpnet. Regjeringen legger opp til å dekke fremtidige utgifter til ny permanent bro samt ev. gjenstående merutgifter etter brokollapsen i fremtidige budsjetter.</w:t>
      </w:r>
    </w:p>
    <w:p w14:paraId="6A75D286" w14:textId="77777777" w:rsidR="00575AC3" w:rsidRPr="006D40F0" w:rsidRDefault="00575AC3" w:rsidP="006D40F0">
      <w:pPr>
        <w:pStyle w:val="b-post"/>
      </w:pPr>
      <w:r w:rsidRPr="006D40F0">
        <w:lastRenderedPageBreak/>
        <w:t>Post 72 Tilskudd til riksveiferjedriften, kan overføres</w:t>
      </w:r>
    </w:p>
    <w:p w14:paraId="451A4329" w14:textId="77777777" w:rsidR="00575AC3" w:rsidRPr="006D40F0" w:rsidRDefault="00575AC3" w:rsidP="006D40F0">
      <w:r w:rsidRPr="006D40F0">
        <w:t>Bevilgningen på posten foreslås redusert med til sammen 79 mill. kroner.</w:t>
      </w:r>
    </w:p>
    <w:p w14:paraId="1B8F45A0" w14:textId="77777777" w:rsidR="00575AC3" w:rsidRPr="006D40F0" w:rsidRDefault="00575AC3" w:rsidP="006D40F0">
      <w:r w:rsidRPr="006D40F0">
        <w:t>Det er beregnet et redusert behov på 154 mill. kroner som på grunn av lavere prognoser for utgifter til riksveiferjedriften. Dette påvirker ikke gjeldende takster eller ferjetilbud.</w:t>
      </w:r>
    </w:p>
    <w:p w14:paraId="626EDAC6" w14:textId="77777777" w:rsidR="00575AC3" w:rsidRPr="006D40F0" w:rsidRDefault="00575AC3" w:rsidP="006D40F0">
      <w:r w:rsidRPr="006D40F0">
        <w:t>På den annen side har utgifter til EUs klimakvotesystem og tiltak knyttet til frakt av modulvogntog med farlig gods (ADR-last) økt. Maritim transport er tatt inn som ny sektor i EUs klimakvotesystem, og ferjer med en bruttotonnasje på 5 000 eller mer er omfattet av EUs klimakvotesystem. Utgiften for klimakvotene er anslått til noe over 50 mill. kroner i 2024. Videre er det anslått utgifter på om lag 25 mill. kroner knyttet til tiltak på fartøy slik at de kan frakte modulvogntog med ADR-last.</w:t>
      </w:r>
    </w:p>
    <w:p w14:paraId="51CBBAFD" w14:textId="77777777" w:rsidR="00575AC3" w:rsidRPr="006D40F0" w:rsidRDefault="00575AC3" w:rsidP="006D40F0">
      <w:pPr>
        <w:pStyle w:val="b-budkaptit"/>
      </w:pPr>
      <w:r w:rsidRPr="006D40F0">
        <w:t>Kap. 1330 Særskilte transporttiltak</w:t>
      </w:r>
    </w:p>
    <w:p w14:paraId="0FD16CAE" w14:textId="77777777" w:rsidR="00575AC3" w:rsidRPr="006D40F0" w:rsidRDefault="00575AC3" w:rsidP="006D40F0">
      <w:pPr>
        <w:pStyle w:val="b-post"/>
      </w:pPr>
      <w:r w:rsidRPr="006D40F0">
        <w:t>Post 71 (Ny) Tilskudd til kommersielle buss- og båtruter som følge av smitteverntiltak</w:t>
      </w:r>
    </w:p>
    <w:p w14:paraId="704310D8" w14:textId="77777777" w:rsidR="00575AC3" w:rsidRPr="006D40F0" w:rsidRDefault="00575AC3" w:rsidP="006D40F0">
      <w:r w:rsidRPr="006D40F0">
        <w:t>Det foreslås å bevilge 3,7 mill. kroner i tilskudd til kommersielle buss- og båtruter som følge av smitteverntiltak, mot tilsvarende reduksjon på kap. 1352, post 70 Kjøp av persontransport med tog. Bevilgningen skal dekke utbetaling av etterberegning av støttebeløp for tilskuddordningen til kommersielle buss- og båtruter som ble opprettet under koronapandemien.</w:t>
      </w:r>
    </w:p>
    <w:p w14:paraId="57EA332A" w14:textId="77777777" w:rsidR="00575AC3" w:rsidRPr="006D40F0" w:rsidRDefault="00575AC3" w:rsidP="006D40F0">
      <w:r w:rsidRPr="006D40F0">
        <w:t xml:space="preserve">Ved etableringen av støtteordningen satte </w:t>
      </w:r>
      <w:proofErr w:type="spellStart"/>
      <w:r w:rsidRPr="006D40F0">
        <w:t>EFTAs</w:t>
      </w:r>
      <w:proofErr w:type="spellEnd"/>
      <w:r w:rsidRPr="006D40F0">
        <w:t xml:space="preserve"> overvåkningsorgan, ESA, krav om at det skulle gjøres en etterberegning av støttebeløpene basert på endelige regnskap. Beregninger viser at busselskapene Konkurrenten.no AS og Konkurrenten Vest AS til sammen har fått utbetalt 3,7 mill. kroner for lite for perioden juli 2021 til februar 2022.</w:t>
      </w:r>
    </w:p>
    <w:p w14:paraId="4EB9C679" w14:textId="77777777" w:rsidR="00575AC3" w:rsidRPr="006D40F0" w:rsidRDefault="00575AC3" w:rsidP="006D40F0">
      <w:pPr>
        <w:pStyle w:val="b-budkaptit"/>
      </w:pPr>
      <w:r w:rsidRPr="006D40F0">
        <w:t>Kap. 4330 Særskilte transporttiltak</w:t>
      </w:r>
    </w:p>
    <w:p w14:paraId="47FFDF3B" w14:textId="77777777" w:rsidR="00575AC3" w:rsidRPr="006D40F0" w:rsidRDefault="00575AC3" w:rsidP="006D40F0">
      <w:pPr>
        <w:pStyle w:val="b-post"/>
      </w:pPr>
      <w:r w:rsidRPr="006D40F0">
        <w:t>Post 70 (Ny) Tilbakebetaling av kjøp av sjøtransportjenester på strekningen Bergen–Kirkenes</w:t>
      </w:r>
    </w:p>
    <w:p w14:paraId="3E23BB04" w14:textId="77777777" w:rsidR="00575AC3" w:rsidRPr="006D40F0" w:rsidRDefault="00575AC3" w:rsidP="006D40F0">
      <w:r w:rsidRPr="006D40F0">
        <w:t>Det foreslås å bevilge 25,8 mill. kroner for tilbakebetaling av kjøp av sjøtransporttjenester på strekningen Bergen–Kirkenes.</w:t>
      </w:r>
    </w:p>
    <w:p w14:paraId="7BCA6775" w14:textId="77777777" w:rsidR="00575AC3" w:rsidRPr="006D40F0" w:rsidRDefault="00575AC3" w:rsidP="006D40F0">
      <w:r w:rsidRPr="006D40F0">
        <w:t>Samferdselsdepartementets kontrakter med kystruteoperatørene har bestemmelser om bortfall av produksjon. Tilbakebetalingen gjelder vederlag til Hurtigruten Coastal for 2022.</w:t>
      </w:r>
    </w:p>
    <w:p w14:paraId="1EEFFFFF" w14:textId="77777777" w:rsidR="00575AC3" w:rsidRPr="006D40F0" w:rsidRDefault="00575AC3" w:rsidP="006D40F0">
      <w:r w:rsidRPr="006D40F0">
        <w:t>Hurtigruten Coastal overskred i 2022 avtalt årlig kvote på 70 døgn for bortfall av produksjon uten trekk i vederlag, såkalte «</w:t>
      </w:r>
      <w:proofErr w:type="spellStart"/>
      <w:r w:rsidRPr="006D40F0">
        <w:t>offhire</w:t>
      </w:r>
      <w:proofErr w:type="spellEnd"/>
      <w:r w:rsidRPr="006D40F0">
        <w:t>-dager». Kvoten ble overskredet på grunn av rederiets omfattende ombyggingsprogram for sin kystruteflåte.</w:t>
      </w:r>
    </w:p>
    <w:p w14:paraId="783CA34A" w14:textId="77777777" w:rsidR="00575AC3" w:rsidRPr="006D40F0" w:rsidRDefault="00575AC3" w:rsidP="006D40F0">
      <w:pPr>
        <w:pStyle w:val="b-budkaptit"/>
      </w:pPr>
      <w:r w:rsidRPr="006D40F0">
        <w:t>Kap. 1332 Transport i byområder mv.</w:t>
      </w:r>
    </w:p>
    <w:p w14:paraId="49513CED" w14:textId="77777777" w:rsidR="00575AC3" w:rsidRPr="006D40F0" w:rsidRDefault="00575AC3" w:rsidP="006D40F0">
      <w:pPr>
        <w:pStyle w:val="b-post"/>
      </w:pPr>
      <w:r w:rsidRPr="006D40F0">
        <w:t>Post 63 Særskilt tilskudd til store kollektivprosjekter, kan overføres</w:t>
      </w:r>
    </w:p>
    <w:p w14:paraId="4C9B316E" w14:textId="77777777" w:rsidR="00575AC3" w:rsidRPr="006D40F0" w:rsidRDefault="00575AC3" w:rsidP="006D40F0">
      <w:r w:rsidRPr="006D40F0">
        <w:t>Det foreslås å redusere bevilgningen på posten med 440 mill. kroner.</w:t>
      </w:r>
    </w:p>
    <w:p w14:paraId="78C420EC" w14:textId="77777777" w:rsidR="00575AC3" w:rsidRPr="006D40F0" w:rsidRDefault="00575AC3" w:rsidP="006D40F0">
      <w:r w:rsidRPr="006D40F0">
        <w:t xml:space="preserve">I 2024 er det redusert behov for statlig tilskudd til Fornebubanen (150 mill. kroner), Bussveien på Nord-Jæren (150 mill. kroner) og Metrobuss i Trondheim (140 mill. kroner). Dette skyldes i </w:t>
      </w:r>
      <w:r w:rsidRPr="006D40F0">
        <w:lastRenderedPageBreak/>
        <w:t>hovedsak forsinkelser i arbeidene på Fornebubanen og Metrobuss, mens for Bussveien på Nord-Jæren har anslaget for midler på enkelte delstrekninger vist seg å være for høye.</w:t>
      </w:r>
    </w:p>
    <w:p w14:paraId="17300761" w14:textId="77777777" w:rsidR="00575AC3" w:rsidRPr="006D40F0" w:rsidRDefault="00575AC3" w:rsidP="006D40F0">
      <w:pPr>
        <w:pStyle w:val="b-budkaptit"/>
      </w:pPr>
      <w:r w:rsidRPr="006D40F0">
        <w:t>Kap. 1352 Jernbanedirektoratet</w:t>
      </w:r>
    </w:p>
    <w:p w14:paraId="2897E1A4" w14:textId="77777777" w:rsidR="00575AC3" w:rsidRPr="006D40F0" w:rsidRDefault="00575AC3" w:rsidP="006D40F0">
      <w:pPr>
        <w:pStyle w:val="b-post"/>
      </w:pPr>
      <w:r w:rsidRPr="006D40F0">
        <w:t>Post 70 Kjøp av persontransport med tog, kan overføres, kan nyttes under post 71</w:t>
      </w:r>
    </w:p>
    <w:p w14:paraId="65B81C67" w14:textId="77777777" w:rsidR="00575AC3" w:rsidRPr="006D40F0" w:rsidRDefault="00575AC3" w:rsidP="006D40F0">
      <w:r w:rsidRPr="006D40F0">
        <w:t>Det foreslås å redusere bevilgningen på posten med 3,7 mill. kroner, mot tilsvarende økning på kap. 1330, post 71 Tilskudd til kommersielle buss- og båtruter som følge av smitteverntiltak. Det vises til omtale under kap. 1330, post 71. Forslaget har ingen konsekvenser for avtalt togtrafikk.</w:t>
      </w:r>
    </w:p>
    <w:p w14:paraId="632694BA" w14:textId="77777777" w:rsidR="00575AC3" w:rsidRPr="006D40F0" w:rsidRDefault="00575AC3" w:rsidP="006D40F0">
      <w:pPr>
        <w:pStyle w:val="avsnitt-tittel"/>
      </w:pPr>
      <w:r w:rsidRPr="006D40F0">
        <w:t>Orientering om Bane NORs disponering av likviditetstilførsel</w:t>
      </w:r>
    </w:p>
    <w:p w14:paraId="5A248055" w14:textId="77777777" w:rsidR="00575AC3" w:rsidRPr="006D40F0" w:rsidRDefault="00575AC3" w:rsidP="006D40F0">
      <w:r w:rsidRPr="006D40F0">
        <w:t>I tråd med omtale i Prop. 1 S (2023–2024) for Samferdselsdepartementet kan bevilgningen på kap. 1352, post 73 Kjøp av infrastrukturtjenester – investeringer, også brukes til fornying og vedlikehold av jernbanenettet når dette vurderes å gi best måloppnåelse. I 2024 planlegger Bane NOR SF å bruke om lag 1 450 mill. kroner av likviditetstilførselen til investeringer på post 73, til økt fornying og drift og vedlikehold på jernbanens infrastruktur.</w:t>
      </w:r>
    </w:p>
    <w:p w14:paraId="455C11C6" w14:textId="77777777" w:rsidR="00575AC3" w:rsidRPr="006D40F0" w:rsidRDefault="00575AC3" w:rsidP="006D40F0">
      <w:pPr>
        <w:pStyle w:val="avsnitt-undertittel"/>
      </w:pPr>
      <w:r w:rsidRPr="006D40F0">
        <w:t>Drift og vedlikehold</w:t>
      </w:r>
    </w:p>
    <w:p w14:paraId="7822AB0C" w14:textId="77777777" w:rsidR="00575AC3" w:rsidRPr="006D40F0" w:rsidRDefault="00575AC3" w:rsidP="006D40F0">
      <w:r w:rsidRPr="006D40F0">
        <w:t>Innenfor gjeldende bevilgning på kap. 1352, post 71, var det lagt opp til å bruke om lag 4 930 mill. kroner til drift og vedlikehold. Bane NOR planlegger nå å gjennomføre drift og vedlikehold av jernbaneinfrastrukturen for om lag 5 180 mill. kroner i 2024, som er 250 mill. kroner mer enn lagt til grunn i Saldert budsjett 2024. Dette gir økt korrektivt og forbyggende vedlikehold.</w:t>
      </w:r>
    </w:p>
    <w:p w14:paraId="6508EE8F" w14:textId="77777777" w:rsidR="00575AC3" w:rsidRPr="006D40F0" w:rsidRDefault="00575AC3" w:rsidP="006D40F0">
      <w:pPr>
        <w:pStyle w:val="avsnitt-undertittel"/>
      </w:pPr>
      <w:r w:rsidRPr="006D40F0">
        <w:t>Fornying</w:t>
      </w:r>
    </w:p>
    <w:p w14:paraId="22B4BFE3" w14:textId="77777777" w:rsidR="00575AC3" w:rsidRPr="006D40F0" w:rsidRDefault="00575AC3" w:rsidP="006D40F0">
      <w:r w:rsidRPr="006D40F0">
        <w:t>Innenfor gjeldende bevilgning på kap. 1352, post 71, var det lagt opp til å bruke om lag 4 000 mill. kroner til fornying. Bane NOR planlegger nå å gjennomføre fornying av jernbaneinfrastrukturen for 5 200 mill. kroner i 2024, som er 1 200 mill. kroner mer enn lagt til grunn i Saldert budsjett 2024. Dette gir økt fornying av over- og underbygning på jernbaneinfrastrukturen, i tillegg til økt fornying på andre anleggstyper og komponenter.</w:t>
      </w:r>
    </w:p>
    <w:p w14:paraId="0B323C70" w14:textId="77777777" w:rsidR="00575AC3" w:rsidRPr="006D40F0" w:rsidRDefault="00575AC3" w:rsidP="006D40F0">
      <w:pPr>
        <w:pStyle w:val="avsnitt-undertittel"/>
      </w:pPr>
      <w:r w:rsidRPr="006D40F0">
        <w:t>Investeringer</w:t>
      </w:r>
    </w:p>
    <w:p w14:paraId="2145476B" w14:textId="77777777" w:rsidR="00575AC3" w:rsidRPr="006D40F0" w:rsidRDefault="00575AC3" w:rsidP="006D40F0">
      <w:r w:rsidRPr="006D40F0">
        <w:t>Saldert budsjett 2024 for kap. 1352, post 73 er på om lag 17 400 mill. kroner. Bane NOR venter å bruke om lag 16 500 mill. kroner til investeringer, noe som er om lag 900 mill. kroner mindre enn lagt til grunn i Saldert budsjett 2024. For noen prosjekter vil det bli brukt mindre i 2024 enn anslått og for andre mer. De viktigste endringene som vil føre til lavere utgifter enn tidligere anslått er:</w:t>
      </w:r>
    </w:p>
    <w:p w14:paraId="79D18638" w14:textId="77777777" w:rsidR="00575AC3" w:rsidRPr="006D40F0" w:rsidRDefault="00575AC3" w:rsidP="006D40F0">
      <w:pPr>
        <w:pStyle w:val="Liste"/>
      </w:pPr>
      <w:r w:rsidRPr="006D40F0">
        <w:t xml:space="preserve">senere fremdrift i effektpakken </w:t>
      </w:r>
      <w:r w:rsidRPr="006D40F0">
        <w:rPr>
          <w:rStyle w:val="kursiv"/>
        </w:rPr>
        <w:t>Flere og raskere tog på Østfoldbanen (Oslo–Moss)</w:t>
      </w:r>
      <w:r w:rsidRPr="006D40F0">
        <w:t>, i hovedsak for prosjektet Sandbukta–Moss–</w:t>
      </w:r>
      <w:proofErr w:type="spellStart"/>
      <w:r w:rsidRPr="006D40F0">
        <w:t>Såstad</w:t>
      </w:r>
      <w:proofErr w:type="spellEnd"/>
    </w:p>
    <w:p w14:paraId="761714F1" w14:textId="77777777" w:rsidR="00575AC3" w:rsidRPr="006D40F0" w:rsidRDefault="00575AC3" w:rsidP="006D40F0">
      <w:pPr>
        <w:pStyle w:val="Liste"/>
      </w:pPr>
      <w:r w:rsidRPr="006D40F0">
        <w:t>senere fremdrift og revidert nasjonal signalplan for ERTMS</w:t>
      </w:r>
    </w:p>
    <w:p w14:paraId="6E8B5277" w14:textId="77777777" w:rsidR="00575AC3" w:rsidRPr="006D40F0" w:rsidRDefault="00575AC3" w:rsidP="006D40F0">
      <w:pPr>
        <w:pStyle w:val="Liste"/>
      </w:pPr>
      <w:r w:rsidRPr="006D40F0">
        <w:lastRenderedPageBreak/>
        <w:t xml:space="preserve">raskere fremdrift i 2023 og endret periodisering for effektpakken </w:t>
      </w:r>
      <w:r w:rsidRPr="006D40F0">
        <w:rPr>
          <w:rStyle w:val="kursiv"/>
        </w:rPr>
        <w:t>Flere og raskere tog på Dovrebanen (Oslo–Hamar)</w:t>
      </w:r>
    </w:p>
    <w:p w14:paraId="71E7953D" w14:textId="77777777" w:rsidR="00575AC3" w:rsidRPr="006D40F0" w:rsidRDefault="00575AC3" w:rsidP="006D40F0">
      <w:r w:rsidRPr="006D40F0">
        <w:t>De viktigste endringene som vil gi høyere utgifter enn tidligere anslått er:</w:t>
      </w:r>
    </w:p>
    <w:p w14:paraId="5C5548A8" w14:textId="77777777" w:rsidR="00575AC3" w:rsidRPr="006D40F0" w:rsidRDefault="00575AC3" w:rsidP="006D40F0">
      <w:pPr>
        <w:pStyle w:val="Liste"/>
      </w:pPr>
      <w:r w:rsidRPr="006D40F0">
        <w:t xml:space="preserve">senere fremdrift i 2023 for effektpakken </w:t>
      </w:r>
      <w:r w:rsidRPr="006D40F0">
        <w:rPr>
          <w:rStyle w:val="kursiv"/>
        </w:rPr>
        <w:t xml:space="preserve">Flere og raskere tog på Vestfoldbanen (Oslo–Tønsberg), </w:t>
      </w:r>
      <w:r w:rsidRPr="006D40F0">
        <w:t>noe som medfører økte kostnader i 2024</w:t>
      </w:r>
    </w:p>
    <w:p w14:paraId="4ED14CD7" w14:textId="77777777" w:rsidR="00575AC3" w:rsidRPr="006D40F0" w:rsidRDefault="00575AC3" w:rsidP="006D40F0">
      <w:pPr>
        <w:pStyle w:val="Liste"/>
      </w:pPr>
      <w:r w:rsidRPr="006D40F0">
        <w:t>for å utnytte bevilgningen bedre er flere tiltak innenfor mindre investeringer i jernbanen satt i gang</w:t>
      </w:r>
    </w:p>
    <w:p w14:paraId="4E7DBEF4" w14:textId="77777777" w:rsidR="00575AC3" w:rsidRPr="006D40F0" w:rsidRDefault="00575AC3" w:rsidP="006D40F0">
      <w:pPr>
        <w:pStyle w:val="Liste"/>
      </w:pPr>
      <w:r w:rsidRPr="006D40F0">
        <w:t xml:space="preserve">økte utgifter for å ivareta fremdriften i effektpakken </w:t>
      </w:r>
      <w:r w:rsidRPr="006D40F0">
        <w:rPr>
          <w:rStyle w:val="kursiv"/>
        </w:rPr>
        <w:t>Infrastruktur for nytt togmateriell (Oslo-navet)</w:t>
      </w:r>
    </w:p>
    <w:p w14:paraId="4913713B" w14:textId="77777777" w:rsidR="00575AC3" w:rsidRPr="006D40F0" w:rsidRDefault="00575AC3" w:rsidP="006D40F0">
      <w:pPr>
        <w:pStyle w:val="Liste"/>
      </w:pPr>
      <w:r w:rsidRPr="006D40F0">
        <w:t xml:space="preserve">økt prognose for effektpakken </w:t>
      </w:r>
      <w:r w:rsidRPr="006D40F0">
        <w:rPr>
          <w:rStyle w:val="kursiv"/>
        </w:rPr>
        <w:t>Flere og raskere tog på Østfoldbanen (Oslo–Ski)</w:t>
      </w:r>
      <w:r w:rsidRPr="006D40F0">
        <w:t xml:space="preserve"> som følge av planlagte arbeider med å skifte ut ledninger til strømtransformatoranlegg på Follobanen</w:t>
      </w:r>
    </w:p>
    <w:p w14:paraId="09EBAF11" w14:textId="77777777" w:rsidR="00575AC3" w:rsidRPr="006D40F0" w:rsidRDefault="00575AC3" w:rsidP="006D40F0">
      <w:r w:rsidRPr="006D40F0">
        <w:t>I tillegg brukes om lag 550 mill. kroner fra likviditetsbeholdningen i Bane NOR knyttet til produksjonsgjeld til staten, slik at i alt 1 450 mill. kroner kan omdisponeres til fornying og vedlikehold. Med produksjonsgjeld menes den delen av likviditetsbeholdningen som kommer av forsinket fremdrift i prosjekter som er vedtatt gjennomført, og som dermed er bundet opp i konkrete fremtidige forpliktelser. Bruk av likviditetsbeholdningen finansierer en midlertidig omdisponering fra investeringer til drift, vedlikehold og fornying. Det er planlagt at omdisponeringen tilbakeføres i 2026 og 2027 i takt med at fremdriften i prosjektene i investeringsporteføljen øker.</w:t>
      </w:r>
    </w:p>
    <w:p w14:paraId="31A7CF5B" w14:textId="77777777" w:rsidR="00575AC3" w:rsidRPr="006D40F0" w:rsidRDefault="00575AC3" w:rsidP="006D40F0">
      <w:pPr>
        <w:pStyle w:val="b-budkaptit"/>
      </w:pPr>
      <w:r w:rsidRPr="006D40F0">
        <w:t xml:space="preserve">Kap. 5611 Aksjer i </w:t>
      </w:r>
      <w:proofErr w:type="spellStart"/>
      <w:r w:rsidRPr="006D40F0">
        <w:t>Vygruppen</w:t>
      </w:r>
      <w:proofErr w:type="spellEnd"/>
      <w:r w:rsidRPr="006D40F0">
        <w:t xml:space="preserve"> AS</w:t>
      </w:r>
    </w:p>
    <w:p w14:paraId="0DCAA809" w14:textId="77777777" w:rsidR="00575AC3" w:rsidRPr="006D40F0" w:rsidRDefault="00575AC3" w:rsidP="006D40F0">
      <w:pPr>
        <w:pStyle w:val="b-post"/>
      </w:pPr>
      <w:r w:rsidRPr="006D40F0">
        <w:t>Post 85 Utbytte</w:t>
      </w:r>
    </w:p>
    <w:p w14:paraId="329D09CF" w14:textId="77777777" w:rsidR="00575AC3" w:rsidRPr="006D40F0" w:rsidRDefault="00575AC3" w:rsidP="006D40F0">
      <w:r w:rsidRPr="006D40F0">
        <w:t xml:space="preserve">Bevilgningen på posten foreslås økt med 1,5 mill. kroner. Det er budsjettert med et utbytte fra </w:t>
      </w:r>
      <w:proofErr w:type="spellStart"/>
      <w:r w:rsidRPr="006D40F0">
        <w:t>Vygruppen</w:t>
      </w:r>
      <w:proofErr w:type="spellEnd"/>
      <w:r w:rsidRPr="006D40F0">
        <w:t xml:space="preserve"> AS på 25 mill. kroner. Den langsiktige utbytteforventningen til selskapet utgjør 50 pst. av konsernets årsresultat etter skatt. Konsernets resultat etter skatt er på 53 mill. kroner i 2023. I tråd med gjeldende utbytteforventning foreslås det å ta et utbytte fra </w:t>
      </w:r>
      <w:proofErr w:type="spellStart"/>
      <w:r w:rsidRPr="006D40F0">
        <w:t>Vygruppen</w:t>
      </w:r>
      <w:proofErr w:type="spellEnd"/>
      <w:r w:rsidRPr="006D40F0">
        <w:t xml:space="preserve"> AS på 26,5 mill. kroner for regnskapsåret 2023. Endelig utbytte vedtas på selskapets generalforsamling.</w:t>
      </w:r>
    </w:p>
    <w:p w14:paraId="4D8E07F1" w14:textId="77777777" w:rsidR="00575AC3" w:rsidRPr="006D40F0" w:rsidRDefault="00575AC3" w:rsidP="006D40F0">
      <w:pPr>
        <w:pStyle w:val="b-budkaptit"/>
      </w:pPr>
      <w:r w:rsidRPr="006D40F0">
        <w:t>Kap. 5672 Bane NOR SF – utbytte</w:t>
      </w:r>
    </w:p>
    <w:p w14:paraId="5CD375CD" w14:textId="77777777" w:rsidR="00575AC3" w:rsidRPr="006D40F0" w:rsidRDefault="00575AC3" w:rsidP="006D40F0">
      <w:pPr>
        <w:pStyle w:val="b-post"/>
      </w:pPr>
      <w:r w:rsidRPr="006D40F0">
        <w:t>Post 85 Utbytte</w:t>
      </w:r>
    </w:p>
    <w:p w14:paraId="375B1DBA" w14:textId="77777777" w:rsidR="00575AC3" w:rsidRPr="006D40F0" w:rsidRDefault="00575AC3" w:rsidP="006D40F0">
      <w:r w:rsidRPr="006D40F0">
        <w:t>Bevilgningen på posten foreslås redusert med 53 mill. kroner. Den langsiktige utbytteforventningen til Bane NOR SF utgjør 30 pst. av Bane NOR Eiendom AS’ årsresultat etter skatt. Bane NOR Eiendoms årsresultat etter skatt for 2023 er negativt, og det vil ikke bli utbetalt utbytte fra Bane NOR SF for regnskapsåret 2023. Endelig utbytte vedtas på selskapets generalforsamling.</w:t>
      </w:r>
    </w:p>
    <w:p w14:paraId="3D9043C2" w14:textId="77777777" w:rsidR="00575AC3" w:rsidRPr="006D40F0" w:rsidRDefault="00575AC3" w:rsidP="006D40F0">
      <w:pPr>
        <w:pStyle w:val="b-budkaptit"/>
      </w:pPr>
      <w:r w:rsidRPr="006D40F0">
        <w:t>Kap. 1370 Posttjenester</w:t>
      </w:r>
    </w:p>
    <w:p w14:paraId="6284457D" w14:textId="77777777" w:rsidR="00575AC3" w:rsidRPr="006D40F0" w:rsidRDefault="00575AC3" w:rsidP="006D40F0">
      <w:pPr>
        <w:pStyle w:val="b-post"/>
      </w:pPr>
      <w:r w:rsidRPr="006D40F0">
        <w:t>Post 70 Kjøp av posttjenester, kan overføres</w:t>
      </w:r>
    </w:p>
    <w:p w14:paraId="076AA85A" w14:textId="77777777" w:rsidR="00575AC3" w:rsidRPr="006D40F0" w:rsidRDefault="00575AC3" w:rsidP="006D40F0">
      <w:r w:rsidRPr="006D40F0">
        <w:t xml:space="preserve">Det foreslås å øke bevilgningen på posten med 33 mill. kroner til økt tilskudd for nye kontrakter om avisdistribusjon med oppstart 1. juli 2024. De nye kontraktene med Posten Bring AS og Aktiv Norgesdistribusjon har en varighet på ett år med opsjon på ett års forlengelse. </w:t>
      </w:r>
      <w:r w:rsidRPr="006D40F0">
        <w:lastRenderedPageBreak/>
        <w:t>Samferdselsdepartementet må varsle leverandørene om en eventuell utløsning av opsjonen innen 28. februar 2025. Dersom opsjonen utløses, gir det et behov for økt tilskudd på 65,9 mill. kroner i 2025.</w:t>
      </w:r>
    </w:p>
    <w:p w14:paraId="21C9334E" w14:textId="77777777" w:rsidR="00575AC3" w:rsidRPr="006D40F0" w:rsidRDefault="00575AC3" w:rsidP="006D40F0">
      <w:pPr>
        <w:pStyle w:val="Undertittel"/>
      </w:pPr>
      <w:r w:rsidRPr="006D40F0">
        <w:t>Andre saker</w:t>
      </w:r>
    </w:p>
    <w:p w14:paraId="3EC1EA10" w14:textId="77777777" w:rsidR="00575AC3" w:rsidRPr="006D40F0" w:rsidRDefault="00575AC3" w:rsidP="006D40F0">
      <w:pPr>
        <w:pStyle w:val="avsnitt-tittel"/>
      </w:pPr>
      <w:r w:rsidRPr="006D40F0">
        <w:t>Fullmakter under veiformål</w:t>
      </w:r>
    </w:p>
    <w:p w14:paraId="303D4087" w14:textId="77777777" w:rsidR="00575AC3" w:rsidRPr="006D40F0" w:rsidRDefault="00575AC3" w:rsidP="006D40F0">
      <w:pPr>
        <w:pStyle w:val="avsnitt-undertittel"/>
      </w:pPr>
      <w:r w:rsidRPr="006D40F0">
        <w:t>Økt fullmakt til å pådra staten forpliktelser utover budsjettåret for riksveiferjedriften</w:t>
      </w:r>
    </w:p>
    <w:p w14:paraId="38E15748" w14:textId="77777777" w:rsidR="00575AC3" w:rsidRPr="006D40F0" w:rsidRDefault="00575AC3" w:rsidP="006D40F0">
      <w:r w:rsidRPr="006D40F0">
        <w:t xml:space="preserve">Det foreslås å øke fullmakten til å pådra forpliktelser for riksveiferjedriften ut over budsjettåret både for samlet ramme og ramme som forfaller hvert år, jf. forslag til romertallsvedtak. Forslaget skal dekke behovet for midlertidig ferjekontrakt på sambandet E39 Mortavika–Arsvågen frem til åpning av prosjektet E39 </w:t>
      </w:r>
      <w:proofErr w:type="spellStart"/>
      <w:r w:rsidRPr="006D40F0">
        <w:t>Rogfast</w:t>
      </w:r>
      <w:proofErr w:type="spellEnd"/>
      <w:r w:rsidRPr="006D40F0">
        <w:t xml:space="preserve"> i Rogaland. Prosjektet er ventet åpnet for trafikk i løpet av 2033.</w:t>
      </w:r>
    </w:p>
    <w:p w14:paraId="37DE2FA3" w14:textId="77777777" w:rsidR="00575AC3" w:rsidRPr="006D40F0" w:rsidRDefault="00575AC3" w:rsidP="006D40F0">
      <w:r w:rsidRPr="006D40F0">
        <w:t xml:space="preserve">Dagens kontrakt på ferjesambandet løper ut 2025, og Statens vegvesen vurderer ulike alternativer for å sikre drift av ferjesambandet frem til åpningen av E39 </w:t>
      </w:r>
      <w:proofErr w:type="spellStart"/>
      <w:r w:rsidRPr="006D40F0">
        <w:t>Rogfast</w:t>
      </w:r>
      <w:proofErr w:type="spellEnd"/>
      <w:r w:rsidRPr="006D40F0">
        <w:t>. I anslaget for nye forpliktelser som kan pådras for sambandet E39 Mortavika–Arsvågen er det lagt inn handlingsrom for å inngå avtale ut 2033 og for å kunne legge til rette for mer miljøvennlig drift. Størrelsen på fullmakten er også påvirket av prisjustering til 2024, og av at forpliktelser ved signering av kontrakten for drift av sambandet E39 Lavik–Oppedal i 2023 ble høyere enn lagt til grunn i saldert budsjett 2024.</w:t>
      </w:r>
    </w:p>
    <w:p w14:paraId="61D648D2" w14:textId="77777777" w:rsidR="00575AC3" w:rsidRPr="006D40F0" w:rsidRDefault="00575AC3" w:rsidP="006D40F0">
      <w:pPr>
        <w:pStyle w:val="avsnitt-undertittel"/>
      </w:pPr>
      <w:r w:rsidRPr="006D40F0">
        <w:t>Tilføying av stikkord på kap. 1320, post 29 OPS-prosjekter</w:t>
      </w:r>
    </w:p>
    <w:p w14:paraId="74B47A80" w14:textId="77777777" w:rsidR="00575AC3" w:rsidRPr="006D40F0" w:rsidRDefault="00575AC3" w:rsidP="006D40F0">
      <w:r w:rsidRPr="006D40F0">
        <w:t xml:space="preserve">Det foreslås å tilføye stikkordet «kan nyttes under post 22» på post 29 </w:t>
      </w:r>
      <w:r w:rsidRPr="00575AC3">
        <w:rPr>
          <w:rStyle w:val="kursiv"/>
        </w:rPr>
        <w:t>OPS-prosjekter</w:t>
      </w:r>
      <w:r w:rsidRPr="006D40F0">
        <w:t>, jf. forslag til romertallsvedtak.</w:t>
      </w:r>
    </w:p>
    <w:p w14:paraId="4ACC7503" w14:textId="77777777" w:rsidR="00575AC3" w:rsidRPr="006D40F0" w:rsidRDefault="00575AC3" w:rsidP="006D40F0">
      <w:r w:rsidRPr="006D40F0">
        <w:t xml:space="preserve">I saldert budsjett for 2024 har posten stikkordet «kan overføres, kan nyttes under post 30», mens både post 22 </w:t>
      </w:r>
      <w:r w:rsidRPr="00575AC3">
        <w:rPr>
          <w:rStyle w:val="kursiv"/>
        </w:rPr>
        <w:t>Drift og vedlikehold av riksveier</w:t>
      </w:r>
      <w:r w:rsidRPr="006D40F0">
        <w:t xml:space="preserve"> og post 30 </w:t>
      </w:r>
      <w:r w:rsidRPr="00575AC3">
        <w:rPr>
          <w:rStyle w:val="kursiv"/>
        </w:rPr>
        <w:t xml:space="preserve">Riksveiinvesteringer </w:t>
      </w:r>
      <w:r w:rsidRPr="006D40F0">
        <w:t>har tilføyd stikkordet om at de kan nyttes under post 29. Forslaget vil gi en større fleksibilitet mellom postene 22, 29 og 30, slik at ressursene kan utnyttes bedre.</w:t>
      </w:r>
    </w:p>
    <w:p w14:paraId="20B1DF51" w14:textId="77777777" w:rsidR="00575AC3" w:rsidRPr="006D40F0" w:rsidRDefault="00575AC3" w:rsidP="006D40F0">
      <w:pPr>
        <w:pStyle w:val="avsnitt-undertittel"/>
      </w:pPr>
      <w:r w:rsidRPr="006D40F0">
        <w:t>Regnskapsføring av midler fra bompengeselskap og tilskudd til riksveiprosjekter mv.</w:t>
      </w:r>
    </w:p>
    <w:p w14:paraId="62D0D721" w14:textId="77777777" w:rsidR="00575AC3" w:rsidRPr="006D40F0" w:rsidRDefault="00575AC3" w:rsidP="006D40F0">
      <w:r w:rsidRPr="006D40F0">
        <w:t xml:space="preserve">Ved behandlingen av Prop. 27 S (2023–2024) </w:t>
      </w:r>
      <w:proofErr w:type="spellStart"/>
      <w:r w:rsidRPr="00575AC3">
        <w:rPr>
          <w:rStyle w:val="kursiv"/>
        </w:rPr>
        <w:t>Endringar</w:t>
      </w:r>
      <w:proofErr w:type="spellEnd"/>
      <w:r w:rsidRPr="00575AC3">
        <w:rPr>
          <w:rStyle w:val="kursiv"/>
        </w:rPr>
        <w:t xml:space="preserve"> i statsbudsjettet 2023 under Samferdselsdepartementet</w:t>
      </w:r>
      <w:r w:rsidRPr="006D40F0">
        <w:t xml:space="preserve">, jf. </w:t>
      </w:r>
      <w:proofErr w:type="spellStart"/>
      <w:r w:rsidRPr="006D40F0">
        <w:t>Innst</w:t>
      </w:r>
      <w:proofErr w:type="spellEnd"/>
      <w:r w:rsidRPr="006D40F0">
        <w:t>. 142 S (2023–2024), samtykket Stortinget i at Samferdselsdepartementet i 2023 kunne gi fullmakt til Statens vegvesen til å:</w:t>
      </w:r>
    </w:p>
    <w:p w14:paraId="00D9E961" w14:textId="77777777" w:rsidR="00575AC3" w:rsidRPr="006D40F0" w:rsidRDefault="00575AC3" w:rsidP="006D40F0">
      <w:pPr>
        <w:pStyle w:val="Nummerertliste"/>
      </w:pPr>
      <w:r w:rsidRPr="006D40F0">
        <w:t>nettoføre innbetalte midler fra bompengeselskap og tilskudd til eksterne til riksveiprosjekter på kap. 1320, postene 01 Driftsutgifter, 29 OPS-prosjekter og 30 Riksveiinvesteringer, og</w:t>
      </w:r>
    </w:p>
    <w:p w14:paraId="42DAE04A" w14:textId="77777777" w:rsidR="00575AC3" w:rsidRPr="006D40F0" w:rsidRDefault="00575AC3" w:rsidP="006D40F0">
      <w:pPr>
        <w:pStyle w:val="Nummerertliste"/>
      </w:pPr>
      <w:r w:rsidRPr="006D40F0">
        <w:t>føre overskytende bompenger i mellomværet med statskassen frem til de blir brukt og nettoført på et riksveiprosjekt.</w:t>
      </w:r>
    </w:p>
    <w:p w14:paraId="61DB5D9C" w14:textId="77777777" w:rsidR="00575AC3" w:rsidRPr="006D40F0" w:rsidRDefault="00575AC3" w:rsidP="006D40F0">
      <w:r w:rsidRPr="006D40F0">
        <w:t>Etter Samferdselsdepartementets vurdering er det behov fullmakten også i 2024, jf. forslag til romertallsvedtak.</w:t>
      </w:r>
    </w:p>
    <w:p w14:paraId="37A3101A" w14:textId="77777777" w:rsidR="00575AC3" w:rsidRPr="006D40F0" w:rsidRDefault="00575AC3" w:rsidP="006D40F0">
      <w:pPr>
        <w:pStyle w:val="avsnitt-tittel"/>
      </w:pPr>
      <w:r w:rsidRPr="006D40F0">
        <w:lastRenderedPageBreak/>
        <w:t>Fullmakter under jernbaneformål</w:t>
      </w:r>
    </w:p>
    <w:p w14:paraId="05AD748A" w14:textId="77777777" w:rsidR="00575AC3" w:rsidRPr="006D40F0" w:rsidRDefault="00575AC3" w:rsidP="006D40F0">
      <w:pPr>
        <w:pStyle w:val="avsnitt-undertittel"/>
      </w:pPr>
      <w:r w:rsidRPr="006D40F0">
        <w:t>Forslag om endring i fullmakter for restverdigaranti</w:t>
      </w:r>
    </w:p>
    <w:p w14:paraId="6A5C835C" w14:textId="77777777" w:rsidR="00575AC3" w:rsidRPr="006D40F0" w:rsidRDefault="00575AC3" w:rsidP="006D40F0">
      <w:r w:rsidRPr="006D40F0">
        <w:t>I saldert budsjett for 2024 har Samferdselsdepartementet fått fullmakt til å gi restverdigarantier for 75 pst. av verdien på togmateriell, opp til 7 600 mill. kroner for bokført materiell og 12 320 mill. kroner for oppgraderinger og nyinvesteringer.</w:t>
      </w:r>
    </w:p>
    <w:p w14:paraId="7A284738" w14:textId="77777777" w:rsidR="00575AC3" w:rsidRPr="006D40F0" w:rsidRDefault="00575AC3" w:rsidP="006D40F0">
      <w:r w:rsidRPr="006D40F0">
        <w:t>På grunn av endringer i metoden for å justere kostnadsrammer for togmateriell har behovet for restverdisikring økt. Denne økningen er ikke en reell økning i kostnader for nye tog, men skyldes kun endringer i beregning av kontraktfestede prisindekser og justering for endringer i valutakurs. Regjeringen foreslår å øke fullmaktene til 7 680 mill. kroner for bokført materiell og 14 690 mill. kroner for oppgraderinger og nyinvesteringer, jf. forslag til romertallsvedtak.</w:t>
      </w:r>
    </w:p>
    <w:p w14:paraId="764137A3" w14:textId="77777777" w:rsidR="00575AC3" w:rsidRPr="006D40F0" w:rsidRDefault="00575AC3" w:rsidP="006D40F0">
      <w:pPr>
        <w:pStyle w:val="avsnitt-undertittel"/>
      </w:pPr>
      <w:r w:rsidRPr="006D40F0">
        <w:t>Økt kostnadsramme Sandbukta–Moss–</w:t>
      </w:r>
      <w:proofErr w:type="spellStart"/>
      <w:r w:rsidRPr="006D40F0">
        <w:t>Såstad</w:t>
      </w:r>
      <w:proofErr w:type="spellEnd"/>
    </w:p>
    <w:p w14:paraId="3F0051A4" w14:textId="77777777" w:rsidR="00575AC3" w:rsidRPr="006D40F0" w:rsidRDefault="00575AC3" w:rsidP="006D40F0">
      <w:r w:rsidRPr="006D40F0">
        <w:t>Gjeldende kostnadsramme for prosjektet Sandbukta–Moss–</w:t>
      </w:r>
      <w:proofErr w:type="spellStart"/>
      <w:r w:rsidRPr="006D40F0">
        <w:t>Såstad</w:t>
      </w:r>
      <w:proofErr w:type="spellEnd"/>
      <w:r w:rsidRPr="006D40F0">
        <w:t xml:space="preserve"> er 21 697 mill. 2024-kroner og styringsrammen er 18 022 mill. kroner, jf. Prop. 193 S (2020–2021) </w:t>
      </w:r>
      <w:proofErr w:type="spellStart"/>
      <w:r w:rsidRPr="00575AC3">
        <w:rPr>
          <w:rStyle w:val="kursiv"/>
        </w:rPr>
        <w:t>Nokre</w:t>
      </w:r>
      <w:proofErr w:type="spellEnd"/>
      <w:r w:rsidRPr="00575AC3">
        <w:rPr>
          <w:rStyle w:val="kursiv"/>
        </w:rPr>
        <w:t xml:space="preserve"> saker om luftfart, veg, </w:t>
      </w:r>
      <w:proofErr w:type="spellStart"/>
      <w:r w:rsidRPr="00575AC3">
        <w:rPr>
          <w:rStyle w:val="kursiv"/>
        </w:rPr>
        <w:t>særskilde</w:t>
      </w:r>
      <w:proofErr w:type="spellEnd"/>
      <w:r w:rsidRPr="00575AC3">
        <w:rPr>
          <w:rStyle w:val="kursiv"/>
        </w:rPr>
        <w:t xml:space="preserve"> transporttiltak og jernbane </w:t>
      </w:r>
      <w:r w:rsidRPr="006D40F0">
        <w:t xml:space="preserve">og </w:t>
      </w:r>
      <w:proofErr w:type="spellStart"/>
      <w:r w:rsidRPr="006D40F0">
        <w:t>Innst</w:t>
      </w:r>
      <w:proofErr w:type="spellEnd"/>
      <w:r w:rsidRPr="006D40F0">
        <w:t>. 648 S (2020–2021).</w:t>
      </w:r>
    </w:p>
    <w:p w14:paraId="0A48C9F0" w14:textId="77777777" w:rsidR="00575AC3" w:rsidRPr="006D40F0" w:rsidRDefault="00575AC3" w:rsidP="006D40F0">
      <w:r w:rsidRPr="006D40F0">
        <w:t>Prosjektet er sist omtalt i Prop. 1 S (2023–2024) for Samferdselsdepartementet, der det ble varslet at departementet ville komme tilbake til Stortinget med forslag om ny kostnadsramme. I 2023 oppdaterte Bane NOR SF planene for prosjektet slik at reviderte planer tar hensyn til behovet for områdestabilitet i Moss sentrum. Bane NOR har etter dette gjennomført en ny ekstern kvalitetssikring (KS2) av det oppdaterte kostnadsanslaget. Den eksterne kvalitetssikringen bekrefter at det er nødvendig å øke rammene og utsette tidspunktet for når prosjektet kan tas i bruk fra 2026 til 2030.</w:t>
      </w:r>
    </w:p>
    <w:p w14:paraId="2577A8FF" w14:textId="77777777" w:rsidR="00575AC3" w:rsidRPr="006D40F0" w:rsidRDefault="00575AC3" w:rsidP="006D40F0">
      <w:pPr>
        <w:pStyle w:val="avsnitt-under-undertittel"/>
      </w:pPr>
      <w:r w:rsidRPr="006D40F0">
        <w:t>Om prosjektet</w:t>
      </w:r>
    </w:p>
    <w:p w14:paraId="7A9B09F0" w14:textId="77777777" w:rsidR="00575AC3" w:rsidRPr="006D40F0" w:rsidRDefault="00575AC3" w:rsidP="006D40F0">
      <w:r w:rsidRPr="006D40F0">
        <w:t>Prosjektet omfatter utbygging av om lag 10 km nytt dobbeltspor gjennom Moss kommune, herunder dobbeltspor gjennom en kort dagsone fra Sandbukta og tunnel (Mossetunnelen) fra Sandbukta frem til Moss sentrum. I sentrum bygges ny Moss stasjon. Fra sør i Moss sentrum går traseen videre inn i tunnel (</w:t>
      </w:r>
      <w:proofErr w:type="spellStart"/>
      <w:r w:rsidRPr="006D40F0">
        <w:t>Carlbergtunnelen</w:t>
      </w:r>
      <w:proofErr w:type="spellEnd"/>
      <w:r w:rsidRPr="006D40F0">
        <w:t xml:space="preserve">) gjennom </w:t>
      </w:r>
      <w:proofErr w:type="spellStart"/>
      <w:r w:rsidRPr="006D40F0">
        <w:t>Kleberget</w:t>
      </w:r>
      <w:proofErr w:type="spellEnd"/>
      <w:r w:rsidRPr="006D40F0">
        <w:t xml:space="preserve"> og ut i jernbanekulvert rett nordøst for </w:t>
      </w:r>
      <w:proofErr w:type="spellStart"/>
      <w:r w:rsidRPr="006D40F0">
        <w:t>Carlberg</w:t>
      </w:r>
      <w:proofErr w:type="spellEnd"/>
      <w:r w:rsidRPr="006D40F0">
        <w:t xml:space="preserve"> gård og videre i dagsone til eksisterende dobbeltspor ved </w:t>
      </w:r>
      <w:proofErr w:type="spellStart"/>
      <w:r w:rsidRPr="006D40F0">
        <w:t>Såstad</w:t>
      </w:r>
      <w:proofErr w:type="spellEnd"/>
      <w:r w:rsidRPr="006D40F0">
        <w:t xml:space="preserve">. Prosjektet inngår i effektpakken for </w:t>
      </w:r>
      <w:r w:rsidRPr="00575AC3">
        <w:rPr>
          <w:rStyle w:val="kursiv"/>
        </w:rPr>
        <w:t>Flere og raskere tog på Østfoldbanen</w:t>
      </w:r>
      <w:r w:rsidRPr="006D40F0">
        <w:t>. Effektpakken skal gi en tilbudsforbedring for regiontog mellom Oslo og Moss, redusert reisetid for regionekspresstogene, og den skal legge til rette for senere tilbudsutvikling på Østfoldbanen.</w:t>
      </w:r>
    </w:p>
    <w:p w14:paraId="28D92B15" w14:textId="77777777" w:rsidR="00575AC3" w:rsidRPr="006D40F0" w:rsidRDefault="00575AC3" w:rsidP="006D40F0">
      <w:pPr>
        <w:pStyle w:val="avsnitt-under-undertittel"/>
      </w:pPr>
      <w:r w:rsidRPr="006D40F0">
        <w:t>Kostnadsøkning</w:t>
      </w:r>
    </w:p>
    <w:p w14:paraId="2E5697E0" w14:textId="77777777" w:rsidR="00575AC3" w:rsidRPr="006D40F0" w:rsidRDefault="00575AC3" w:rsidP="006D40F0">
      <w:r w:rsidRPr="006D40F0">
        <w:t>Det er flere årsaker til at prosjektet har blitt dyrere:</w:t>
      </w:r>
    </w:p>
    <w:p w14:paraId="4B0D3EA5" w14:textId="77777777" w:rsidR="00575AC3" w:rsidRPr="006D40F0" w:rsidRDefault="00575AC3" w:rsidP="006D40F0">
      <w:pPr>
        <w:pStyle w:val="Liste"/>
      </w:pPr>
      <w:r w:rsidRPr="006D40F0">
        <w:t>endring i prosjektets omfang: Ny informasjon og forståelse av grunnforholdene har avdekket store problemer med områdestabilitet. Dette har endret prosjektets omfang fra en ren jernbaneutbygging til også å omfatte arbeid for å redusere risikoen for kvikkleireskred i Moss sentrum.</w:t>
      </w:r>
    </w:p>
    <w:p w14:paraId="56292AB7" w14:textId="77777777" w:rsidR="00575AC3" w:rsidRPr="006D40F0" w:rsidRDefault="00575AC3" w:rsidP="006D40F0">
      <w:pPr>
        <w:pStyle w:val="Liste"/>
      </w:pPr>
      <w:r w:rsidRPr="006D40F0">
        <w:lastRenderedPageBreak/>
        <w:t>tillegg av sikkerhetskritiske arbeider: Forbedring av områdestabiliteten, både for jernbanebygging og for å sikre beboernes sikkerhet, har medført behov for tilleggsarbeider. Disse arbeidene er sikkerhetskritiske, må utføres varsomt og under streng kontroll.</w:t>
      </w:r>
    </w:p>
    <w:p w14:paraId="0458821B" w14:textId="77777777" w:rsidR="00575AC3" w:rsidRPr="006D40F0" w:rsidRDefault="00575AC3" w:rsidP="006D40F0">
      <w:pPr>
        <w:pStyle w:val="Liste"/>
      </w:pPr>
      <w:r w:rsidRPr="006D40F0">
        <w:t xml:space="preserve">valg av løsninger og gjennomføring: De </w:t>
      </w:r>
      <w:proofErr w:type="gramStart"/>
      <w:r w:rsidRPr="006D40F0">
        <w:t>potensielt</w:t>
      </w:r>
      <w:proofErr w:type="gramEnd"/>
      <w:r w:rsidRPr="006D40F0">
        <w:t xml:space="preserve"> svært store konsekvensene av arbeidene har lagt sterke føringer for valg av løsninger og gjennomføring. Dette har også påvirket tidsplaner og kostnader.</w:t>
      </w:r>
    </w:p>
    <w:p w14:paraId="5283EE32" w14:textId="77777777" w:rsidR="00575AC3" w:rsidRPr="006D40F0" w:rsidRDefault="00575AC3" w:rsidP="006D40F0">
      <w:pPr>
        <w:pStyle w:val="Liste"/>
      </w:pPr>
      <w:r w:rsidRPr="006D40F0">
        <w:t>strengt kontrollregime og lav terskel for stans av arbeid: Arbeidene må utføres under et strengt kontrollregime, og det er lagt opp til en lav terskel for stans av arbeidene dersom det oppstår uavklarte situasjoner. Dette kan også bidra til økte kostnader.</w:t>
      </w:r>
    </w:p>
    <w:p w14:paraId="2A55CA55" w14:textId="77777777" w:rsidR="00575AC3" w:rsidRPr="006D40F0" w:rsidRDefault="00575AC3" w:rsidP="006D40F0">
      <w:r w:rsidRPr="006D40F0">
        <w:t>Konsekvensene av å stanse prosjektet vil være store. En stans vil medføre at det ikke vil være mulig å videreføre Intercity-konseptet på Østfoldbanen. Det vil ikke bli redusert reisetid sør for Moss, og det vil bli dårligere driftsstabilitet for Vestre linje. Muligheten for fremtidig tilbudsutvikling for regiontogtilbudet vil bli dårligere. En videreføring av prosjektet basert på et annet konsept for dobbeltspor gjennom Moss, vil i praksis innebære en omstart av prosjektet og tilhørende planprosesser. Store deler av de allerede påløpte kostnadene må da sannsynligvis anses som tapt. En ny planprosess vil sannsynligvis sette prosjektets fremdrift tilbake anslagsvis ti år.</w:t>
      </w:r>
    </w:p>
    <w:p w14:paraId="383FF45F" w14:textId="77777777" w:rsidR="00575AC3" w:rsidRPr="006D40F0" w:rsidRDefault="00575AC3" w:rsidP="006D40F0">
      <w:pPr>
        <w:pStyle w:val="avsnitt-under-undertittel"/>
      </w:pPr>
      <w:r w:rsidRPr="006D40F0">
        <w:t>Anbefaling styrings- og kostnadsrammer</w:t>
      </w:r>
    </w:p>
    <w:p w14:paraId="088EC405" w14:textId="77777777" w:rsidR="00575AC3" w:rsidRPr="006D40F0" w:rsidRDefault="00575AC3" w:rsidP="006D40F0">
      <w:r w:rsidRPr="006D40F0">
        <w:t xml:space="preserve">Det er enighet mellom ekstern </w:t>
      </w:r>
      <w:proofErr w:type="spellStart"/>
      <w:r w:rsidRPr="006D40F0">
        <w:t>kvalitetssikrer</w:t>
      </w:r>
      <w:proofErr w:type="spellEnd"/>
      <w:r w:rsidRPr="006D40F0">
        <w:t>, Bane NOR og Jernbanedirektoratet om kostnads- og styringsramme. På denne bakgrunn foreslår regjeringen å øke kostnadsrammen for Sandbukta–Moss–</w:t>
      </w:r>
      <w:proofErr w:type="spellStart"/>
      <w:r w:rsidRPr="006D40F0">
        <w:t>Såstad</w:t>
      </w:r>
      <w:proofErr w:type="spellEnd"/>
      <w:r w:rsidRPr="006D40F0">
        <w:t xml:space="preserve"> til 27 646 mill. kroner, jf. forslag til romertallsvedtak. Styringsrammen settes til 24 103 mill. kroner.</w:t>
      </w:r>
    </w:p>
    <w:p w14:paraId="6802AFAF" w14:textId="77777777" w:rsidR="00575AC3" w:rsidRPr="006D40F0" w:rsidRDefault="00575AC3" w:rsidP="006D40F0">
      <w:pPr>
        <w:pStyle w:val="avsnitt-undertittel"/>
      </w:pPr>
      <w:r w:rsidRPr="006D40F0">
        <w:t>Ny kostnadsramme Kolbotn stasjon</w:t>
      </w:r>
    </w:p>
    <w:p w14:paraId="4A1AAB6F" w14:textId="77777777" w:rsidR="00575AC3" w:rsidRPr="006D40F0" w:rsidRDefault="00575AC3" w:rsidP="006D40F0">
      <w:r w:rsidRPr="006D40F0">
        <w:t xml:space="preserve">Prosjektet Kolbotn stasjon er en del av effektpakken </w:t>
      </w:r>
      <w:r w:rsidRPr="00575AC3">
        <w:rPr>
          <w:rStyle w:val="kursiv"/>
        </w:rPr>
        <w:t>Infrastruktur for nytt togmateriell (Oslo-navet)</w:t>
      </w:r>
      <w:r w:rsidRPr="006D40F0">
        <w:t>. Effektpakken omfatter nødvendige infrastrukturtiltak på strekningene Oslo–Ski og Oslo–Spikkestad for å kunne ta i bruk nye lokaltog i desember 2026. Tiltakene på Kolbotn stasjon omfatter plattformforlengelse, etablering av kulvert, universell utforming og oppgradering av signalanlegg. Deler av byggearbeidet som skal gjennomføres nært sporet, kan ikke utføres samtidig med togtrafikk på strekningen, og Bane NOR planlegger for perioder med enkeltsporet drift på Kolbotn stasjon.</w:t>
      </w:r>
    </w:p>
    <w:p w14:paraId="7C2F9983" w14:textId="77777777" w:rsidR="00575AC3" w:rsidRPr="006D40F0" w:rsidRDefault="00575AC3" w:rsidP="006D40F0">
      <w:r w:rsidRPr="006D40F0">
        <w:t>Detaljplan og kostnadsanslag for prosjektet ble gjennomført i 2019. Kostnaden i prosjektet har økt på grunn av behov for midlertidig signalanlegg i påvente av innføring av ERTMS, og økt omfang av midlertidige konstruksjoner for å opprettholde best mulig transporttilbud i byggeperioden. Prosjektet har nå en beregnet kostnadsramme (P85) over 1 000 mill. kroner, som er terskelverdien for når vei- og jernbaneprosjekter legges frem for Stortinget.</w:t>
      </w:r>
    </w:p>
    <w:p w14:paraId="49212EC6" w14:textId="77777777" w:rsidR="00575AC3" w:rsidRPr="006D40F0" w:rsidRDefault="00575AC3" w:rsidP="006D40F0">
      <w:r w:rsidRPr="006D40F0">
        <w:t xml:space="preserve">Ekstern kvalitetssikring av prosjektet forelå i oktober 2023. </w:t>
      </w:r>
      <w:proofErr w:type="spellStart"/>
      <w:r w:rsidRPr="006D40F0">
        <w:t>Kvalitetssikrer</w:t>
      </w:r>
      <w:proofErr w:type="spellEnd"/>
      <w:r w:rsidRPr="006D40F0">
        <w:t xml:space="preserve"> påpeker at kombinasjonen av prosjektets klart gitte omfang, en tidsramme som fremstår som absolutt og behovet for å opprettholde best mulig togtilbud i byggeperioden begrenser prosjektets styringsfleksibilitet og mulighetene for kostnadsreduksjoner. I tillegg pekes det på stor usikkerhet i fremdriftsplanen og et modenhetsnivå i prosjektunderlaget som er noe under det normale for prosjekter ved investeringsbeslutning. Etter kvalitetssikringen har Bane NOR identifisert og gjennomført tiltak for å </w:t>
      </w:r>
      <w:r w:rsidRPr="006D40F0">
        <w:lastRenderedPageBreak/>
        <w:t>forbedre modenheten og beskrevet hvordan usikkerheten i prosjektet er redusert. Bane NOR og Jernbanedirektoratet vurderer at fremdriftsplanen kan gjennomføres.</w:t>
      </w:r>
    </w:p>
    <w:p w14:paraId="190C4942" w14:textId="77777777" w:rsidR="00575AC3" w:rsidRPr="006D40F0" w:rsidRDefault="00575AC3" w:rsidP="006D40F0">
      <w:r w:rsidRPr="006D40F0">
        <w:t>For prosjektet Kolbotn stasjon brukes samspillsentreprise, der Bane NOR og entreprenøren samarbeider om å finne de beste løsningene for byggingen av tiltak. Det er ventet at samspillskontrakten for prosjektet kan redusere usikkerheten rundt fremdrift og kostnader.</w:t>
      </w:r>
    </w:p>
    <w:p w14:paraId="07632EF7" w14:textId="77777777" w:rsidR="00575AC3" w:rsidRPr="006D40F0" w:rsidRDefault="00575AC3" w:rsidP="006D40F0">
      <w:r w:rsidRPr="006D40F0">
        <w:t xml:space="preserve">Det er uenighet mellom ekstern </w:t>
      </w:r>
      <w:proofErr w:type="spellStart"/>
      <w:r w:rsidRPr="006D40F0">
        <w:t>kvalitetssikrer</w:t>
      </w:r>
      <w:proofErr w:type="spellEnd"/>
      <w:r w:rsidRPr="006D40F0">
        <w:t xml:space="preserve"> og Bane NOR om den beregnede usikkerhetsavsetningen i prosjektet. Avvikene skyldes tekniske forskjeller i simuleringsmodellene som er brukt.</w:t>
      </w:r>
    </w:p>
    <w:p w14:paraId="030D5FDF" w14:textId="77777777" w:rsidR="00575AC3" w:rsidRPr="006D40F0" w:rsidRDefault="00575AC3" w:rsidP="006D40F0">
      <w:r w:rsidRPr="006D40F0">
        <w:t>På bakgrunn av gjennomført kvalitetssikring, Bane NORs anbefalinger og Jernbanedirektoratets gjennomgang og vurdering, foreslås en kostnadsramme på 1 310 mill. kroner for prosjektet Kolbotn stasjon, jf. forslag til romertallsvedtak. Styringsrammen settes til 1 050 mill. kroner.</w:t>
      </w:r>
    </w:p>
    <w:p w14:paraId="3323B2F2" w14:textId="77777777" w:rsidR="00575AC3" w:rsidRPr="006D40F0" w:rsidRDefault="00575AC3" w:rsidP="006D40F0">
      <w:pPr>
        <w:pStyle w:val="Overskrift2"/>
      </w:pPr>
      <w:r w:rsidRPr="006D40F0">
        <w:t>Klima- og miljødepartementet</w:t>
      </w:r>
    </w:p>
    <w:p w14:paraId="7B94CBF3" w14:textId="77777777" w:rsidR="00575AC3" w:rsidRPr="006D40F0" w:rsidRDefault="00575AC3" w:rsidP="006D40F0">
      <w:pPr>
        <w:pStyle w:val="b-budkaptit"/>
      </w:pPr>
      <w:r w:rsidRPr="006D40F0">
        <w:t>Kap. 1400 Klima- og miljødepartementet</w:t>
      </w:r>
    </w:p>
    <w:p w14:paraId="1661188C" w14:textId="77777777" w:rsidR="00575AC3" w:rsidRPr="006D40F0" w:rsidRDefault="00575AC3" w:rsidP="006D40F0">
      <w:pPr>
        <w:pStyle w:val="b-post"/>
      </w:pPr>
      <w:r w:rsidRPr="006D40F0">
        <w:t>Post 01 Driftsutgifter</w:t>
      </w:r>
    </w:p>
    <w:p w14:paraId="25F782A9" w14:textId="77777777" w:rsidR="00575AC3" w:rsidRPr="006D40F0" w:rsidRDefault="00575AC3" w:rsidP="006D40F0">
      <w:r w:rsidRPr="006D40F0">
        <w:t>Bevilgningen på posten foreslås redusert med 3,5 mill. kroner, jf. omtale under post 21.</w:t>
      </w:r>
    </w:p>
    <w:p w14:paraId="235C5208" w14:textId="77777777" w:rsidR="00575AC3" w:rsidRPr="006D40F0" w:rsidRDefault="00575AC3" w:rsidP="006D40F0">
      <w:pPr>
        <w:pStyle w:val="b-post"/>
      </w:pPr>
      <w:r w:rsidRPr="006D40F0">
        <w:t>Post 21 Spesielle driftsutgifter</w:t>
      </w:r>
    </w:p>
    <w:p w14:paraId="27C3BF12" w14:textId="77777777" w:rsidR="00575AC3" w:rsidRPr="006D40F0" w:rsidRDefault="00575AC3" w:rsidP="006D40F0">
      <w:r w:rsidRPr="006D40F0">
        <w:t>Det foreslås å øke bevilgningen på posten med 6,1 mill. kroner til kostnadsdekning av diverse utvalgsarbeid, inkludert Klimautvalget 2050, Naturrisikoutvalget, Matsvinnutvalget og Teknisk beregningsutvalg for klima. Økt bevilgning inndekkes med omdisponering fra post 01 på 3,5 mill. kroner og post 76 på 2,6 mill. kroner.</w:t>
      </w:r>
    </w:p>
    <w:p w14:paraId="1B85D7EE" w14:textId="77777777" w:rsidR="00575AC3" w:rsidRPr="006D40F0" w:rsidRDefault="00575AC3" w:rsidP="006D40F0">
      <w:r w:rsidRPr="006D40F0">
        <w:t xml:space="preserve">Videre foreslås det å øke bevilgningen med 5,8 mill. kroner til rassikring av de åpne gruvegangene på Øvre </w:t>
      </w:r>
      <w:proofErr w:type="spellStart"/>
      <w:r w:rsidRPr="006D40F0">
        <w:t>Storwartz</w:t>
      </w:r>
      <w:proofErr w:type="spellEnd"/>
      <w:r w:rsidRPr="006D40F0">
        <w:t xml:space="preserve"> i Røros av hensyn til HMS og kulturmiljø- og verdensarvverdier.</w:t>
      </w:r>
    </w:p>
    <w:p w14:paraId="78B97663" w14:textId="77777777" w:rsidR="00575AC3" w:rsidRPr="006D40F0" w:rsidRDefault="00575AC3" w:rsidP="006D40F0">
      <w:r w:rsidRPr="006D40F0">
        <w:t>Det foreslås også å øke bevilgningen på posten med 3,8 mill. kroner gjennom en omdisponering fra kap. 1400, post 76. Midlene skal benyttes til oppfølging av regjeringens handlingsplan for sirkulær økonomi, inkludert utvikling av nasjonale indikatorer for sirkulær økonomi og utredning av et samfunnsoppdrag om sirkulær økonomi.</w:t>
      </w:r>
    </w:p>
    <w:p w14:paraId="7DFFA541" w14:textId="77777777" w:rsidR="00575AC3" w:rsidRPr="006D40F0" w:rsidRDefault="00575AC3" w:rsidP="006D40F0">
      <w:r w:rsidRPr="006D40F0">
        <w:t>Samlet foreslås bevilgningen på posten økt med 15,7 mill. kroner.</w:t>
      </w:r>
    </w:p>
    <w:p w14:paraId="5373A107" w14:textId="77777777" w:rsidR="00575AC3" w:rsidRPr="006D40F0" w:rsidRDefault="00575AC3" w:rsidP="006D40F0">
      <w:pPr>
        <w:pStyle w:val="b-post"/>
      </w:pPr>
      <w:r w:rsidRPr="006D40F0">
        <w:t>Post 76 Støtte til nasjonale og internasjonale miljøtiltak, kan overføres</w:t>
      </w:r>
    </w:p>
    <w:p w14:paraId="15F57179" w14:textId="77777777" w:rsidR="00575AC3" w:rsidRPr="006D40F0" w:rsidRDefault="00575AC3" w:rsidP="006D40F0">
      <w:r w:rsidRPr="006D40F0">
        <w:t>Posten omfatter en tilskuddsordning som skal medvirke til nasjonale tiltak slik at Norge oppfyller internasjonale forpliktelser innen naturmangfold, klima og forurensning og nasjonale mål innenfor alle resultatområdene.</w:t>
      </w:r>
    </w:p>
    <w:p w14:paraId="040EDFF7" w14:textId="77777777" w:rsidR="00575AC3" w:rsidRPr="006D40F0" w:rsidRDefault="00575AC3" w:rsidP="006D40F0">
      <w:r w:rsidRPr="006D40F0">
        <w:t>0,5 mill. kroner av midlene på posten foreslås tildelt One Planet Network som er FN-systemets satsing på bærekraftig produksjon og forbruk gjennom UNEP.</w:t>
      </w:r>
    </w:p>
    <w:p w14:paraId="49B2B243" w14:textId="77777777" w:rsidR="00575AC3" w:rsidRPr="006D40F0" w:rsidRDefault="00575AC3" w:rsidP="006D40F0">
      <w:r w:rsidRPr="006D40F0">
        <w:lastRenderedPageBreak/>
        <w:t>Bevilgningen på posten foreslås redusert med 3,8 mill. kroner gjennom en omdisponering til kap. 1400, post 21 til oppfølging av regjeringens handlingsplan for sirkulær økonomi, jf. omtale under post 21.</w:t>
      </w:r>
    </w:p>
    <w:p w14:paraId="676DA2A2" w14:textId="77777777" w:rsidR="00575AC3" w:rsidRPr="006D40F0" w:rsidRDefault="00575AC3" w:rsidP="006D40F0">
      <w:r w:rsidRPr="006D40F0">
        <w:t>Bevilgningen på posten foreslås redusert med 2,6 mill. kroner til diverse utvalgsarbeid, jf. omtale av omdisponering under post 21.</w:t>
      </w:r>
    </w:p>
    <w:p w14:paraId="74050913" w14:textId="77777777" w:rsidR="00575AC3" w:rsidRPr="006D40F0" w:rsidRDefault="00575AC3" w:rsidP="006D40F0">
      <w:r w:rsidRPr="006D40F0">
        <w:t xml:space="preserve">Videre foreslås bevilgningen økt med 10 mill. kroner, da utbetalingen knyttet til oppryddingsprosjektet ved </w:t>
      </w:r>
      <w:proofErr w:type="spellStart"/>
      <w:r w:rsidRPr="006D40F0">
        <w:t>verftstomten</w:t>
      </w:r>
      <w:proofErr w:type="spellEnd"/>
      <w:r w:rsidRPr="006D40F0">
        <w:t xml:space="preserve"> på Bugøynes i Sør-Varanger kommune forventes utbetalt i 2024.</w:t>
      </w:r>
    </w:p>
    <w:p w14:paraId="003A1125" w14:textId="77777777" w:rsidR="00575AC3" w:rsidRPr="006D40F0" w:rsidRDefault="00575AC3" w:rsidP="006D40F0">
      <w:r w:rsidRPr="006D40F0">
        <w:t>Samlet foreslås bevilgningen på posten økt med 3,7 mill. kroner.</w:t>
      </w:r>
    </w:p>
    <w:p w14:paraId="4EB07A01" w14:textId="77777777" w:rsidR="00575AC3" w:rsidRPr="006D40F0" w:rsidRDefault="00575AC3" w:rsidP="006D40F0">
      <w:pPr>
        <w:pStyle w:val="b-budkaptit"/>
      </w:pPr>
      <w:r w:rsidRPr="006D40F0">
        <w:t>Kap. 1410 Kunnskap om klima og miljø</w:t>
      </w:r>
    </w:p>
    <w:p w14:paraId="63454FBB" w14:textId="77777777" w:rsidR="00575AC3" w:rsidRPr="006D40F0" w:rsidRDefault="00575AC3" w:rsidP="006D40F0">
      <w:pPr>
        <w:pStyle w:val="b-post"/>
      </w:pPr>
      <w:r w:rsidRPr="006D40F0">
        <w:t>Post 21 Miljødata</w:t>
      </w:r>
    </w:p>
    <w:p w14:paraId="75109937" w14:textId="77777777" w:rsidR="00575AC3" w:rsidRPr="006D40F0" w:rsidRDefault="00575AC3" w:rsidP="006D40F0">
      <w:r w:rsidRPr="006D40F0">
        <w:t>Bevilgningen på posten foreslås redusert med 380 000 kroner gjennom en omdisponering til kap. 1410, post 70 for å styrke Norsk institutt for vannforskning (NIVA) sitt arbeid med det europeiske temasenteret for biologisk mangfold og økosystemer, jf. omtale under kap. 1410, post 70.</w:t>
      </w:r>
    </w:p>
    <w:p w14:paraId="18D2BC7B" w14:textId="77777777" w:rsidR="00575AC3" w:rsidRPr="006D40F0" w:rsidRDefault="00575AC3" w:rsidP="006D40F0">
      <w:r w:rsidRPr="006D40F0">
        <w:t>Videre foreslås bevilgningen posten redusert med 5 mill. kroner gjennom en omdisponering til kap. 1420, post 01 for å styrke Miljødirektoratets arbeid med å følge opp overvåking, ny teknologi og arbeidet med miljødata, gjennom opprettelse av nye stillinger, jf. omtale under kap. 1420, post 01.</w:t>
      </w:r>
    </w:p>
    <w:p w14:paraId="67958AEE" w14:textId="77777777" w:rsidR="00575AC3" w:rsidRPr="006D40F0" w:rsidRDefault="00575AC3" w:rsidP="006D40F0">
      <w:r w:rsidRPr="006D40F0">
        <w:t>Samlet foreslås bevilgningen på posten redusert med 5,4 mill. kroner.</w:t>
      </w:r>
    </w:p>
    <w:p w14:paraId="6EFFBAE7" w14:textId="77777777" w:rsidR="00575AC3" w:rsidRPr="006D40F0" w:rsidRDefault="00575AC3" w:rsidP="006D40F0">
      <w:pPr>
        <w:pStyle w:val="b-post"/>
      </w:pPr>
      <w:r w:rsidRPr="006D40F0">
        <w:t>Post 70 Nasjonale oppgaver ved miljøinstituttene</w:t>
      </w:r>
    </w:p>
    <w:p w14:paraId="63B22614" w14:textId="77777777" w:rsidR="00575AC3" w:rsidRPr="006D40F0" w:rsidRDefault="00575AC3" w:rsidP="006D40F0">
      <w:r w:rsidRPr="006D40F0">
        <w:t xml:space="preserve">Bevilgningen foreslås økt med 380 000 kroner for å støtte NIVAs arbeid med å koordinere et nytt temasenter for European Environment </w:t>
      </w:r>
      <w:proofErr w:type="spellStart"/>
      <w:r w:rsidRPr="006D40F0">
        <w:t>Agency</w:t>
      </w:r>
      <w:proofErr w:type="spellEnd"/>
      <w:r w:rsidRPr="006D40F0">
        <w:t xml:space="preserve"> (EEA) for biologisk mangfold og økosystemer. Økningen foreslås inndekket gjennom omdisponering fra kap. 1410, post 21.</w:t>
      </w:r>
    </w:p>
    <w:p w14:paraId="446BB857" w14:textId="77777777" w:rsidR="00575AC3" w:rsidRPr="006D40F0" w:rsidRDefault="00575AC3" w:rsidP="006D40F0">
      <w:pPr>
        <w:pStyle w:val="b-budkaptit"/>
      </w:pPr>
      <w:r w:rsidRPr="006D40F0">
        <w:t>Kap. 1411 Artsdatabanken</w:t>
      </w:r>
    </w:p>
    <w:p w14:paraId="738BAABC" w14:textId="77777777" w:rsidR="00575AC3" w:rsidRPr="006D40F0" w:rsidRDefault="00575AC3" w:rsidP="006D40F0">
      <w:pPr>
        <w:pStyle w:val="b-post"/>
      </w:pPr>
      <w:r w:rsidRPr="006D40F0">
        <w:t>Post 21 Spesielle driftsutgifter, kan overføres, kan nyttes under post 70</w:t>
      </w:r>
    </w:p>
    <w:p w14:paraId="5021D2ED" w14:textId="77777777" w:rsidR="00575AC3" w:rsidRPr="006D40F0" w:rsidRDefault="00575AC3" w:rsidP="006D40F0">
      <w:r w:rsidRPr="006D40F0">
        <w:t>Bestillingsfullmakten på posten foreslås økt med 5,5 mill. kroner til 17,5 mill. kroner for arbeid med rød- og fremmedartslistene, jf. forslag til romertallsvedtak. Artsdatabanken ønsker å legge om arbeidet med rød- og fremmedartslistene for å etablere en jevnere belastning av arbeidet, både kostnadsmessig og personalressursmessig. Arbeidet med flere lister samtidig innebærer et behov for å øke bestillingsfullmakten på kap. 1411, post 21.</w:t>
      </w:r>
    </w:p>
    <w:p w14:paraId="3CA5A5D7" w14:textId="77777777" w:rsidR="00575AC3" w:rsidRPr="006D40F0" w:rsidRDefault="00575AC3" w:rsidP="006D40F0">
      <w:pPr>
        <w:pStyle w:val="b-budkaptit"/>
      </w:pPr>
      <w:r w:rsidRPr="006D40F0">
        <w:lastRenderedPageBreak/>
        <w:t>Kap. 1412 Meteorologiformål</w:t>
      </w:r>
    </w:p>
    <w:p w14:paraId="39D7F77B" w14:textId="77777777" w:rsidR="00575AC3" w:rsidRPr="006D40F0" w:rsidRDefault="00575AC3" w:rsidP="006D40F0">
      <w:pPr>
        <w:pStyle w:val="b-post"/>
      </w:pPr>
      <w:r w:rsidRPr="006D40F0">
        <w:t>Post 50 Meteorologisk institutt</w:t>
      </w:r>
    </w:p>
    <w:p w14:paraId="2D3E0360" w14:textId="77777777" w:rsidR="00575AC3" w:rsidRPr="006D40F0" w:rsidRDefault="00575AC3" w:rsidP="006D40F0">
      <w:r w:rsidRPr="006D40F0">
        <w:t xml:space="preserve">Bevilgningen på posten foreslås redusert med 260 000 kroner som skal rammeoverføres til Nærings- og fiskeridepartementets kap. 922, post 71. Dette er et bidrag til finansiering av forlengelse av </w:t>
      </w:r>
      <w:proofErr w:type="spellStart"/>
      <w:r w:rsidRPr="006D40F0">
        <w:t>Radarsat</w:t>
      </w:r>
      <w:proofErr w:type="spellEnd"/>
      <w:r w:rsidRPr="006D40F0">
        <w:t>-avtalen med Canada for tilgang til satellittdata i 2024.</w:t>
      </w:r>
    </w:p>
    <w:p w14:paraId="3F143D9C" w14:textId="77777777" w:rsidR="00575AC3" w:rsidRPr="006D40F0" w:rsidRDefault="00575AC3" w:rsidP="006D40F0">
      <w:pPr>
        <w:pStyle w:val="b-post"/>
      </w:pPr>
      <w:r w:rsidRPr="006D40F0">
        <w:t>Post 70 Internasjonale samarbeidsprosjekter</w:t>
      </w:r>
    </w:p>
    <w:p w14:paraId="068C6B4F" w14:textId="77777777" w:rsidR="00575AC3" w:rsidRPr="006D40F0" w:rsidRDefault="00575AC3" w:rsidP="006D40F0">
      <w:r w:rsidRPr="006D40F0">
        <w:t xml:space="preserve">Bevilgningen på posten dekker kontingenter til deltakelse i internasjonale meteorologiske organisasjoner. Bevilgningen foreslås redusert med 15,3 mill. kroner i hovedsak som følge av reduksjoner i kontingenten for </w:t>
      </w:r>
      <w:proofErr w:type="spellStart"/>
      <w:r w:rsidRPr="006D40F0">
        <w:t>Eumetsat</w:t>
      </w:r>
      <w:proofErr w:type="spellEnd"/>
      <w:r w:rsidRPr="006D40F0">
        <w:t xml:space="preserve"> og endringer i valutakurser.</w:t>
      </w:r>
    </w:p>
    <w:p w14:paraId="53FD5CD0" w14:textId="77777777" w:rsidR="00575AC3" w:rsidRPr="006D40F0" w:rsidRDefault="00575AC3" w:rsidP="006D40F0">
      <w:pPr>
        <w:pStyle w:val="b-budkaptit"/>
      </w:pPr>
      <w:r w:rsidRPr="006D40F0">
        <w:t>Kap. 1420 Miljødirektoratet</w:t>
      </w:r>
    </w:p>
    <w:p w14:paraId="39DE6A5C" w14:textId="77777777" w:rsidR="00575AC3" w:rsidRPr="006D40F0" w:rsidRDefault="00575AC3" w:rsidP="006D40F0">
      <w:pPr>
        <w:pStyle w:val="b-post"/>
      </w:pPr>
      <w:r w:rsidRPr="006D40F0">
        <w:t>Post 01 Driftsutgifter</w:t>
      </w:r>
    </w:p>
    <w:p w14:paraId="24A31A40" w14:textId="77777777" w:rsidR="00575AC3" w:rsidRPr="006D40F0" w:rsidRDefault="00575AC3" w:rsidP="006D40F0">
      <w:r w:rsidRPr="006D40F0">
        <w:t>Klima- og miljødepartementet har samordnet arkivfunksjon for miljøforvaltningen. For å ivareta Riksantikvarens dokumentforvaltning gjennom den samordnede arkivfunksjonen, foreslås det å omdisponere 1 mill. kroner til kap. 1420, post 01 fra kap. 1429, post 01, jf. omtale under kap. 1429, post 01.</w:t>
      </w:r>
    </w:p>
    <w:p w14:paraId="2032C006" w14:textId="77777777" w:rsidR="00575AC3" w:rsidRPr="006D40F0" w:rsidRDefault="00575AC3" w:rsidP="006D40F0">
      <w:r w:rsidRPr="006D40F0">
        <w:t>Bevilgningen på posten foreslås økt med 5 mill. kroner for å effektivisere Miljødirektoratets arbeid med miljødata gjennom opprettelse av faste stillinger fremfor gjennom kjøp av tjenester, jf. omtale av omdisponering under kap. 1410, post 21.</w:t>
      </w:r>
    </w:p>
    <w:p w14:paraId="55FD778D" w14:textId="77777777" w:rsidR="00575AC3" w:rsidRPr="006D40F0" w:rsidRDefault="00575AC3" w:rsidP="006D40F0">
      <w:r w:rsidRPr="006D40F0">
        <w:t>Bevilgningen på posten foreslås videre økt med 11 mill. kroner til økt kapasitet i arbeidet med å følge opp nytt klima- og miljøregelverk fra EU, herunder produktrammeverket og utvidet klimakvoteregelverk. Økningen foreslås dekket inn med en tilsvarende reduksjon på kap. 1420, post 21.</w:t>
      </w:r>
    </w:p>
    <w:p w14:paraId="77E04019" w14:textId="77777777" w:rsidR="00575AC3" w:rsidRPr="006D40F0" w:rsidRDefault="00575AC3" w:rsidP="006D40F0">
      <w:r w:rsidRPr="006D40F0">
        <w:t>Det foreslås omdisponert 1,3 mill. kroner fra kap. 1420, post 21 til lønnsmidler for arbeid med virkemiddel mot plastforurensning.</w:t>
      </w:r>
    </w:p>
    <w:p w14:paraId="71080427" w14:textId="77777777" w:rsidR="00575AC3" w:rsidRPr="006D40F0" w:rsidRDefault="00575AC3" w:rsidP="006D40F0">
      <w:r w:rsidRPr="006D40F0">
        <w:t>Bevilgningen på posten foreslås videre økt med 3 mill. kroner til opprettelser av faste stillinger på IT-området, jf. omtale av omdisponering under kap. 1420, post 21.</w:t>
      </w:r>
    </w:p>
    <w:p w14:paraId="5B943CC9" w14:textId="77777777" w:rsidR="00575AC3" w:rsidRPr="006D40F0" w:rsidRDefault="00575AC3" w:rsidP="006D40F0">
      <w:r w:rsidRPr="006D40F0">
        <w:t>Samlet foreslås bevilgningen på posten økt med 21,3 mill. kroner.</w:t>
      </w:r>
    </w:p>
    <w:p w14:paraId="60ECC528" w14:textId="77777777" w:rsidR="00575AC3" w:rsidRPr="006D40F0" w:rsidRDefault="00575AC3" w:rsidP="006D40F0">
      <w:pPr>
        <w:pStyle w:val="b-post"/>
      </w:pPr>
      <w:r w:rsidRPr="006D40F0">
        <w:t xml:space="preserve">Post 21 Spesielle </w:t>
      </w:r>
      <w:proofErr w:type="spellStart"/>
      <w:r w:rsidRPr="006D40F0">
        <w:t>drifutsgifter</w:t>
      </w:r>
      <w:proofErr w:type="spellEnd"/>
    </w:p>
    <w:p w14:paraId="76547D13" w14:textId="77777777" w:rsidR="00575AC3" w:rsidRPr="006D40F0" w:rsidRDefault="00575AC3" w:rsidP="006D40F0">
      <w:r w:rsidRPr="006D40F0">
        <w:t>Bevilgningen foreslås redusert med 11 mill. kroner som inndekning for forslag om oppfølging og gjennomføring av nytt klima- og miljøregelverk fra EU, jf. omtale under kap. 1420, post 01.</w:t>
      </w:r>
    </w:p>
    <w:p w14:paraId="224F312C" w14:textId="77777777" w:rsidR="00575AC3" w:rsidRPr="006D40F0" w:rsidRDefault="00575AC3" w:rsidP="006D40F0">
      <w:r w:rsidRPr="006D40F0">
        <w:t>Det foreslås videre omdisponert 1,3 mill. kroner til kap. 1420, post 01 til lønnsmidler for arbeid med virkemiddel mot plastforurensning.</w:t>
      </w:r>
    </w:p>
    <w:p w14:paraId="531E34C8" w14:textId="77777777" w:rsidR="00575AC3" w:rsidRPr="006D40F0" w:rsidRDefault="00575AC3" w:rsidP="006D40F0">
      <w:r w:rsidRPr="006D40F0">
        <w:lastRenderedPageBreak/>
        <w:t>Bevilgningen på posten foreslås økt med 2 mill. kroner for å øke statsforvalternes saksbehandlerkapasitet til arbeidet med naturrestaurering, jf. omtale av omdisponering under kap. 1420, post 30.</w:t>
      </w:r>
    </w:p>
    <w:p w14:paraId="48DBC7A7" w14:textId="77777777" w:rsidR="00575AC3" w:rsidRPr="006D40F0" w:rsidRDefault="00575AC3" w:rsidP="006D40F0">
      <w:r w:rsidRPr="006D40F0">
        <w:t xml:space="preserve">Bevilgningen foreslås videre økt med 10 mill. kroner til supplerende tiltak i forbindelse med gyrobehandling i </w:t>
      </w:r>
      <w:proofErr w:type="spellStart"/>
      <w:r w:rsidRPr="006D40F0">
        <w:t>Drivaregionen</w:t>
      </w:r>
      <w:proofErr w:type="spellEnd"/>
      <w:r w:rsidRPr="006D40F0">
        <w:t xml:space="preserve">. Lakseparasitten </w:t>
      </w:r>
      <w:proofErr w:type="spellStart"/>
      <w:r w:rsidRPr="006D40F0">
        <w:t>Gyrodactylus</w:t>
      </w:r>
      <w:proofErr w:type="spellEnd"/>
      <w:r w:rsidRPr="006D40F0">
        <w:t xml:space="preserve"> </w:t>
      </w:r>
      <w:proofErr w:type="spellStart"/>
      <w:r w:rsidRPr="006D40F0">
        <w:t>salaris</w:t>
      </w:r>
      <w:proofErr w:type="spellEnd"/>
      <w:r w:rsidRPr="006D40F0">
        <w:t xml:space="preserve"> (gyro) er en av de mest alvorlige truslene mot villaksen i Norge. Driva er et av de to siste gyro-infiserte vassdragene i Norge. Det er gjennomført et fireårig behandlingsløp i </w:t>
      </w:r>
      <w:proofErr w:type="spellStart"/>
      <w:r w:rsidRPr="006D40F0">
        <w:t>Drivaregionen</w:t>
      </w:r>
      <w:proofErr w:type="spellEnd"/>
      <w:r w:rsidRPr="006D40F0">
        <w:t>, herav to fullskala-behandlinger i 2022 og 2023. Som varslet i Prop. 1 S (2023–2024) for Klima- og miljødepartementet er det gjennomført undersøkelser av om det er behov for supplerende tiltak i 2024. Undersøkelsene viser at det er behov for supplerende tiltak for å redusere risiko for re-smitte av vassdraget.</w:t>
      </w:r>
    </w:p>
    <w:p w14:paraId="32873A32" w14:textId="77777777" w:rsidR="00575AC3" w:rsidRPr="006D40F0" w:rsidRDefault="00575AC3" w:rsidP="006D40F0">
      <w:r w:rsidRPr="006D40F0">
        <w:t>Bevilgningen på posten foreslås videre økt med 2,5 mill. kroner for å øke statsforvalterenes saksbehandlerkapasitet til arbeidet med frivillig skogvern Økt saksbehandlingskapasitet har sammenheng med økt bevilgning til frivillig skogvern i Saldert budsjett 2024. Økt bevilgning inndekkes ved tilsvarende reduksjon på kap. 1420, post 32.</w:t>
      </w:r>
    </w:p>
    <w:p w14:paraId="08D0528E" w14:textId="77777777" w:rsidR="00575AC3" w:rsidRPr="006D40F0" w:rsidRDefault="00575AC3" w:rsidP="006D40F0">
      <w:r w:rsidRPr="006D40F0">
        <w:t>Bevilgningen på posten foreslås videre redusert med 3 mill. kroner, jf. omtale av omdisponering til opprettelse av faste IT-stillinger under kap. 1420, post 01.</w:t>
      </w:r>
    </w:p>
    <w:p w14:paraId="3AFBC284" w14:textId="77777777" w:rsidR="00575AC3" w:rsidRPr="006D40F0" w:rsidRDefault="00575AC3" w:rsidP="006D40F0">
      <w:r w:rsidRPr="006D40F0">
        <w:t>Samlet foreslås bevilgningen på posten redusert med 0,8 mill. kroner.</w:t>
      </w:r>
    </w:p>
    <w:p w14:paraId="67620CE1" w14:textId="77777777" w:rsidR="00575AC3" w:rsidRPr="006D40F0" w:rsidRDefault="00575AC3" w:rsidP="006D40F0">
      <w:pPr>
        <w:pStyle w:val="b-post"/>
      </w:pPr>
      <w:r w:rsidRPr="006D40F0">
        <w:t>Post 23 Oppdrags- og gebyrrelatert virksomhet, kan overføres</w:t>
      </w:r>
    </w:p>
    <w:p w14:paraId="37950628" w14:textId="77777777" w:rsidR="00575AC3" w:rsidRPr="006D40F0" w:rsidRDefault="00575AC3" w:rsidP="006D40F0">
      <w:r w:rsidRPr="006D40F0">
        <w:t>Bevilgningen på posten foreslås økt med 4 mill. kroner, som følge av økte anslåtte gebyrinntekter i forbindelse med endringer i klimakvoteregelverket, jf. omtale under kap. 1420, post 07.</w:t>
      </w:r>
    </w:p>
    <w:p w14:paraId="6B19EE04" w14:textId="77777777" w:rsidR="00575AC3" w:rsidRPr="006D40F0" w:rsidRDefault="00575AC3" w:rsidP="006D40F0">
      <w:pPr>
        <w:pStyle w:val="b-post"/>
      </w:pPr>
      <w:r w:rsidRPr="006D40F0">
        <w:t>Post 31 Tiltak i verneområder og naturrestaurering, kan overføres</w:t>
      </w:r>
    </w:p>
    <w:p w14:paraId="5CCD0637" w14:textId="77777777" w:rsidR="00575AC3" w:rsidRPr="006D40F0" w:rsidRDefault="00575AC3" w:rsidP="006D40F0">
      <w:r w:rsidRPr="006D40F0">
        <w:t>Bevilgningen på posten foreslås redusert med 2 mill. kroner, jf. omtale av omdisponering til økt saksbehandlerkapasitet hos statsforvalterne under kap. 1420, post 21.</w:t>
      </w:r>
    </w:p>
    <w:p w14:paraId="40744213" w14:textId="77777777" w:rsidR="00575AC3" w:rsidRPr="006D40F0" w:rsidRDefault="00575AC3" w:rsidP="006D40F0">
      <w:r w:rsidRPr="006D40F0">
        <w:t xml:space="preserve">Videre foreslås bevilgningen redusert med 5 mill. kroner mot tilsvarende økt bevilgning under kap. 1420, post 21 til supplerende tiltak i forbindelse med gyrobehandling i </w:t>
      </w:r>
      <w:proofErr w:type="spellStart"/>
      <w:r w:rsidRPr="006D40F0">
        <w:t>Drivaregionen</w:t>
      </w:r>
      <w:proofErr w:type="spellEnd"/>
      <w:r w:rsidRPr="006D40F0">
        <w:t>.</w:t>
      </w:r>
    </w:p>
    <w:p w14:paraId="4717A16D" w14:textId="77777777" w:rsidR="00575AC3" w:rsidRPr="006D40F0" w:rsidRDefault="00575AC3" w:rsidP="006D40F0">
      <w:r w:rsidRPr="006D40F0">
        <w:t>Samlet foreslås bevilgningen redusert med 7 mill. kroner.</w:t>
      </w:r>
    </w:p>
    <w:p w14:paraId="7098BA39" w14:textId="77777777" w:rsidR="00575AC3" w:rsidRPr="006D40F0" w:rsidRDefault="00575AC3" w:rsidP="006D40F0">
      <w:pPr>
        <w:pStyle w:val="b-post"/>
      </w:pPr>
      <w:r w:rsidRPr="006D40F0">
        <w:t>Post 32 Statlige erverv, vern av naturområder, kan overføres</w:t>
      </w:r>
    </w:p>
    <w:p w14:paraId="2E2CFE91" w14:textId="77777777" w:rsidR="00575AC3" w:rsidRPr="006D40F0" w:rsidRDefault="00575AC3" w:rsidP="006D40F0">
      <w:r w:rsidRPr="006D40F0">
        <w:t>Bevilgningen på posten foreslås redusert med 2,5 mill. kroner til inndekning for økt bevilgning på kap. 1420, post 21, gjennom en omdisponering til prosessmidler og økt kapasitet hos statsforvalterne jf. omtale under kap. 1420, post 21.</w:t>
      </w:r>
    </w:p>
    <w:p w14:paraId="0F2EBCD9" w14:textId="77777777" w:rsidR="00575AC3" w:rsidRPr="006D40F0" w:rsidRDefault="00575AC3" w:rsidP="006D40F0">
      <w:r w:rsidRPr="006D40F0">
        <w:t>Bestillingsfullmakten på posten foreslås økt med 50 mill. kroner, jf. forslag til romertallsvedtak som følge av forventet fremdrift på erstatningsforhandlinger for tidligere skogvern med Statskog SF og erstatningsforhandlinger for vernet av Østmarka nasjonalpark og Østmarka friluftslivsområde.</w:t>
      </w:r>
    </w:p>
    <w:p w14:paraId="0F0F7ED7" w14:textId="77777777" w:rsidR="00575AC3" w:rsidRPr="006D40F0" w:rsidRDefault="00575AC3" w:rsidP="006D40F0">
      <w:pPr>
        <w:pStyle w:val="b-post"/>
      </w:pPr>
      <w:r w:rsidRPr="006D40F0">
        <w:lastRenderedPageBreak/>
        <w:t>Post 60 Tilskudd til ivaretakelse av naturmangfold i kommuneplanlegging, kan overføres</w:t>
      </w:r>
    </w:p>
    <w:p w14:paraId="6081C5CF" w14:textId="77777777" w:rsidR="00575AC3" w:rsidRPr="006D40F0" w:rsidRDefault="00575AC3" w:rsidP="006D40F0">
      <w:r w:rsidRPr="006D40F0">
        <w:t>Det foreslås å tilføye stikkordet «kan overføres» på posten, og dermed gjøre bevilgningen på posten overførbar, slik at ubrukte midler kan overføres til neste år, jf. forslag til romertallsvedtak.</w:t>
      </w:r>
    </w:p>
    <w:p w14:paraId="6D8E8FE1" w14:textId="77777777" w:rsidR="00575AC3" w:rsidRPr="006D40F0" w:rsidRDefault="00575AC3" w:rsidP="006D40F0">
      <w:r w:rsidRPr="006D40F0">
        <w:t>I Stortingets budsjettforlik om 2024-budsjettet ble midlene til natursatsing i kommunene over posten «</w:t>
      </w:r>
      <w:proofErr w:type="spellStart"/>
      <w:r w:rsidRPr="006D40F0">
        <w:t>Tilskot</w:t>
      </w:r>
      <w:proofErr w:type="spellEnd"/>
      <w:r w:rsidRPr="006D40F0">
        <w:t xml:space="preserve"> for å ivareta </w:t>
      </w:r>
      <w:proofErr w:type="spellStart"/>
      <w:r w:rsidRPr="006D40F0">
        <w:t>naturmangfald</w:t>
      </w:r>
      <w:proofErr w:type="spellEnd"/>
      <w:r w:rsidRPr="006D40F0">
        <w:t xml:space="preserve"> i kommuneplanlegging» økt med 50 mill. kroner.</w:t>
      </w:r>
    </w:p>
    <w:p w14:paraId="1132AA58" w14:textId="77777777" w:rsidR="00575AC3" w:rsidRPr="006D40F0" w:rsidRDefault="00575AC3" w:rsidP="006D40F0">
      <w:r w:rsidRPr="006D40F0">
        <w:t>Den store økningen, samt nye formål som ble tatt inn i tilskuddsordningen, har medført at Miljødirektoratet har hatt behov for å utvikle kriterier og forvaltningsopplegg, inkludert tilrettelegging i sitt elektroniske søknadssystem. Siden søknadene deretter må behandles og tilsagn om tilskudd først kan sendes ut sent på våren/tidlig sommer, er det usikkerhet knyttet til om kommunene klarer å fullføre det de har fått tilskudd til i inneværende år. Erfaring fra andre tilskuddsordninger til kommuner viser også at det ofte blir forsinkelser som følge av kapasitetsutfordringer i kommunene, også selv om tilsagn sendes dem tidligere på året.</w:t>
      </w:r>
    </w:p>
    <w:p w14:paraId="5FBDB255" w14:textId="77777777" w:rsidR="00575AC3" w:rsidRPr="006D40F0" w:rsidRDefault="00575AC3" w:rsidP="006D40F0">
      <w:pPr>
        <w:pStyle w:val="b-post"/>
      </w:pPr>
      <w:r w:rsidRPr="006D40F0">
        <w:t>Post 62 Tilskudd til grønn skipsfart, kan overføres</w:t>
      </w:r>
    </w:p>
    <w:p w14:paraId="0B6F41D8" w14:textId="77777777" w:rsidR="00575AC3" w:rsidRPr="006D40F0" w:rsidRDefault="00575AC3" w:rsidP="006D40F0">
      <w:r w:rsidRPr="006D40F0">
        <w:t>Som følge av lavere utbetalinger i 2024 enn forutsatt, foreslås det å redusere bevilgningen på posten med 26 mill. kroner med tilsvarende økning av tilsagnsfullmakten på posten, jf. forslag til romertallsvedtak.</w:t>
      </w:r>
    </w:p>
    <w:p w14:paraId="463DC293" w14:textId="77777777" w:rsidR="00575AC3" w:rsidRPr="006D40F0" w:rsidRDefault="00575AC3" w:rsidP="006D40F0">
      <w:pPr>
        <w:pStyle w:val="b-post"/>
      </w:pPr>
      <w:r w:rsidRPr="006D40F0">
        <w:t>Post 69 Oppryddingstiltak, kan overføres, kan nyttes under postene 39 og 79</w:t>
      </w:r>
    </w:p>
    <w:p w14:paraId="4A5E69B4" w14:textId="77777777" w:rsidR="00575AC3" w:rsidRPr="006D40F0" w:rsidRDefault="00575AC3" w:rsidP="006D40F0">
      <w:r w:rsidRPr="006D40F0">
        <w:t>Oppryddingen i Hammerfest ble ferdig desember 2023, og oppryddingen i Store Lungegårdsvann er planlagt ferdigstilt våren 2024. Fremdriften i begge prosjektene er forsinket, og dermed er utbetalingene forskjøvet. Endelig sluttoppgjør for begge prosjekter vil være i 2024.</w:t>
      </w:r>
    </w:p>
    <w:p w14:paraId="2309F23D" w14:textId="77777777" w:rsidR="00575AC3" w:rsidRPr="006D40F0" w:rsidRDefault="00575AC3" w:rsidP="006D40F0">
      <w:r w:rsidRPr="006D40F0">
        <w:t>Bevilgningen på posten foreslås dermed økt med 71,1 mill. kroner for å dekke prosjektenes forpliktelser, med 25 mill. kroner til Hammerfest og 46,1 mill. kroner til Store Lungegårdsvann.</w:t>
      </w:r>
    </w:p>
    <w:p w14:paraId="4F9ECB73" w14:textId="77777777" w:rsidR="00575AC3" w:rsidRPr="006D40F0" w:rsidRDefault="00575AC3" w:rsidP="006D40F0">
      <w:pPr>
        <w:pStyle w:val="b-post"/>
      </w:pPr>
      <w:r w:rsidRPr="006D40F0">
        <w:t>Post 74 CO</w:t>
      </w:r>
      <w:r w:rsidRPr="006D40F0">
        <w:rPr>
          <w:rStyle w:val="skrift-senket"/>
        </w:rPr>
        <w:t>2</w:t>
      </w:r>
      <w:r w:rsidRPr="006D40F0">
        <w:t>-kompensasjonsordning for industrien</w:t>
      </w:r>
    </w:p>
    <w:p w14:paraId="19EFEAF3" w14:textId="77777777" w:rsidR="00575AC3" w:rsidRPr="006D40F0" w:rsidRDefault="00575AC3" w:rsidP="006D40F0">
      <w:r w:rsidRPr="006D40F0">
        <w:t>Den 20. desember 2023 fattet Stortinget følgende vedtak om CO</w:t>
      </w:r>
      <w:r w:rsidRPr="00575AC3">
        <w:rPr>
          <w:rStyle w:val="skrift-senket"/>
        </w:rPr>
        <w:t>2</w:t>
      </w:r>
      <w:r w:rsidRPr="006D40F0">
        <w:t>-kompensasjonsordningen:</w:t>
      </w:r>
    </w:p>
    <w:p w14:paraId="24151C88" w14:textId="77777777" w:rsidR="00575AC3" w:rsidRPr="00575AC3" w:rsidRDefault="00575AC3" w:rsidP="006D40F0">
      <w:pPr>
        <w:rPr>
          <w:rStyle w:val="kursiv"/>
        </w:rPr>
      </w:pPr>
      <w:r w:rsidRPr="00575AC3">
        <w:rPr>
          <w:rStyle w:val="kursiv"/>
        </w:rPr>
        <w:t>«Stortinget ber regjeringen snarest fortsette dialogen med industrien for å finne en langsiktig og forutsigbar løsning for CO</w:t>
      </w:r>
      <w:r w:rsidRPr="00575AC3">
        <w:rPr>
          <w:rStyle w:val="skrift-senket"/>
        </w:rPr>
        <w:t>2</w:t>
      </w:r>
      <w:r w:rsidRPr="00575AC3">
        <w:rPr>
          <w:rStyle w:val="kursiv"/>
        </w:rPr>
        <w:t>-kompensasjonsordningen som er økonomisk bærekraftig, sikrer forutsigbarhet og som bidrar med utslippsreduksjoner og energieffektivisering i tråd med omstillingsmålet, og komme tilbake til Stortinget med forslag til dette senest i forbindelse med statsbudsjettet for 2025»</w:t>
      </w:r>
      <w:r w:rsidRPr="006D40F0">
        <w:t>.</w:t>
      </w:r>
    </w:p>
    <w:p w14:paraId="58F46658" w14:textId="77777777" w:rsidR="00575AC3" w:rsidRPr="006D40F0" w:rsidRDefault="00575AC3" w:rsidP="006D40F0">
      <w:r w:rsidRPr="006D40F0">
        <w:t>I forbindelse med budsjettforliket med SV ble det konkludert med at:</w:t>
      </w:r>
    </w:p>
    <w:p w14:paraId="33072F1D" w14:textId="77777777" w:rsidR="00575AC3" w:rsidRPr="00575AC3" w:rsidRDefault="00575AC3" w:rsidP="006D40F0">
      <w:pPr>
        <w:rPr>
          <w:rStyle w:val="kursiv"/>
        </w:rPr>
      </w:pPr>
      <w:r w:rsidRPr="00575AC3">
        <w:rPr>
          <w:rStyle w:val="kursiv"/>
        </w:rPr>
        <w:t>«Partiene er enige om å styrke CO</w:t>
      </w:r>
      <w:r w:rsidRPr="00575AC3">
        <w:rPr>
          <w:rStyle w:val="skrift-senket"/>
        </w:rPr>
        <w:t>2</w:t>
      </w:r>
      <w:r w:rsidRPr="00575AC3">
        <w:rPr>
          <w:rStyle w:val="kursiv"/>
        </w:rPr>
        <w:t>-kompensasjonsordningen med 500 mill. kroner i forbindelse med RNB 2024, forutsatt enighet med partene om innretning på ordningen».</w:t>
      </w:r>
    </w:p>
    <w:p w14:paraId="35A729A7" w14:textId="77777777" w:rsidR="00575AC3" w:rsidRPr="006D40F0" w:rsidRDefault="00575AC3" w:rsidP="006D40F0">
      <w:r w:rsidRPr="006D40F0">
        <w:t>Regjeringen har kommet til enighet med industrien om forslag til fremtidig innretning av CO</w:t>
      </w:r>
      <w:r w:rsidRPr="00575AC3">
        <w:rPr>
          <w:rStyle w:val="skrift-senket"/>
        </w:rPr>
        <w:t>2</w:t>
      </w:r>
      <w:r w:rsidRPr="006D40F0">
        <w:t>-kompensasjonsordningen. Bevilgningen på posten foreslås dermed økt med 500 mill. kroner.</w:t>
      </w:r>
    </w:p>
    <w:p w14:paraId="68F5B565" w14:textId="77777777" w:rsidR="00575AC3" w:rsidRPr="006D40F0" w:rsidRDefault="00575AC3" w:rsidP="006D40F0">
      <w:pPr>
        <w:pStyle w:val="b-post"/>
      </w:pPr>
      <w:r w:rsidRPr="006D40F0">
        <w:lastRenderedPageBreak/>
        <w:t>Post 80 Tilskudd til tiltak for å ta vare på natur, kan overføres</w:t>
      </w:r>
    </w:p>
    <w:p w14:paraId="353CD9B4" w14:textId="77777777" w:rsidR="00575AC3" w:rsidRPr="006D40F0" w:rsidRDefault="00575AC3" w:rsidP="006D40F0">
      <w:r w:rsidRPr="006D40F0">
        <w:t>Bevilgningen på posten foreslås redusert med 5 mill. kroner gjennom en omdisponering fra tilskuddsordningen for anadrom laksefisk til kap. 1420 post 21 til supplerende tiltak i forbindelse med gyrobehandling i Driva-regionen, jf. omtale under kap. 1420 post 21.</w:t>
      </w:r>
    </w:p>
    <w:p w14:paraId="7A78AB73" w14:textId="77777777" w:rsidR="00575AC3" w:rsidRPr="006D40F0" w:rsidRDefault="00575AC3" w:rsidP="006D40F0">
      <w:r w:rsidRPr="006D40F0">
        <w:t>Videre foreslås bevilgningen på posten økt med 20 mill. kroner til tilskuddsordningen til kommuner langs Oslofjorden for planlegging og prosjektering av nitrogenfjerning.</w:t>
      </w:r>
    </w:p>
    <w:p w14:paraId="02564B8C" w14:textId="77777777" w:rsidR="00575AC3" w:rsidRPr="006D40F0" w:rsidRDefault="00575AC3" w:rsidP="006D40F0">
      <w:r w:rsidRPr="006D40F0">
        <w:t>Samlet foreslås bevilgningen på posten økt med 15 mill. kroner.</w:t>
      </w:r>
    </w:p>
    <w:p w14:paraId="439CFB92" w14:textId="77777777" w:rsidR="00575AC3" w:rsidRPr="006D40F0" w:rsidRDefault="00575AC3" w:rsidP="006D40F0">
      <w:pPr>
        <w:pStyle w:val="b-post"/>
      </w:pPr>
      <w:r w:rsidRPr="006D40F0">
        <w:t>Post 87 (Ny) Tilskudd til natur og friluftsliv i områder berørt av landbaserte vindkraftverk</w:t>
      </w:r>
    </w:p>
    <w:p w14:paraId="786BF557" w14:textId="77777777" w:rsidR="00575AC3" w:rsidRPr="006D40F0" w:rsidRDefault="00575AC3" w:rsidP="006D40F0">
      <w:r w:rsidRPr="006D40F0">
        <w:t>I forbindelse med innføring av grunnrenteskatt på landbasert vindkraft ble det i statsbudsjettet for 2024 bestemt at et beløp tilsvarende 0,2 øre/kWh vindkraftproduksjon skal avsettes til lokale formål som natur, reindrift og eventuelt andre formål som er direkte berørt av arealbruken. Formålet er å sikre at interesser som berøres negativt av vindkraftproduksjon får en andel av verdiskapningen. Med NVEs produksjonstall for 2022 vil et beløp tilsvarende 0,2 øre/kWh utgjøre 29,6 mill. kroner.</w:t>
      </w:r>
    </w:p>
    <w:p w14:paraId="60B011A0" w14:textId="77777777" w:rsidR="00575AC3" w:rsidRPr="006D40F0" w:rsidRDefault="00575AC3" w:rsidP="006D40F0">
      <w:r w:rsidRPr="006D40F0">
        <w:t>På denne bakgrunn foreslås det etablert en ny tilskuddsordning som skal gi midler til tiltak som fremmer natur og friluftsliv i kommuner med landbaserte vindkraftanlegg, samt i eventuelle nabokommuner som er vesentlig berørt av slike vindkraftanlegg.</w:t>
      </w:r>
    </w:p>
    <w:p w14:paraId="5DA10D40" w14:textId="77777777" w:rsidR="00575AC3" w:rsidRPr="006D40F0" w:rsidRDefault="00575AC3" w:rsidP="006D40F0">
      <w:r w:rsidRPr="006D40F0">
        <w:t>Tilskuddsordningen vil prioritere tiltak som ivaretar og fremmer natur og friluftsliv som er direkte berørt av vindkraftutbyggingen. Det kan også gis tilskudd til tiltak som fremmer natur og friluftsliv i de aktuelle kommuner som ikke er direkte berørt av vindkraftanlegget.</w:t>
      </w:r>
    </w:p>
    <w:p w14:paraId="06864032" w14:textId="77777777" w:rsidR="00575AC3" w:rsidRPr="006D40F0" w:rsidRDefault="00575AC3" w:rsidP="006D40F0">
      <w:r w:rsidRPr="006D40F0">
        <w:t xml:space="preserve">Da tilskuddsordningen etableres langt ut i budsjettåret, foreslår regjeringen at midlene for 2024 og 2025 blir fordelt over to </w:t>
      </w:r>
      <w:proofErr w:type="spellStart"/>
      <w:r w:rsidRPr="006D40F0">
        <w:t>bevilgningsår</w:t>
      </w:r>
      <w:proofErr w:type="spellEnd"/>
      <w:r w:rsidRPr="006D40F0">
        <w:t>. Forslaget til bevilgning i 2024 er 15 mill. kroner. Det foreslås samtidig at det for 2024 opprettes en tilsagnsfullmakt på 15 mill. kroner knyttet til ordningen, jf. forslag til romertallsvedtak.</w:t>
      </w:r>
    </w:p>
    <w:p w14:paraId="67597FE0" w14:textId="77777777" w:rsidR="00575AC3" w:rsidRPr="006D40F0" w:rsidRDefault="00575AC3" w:rsidP="006D40F0">
      <w:r w:rsidRPr="006D40F0">
        <w:t>Tilskuddsordningen vil bli lyst ut etter fremleggelse av denne proposisjonen, med forbehold om Stortingets vedtak. Det tas sikte på at vedtak om tilskudd skal foreligge før sommeren.</w:t>
      </w:r>
    </w:p>
    <w:p w14:paraId="6F8B99AD" w14:textId="77777777" w:rsidR="00575AC3" w:rsidRPr="006D40F0" w:rsidRDefault="00575AC3" w:rsidP="006D40F0">
      <w:pPr>
        <w:pStyle w:val="b-budkaptit"/>
      </w:pPr>
      <w:r w:rsidRPr="006D40F0">
        <w:t>Kap. 1429 Riksantikvaren</w:t>
      </w:r>
    </w:p>
    <w:p w14:paraId="599371DD" w14:textId="77777777" w:rsidR="00575AC3" w:rsidRPr="006D40F0" w:rsidRDefault="00575AC3" w:rsidP="006D40F0">
      <w:pPr>
        <w:pStyle w:val="b-post"/>
      </w:pPr>
      <w:r w:rsidRPr="006D40F0">
        <w:t>Post 01 Driftsutgifter</w:t>
      </w:r>
    </w:p>
    <w:p w14:paraId="08841A68" w14:textId="77777777" w:rsidR="00575AC3" w:rsidRPr="006D40F0" w:rsidRDefault="00575AC3" w:rsidP="006D40F0">
      <w:r w:rsidRPr="006D40F0">
        <w:t>Bevilgningen på posten foreslås redusert med 1 mill. kroner, jf. omtale av omdisponering til samordnet arkivfunksjon under kap. 1420, post 01.</w:t>
      </w:r>
    </w:p>
    <w:p w14:paraId="4EF5C991" w14:textId="77777777" w:rsidR="00575AC3" w:rsidRPr="006D40F0" w:rsidRDefault="00575AC3" w:rsidP="006D40F0">
      <w:pPr>
        <w:pStyle w:val="b-post"/>
      </w:pPr>
      <w:r w:rsidRPr="006D40F0">
        <w:t>Post 60 Kulturminnekompetanse i kommunene</w:t>
      </w:r>
    </w:p>
    <w:p w14:paraId="4642ABF2" w14:textId="77777777" w:rsidR="00575AC3" w:rsidRPr="006D40F0" w:rsidRDefault="00575AC3" w:rsidP="006D40F0">
      <w:r w:rsidRPr="006D40F0">
        <w:t xml:space="preserve">Bevilgningen på posten foreslås økt med 5 mill. kroner som bidrag til pilotprosjekt for alternativ bærekraftig næringsutvikling for Vega kommune. Formålet er å etablere et grønt næringsfond for Vega kommune på totalt 10 mill. kroner, fordelt med 5 mill. kroner i 2024 og 2025, for </w:t>
      </w:r>
      <w:r w:rsidRPr="006D40F0">
        <w:lastRenderedPageBreak/>
        <w:t>etablering av næringsvirksomhet som bygger opp under verdensarvverdiene, jf. omtale av omdisponering under kap. 1432, post 50.</w:t>
      </w:r>
    </w:p>
    <w:p w14:paraId="06CB4ED1" w14:textId="77777777" w:rsidR="00575AC3" w:rsidRPr="006D40F0" w:rsidRDefault="00575AC3" w:rsidP="006D40F0">
      <w:pPr>
        <w:pStyle w:val="b-post"/>
      </w:pPr>
      <w:r w:rsidRPr="006D40F0">
        <w:t>Post 70 Tilskudd til automatisk fredete og andre arkeologiske kulturminner, kan overføres</w:t>
      </w:r>
    </w:p>
    <w:p w14:paraId="409B4A9E" w14:textId="77777777" w:rsidR="00575AC3" w:rsidRPr="006D40F0" w:rsidRDefault="00575AC3" w:rsidP="006D40F0">
      <w:r w:rsidRPr="006D40F0">
        <w:t>I forbindelse med et uforutsett arkeologisk funn av en hellekiste med humant materiale fra steinalderen (2350 – 1900 f.Kr.) i Selje, og omfattede zoo-arkeologisk materiale fra både steinalder og yngre jernalder foreslås det å øke bevilgningen på posten med 2 mill. kroner. Økt bevilgning inndekkes med omdisponering fra kap. 1429, post 71.</w:t>
      </w:r>
    </w:p>
    <w:p w14:paraId="208A6D10" w14:textId="77777777" w:rsidR="00575AC3" w:rsidRPr="006D40F0" w:rsidRDefault="00575AC3" w:rsidP="006D40F0">
      <w:pPr>
        <w:pStyle w:val="b-post"/>
      </w:pPr>
      <w:r w:rsidRPr="006D40F0">
        <w:t>Post 71 Tilskudd til fredete kulturminner i privat eie, kulturmiljøer og kulturlandskap, kan overføres</w:t>
      </w:r>
    </w:p>
    <w:p w14:paraId="7986B43C" w14:textId="77777777" w:rsidR="00575AC3" w:rsidRPr="006D40F0" w:rsidRDefault="00575AC3" w:rsidP="006D40F0">
      <w:r w:rsidRPr="006D40F0">
        <w:t>Bevilgningen på posten foreslås redusert med 2 mill. kroner, jf. omtale av omdisponering under post 70.</w:t>
      </w:r>
    </w:p>
    <w:p w14:paraId="3FBD4F31" w14:textId="77777777" w:rsidR="00575AC3" w:rsidRPr="006D40F0" w:rsidRDefault="00575AC3" w:rsidP="006D40F0">
      <w:pPr>
        <w:pStyle w:val="b-budkaptit"/>
      </w:pPr>
      <w:r w:rsidRPr="006D40F0">
        <w:t>Kap. 1432 Norsk kulturminnefond</w:t>
      </w:r>
    </w:p>
    <w:p w14:paraId="5C93EC22" w14:textId="77777777" w:rsidR="00575AC3" w:rsidRPr="006D40F0" w:rsidRDefault="00575AC3" w:rsidP="006D40F0">
      <w:pPr>
        <w:pStyle w:val="b-post"/>
      </w:pPr>
      <w:r w:rsidRPr="006D40F0">
        <w:t>Post 50 Til disposisjon for kulturminnetiltak</w:t>
      </w:r>
    </w:p>
    <w:p w14:paraId="31D6AC52" w14:textId="77777777" w:rsidR="00575AC3" w:rsidRPr="006D40F0" w:rsidRDefault="00575AC3" w:rsidP="006D40F0">
      <w:r w:rsidRPr="006D40F0">
        <w:t>Bevilgningen på posten foreslås redusert med 5 mill. kroner til inndekning av økt bevilgning på kap. 1429, post 60 til pilotprosjekt for bærekraftig næringsutvikling i verdensarvområdet i Vega kommune, jf. omtale under kap. 1429, post 60.</w:t>
      </w:r>
    </w:p>
    <w:p w14:paraId="139D82B5" w14:textId="77777777" w:rsidR="00575AC3" w:rsidRPr="006D40F0" w:rsidRDefault="00575AC3" w:rsidP="006D40F0">
      <w:pPr>
        <w:pStyle w:val="b-budkaptit"/>
      </w:pPr>
      <w:r w:rsidRPr="006D40F0">
        <w:t>Kap. 1471 Norsk Polarinstitutt</w:t>
      </w:r>
    </w:p>
    <w:p w14:paraId="1CAC2715" w14:textId="77777777" w:rsidR="00575AC3" w:rsidRPr="006D40F0" w:rsidRDefault="00575AC3" w:rsidP="006D40F0">
      <w:pPr>
        <w:pStyle w:val="b-post"/>
      </w:pPr>
      <w:r w:rsidRPr="006D40F0">
        <w:t>Post 01 Driftsutgifter</w:t>
      </w:r>
    </w:p>
    <w:p w14:paraId="1364157E" w14:textId="77777777" w:rsidR="00575AC3" w:rsidRPr="006D40F0" w:rsidRDefault="00575AC3" w:rsidP="006D40F0">
      <w:r w:rsidRPr="006D40F0">
        <w:t>Bevilgningen på posten foreslås økt med 9 mill. kroner for å utbedre kritisk brann- og elsikkerhet ved Zeppelinobservatoriet i Ny-Ålesund på Svalbard. Et ettersyn av anlegget viser vesentlige avvik. En risikovurdering av observatoriet peker på at risikoen for brann ikke er tilstrekkelig håndtert. Risikovurderingen tilsier at tiltak bør gjennomføres så raskt som mulig. Kostnadene ved en omfattende oppgradering av det elektriske anlegget og brannsikkerheten er anslått til 9 mill. kroner.</w:t>
      </w:r>
    </w:p>
    <w:p w14:paraId="0199337B" w14:textId="77777777" w:rsidR="00575AC3" w:rsidRPr="006D40F0" w:rsidRDefault="00575AC3" w:rsidP="006D40F0">
      <w:r w:rsidRPr="006D40F0">
        <w:t xml:space="preserve">Bevilgningen foreslås redusert med 0,8 mill. kroner som skal rammeoverføres til Nærings- og fiskeridepartementets kap. 922, post 71, som bidrag til finansiering av forlengelse av </w:t>
      </w:r>
      <w:proofErr w:type="spellStart"/>
      <w:r w:rsidRPr="006D40F0">
        <w:t>Radarsat</w:t>
      </w:r>
      <w:proofErr w:type="spellEnd"/>
      <w:r w:rsidRPr="006D40F0">
        <w:t>-avtalen med Canada for tilgang til satellittdata i 2024 jf. også omtale under kap. 1412, post 50.</w:t>
      </w:r>
    </w:p>
    <w:p w14:paraId="6D58ABB4" w14:textId="77777777" w:rsidR="00575AC3" w:rsidRPr="006D40F0" w:rsidRDefault="00575AC3" w:rsidP="006D40F0">
      <w:r w:rsidRPr="006D40F0">
        <w:t>Samlet foreslås bevilgningen på posten økt med 8,2 mill. kroner.</w:t>
      </w:r>
    </w:p>
    <w:p w14:paraId="7DC0172B" w14:textId="77777777" w:rsidR="00575AC3" w:rsidRPr="006D40F0" w:rsidRDefault="00575AC3" w:rsidP="006D40F0">
      <w:pPr>
        <w:pStyle w:val="b-post"/>
      </w:pPr>
      <w:r w:rsidRPr="006D40F0">
        <w:t>Post 21 Spesielle driftsutgifter, kan overføres</w:t>
      </w:r>
    </w:p>
    <w:p w14:paraId="4D45BEE3" w14:textId="77777777" w:rsidR="00575AC3" w:rsidRPr="006D40F0" w:rsidRDefault="00575AC3" w:rsidP="006D40F0">
      <w:r w:rsidRPr="006D40F0">
        <w:t>Statsbygg har fått i oppdrag å gjennomføre forprosjektet for oppgradering av Troll forskningsstasjon. Det foreslås derfor å rammeoverføre 25 mill. kroner fra posten til Digitaliserings- og forvaltningsdepartementets kap. 2445, post 30. Bevilgningen på posten foreslås redusert med 25 mill. kroner.</w:t>
      </w:r>
    </w:p>
    <w:p w14:paraId="07B8E475" w14:textId="77777777" w:rsidR="00575AC3" w:rsidRPr="006D40F0" w:rsidRDefault="00575AC3" w:rsidP="006D40F0">
      <w:pPr>
        <w:pStyle w:val="b-budkaptit"/>
      </w:pPr>
      <w:r w:rsidRPr="006D40F0">
        <w:lastRenderedPageBreak/>
        <w:t>Kap. 1482 Internasjonale klima- og utviklingstiltak</w:t>
      </w:r>
    </w:p>
    <w:p w14:paraId="5B2115BF" w14:textId="77777777" w:rsidR="00575AC3" w:rsidRPr="006D40F0" w:rsidRDefault="00575AC3" w:rsidP="006D40F0">
      <w:pPr>
        <w:pStyle w:val="b-post"/>
      </w:pPr>
      <w:r w:rsidRPr="006D40F0">
        <w:t>Post 73 Klima- og skogsatsingen, kan overføres</w:t>
      </w:r>
    </w:p>
    <w:p w14:paraId="1F4C37E6" w14:textId="77777777" w:rsidR="00575AC3" w:rsidRPr="006D40F0" w:rsidRDefault="00575AC3" w:rsidP="006D40F0">
      <w:r w:rsidRPr="006D40F0">
        <w:t xml:space="preserve">Bevilgningen foreslås redusert med 59,6 mill. kroner. Reduksjonen inndekker økt bevilgning til økt humanitær bistand til Gaza, jf. omtale under Utenriksdepartementet kap. 150, post 70, og er en omdisponering innenfor bistandsbudsjettet. Redusert bevilgning vil føre til at innsatsen under Klima- og </w:t>
      </w:r>
      <w:proofErr w:type="spellStart"/>
      <w:r w:rsidRPr="006D40F0">
        <w:t>skogintiativet</w:t>
      </w:r>
      <w:proofErr w:type="spellEnd"/>
      <w:r w:rsidRPr="006D40F0">
        <w:t xml:space="preserve"> nedskaleres noe i 2024.</w:t>
      </w:r>
    </w:p>
    <w:p w14:paraId="4A094187" w14:textId="77777777" w:rsidR="00575AC3" w:rsidRPr="006D40F0" w:rsidRDefault="00575AC3" w:rsidP="006D40F0">
      <w:pPr>
        <w:pStyle w:val="b-budkaptit"/>
      </w:pPr>
      <w:r w:rsidRPr="006D40F0">
        <w:t>Kap. 4420 Miljødirektoratet</w:t>
      </w:r>
    </w:p>
    <w:p w14:paraId="6023C31D" w14:textId="77777777" w:rsidR="00575AC3" w:rsidRPr="006D40F0" w:rsidRDefault="00575AC3" w:rsidP="006D40F0">
      <w:pPr>
        <w:pStyle w:val="b-post"/>
      </w:pPr>
      <w:r w:rsidRPr="006D40F0">
        <w:t>Post 07 Gebyrer, kvotesystemet</w:t>
      </w:r>
    </w:p>
    <w:p w14:paraId="57011F07" w14:textId="77777777" w:rsidR="00575AC3" w:rsidRPr="006D40F0" w:rsidRDefault="00575AC3" w:rsidP="006D40F0">
      <w:r w:rsidRPr="006D40F0">
        <w:t>Inntektene anslås å øke med 4 mill. kroner som følge av endringer i klimaregelverket og derigjennom økt aktivitet i oppfølgingen av regelverket. Fra 2024 ble skipsfart tatt inn som ny sektor i det europeiske kvotesystemet ETS. Dette krever oppfølging både gjennom behandling av overvåkningsplaner og oppretting av kontoer i klimakvoteregisteret. I tillegg må luftfartaktørene ha oppdaterte overvåkningsplaner på grunn av endret regelverk. Økte gebyrinntekter inndekker økt bevilgning under kap. 1420, post 23. Bevilgningen på posten foreslås økt med 4 mill. kroner.</w:t>
      </w:r>
    </w:p>
    <w:p w14:paraId="6110342C" w14:textId="77777777" w:rsidR="00575AC3" w:rsidRPr="006D40F0" w:rsidRDefault="00575AC3" w:rsidP="006D40F0">
      <w:pPr>
        <w:pStyle w:val="b-budkaptit"/>
      </w:pPr>
      <w:r w:rsidRPr="006D40F0">
        <w:t>Kap. 4471 Norsk Polarinstitutt</w:t>
      </w:r>
    </w:p>
    <w:p w14:paraId="45AE53A7" w14:textId="77777777" w:rsidR="00575AC3" w:rsidRPr="006D40F0" w:rsidRDefault="00575AC3" w:rsidP="006D40F0">
      <w:pPr>
        <w:pStyle w:val="b-post"/>
      </w:pPr>
      <w:r w:rsidRPr="006D40F0">
        <w:t>Post 01 Salgs- og utleieinntekter</w:t>
      </w:r>
    </w:p>
    <w:p w14:paraId="4BCBF513" w14:textId="77777777" w:rsidR="00575AC3" w:rsidRPr="006D40F0" w:rsidRDefault="00575AC3" w:rsidP="006D40F0">
      <w:r w:rsidRPr="006D40F0">
        <w:t>Bevilgningen på posten foreslås økt med 1,5 mill. kroner i forbindelse med avhending av utstyr fra FF Kronprins Haakon.</w:t>
      </w:r>
    </w:p>
    <w:p w14:paraId="6A85B7B6" w14:textId="77777777" w:rsidR="00575AC3" w:rsidRPr="006D40F0" w:rsidRDefault="00575AC3" w:rsidP="006D40F0">
      <w:pPr>
        <w:pStyle w:val="b-budkaptit"/>
      </w:pPr>
      <w:r w:rsidRPr="006D40F0">
        <w:t>Kap. 4481 Salg av klimakvoter</w:t>
      </w:r>
    </w:p>
    <w:p w14:paraId="26E5AAD8" w14:textId="77777777" w:rsidR="00575AC3" w:rsidRPr="006D40F0" w:rsidRDefault="00575AC3" w:rsidP="006D40F0">
      <w:pPr>
        <w:pStyle w:val="b-post"/>
      </w:pPr>
      <w:r w:rsidRPr="006D40F0">
        <w:t>Post 01 Salgsinntekter</w:t>
      </w:r>
    </w:p>
    <w:p w14:paraId="53D7DF42" w14:textId="77777777" w:rsidR="00575AC3" w:rsidRPr="006D40F0" w:rsidRDefault="00575AC3" w:rsidP="006D40F0">
      <w:r w:rsidRPr="006D40F0">
        <w:t>Inntekter fra kvotesalg i 2024 anslås til 1 909 millioner kroner. Dette er om lag 918 mill. kroner lavere enn det som ligger til grunn i saldert budsjett for 2024. Årsaken til reduksjonen er i hovedsak at kvoteprisen er vesentlig lavere, og at den norske kronen er sterkere i forhold til euro i dag sammenlignet med grunnlaget til saldert budsjett.</w:t>
      </w:r>
    </w:p>
    <w:p w14:paraId="1B9CC90F" w14:textId="77777777" w:rsidR="00575AC3" w:rsidRPr="006D40F0" w:rsidRDefault="00575AC3" w:rsidP="006D40F0">
      <w:r w:rsidRPr="006D40F0">
        <w:t>Bevilgningen på posten foreslås dermed redusert med 918 mill. kroner.</w:t>
      </w:r>
    </w:p>
    <w:p w14:paraId="68DA155F" w14:textId="77777777" w:rsidR="00575AC3" w:rsidRPr="006D40F0" w:rsidRDefault="00575AC3" w:rsidP="006D40F0">
      <w:pPr>
        <w:pStyle w:val="Undertittel"/>
      </w:pPr>
      <w:r w:rsidRPr="006D40F0">
        <w:t>Andre saker</w:t>
      </w:r>
    </w:p>
    <w:p w14:paraId="1172BDF3" w14:textId="77777777" w:rsidR="00575AC3" w:rsidRPr="006D40F0" w:rsidRDefault="00575AC3" w:rsidP="006D40F0">
      <w:pPr>
        <w:pStyle w:val="avsnitt-undertittel"/>
      </w:pPr>
      <w:r w:rsidRPr="006D40F0">
        <w:t>Rapportering på anmodningsvedtak</w:t>
      </w:r>
    </w:p>
    <w:p w14:paraId="79EDBDFC" w14:textId="77777777" w:rsidR="00575AC3" w:rsidRPr="006D40F0" w:rsidRDefault="00575AC3" w:rsidP="006D40F0">
      <w:r w:rsidRPr="006D40F0">
        <w:t>Rapportering på følgende anmodningsvedtak vil skje i Klima- og miljødepartementets Prop. 1 S (2024–2025):</w:t>
      </w:r>
    </w:p>
    <w:p w14:paraId="309E5AEB" w14:textId="77777777" w:rsidR="00575AC3" w:rsidRPr="006D40F0" w:rsidRDefault="00575AC3" w:rsidP="006D40F0">
      <w:r w:rsidRPr="006D40F0">
        <w:t xml:space="preserve">Vedtak nr. 608 (2022–2023): </w:t>
      </w:r>
      <w:r w:rsidRPr="00575AC3">
        <w:rPr>
          <w:rStyle w:val="kursiv"/>
        </w:rPr>
        <w:t xml:space="preserve">«Stortinget ber regjeringen innhente en total oversikt over gamle nedlagte gruver i Norge og forurensningsfaren de utgjør ut ifra de stedegne kvalitetene til vann- </w:t>
      </w:r>
      <w:r w:rsidRPr="00575AC3">
        <w:rPr>
          <w:rStyle w:val="kursiv"/>
        </w:rPr>
        <w:lastRenderedPageBreak/>
        <w:t>og jordforekomstene, og innen utgangen av vårsesjonen 2024 komme tilbake til Stortinget på egnet måte.»</w:t>
      </w:r>
    </w:p>
    <w:p w14:paraId="4612B247" w14:textId="77777777" w:rsidR="00575AC3" w:rsidRPr="006D40F0" w:rsidRDefault="00575AC3" w:rsidP="006D40F0">
      <w:r w:rsidRPr="006D40F0">
        <w:t xml:space="preserve">Vedtak nr. 674 (2022–2023): </w:t>
      </w:r>
      <w:r w:rsidRPr="00575AC3">
        <w:rPr>
          <w:rStyle w:val="kursiv"/>
        </w:rPr>
        <w:t>«Stortinget ber regjeringen legge fram en plan for økt produksjon av og etterspørsel etter biogass, og komme tilbake til Stortinget på egnet måte senest i forbindelse med revidert nasjonalbudsjett for 2024.»</w:t>
      </w:r>
    </w:p>
    <w:p w14:paraId="564E1D84" w14:textId="77777777" w:rsidR="00575AC3" w:rsidRPr="006D40F0" w:rsidRDefault="00575AC3" w:rsidP="006D40F0">
      <w:pPr>
        <w:pStyle w:val="Overskrift2"/>
      </w:pPr>
      <w:r w:rsidRPr="006D40F0">
        <w:t>Digitaliserings- og forvaltningsdepartementet</w:t>
      </w:r>
    </w:p>
    <w:p w14:paraId="0DCF34FC" w14:textId="77777777" w:rsidR="00575AC3" w:rsidRPr="006D40F0" w:rsidRDefault="00575AC3" w:rsidP="006D40F0">
      <w:pPr>
        <w:pStyle w:val="b-budkaptit"/>
      </w:pPr>
      <w:r w:rsidRPr="006D40F0">
        <w:t>Kap. 1500 Digitaliserings- og forvaltningsdepartementet</w:t>
      </w:r>
    </w:p>
    <w:p w14:paraId="61306DD4" w14:textId="77777777" w:rsidR="00575AC3" w:rsidRPr="006D40F0" w:rsidRDefault="00575AC3" w:rsidP="006D40F0">
      <w:pPr>
        <w:pStyle w:val="b-post"/>
      </w:pPr>
      <w:r w:rsidRPr="006D40F0">
        <w:t>Post 21 Spesielle driftsutgifter, kan overføres, kan nyttes under post 70</w:t>
      </w:r>
    </w:p>
    <w:p w14:paraId="19F24665" w14:textId="77777777" w:rsidR="00575AC3" w:rsidRPr="006D40F0" w:rsidRDefault="00575AC3" w:rsidP="006D40F0">
      <w:r w:rsidRPr="006D40F0">
        <w:t>Bevilgningen dekker utgifter til departementets kjøp av statistikk, data, utredninger, evalueringer, og formidling av kunnskap og midlertidige tiltak og prosjekter.</w:t>
      </w:r>
    </w:p>
    <w:p w14:paraId="7E834523" w14:textId="77777777" w:rsidR="00575AC3" w:rsidRPr="006D40F0" w:rsidRDefault="00575AC3" w:rsidP="006D40F0">
      <w:r w:rsidRPr="006D40F0">
        <w:t>Det foreslås å øke bevilgningen med 10,1 mill. kroner til ekstrabehov for særskilt kompetanse og ressurser til sikker teknisk infrastruktur i nytt regjeringskvartal.</w:t>
      </w:r>
    </w:p>
    <w:p w14:paraId="0D00559D" w14:textId="77777777" w:rsidR="00575AC3" w:rsidRPr="006D40F0" w:rsidRDefault="00575AC3" w:rsidP="006D40F0">
      <w:r w:rsidRPr="006D40F0">
        <w:t xml:space="preserve">Det foreslås å øke bevilgningen med 0,6 mill. kroner, for at Prosjekt Effektiv informasjonsutveksling mellom regjering og Storting (EIREST) kan jobbe videre med å effektivisere </w:t>
      </w:r>
      <w:proofErr w:type="spellStart"/>
      <w:r w:rsidRPr="006D40F0">
        <w:t>lovprosessen</w:t>
      </w:r>
      <w:proofErr w:type="spellEnd"/>
      <w:r w:rsidRPr="006D40F0">
        <w:t>.</w:t>
      </w:r>
    </w:p>
    <w:p w14:paraId="60E1324A" w14:textId="77777777" w:rsidR="00575AC3" w:rsidRPr="006D40F0" w:rsidRDefault="00575AC3" w:rsidP="006D40F0">
      <w:r w:rsidRPr="006D40F0">
        <w:t>I forbindelse med forslag om et tilskudd til Standard Norge, jf. omtale under kap. 1500, post 70, foreslås det å redusere bevilgningen med 0,4 mill. kroner mot en tilsvarende økning under kap. 1500, post 70.</w:t>
      </w:r>
    </w:p>
    <w:p w14:paraId="3A531AF3" w14:textId="77777777" w:rsidR="00575AC3" w:rsidRPr="006D40F0" w:rsidRDefault="00575AC3" w:rsidP="006D40F0">
      <w:r w:rsidRPr="006D40F0">
        <w:t>Samlet foreslås det å øke bevilgningen med 10,3 mill. kroner.</w:t>
      </w:r>
    </w:p>
    <w:p w14:paraId="213D9C7E" w14:textId="77777777" w:rsidR="00575AC3" w:rsidRPr="006D40F0" w:rsidRDefault="00575AC3" w:rsidP="006D40F0">
      <w:pPr>
        <w:pStyle w:val="b-post"/>
      </w:pPr>
      <w:r w:rsidRPr="006D40F0">
        <w:t>Post 50 Forskningsmidler til Norges forskningsråd m.m.</w:t>
      </w:r>
    </w:p>
    <w:p w14:paraId="53A95ACD" w14:textId="77777777" w:rsidR="00575AC3" w:rsidRPr="006D40F0" w:rsidRDefault="00575AC3" w:rsidP="006D40F0">
      <w:r w:rsidRPr="006D40F0">
        <w:t>Bevilgningen dekker departementets behov for langsiktig kunnskapsoppbygging i regi av Norges Forskningsråd.</w:t>
      </w:r>
    </w:p>
    <w:p w14:paraId="230D39D3" w14:textId="77777777" w:rsidR="00575AC3" w:rsidRPr="006D40F0" w:rsidRDefault="00575AC3" w:rsidP="006D40F0">
      <w:r w:rsidRPr="006D40F0">
        <w:t xml:space="preserve">Digitaliserings- og forvaltningsdepartementet og Kommunal- og distriktsdepartementet har for 2024 gitt Forskningsrådet i oppdrag å innhente kunnskapsgrunnlag for vurdering av videre satsing på forskning på </w:t>
      </w:r>
      <w:proofErr w:type="spellStart"/>
      <w:r w:rsidRPr="006D40F0">
        <w:t>distriktsutfordringer</w:t>
      </w:r>
      <w:proofErr w:type="spellEnd"/>
      <w:r w:rsidRPr="006D40F0">
        <w:t xml:space="preserve"> og regional utvikling fra 2025.</w:t>
      </w:r>
    </w:p>
    <w:p w14:paraId="4D7014D7" w14:textId="77777777" w:rsidR="00575AC3" w:rsidRPr="006D40F0" w:rsidRDefault="00575AC3" w:rsidP="006D40F0">
      <w:r w:rsidRPr="006D40F0">
        <w:t>I tråd med retningslinjene for styring av virksomhetskostnader i Forskningsrådet foreslås det å redusere bevilgningen med 0,5 mill. kroner mot en tilsvarende økning på kap. 285, post 55 under Kunnskapsdepartementet.</w:t>
      </w:r>
    </w:p>
    <w:p w14:paraId="5FDC56FE" w14:textId="77777777" w:rsidR="00575AC3" w:rsidRPr="006D40F0" w:rsidRDefault="00575AC3" w:rsidP="006D40F0">
      <w:pPr>
        <w:pStyle w:val="b-post"/>
      </w:pPr>
      <w:r w:rsidRPr="006D40F0">
        <w:t>Post 70 Diverse formål, kan overføres, kan nyttes under post 21</w:t>
      </w:r>
    </w:p>
    <w:p w14:paraId="230234C7" w14:textId="77777777" w:rsidR="00575AC3" w:rsidRPr="006D40F0" w:rsidRDefault="00575AC3" w:rsidP="006D40F0">
      <w:r w:rsidRPr="006D40F0">
        <w:t xml:space="preserve">Standard Norge har ansvar for standardiseringsoppgaver på alle områder unntatt elektro-, post- og telestandardisering. Standard Norge har enerett på å fastsette og gi ut Norsk Standard. Digitaliserings- og forvaltningsdepartementet foreslår et tilskudd på 0,4 mill. kroner Standard Norge til standardiseringsarbeid på kunstig intelligens i 2024. Tilskuddet skal bidra til å ivareta norske </w:t>
      </w:r>
      <w:r w:rsidRPr="006D40F0">
        <w:lastRenderedPageBreak/>
        <w:t>interesser i utviklingen av internasjonale standarder for kunstig intelligens. Det foreslås derfor å øke bevilgningen med 0,4 mill. kroner mot en tilsvarende reduksjon under kap. 1500, post 21.</w:t>
      </w:r>
    </w:p>
    <w:p w14:paraId="26AF7C5A" w14:textId="77777777" w:rsidR="00575AC3" w:rsidRPr="006D40F0" w:rsidRDefault="00575AC3" w:rsidP="006D40F0">
      <w:pPr>
        <w:pStyle w:val="b-budkaptit"/>
      </w:pPr>
      <w:r w:rsidRPr="006D40F0">
        <w:t>Kap. 1510 Departementenes sikkerhets- og serviceorganisasjon</w:t>
      </w:r>
    </w:p>
    <w:p w14:paraId="35425C2B" w14:textId="77777777" w:rsidR="00575AC3" w:rsidRPr="006D40F0" w:rsidRDefault="00575AC3" w:rsidP="006D40F0">
      <w:pPr>
        <w:pStyle w:val="b-post"/>
      </w:pPr>
      <w:r w:rsidRPr="006D40F0">
        <w:t>Post 01 Driftsutgifter</w:t>
      </w:r>
    </w:p>
    <w:p w14:paraId="4DD69E6F" w14:textId="77777777" w:rsidR="00575AC3" w:rsidRPr="006D40F0" w:rsidRDefault="00575AC3" w:rsidP="006D40F0">
      <w:r w:rsidRPr="006D40F0">
        <w:t>Bevilgningen dekker utgifter til lønn og andre driftsutgifter for Departementenes sikkerhets- og serviceorganisasjon (DSS). I tillegg dekker bevilgningen utgifter til fellestjenester for departementsfellesskapet og Statsministerens kontor.</w:t>
      </w:r>
    </w:p>
    <w:p w14:paraId="3D88E6BC" w14:textId="77777777" w:rsidR="00575AC3" w:rsidRPr="006D40F0" w:rsidRDefault="00575AC3" w:rsidP="006D40F0">
      <w:r w:rsidRPr="006D40F0">
        <w:t>Det foreslås å øke bevilgningen med 35,1 mill. kroner for å dekke praktiske bindinger i DSS. Dette omfatter drift av eksternt kontrollsenter for post og varer, trafikksentral og sikker teknisk infrastruktur, kostnader i forbindelse med ferdigstillelse og innflytting i nytt regjeringskvartal, samt drift i DSS og utgifter til ny e-postsynkroniseringsløsning for departementene.</w:t>
      </w:r>
    </w:p>
    <w:p w14:paraId="48088F0A" w14:textId="77777777" w:rsidR="00575AC3" w:rsidRPr="006D40F0" w:rsidRDefault="00575AC3" w:rsidP="006D40F0">
      <w:r w:rsidRPr="006D40F0">
        <w:t>For å gi DSS tilstrekkelig handlingsrom til å gjennomføre nødvendige driftsaktiviteter foreslås det også å øke bevilgningen med 13,9 mill. kroner mot en tilsvarende reduksjon på post 45, jf. omtale under post 45.</w:t>
      </w:r>
    </w:p>
    <w:p w14:paraId="0B645D2F" w14:textId="77777777" w:rsidR="00575AC3" w:rsidRPr="006D40F0" w:rsidRDefault="00575AC3" w:rsidP="006D40F0">
      <w:r w:rsidRPr="006D40F0">
        <w:t>Samlet foreslås det å øke bevilgningen med 49 mill. kroner.</w:t>
      </w:r>
    </w:p>
    <w:p w14:paraId="245792CB" w14:textId="77777777" w:rsidR="00575AC3" w:rsidRPr="006D40F0" w:rsidRDefault="00575AC3" w:rsidP="006D40F0">
      <w:pPr>
        <w:pStyle w:val="b-post"/>
      </w:pPr>
      <w:r w:rsidRPr="006D40F0">
        <w:t>Post 45 Større utstyrsanskaffelser og vedlikehold, kan overføres</w:t>
      </w:r>
    </w:p>
    <w:p w14:paraId="4EA72A7F" w14:textId="77777777" w:rsidR="00575AC3" w:rsidRPr="006D40F0" w:rsidRDefault="00575AC3" w:rsidP="006D40F0">
      <w:r w:rsidRPr="006D40F0">
        <w:t>Bevilgningen dekker utgifter til investeringer, vedlikehold, utskifting av utstyr og utviklingskostnader til tjenesteleveranser innenfor tjenesteområdene; digitale tjenester, fasilitetstjenester, HR-tjenester og vakt- og resepsjonstjenester.</w:t>
      </w:r>
    </w:p>
    <w:p w14:paraId="7E161F2D" w14:textId="77777777" w:rsidR="00575AC3" w:rsidRPr="006D40F0" w:rsidRDefault="00575AC3" w:rsidP="006D40F0">
      <w:r w:rsidRPr="006D40F0">
        <w:t>For å gi DSS tilstrekkelig handlingsrom til å gjennomføre nødvendige driftsaktiviteter foreslås det å redusere bevilgningen med 13,9 mill. kroner mot en tilsvarende økning på post 01, jf. omtale under post 01.</w:t>
      </w:r>
    </w:p>
    <w:p w14:paraId="31B707C5" w14:textId="77777777" w:rsidR="00575AC3" w:rsidRPr="006D40F0" w:rsidRDefault="00575AC3" w:rsidP="006D40F0">
      <w:r w:rsidRPr="006D40F0">
        <w:t>For å kunne ta i bruk byggetrinn 1 i nytt regjeringskvartal er det behov for å få på plass nødvendig IKT-utstyr. Det foreslås en bevilgningsøkning på 125,1 mill. kroner i 2024, for å dekke kostnader knyttet til etablering av kommunikasjonsinfrastruktur, flytting og reetablering av datasentre, etablering av delte og personlige IKT-tjenester og felleskostnader.</w:t>
      </w:r>
    </w:p>
    <w:p w14:paraId="55B1E54F" w14:textId="77777777" w:rsidR="00575AC3" w:rsidRPr="006D40F0" w:rsidRDefault="00575AC3" w:rsidP="006D40F0">
      <w:r w:rsidRPr="006D40F0">
        <w:t>Leieavtalen for de midlertidige lokalene til departementenes trykkeri i Grubbegata 14 går ut 31. desember 2024. Trykkeriet skal derfor flytte til permanente lokaler i Akersgata 59. Kostnadene ved flyttingen omfatter ombygging av de nye lokalene, mellomlagring av maskiner, utstyr og møbler og den fysiske flyttingen av trykkeriet. Det foreslås å øke bevilgningen med 11,9 mill. kroner. Samlet på posten settes det av 17 mill. kroner til flytting av trykkeriet.</w:t>
      </w:r>
    </w:p>
    <w:p w14:paraId="24B6F240" w14:textId="77777777" w:rsidR="00575AC3" w:rsidRPr="006D40F0" w:rsidRDefault="00575AC3" w:rsidP="006D40F0">
      <w:r w:rsidRPr="006D40F0">
        <w:t>Som et tiltak for å følge opp dataangrepet mot departementenes felles IKT-plattform sommeren 2023 arbeides det med en løsning for samhandling på Nasjonalt Begrenset Nett. For å dekke resterende kostander til utvikling og innføring av denne løsningen foreslås det å øke bevilgningen med 5 mill. kroner.</w:t>
      </w:r>
    </w:p>
    <w:p w14:paraId="19783FF8" w14:textId="77777777" w:rsidR="00575AC3" w:rsidRPr="006D40F0" w:rsidRDefault="00575AC3" w:rsidP="006D40F0">
      <w:r w:rsidRPr="006D40F0">
        <w:t>Samlet foreslås det å øke bevilgningen med 128,2 mill. kroner.</w:t>
      </w:r>
    </w:p>
    <w:p w14:paraId="353AC1D8" w14:textId="77777777" w:rsidR="00575AC3" w:rsidRPr="006D40F0" w:rsidRDefault="00575AC3" w:rsidP="006D40F0">
      <w:pPr>
        <w:pStyle w:val="b-budkaptit"/>
      </w:pPr>
      <w:r w:rsidRPr="006D40F0">
        <w:lastRenderedPageBreak/>
        <w:t>Kap. 1512 Diverse fellestjenester</w:t>
      </w:r>
    </w:p>
    <w:p w14:paraId="2A2B5084" w14:textId="77777777" w:rsidR="00575AC3" w:rsidRPr="006D40F0" w:rsidRDefault="00575AC3" w:rsidP="006D40F0">
      <w:pPr>
        <w:pStyle w:val="b-post"/>
      </w:pPr>
      <w:r w:rsidRPr="006D40F0">
        <w:t>Post 27 Sak og arkivløsning, kan overføres</w:t>
      </w:r>
    </w:p>
    <w:p w14:paraId="5ABC91A6" w14:textId="77777777" w:rsidR="00575AC3" w:rsidRPr="006D40F0" w:rsidRDefault="00575AC3" w:rsidP="006D40F0">
      <w:r w:rsidRPr="006D40F0">
        <w:t>Bevilgningen dekker utgifter til innføring av ny sak- og arkivløsning for Statsministerens kontor, departementene og DSS.</w:t>
      </w:r>
    </w:p>
    <w:p w14:paraId="0F2C61E7" w14:textId="77777777" w:rsidR="00575AC3" w:rsidRPr="006D40F0" w:rsidRDefault="00575AC3" w:rsidP="006D40F0">
      <w:r w:rsidRPr="006D40F0">
        <w:t>Dataangrepet mot departementenes felles IKT-plattform har forsinket arbeidet med etablering av ny felles IKT-plattform for departementsfellesskapet. Det har gjennom høsten 2023 blitt utredet og vurdert muligheter for å forsere arbeidet med etableringen, men dette lar seg ikke gjøre. Fordi den nye sak- og arkivløsningen skal legges på den nye IKT-plattformen, er det heller ikke mulig å forsere innføringen av denne. Det er derfor ikke behov for bevilgningen på 23,3 mill. kroner i 2024 til forsering av ny sak- og arkivløsning.</w:t>
      </w:r>
    </w:p>
    <w:p w14:paraId="34B4912B" w14:textId="77777777" w:rsidR="00575AC3" w:rsidRPr="006D40F0" w:rsidRDefault="00575AC3" w:rsidP="006D40F0">
      <w:r w:rsidRPr="006D40F0">
        <w:t>Det foreslås å redusere bevilgningen med 23,3 mill. kroner.</w:t>
      </w:r>
    </w:p>
    <w:p w14:paraId="0E31E595" w14:textId="77777777" w:rsidR="00575AC3" w:rsidRPr="006D40F0" w:rsidRDefault="00575AC3" w:rsidP="006D40F0">
      <w:pPr>
        <w:pStyle w:val="b-budkaptit"/>
      </w:pPr>
      <w:r w:rsidRPr="006D40F0">
        <w:t>Kap. 1520 Statsforvalterne</w:t>
      </w:r>
    </w:p>
    <w:p w14:paraId="2B413921" w14:textId="77777777" w:rsidR="00575AC3" w:rsidRPr="006D40F0" w:rsidRDefault="00575AC3" w:rsidP="006D40F0">
      <w:pPr>
        <w:pStyle w:val="b-post"/>
      </w:pPr>
      <w:r w:rsidRPr="006D40F0">
        <w:t>Post 01 Driftsutgifter</w:t>
      </w:r>
    </w:p>
    <w:p w14:paraId="00398314" w14:textId="77777777" w:rsidR="00575AC3" w:rsidRPr="006D40F0" w:rsidRDefault="00575AC3" w:rsidP="006D40F0">
      <w:r w:rsidRPr="006D40F0">
        <w:t>Bevilgningen dekker utgifter til lønn og andre driftsutgifter for statsforvalterne.</w:t>
      </w:r>
    </w:p>
    <w:p w14:paraId="396652CF" w14:textId="77777777" w:rsidR="00575AC3" w:rsidRPr="006D40F0" w:rsidRDefault="00575AC3" w:rsidP="006D40F0">
      <w:r w:rsidRPr="006D40F0">
        <w:t>Det foreslås å øke bevilgningen med 15 mill. kroner for å øke kapasiteten hos statsforvalterne. Statsforvalteren i Troms og Finnmark får økt bevilgning til arbeidet med reindrift, oppfølging av kommuner og beredskap. Regjeringen flytter hovedsetet for Statsforvalteren i Vestfold og Telemark til Skien og vil øke antall ansatte med arbeidsplass i Skien fra ca. 30 til ca. 65 ansatte. Den økte bevilgningen skal dekke kostnader til utvidede lokaler og kostnader i forbindelse med denne flyttingen. Inkludert i bevilgningsøkningen foreslås det 2,5 mill. kroner til å opprette to nye stillinger til arbeidet med akvakultur, i samarbeid med Klima- og miljødepartementet.</w:t>
      </w:r>
    </w:p>
    <w:p w14:paraId="2583A00D" w14:textId="77777777" w:rsidR="00575AC3" w:rsidRPr="006D40F0" w:rsidRDefault="00575AC3" w:rsidP="006D40F0">
      <w:r w:rsidRPr="006D40F0">
        <w:t xml:space="preserve">I barnevernsloven pålegges statsforvalteren å føre tilsyn med omsorgssentrene for enslige mindreårige asylsøkere under 15 år og barna der. Omsorgssentrene er plassert i </w:t>
      </w:r>
      <w:proofErr w:type="spellStart"/>
      <w:r w:rsidRPr="006D40F0">
        <w:t>Bufetat</w:t>
      </w:r>
      <w:proofErr w:type="spellEnd"/>
      <w:r w:rsidRPr="006D40F0">
        <w:t xml:space="preserve"> Region Øst og ansvarlig statsforvalter for dette området er Statsforvalteren i Oslo og Viken. Som følge av en økning i gjennomsnittlig antall barn i omsorgssentrene for enslige mindreårige asylsøkere under 15 år foreslås det å øke bevilgningen til Statsforvalteren i Oslo og Viken med 2 mill. kroner. Samlet foreslås det å øke bevilgningen med 17 mill. kroner.</w:t>
      </w:r>
    </w:p>
    <w:p w14:paraId="459FD436" w14:textId="77777777" w:rsidR="00575AC3" w:rsidRPr="006D40F0" w:rsidRDefault="00575AC3" w:rsidP="006D40F0">
      <w:pPr>
        <w:pStyle w:val="b-budkaptit"/>
      </w:pPr>
      <w:r w:rsidRPr="006D40F0">
        <w:t>Kap. 1530 Byggeprosjekter utenfor husleieordningen</w:t>
      </w:r>
    </w:p>
    <w:p w14:paraId="1F9CEC04" w14:textId="77777777" w:rsidR="00575AC3" w:rsidRPr="006D40F0" w:rsidRDefault="00575AC3" w:rsidP="006D40F0">
      <w:pPr>
        <w:pStyle w:val="b-post"/>
      </w:pPr>
      <w:r w:rsidRPr="006D40F0">
        <w:t>Post 30 (Ny) Prosjektering av bygg, kan overføres</w:t>
      </w:r>
    </w:p>
    <w:p w14:paraId="62172B78" w14:textId="77777777" w:rsidR="00575AC3" w:rsidRPr="006D40F0" w:rsidRDefault="00575AC3" w:rsidP="006D40F0">
      <w:r w:rsidRPr="006D40F0">
        <w:t>Bevilgningen gjelder prosjektering av ordinære byggeprosjekter frem til fullført forprosjekt. Det foreslås å bevilge 10 mill. kroner til prosjektering av Nationaltheatret.</w:t>
      </w:r>
    </w:p>
    <w:p w14:paraId="2DEB8884" w14:textId="77777777" w:rsidR="00575AC3" w:rsidRPr="006D40F0" w:rsidRDefault="00575AC3" w:rsidP="006D40F0">
      <w:pPr>
        <w:pStyle w:val="b-post"/>
      </w:pPr>
      <w:r w:rsidRPr="006D40F0">
        <w:t>Post 33 Videreføring av byggeprosjekter, kan overføres</w:t>
      </w:r>
    </w:p>
    <w:p w14:paraId="3FE0F556" w14:textId="77777777" w:rsidR="00575AC3" w:rsidRPr="006D40F0" w:rsidRDefault="00575AC3" w:rsidP="006D40F0">
      <w:r w:rsidRPr="006D40F0">
        <w:t xml:space="preserve">Bevilgningen gjelder videreføring av byggeprosjekter som Stortinget tidligere har vedtatt å starte opp. Bevilgningen skal sikre </w:t>
      </w:r>
      <w:proofErr w:type="gramStart"/>
      <w:r w:rsidRPr="006D40F0">
        <w:t>optimal</w:t>
      </w:r>
      <w:proofErr w:type="gramEnd"/>
      <w:r w:rsidRPr="006D40F0">
        <w:t xml:space="preserve"> fremdrift i prosjekter under oppføring.</w:t>
      </w:r>
    </w:p>
    <w:p w14:paraId="3430C5BA" w14:textId="77777777" w:rsidR="00575AC3" w:rsidRPr="006D40F0" w:rsidRDefault="00575AC3" w:rsidP="006D40F0">
      <w:r w:rsidRPr="006D40F0">
        <w:lastRenderedPageBreak/>
        <w:t>Livsvitenskapsbygget har et lavere likviditetsbehov på 100 mill. kroner. Hovedårsaken er revidert utbetalingsplan.</w:t>
      </w:r>
    </w:p>
    <w:p w14:paraId="4E1E301C" w14:textId="77777777" w:rsidR="00575AC3" w:rsidRPr="006D40F0" w:rsidRDefault="00575AC3" w:rsidP="006D40F0">
      <w:r w:rsidRPr="006D40F0">
        <w:t>Norsk havteknologisenter har et lavere likviditetsbehov på 50 mill. kroner. Hovedårsaken er revidert utbetalingsplan.</w:t>
      </w:r>
    </w:p>
    <w:p w14:paraId="77287D35" w14:textId="77777777" w:rsidR="00575AC3" w:rsidRPr="006D40F0" w:rsidRDefault="00575AC3" w:rsidP="006D40F0">
      <w:r w:rsidRPr="006D40F0">
        <w:t>På bakgrunn av dette foreslås det å redusere bevilgningen med 150 mill. kroner.</w:t>
      </w:r>
    </w:p>
    <w:p w14:paraId="67584EB1" w14:textId="77777777" w:rsidR="00575AC3" w:rsidRPr="006D40F0" w:rsidRDefault="00575AC3" w:rsidP="006D40F0">
      <w:pPr>
        <w:pStyle w:val="avsnitt-undertittel"/>
      </w:pPr>
      <w:r w:rsidRPr="006D40F0">
        <w:t>Nytt vikingtidsmuseum</w:t>
      </w:r>
    </w:p>
    <w:p w14:paraId="41CFC0A1" w14:textId="77777777" w:rsidR="00575AC3" w:rsidRPr="006D40F0" w:rsidRDefault="00575AC3" w:rsidP="006D40F0">
      <w:r w:rsidRPr="006D40F0">
        <w:t>Nytt vikingtidsmuseum har en styrings- og kostnadsramme på henholdsvis 3 140,6 mill. kroner og 3 922 mill. kroner (kroneverdi per 31.12.2023). Prosjektet omfatter i hovedsak nytt bygg og SGO (</w:t>
      </w:r>
      <w:proofErr w:type="spellStart"/>
      <w:r w:rsidRPr="006D40F0">
        <w:t>safeguarding</w:t>
      </w:r>
      <w:proofErr w:type="spellEnd"/>
      <w:r w:rsidRPr="006D40F0">
        <w:t xml:space="preserve"> </w:t>
      </w:r>
      <w:proofErr w:type="spellStart"/>
      <w:r w:rsidRPr="006D40F0">
        <w:t>of</w:t>
      </w:r>
      <w:proofErr w:type="spellEnd"/>
      <w:r w:rsidRPr="006D40F0">
        <w:t xml:space="preserve"> </w:t>
      </w:r>
      <w:proofErr w:type="spellStart"/>
      <w:r w:rsidRPr="006D40F0">
        <w:t>objects</w:t>
      </w:r>
      <w:proofErr w:type="spellEnd"/>
      <w:r w:rsidRPr="006D40F0">
        <w:t>), som skal ivareta sikkerheten til vikingtidssamlingen.</w:t>
      </w:r>
    </w:p>
    <w:p w14:paraId="5A1DC2A5" w14:textId="77777777" w:rsidR="00575AC3" w:rsidRPr="006D40F0" w:rsidRDefault="00575AC3" w:rsidP="006D40F0">
      <w:r w:rsidRPr="006D40F0">
        <w:t>Resultatmålene for prosjektet er, i prioritert rekkefølge; 1) kostnad, 2) kvalitet, 3) tid. For forhold som er vesentlige for samlingens sikkerhet er kvalitet prioritert foran kostnad, noe som påvirker både gjennomføringen og kostnadsutviklingen i prosjektet. Kompleksitet og strenge krav til samlingens sikkerhet bidrar til økte kostnader i SGO-prosjektet. Dette har utløst behov for å øke prosjektets styringsramme med 353 mill. kroner (kroneverdi per 31.12.2023).</w:t>
      </w:r>
    </w:p>
    <w:p w14:paraId="42C10BD5" w14:textId="77777777" w:rsidR="00575AC3" w:rsidRPr="006D40F0" w:rsidRDefault="00575AC3" w:rsidP="006D40F0">
      <w:r w:rsidRPr="006D40F0">
        <w:t>Selve byggeprosjektet går som planlagt. En økning av styringsrammen med 353 mill. kroner gir en forventet sluttkostnad på 3 493 mill. kroner. Det er ikke behov for å øke prosjektets kostnadsramme, eller et økt bevilgningsbehov i 2024. Regjeringen vil komme tilbake med forslag til nødvendig bevilgning i fremtidige budsjettår.</w:t>
      </w:r>
    </w:p>
    <w:p w14:paraId="02EFC6B2" w14:textId="77777777" w:rsidR="00575AC3" w:rsidRPr="006D40F0" w:rsidRDefault="00575AC3" w:rsidP="006D40F0">
      <w:pPr>
        <w:pStyle w:val="avsnitt-undertittel"/>
      </w:pPr>
      <w:r w:rsidRPr="006D40F0">
        <w:t>Justering av kostnadsrammen for Livsvitenskapsbygget som følge av valutakursendringer</w:t>
      </w:r>
    </w:p>
    <w:p w14:paraId="43A645BF" w14:textId="77777777" w:rsidR="00575AC3" w:rsidRPr="006D40F0" w:rsidRDefault="00575AC3" w:rsidP="006D40F0">
      <w:r w:rsidRPr="006D40F0">
        <w:t>Livsvitenskapsbygget har en kostnadsramme på 13 014,9 mill. kroner, i prisnivå per 1. juli 2024. Prosjektet er planlagt ferdigstilt innen utgangen av 2026. Statsbygg er byggherre, og Universitetet i Oslo og Oslo universitetssykehus HF er brukerne. Deler av prosjektkostnaden skal betales i utenlandsk valuta. Som følge av svak kronekurs har prosjektet frem til nå fått økte kostnader på 19,1 mill. kroner. En betydelig del av kostnadene i utenlandsk valuta har imidlertid ikke kommet til utbetaling ennå. Dersom gjenstående valutaeksponerte kostnader justeres med dagens valutakurser, vil prosjektet få en merkostnad på 57 mill. kroner.</w:t>
      </w:r>
    </w:p>
    <w:p w14:paraId="5CCE9B3C" w14:textId="77777777" w:rsidR="00575AC3" w:rsidRPr="006D40F0" w:rsidRDefault="00575AC3" w:rsidP="006D40F0">
      <w:r w:rsidRPr="006D40F0">
        <w:t>Det foreslås at kostnadsrammen for prosjektet blir justert årlig for valutakursendringer, både valutatap og -gevinst, jf. forslag til romertallsvedtak. En slik justering er å sammenligne med en årlig prisjustering av kostnadsrammen. Forslaget innebærer å øke kostnadsrammen med 76,1 mill. kroner, til 13 091 mill. kroner, i prisnivå per 1. juli 2024. Beløpet inkluderer realisert valutatap per 1. januar 2024, og justering av gjenstående valutaeksponerte kostnader med valutakurser per 29. desember 2023. Valutakursene per 29. desember 2023 blir referansekurs for de årlige justeringene av kostnadsrammen.</w:t>
      </w:r>
    </w:p>
    <w:p w14:paraId="7D263E62" w14:textId="77777777" w:rsidR="00575AC3" w:rsidRPr="006D40F0" w:rsidRDefault="00575AC3" w:rsidP="006D40F0">
      <w:r w:rsidRPr="006D40F0">
        <w:t xml:space="preserve">Universitetet i Oslo og Helse Sør-Øst RHF skal betale husleie til Statsbygg når bygget står ferdig. Det </w:t>
      </w:r>
      <w:proofErr w:type="gramStart"/>
      <w:r w:rsidRPr="006D40F0">
        <w:t>fremgår</w:t>
      </w:r>
      <w:proofErr w:type="gramEnd"/>
      <w:r w:rsidRPr="006D40F0">
        <w:t xml:space="preserve"> av statsbudsjettet for 2022 at husleiekompensasjonen til Universitetet i Oslo skal justeres for valutakursendringer, jf. Prop. 1 S (2021–2022), endringer under Kunnskapsdepartementet. Det legges til grunn at Helse Sør-Øst RHF skal få tilsvarende justering av sin husleiekompensasjon.</w:t>
      </w:r>
    </w:p>
    <w:p w14:paraId="3F3443E4" w14:textId="77777777" w:rsidR="00575AC3" w:rsidRPr="006D40F0" w:rsidRDefault="00575AC3" w:rsidP="006D40F0">
      <w:pPr>
        <w:pStyle w:val="b-post"/>
      </w:pPr>
      <w:r w:rsidRPr="006D40F0">
        <w:lastRenderedPageBreak/>
        <w:t>Post 45 Større utstyrsanskaffelser og vedlikehold, kan overføres</w:t>
      </w:r>
    </w:p>
    <w:p w14:paraId="531D5945" w14:textId="77777777" w:rsidR="00575AC3" w:rsidRPr="006D40F0" w:rsidRDefault="00575AC3" w:rsidP="006D40F0">
      <w:r w:rsidRPr="006D40F0">
        <w:t>Bevilgningen gjelder de tilfeller der Statsbygg gis i oppdrag å prosjektere og bistå i anskaffelsen av brukerutstyr til byggeprosjektene. Det inkluderer også brukerutstyr til byggeprosjekter på kap. 2445 Statsbygg.</w:t>
      </w:r>
    </w:p>
    <w:p w14:paraId="27F684EF" w14:textId="77777777" w:rsidR="00575AC3" w:rsidRPr="006D40F0" w:rsidRDefault="00575AC3" w:rsidP="006D40F0">
      <w:r w:rsidRPr="006D40F0">
        <w:t xml:space="preserve">Nybygg for Samisk videregående skole og reindriftsskole i det samiske nasjonalteateret </w:t>
      </w:r>
      <w:proofErr w:type="spellStart"/>
      <w:r w:rsidRPr="006D40F0">
        <w:t>Beaivváš</w:t>
      </w:r>
      <w:proofErr w:type="spellEnd"/>
      <w:r w:rsidRPr="006D40F0">
        <w:t xml:space="preserve"> i Kautokeino startet opp i 2022. Prosjektet har en kostnadsramme på 536,5 mill. kroner, i prisnivå per 1. juli 2024. Kostnadsrammen inkluderer midler til både bygg og brukerutstyr. Det er bevilget 405 mill. kroner til prosjektet på kap. 2445, post 33 i 2024. Sluttkostnaden for brukerutstyr er estimert til 65 mill. kroner.</w:t>
      </w:r>
    </w:p>
    <w:p w14:paraId="375688A3" w14:textId="77777777" w:rsidR="00575AC3" w:rsidRPr="006D40F0" w:rsidRDefault="00575AC3" w:rsidP="006D40F0">
      <w:r w:rsidRPr="006D40F0">
        <w:t>Det foreslås å øke bevilgningen med 65 mill. kroner, mot tilsvarende reduksjon av kap. 2445, post 33, jf. omtale under kap. 2445, post 33.</w:t>
      </w:r>
    </w:p>
    <w:p w14:paraId="0DC49774" w14:textId="77777777" w:rsidR="00575AC3" w:rsidRPr="006D40F0" w:rsidRDefault="00575AC3" w:rsidP="006D40F0">
      <w:pPr>
        <w:pStyle w:val="b-budkaptit"/>
      </w:pPr>
      <w:r w:rsidRPr="006D40F0">
        <w:t>Kap. 2445 Statsbygg</w:t>
      </w:r>
    </w:p>
    <w:p w14:paraId="49F3067F" w14:textId="77777777" w:rsidR="00575AC3" w:rsidRPr="006D40F0" w:rsidRDefault="00575AC3" w:rsidP="006D40F0">
      <w:pPr>
        <w:pStyle w:val="b-post"/>
      </w:pPr>
      <w:r w:rsidRPr="006D40F0">
        <w:t>Post 30 Prosjektering av bygg, kan overføres</w:t>
      </w:r>
    </w:p>
    <w:p w14:paraId="0B4D0950" w14:textId="77777777" w:rsidR="00575AC3" w:rsidRPr="006D40F0" w:rsidRDefault="00575AC3" w:rsidP="006D40F0">
      <w:r w:rsidRPr="006D40F0">
        <w:t>Bevilgningen gjelder utgifter til prosjektering av ordinære byggeprosjekter frem til fullført forprosjekt.</w:t>
      </w:r>
    </w:p>
    <w:p w14:paraId="256AE701" w14:textId="77777777" w:rsidR="00575AC3" w:rsidRPr="006D40F0" w:rsidRDefault="00575AC3" w:rsidP="006D40F0">
      <w:r w:rsidRPr="006D40F0">
        <w:t xml:space="preserve">Kostnadsestimatet for Bergen tinghus var 71,4 mill. kroner, inklusiv gjenbruksverdi på 5 mill. kroner fra et tidligere forprosjekt. Forventet sluttkostnad på forprosjektet er 64 mill. kroner. Prosjektet fikk </w:t>
      </w:r>
      <w:proofErr w:type="spellStart"/>
      <w:r w:rsidRPr="006D40F0">
        <w:t>oppstartsbevilgning</w:t>
      </w:r>
      <w:proofErr w:type="spellEnd"/>
      <w:r w:rsidRPr="006D40F0">
        <w:t xml:space="preserve"> i 2024. Det foreslås at gjenstående bevilgning på 7 mill. kroner tilbakeføres til statskassen.</w:t>
      </w:r>
    </w:p>
    <w:p w14:paraId="112CD9E6" w14:textId="77777777" w:rsidR="00575AC3" w:rsidRPr="006D40F0" w:rsidRDefault="00575AC3" w:rsidP="006D40F0">
      <w:r w:rsidRPr="006D40F0">
        <w:t>Det foreslås å omdisponere 25 mill. kroner fra Klima- og miljødepartementet til Statsbygg for å prosjektere Troll forskningsstasjon.</w:t>
      </w:r>
    </w:p>
    <w:p w14:paraId="00AFF971" w14:textId="77777777" w:rsidR="00575AC3" w:rsidRPr="006D40F0" w:rsidRDefault="00575AC3" w:rsidP="006D40F0">
      <w:r w:rsidRPr="006D40F0">
        <w:t>Samlet foreslås det å øke bevilgningen med 18 mill. kroner.</w:t>
      </w:r>
    </w:p>
    <w:p w14:paraId="7A010FF5" w14:textId="77777777" w:rsidR="00575AC3" w:rsidRPr="006D40F0" w:rsidRDefault="00575AC3" w:rsidP="006D40F0">
      <w:pPr>
        <w:pStyle w:val="b-post"/>
      </w:pPr>
      <w:r w:rsidRPr="006D40F0">
        <w:t>Post 31 Igangsetting av ordinære byggeprosjekter, kan overføres</w:t>
      </w:r>
    </w:p>
    <w:p w14:paraId="15CE14C8" w14:textId="77777777" w:rsidR="00575AC3" w:rsidRPr="006D40F0" w:rsidRDefault="00575AC3" w:rsidP="006D40F0">
      <w:r w:rsidRPr="006D40F0">
        <w:t>Bevilgningen gjelder oppstart av nye byggeprosjekter innenfor statens husleieordning.</w:t>
      </w:r>
    </w:p>
    <w:p w14:paraId="1DFFF587" w14:textId="77777777" w:rsidR="00575AC3" w:rsidRPr="006D40F0" w:rsidRDefault="00575AC3" w:rsidP="006D40F0">
      <w:r w:rsidRPr="006D40F0">
        <w:t xml:space="preserve">Ved behandling av Prop. 19 S (2023–2024) </w:t>
      </w:r>
      <w:proofErr w:type="spellStart"/>
      <w:r w:rsidRPr="00575AC3">
        <w:rPr>
          <w:rStyle w:val="kursiv"/>
        </w:rPr>
        <w:t>Endringar</w:t>
      </w:r>
      <w:proofErr w:type="spellEnd"/>
      <w:r w:rsidRPr="00575AC3">
        <w:rPr>
          <w:rStyle w:val="kursiv"/>
        </w:rPr>
        <w:t xml:space="preserve"> i statsbudsjettet 2023 under Justis- og beredskapsdepartementet </w:t>
      </w:r>
      <w:r w:rsidRPr="006D40F0">
        <w:t>sluttet Stortinget seg til oppstart av nye studenthybler ved Fagskolen for brann- og redningspersonell. Det ble ikke bevilget midler i 2023. Likviditetsbehovet i 2024 er 280 mill. kroner.</w:t>
      </w:r>
    </w:p>
    <w:p w14:paraId="7F7B10B5" w14:textId="77777777" w:rsidR="00575AC3" w:rsidRPr="006D40F0" w:rsidRDefault="00575AC3" w:rsidP="006D40F0">
      <w:r w:rsidRPr="006D40F0">
        <w:t>Det foreslås å øke bevilgningen med 280 mill. kroner.</w:t>
      </w:r>
    </w:p>
    <w:p w14:paraId="2F3CF9B3" w14:textId="77777777" w:rsidR="00575AC3" w:rsidRPr="006D40F0" w:rsidRDefault="00575AC3" w:rsidP="006D40F0">
      <w:pPr>
        <w:pStyle w:val="b-post"/>
      </w:pPr>
      <w:r w:rsidRPr="006D40F0">
        <w:t>Post 33 Videreføring av ordinære byggeprosjekter, kan overføres</w:t>
      </w:r>
    </w:p>
    <w:p w14:paraId="51440AF0" w14:textId="77777777" w:rsidR="00575AC3" w:rsidRPr="006D40F0" w:rsidRDefault="00575AC3" w:rsidP="006D40F0">
      <w:r w:rsidRPr="006D40F0">
        <w:t xml:space="preserve">Bevilgningen gjelder videreføring av byggeprosjekter som Stortinget tidligere har vedtatt å starte opp. Bevilgningen skal sikre </w:t>
      </w:r>
      <w:proofErr w:type="gramStart"/>
      <w:r w:rsidRPr="006D40F0">
        <w:t>optimal</w:t>
      </w:r>
      <w:proofErr w:type="gramEnd"/>
      <w:r w:rsidRPr="006D40F0">
        <w:t xml:space="preserve"> fremdrift i prosjekter under oppføring.</w:t>
      </w:r>
    </w:p>
    <w:p w14:paraId="3A647AE5" w14:textId="77777777" w:rsidR="00575AC3" w:rsidRPr="006D40F0" w:rsidRDefault="00575AC3" w:rsidP="006D40F0">
      <w:r w:rsidRPr="006D40F0">
        <w:t>Nytt regjeringskvartal, byggetrinn 1, har et økt likviditetsbehov på 140 mill. kroner. Årsaken er revidert utbetalingsplan.</w:t>
      </w:r>
    </w:p>
    <w:p w14:paraId="3BCB77A3" w14:textId="77777777" w:rsidR="00575AC3" w:rsidRPr="006D40F0" w:rsidRDefault="00575AC3" w:rsidP="006D40F0">
      <w:r w:rsidRPr="006D40F0">
        <w:lastRenderedPageBreak/>
        <w:t>Nytt Oslo fengsel, avdeling Ullersmo, har et økt likviditetsbehov på 80 mill. kroner. Årsaken er at produksjonen går fortere enn planlagt.</w:t>
      </w:r>
    </w:p>
    <w:p w14:paraId="07B976E5" w14:textId="77777777" w:rsidR="00575AC3" w:rsidRPr="006D40F0" w:rsidRDefault="00575AC3" w:rsidP="006D40F0">
      <w:r w:rsidRPr="006D40F0">
        <w:t xml:space="preserve">For samlokalisering nybygg for Samisk videregående skole og reindriftsskole i det samiske nasjonalteateret </w:t>
      </w:r>
      <w:proofErr w:type="spellStart"/>
      <w:r w:rsidRPr="006D40F0">
        <w:t>Beaivváš</w:t>
      </w:r>
      <w:proofErr w:type="spellEnd"/>
      <w:r w:rsidRPr="006D40F0">
        <w:t xml:space="preserve"> i Kautokeino blir det foreslått å redusere bevilgningen med 65 mill. kroner, jf. omtale under kap. 1530, post 45.</w:t>
      </w:r>
    </w:p>
    <w:p w14:paraId="7112D806" w14:textId="77777777" w:rsidR="00575AC3" w:rsidRPr="006D40F0" w:rsidRDefault="00575AC3" w:rsidP="006D40F0">
      <w:r w:rsidRPr="006D40F0">
        <w:t>Samlet foreslås det å øke bevilgningen med 155 mill. kroner.</w:t>
      </w:r>
    </w:p>
    <w:p w14:paraId="7AF65E27" w14:textId="77777777" w:rsidR="00575AC3" w:rsidRPr="006D40F0" w:rsidRDefault="00575AC3" w:rsidP="006D40F0">
      <w:pPr>
        <w:pStyle w:val="b-post"/>
      </w:pPr>
      <w:r w:rsidRPr="006D40F0">
        <w:t>Post 34 Videreføring av brukerfinansierte byggeprosjekter, kan overføres</w:t>
      </w:r>
    </w:p>
    <w:p w14:paraId="588707A9" w14:textId="77777777" w:rsidR="00575AC3" w:rsidRPr="006D40F0" w:rsidRDefault="00575AC3" w:rsidP="006D40F0">
      <w:r w:rsidRPr="006D40F0">
        <w:t>Bevilgningen gjelder videreføring av brukerfinansierte byggeprosjekter. Etterspørselen etter brukerfinansierte byggeprosjekter er lavere enn ventet. Det foreslås derfor å redusere bevilgningen med 50 mill. kroner.</w:t>
      </w:r>
    </w:p>
    <w:p w14:paraId="4F3DC439" w14:textId="77777777" w:rsidR="00575AC3" w:rsidRPr="006D40F0" w:rsidRDefault="00575AC3" w:rsidP="006D40F0">
      <w:pPr>
        <w:pStyle w:val="b-post"/>
      </w:pPr>
      <w:r w:rsidRPr="006D40F0">
        <w:t>Post 49 Kjøp av eiendommer, kan overføres</w:t>
      </w:r>
    </w:p>
    <w:p w14:paraId="0F9D92C8" w14:textId="77777777" w:rsidR="00575AC3" w:rsidRPr="006D40F0" w:rsidRDefault="00575AC3" w:rsidP="006D40F0">
      <w:r w:rsidRPr="006D40F0">
        <w:t>Bevilgningen gjelder kjøp av eiendom og tomter til bruk i aktuelle byggeprosjekt.</w:t>
      </w:r>
    </w:p>
    <w:p w14:paraId="2B14AE7E" w14:textId="77777777" w:rsidR="00575AC3" w:rsidRPr="006D40F0" w:rsidRDefault="00575AC3" w:rsidP="006D40F0">
      <w:r w:rsidRPr="006D40F0">
        <w:t>Det foreslås å redusere bevilgningen med 55,7 mill. kroner, for å gjøre rom til andre prioriteringer.</w:t>
      </w:r>
    </w:p>
    <w:p w14:paraId="5376D537" w14:textId="77777777" w:rsidR="00575AC3" w:rsidRPr="006D40F0" w:rsidRDefault="00575AC3" w:rsidP="006D40F0">
      <w:pPr>
        <w:pStyle w:val="b-budkaptit"/>
      </w:pPr>
      <w:r w:rsidRPr="006D40F0">
        <w:t>Kap. 1540 Digitaliseringsdirektoratet</w:t>
      </w:r>
    </w:p>
    <w:p w14:paraId="10DE76BA" w14:textId="77777777" w:rsidR="00575AC3" w:rsidRPr="006D40F0" w:rsidRDefault="00575AC3" w:rsidP="006D40F0">
      <w:pPr>
        <w:pStyle w:val="b-post"/>
      </w:pPr>
      <w:r w:rsidRPr="006D40F0">
        <w:t>Post 21 Spesielle driftsutgifter, kan overføres</w:t>
      </w:r>
    </w:p>
    <w:p w14:paraId="417D6595" w14:textId="77777777" w:rsidR="00575AC3" w:rsidRPr="006D40F0" w:rsidRDefault="00575AC3" w:rsidP="006D40F0">
      <w:r w:rsidRPr="006D40F0">
        <w:t>Bevilgningen dekker utgifter til Digitaliseringsdirektoratets utviklingsoppgaver og IT-prosjekter, og nyutvikling knyttet til nasjonale fellesløsninger.</w:t>
      </w:r>
    </w:p>
    <w:p w14:paraId="02AEDED2" w14:textId="77777777" w:rsidR="00575AC3" w:rsidRPr="006D40F0" w:rsidRDefault="00575AC3" w:rsidP="006D40F0">
      <w:r w:rsidRPr="006D40F0">
        <w:t>Digitalt dødsbo er en tjeneste som er utviklet i prosjektet «Oppgjør etter dødsfall» (OED). OED er et betydningsfullt DSOP-prosjekt (Digital Samhandling Offentlig Privat) som involverer en rekke sentrale aktører, inkludert Digitaliseringsdirektoratet, Brønnøysundregistrene, Domstoladministrasjonen, finansnæringen (alle banker og forsikringsselskaper i Norge), Skatteetaten, Statens kartverk, Statens vegvesen og Landbruksdirektoratet. Formålet med Digitalt dødsbo er å forenkle prosessen etter dødsfall for arvinger og interessenter gjennom digitalisering og deling av data i prosesser som i dag er kompliserte, analoge og papirbaserte. Digitalt dødsbo vil gi arvingene viktig informasjon om avdødes formue og gjeld.</w:t>
      </w:r>
    </w:p>
    <w:p w14:paraId="09A6E207" w14:textId="77777777" w:rsidR="00575AC3" w:rsidRPr="006D40F0" w:rsidRDefault="00575AC3" w:rsidP="006D40F0">
      <w:r w:rsidRPr="006D40F0">
        <w:t>En produksjonssetting av Digitalt dødsbo krever at det er etablert et fullverdig drifts- og forvaltningsteam som vil ha til oppgave å drifte, forvalte og videreutvikle tjenesten. Bevilgningen foreslås derfor økt med 5,5 mill. kroner.</w:t>
      </w:r>
    </w:p>
    <w:p w14:paraId="6239E1D0" w14:textId="77777777" w:rsidR="00575AC3" w:rsidRPr="006D40F0" w:rsidRDefault="00575AC3" w:rsidP="006D40F0">
      <w:pPr>
        <w:pStyle w:val="b-post"/>
      </w:pPr>
      <w:r w:rsidRPr="006D40F0">
        <w:t>Post 23 Utvikling og forvaltning av nasjonale fellesløsninger, kan overføres</w:t>
      </w:r>
    </w:p>
    <w:p w14:paraId="6198CD08" w14:textId="77777777" w:rsidR="00575AC3" w:rsidRPr="006D40F0" w:rsidRDefault="00575AC3" w:rsidP="006D40F0">
      <w:r w:rsidRPr="006D40F0">
        <w:t xml:space="preserve">Bevilgningen dekker utvikling, forvalting og drift av nasjonale fellesløsninger som inkluderer ID-porten, Digital postkasse til innbyggere, Kontakt- og reservasjonsregisteret og </w:t>
      </w:r>
      <w:proofErr w:type="spellStart"/>
      <w:r w:rsidRPr="006D40F0">
        <w:t>Altinn</w:t>
      </w:r>
      <w:proofErr w:type="spellEnd"/>
      <w:r w:rsidRPr="006D40F0">
        <w:t>.</w:t>
      </w:r>
    </w:p>
    <w:p w14:paraId="3DFE8CB7" w14:textId="77777777" w:rsidR="00575AC3" w:rsidRPr="006D40F0" w:rsidRDefault="00575AC3" w:rsidP="006D40F0">
      <w:proofErr w:type="spellStart"/>
      <w:r w:rsidRPr="006D40F0">
        <w:t>Altinn</w:t>
      </w:r>
      <w:proofErr w:type="spellEnd"/>
      <w:r w:rsidRPr="006D40F0">
        <w:t xml:space="preserve"> er en internettportal for digital dialog mellom næringslivet, privatpersoner og offentlige etater. Arbeidet med å utvikle en ny plattform ble startet i 2018. Bakgrunnen for arbeidet er at </w:t>
      </w:r>
      <w:r w:rsidRPr="006D40F0">
        <w:lastRenderedPageBreak/>
        <w:t xml:space="preserve">sentrale produkter i </w:t>
      </w:r>
      <w:proofErr w:type="spellStart"/>
      <w:r w:rsidRPr="006D40F0">
        <w:t>Altinn</w:t>
      </w:r>
      <w:proofErr w:type="spellEnd"/>
      <w:r w:rsidRPr="006D40F0">
        <w:t xml:space="preserve"> II er i ferd med å bli utdaterte, </w:t>
      </w:r>
      <w:proofErr w:type="spellStart"/>
      <w:r w:rsidRPr="006D40F0">
        <w:t>Altinn</w:t>
      </w:r>
      <w:proofErr w:type="spellEnd"/>
      <w:r w:rsidRPr="006D40F0">
        <w:t xml:space="preserve"> II innfrir ikke krav til universell utforming og det er behov for å modernisere og øke sikkerheten i løsningen, blant annet for å gi større fleksibilitet ved å etablere frittstående og uavhengige produkter. Dette arbeidet er komplekst og omfattende og har en absolutt frist, noe som medfører høy risiko. Våren 2023 ble det etablert et tverretatlig program (Nye </w:t>
      </w:r>
      <w:proofErr w:type="spellStart"/>
      <w:r w:rsidRPr="006D40F0">
        <w:t>Altinn</w:t>
      </w:r>
      <w:proofErr w:type="spellEnd"/>
      <w:r w:rsidRPr="006D40F0">
        <w:t xml:space="preserve">), under ledelse av Digitaliseringsdirektoratet og med de største tjenesteeierne som benytter </w:t>
      </w:r>
      <w:proofErr w:type="spellStart"/>
      <w:r w:rsidRPr="006D40F0">
        <w:t>Altinn</w:t>
      </w:r>
      <w:proofErr w:type="spellEnd"/>
      <w:r w:rsidRPr="006D40F0">
        <w:t xml:space="preserve">; Brønnøysundregistrene, Skatteetaten og Statistisk Sentralbyrå (SSB). Programmet skal utvikle </w:t>
      </w:r>
      <w:proofErr w:type="spellStart"/>
      <w:r w:rsidRPr="006D40F0">
        <w:t>Altinn</w:t>
      </w:r>
      <w:proofErr w:type="spellEnd"/>
      <w:r w:rsidRPr="006D40F0">
        <w:t xml:space="preserve"> 3 i Digitaliseringsdirektoratet og reetablere tjenestene til Brønnøysundregistrene, Skatteetaten og SSB i den nye plattformen. Programmet skal også bidra til å koordinere overgangen til </w:t>
      </w:r>
      <w:proofErr w:type="spellStart"/>
      <w:r w:rsidRPr="006D40F0">
        <w:t>Altinn</w:t>
      </w:r>
      <w:proofErr w:type="spellEnd"/>
      <w:r w:rsidRPr="006D40F0">
        <w:t xml:space="preserve"> 3 for øvrige tjenesteeiere. Programmet skal etter planen avsluttes i desember 2026. Våren 2023 gjennomgikk programmet en kvalitetssikring i henhold til kravene i Statens prosjektmodell. Ekstern </w:t>
      </w:r>
      <w:proofErr w:type="spellStart"/>
      <w:r w:rsidRPr="006D40F0">
        <w:t>kvalitetssikrer</w:t>
      </w:r>
      <w:proofErr w:type="spellEnd"/>
      <w:r w:rsidRPr="006D40F0">
        <w:t xml:space="preserve"> tilrådde ikke gjennomføring av programmet basert på den fremlagte gjennomføringsplanen. Dette fordi de blant annet mente at det var for høy risiko for at programmet ikke ville klare å etablere ny plattform, reetablere tjenester og avvikle gammel plattform innen den opprinnelige fristen. Basert på ekstern </w:t>
      </w:r>
      <w:proofErr w:type="spellStart"/>
      <w:r w:rsidRPr="006D40F0">
        <w:t>kvalitetssikrers</w:t>
      </w:r>
      <w:proofErr w:type="spellEnd"/>
      <w:r w:rsidRPr="006D40F0">
        <w:t xml:space="preserve"> vurderinger og anbefalinger ble sentrale styringsdokumenter (</w:t>
      </w:r>
      <w:proofErr w:type="spellStart"/>
      <w:r w:rsidRPr="006D40F0">
        <w:t>SSDer</w:t>
      </w:r>
      <w:proofErr w:type="spellEnd"/>
      <w:r w:rsidRPr="006D40F0">
        <w:t xml:space="preserve">) for programmet og virksomhetene forbedret og oppdatert høsten 2023. Det ble gjennomført en ny kvalitetssikring i starten av 2024. Ekstern </w:t>
      </w:r>
      <w:proofErr w:type="spellStart"/>
      <w:r w:rsidRPr="006D40F0">
        <w:t>kvalitetssikrer</w:t>
      </w:r>
      <w:proofErr w:type="spellEnd"/>
      <w:r w:rsidRPr="006D40F0">
        <w:t xml:space="preserve"> vurderer at en samlet gjennomføringsplan legger til rette for en hensiktsmessig gjennomføring og sannsynliggjør at programmet når sin målsetning.</w:t>
      </w:r>
    </w:p>
    <w:p w14:paraId="69691607" w14:textId="77777777" w:rsidR="00575AC3" w:rsidRPr="006D40F0" w:rsidRDefault="00575AC3" w:rsidP="006D40F0">
      <w:r w:rsidRPr="006D40F0">
        <w:t xml:space="preserve">Ekstern </w:t>
      </w:r>
      <w:proofErr w:type="spellStart"/>
      <w:r w:rsidRPr="006D40F0">
        <w:t>kvalitetssikrer</w:t>
      </w:r>
      <w:proofErr w:type="spellEnd"/>
      <w:r w:rsidRPr="006D40F0">
        <w:t xml:space="preserve"> anbefaler en styringsramme (P50) på 1 096 mill. kroner og en kostnadsramme (P85) på 1 267 mill. kroner til programmet Nye </w:t>
      </w:r>
      <w:proofErr w:type="spellStart"/>
      <w:r w:rsidRPr="006D40F0">
        <w:t>Altinn</w:t>
      </w:r>
      <w:proofErr w:type="spellEnd"/>
      <w:r w:rsidRPr="006D40F0">
        <w:t xml:space="preserve">. Det anbefales at kostnadsrammen settes i tråd med </w:t>
      </w:r>
      <w:proofErr w:type="spellStart"/>
      <w:r w:rsidRPr="006D40F0">
        <w:t>kvalitetssikrers</w:t>
      </w:r>
      <w:proofErr w:type="spellEnd"/>
      <w:r w:rsidRPr="006D40F0">
        <w:t xml:space="preserve"> anbefaling. Regjeringen foreslår derfor en kostnadsramme på 1 267 mill. kroner, jf. forslag til romertallsvedtak.</w:t>
      </w:r>
    </w:p>
    <w:p w14:paraId="7F7F0AAB" w14:textId="77777777" w:rsidR="00575AC3" w:rsidRPr="006D40F0" w:rsidRDefault="00575AC3" w:rsidP="006D40F0">
      <w:r w:rsidRPr="006D40F0">
        <w:t xml:space="preserve">Det er i statsbudsjettet for 2024 bevilget 200 mill. kroner til arbeidet med Nye </w:t>
      </w:r>
      <w:proofErr w:type="spellStart"/>
      <w:r w:rsidRPr="006D40F0">
        <w:t>Altinn</w:t>
      </w:r>
      <w:proofErr w:type="spellEnd"/>
      <w:r w:rsidRPr="006D40F0">
        <w:t>. Bevilgningen foreslås økt med 208,2 mill. kroner til arbeidet i 2024. Økningen blir fordelt med 108,4 mill. kroner til Digitaliseringsdirektoratet på kap. 1543, post 23, 70,8 mill. kroner til Skatteetaten på kap. 1618, post 22, 23,4 mill. kroner til Brønnøysundregistrene på kap. 904, post 21 og 5,6 mill. kroner til SSB på kap. 1620, post 01. Det kan bli aktuelt med enkelte mindre justeringer i fordelingen mellom virksomhetene, som følge av progresjon i programmet.</w:t>
      </w:r>
    </w:p>
    <w:p w14:paraId="47C93330" w14:textId="77777777" w:rsidR="00575AC3" w:rsidRPr="006D40F0" w:rsidRDefault="00575AC3" w:rsidP="006D40F0">
      <w:r w:rsidRPr="006D40F0">
        <w:t>Samlet foreslås det å øke bevilgningen på post 23 med 108,4 mill. kroner.</w:t>
      </w:r>
    </w:p>
    <w:p w14:paraId="0CBD9607" w14:textId="77777777" w:rsidR="00575AC3" w:rsidRPr="006D40F0" w:rsidRDefault="00575AC3" w:rsidP="006D40F0">
      <w:pPr>
        <w:pStyle w:val="b-post"/>
      </w:pPr>
      <w:r w:rsidRPr="006D40F0">
        <w:t>Post 25 Medfinansieringsordning for digitaliseringsprosjekter, kan overføres</w:t>
      </w:r>
    </w:p>
    <w:p w14:paraId="603138FF" w14:textId="77777777" w:rsidR="00575AC3" w:rsidRPr="006D40F0" w:rsidRDefault="00575AC3" w:rsidP="006D40F0">
      <w:r w:rsidRPr="006D40F0">
        <w:t>Formålet med bevilgningen er å bidra til gjennomføring av samfunnsøkonomisk lønnsomme digitaliseringsprosjekter og realisering av gevinster.</w:t>
      </w:r>
    </w:p>
    <w:p w14:paraId="5B648027" w14:textId="77777777" w:rsidR="00575AC3" w:rsidRPr="006D40F0" w:rsidRDefault="00575AC3" w:rsidP="006D40F0">
      <w:r w:rsidRPr="006D40F0">
        <w:t>Midler i ordningen som ikke er fordelt, er overført fra tidligere år. Dette kan blant annet skyldes at det beløpet det er søkt om ikke fullt ut har samsvart med tilsagnsrammen. Som følge av dette foreslås det å redusere bevilgningen med 1,9 mill. kroner.</w:t>
      </w:r>
    </w:p>
    <w:p w14:paraId="39953920" w14:textId="77777777" w:rsidR="00575AC3" w:rsidRPr="006D40F0" w:rsidRDefault="00575AC3" w:rsidP="006D40F0">
      <w:r w:rsidRPr="006D40F0">
        <w:t>For prosjekter som har mottatt medfinansiering blir det gjort en avregning etter at prosjektet er avsluttet. Med bakgrunn i avregningen av prosjekter som fikk tilsagn om medfinansiering i 2021, og der totalt tilsagn ikke er benyttet, blir det foreslått å redusere bevilgningen med 4,3 mill. kroner.</w:t>
      </w:r>
    </w:p>
    <w:p w14:paraId="2CBD5C1D" w14:textId="77777777" w:rsidR="00575AC3" w:rsidRPr="006D40F0" w:rsidRDefault="00575AC3" w:rsidP="006D40F0">
      <w:r w:rsidRPr="006D40F0">
        <w:lastRenderedPageBreak/>
        <w:t>Samlet foreslås det å redusere bevilgningen med 6,2 mill. kroner.</w:t>
      </w:r>
    </w:p>
    <w:p w14:paraId="7783960E" w14:textId="77777777" w:rsidR="00575AC3" w:rsidRPr="006D40F0" w:rsidRDefault="00575AC3" w:rsidP="006D40F0">
      <w:pPr>
        <w:pStyle w:val="b-budkaptit"/>
      </w:pPr>
      <w:r w:rsidRPr="006D40F0">
        <w:t xml:space="preserve">Kap. 1541 IT- og </w:t>
      </w:r>
      <w:proofErr w:type="spellStart"/>
      <w:r w:rsidRPr="006D40F0">
        <w:t>ekompolitikk</w:t>
      </w:r>
      <w:proofErr w:type="spellEnd"/>
    </w:p>
    <w:p w14:paraId="0E2088E8" w14:textId="77777777" w:rsidR="00575AC3" w:rsidRPr="006D40F0" w:rsidRDefault="00575AC3" w:rsidP="006D40F0">
      <w:pPr>
        <w:pStyle w:val="b-post"/>
      </w:pPr>
      <w:r w:rsidRPr="006D40F0">
        <w:t xml:space="preserve">Post 22 Utvikling, gjennomføring og samordning av IT- og </w:t>
      </w:r>
      <w:proofErr w:type="spellStart"/>
      <w:r w:rsidRPr="006D40F0">
        <w:t>ekompolitikken</w:t>
      </w:r>
      <w:proofErr w:type="spellEnd"/>
      <w:r w:rsidRPr="006D40F0">
        <w:t>, kan overføres, kan nyttes under post 70</w:t>
      </w:r>
    </w:p>
    <w:p w14:paraId="1130DC77" w14:textId="77777777" w:rsidR="00575AC3" w:rsidRPr="006D40F0" w:rsidRDefault="00575AC3" w:rsidP="006D40F0">
      <w:r w:rsidRPr="006D40F0">
        <w:t xml:space="preserve">Bevilgningen benyttes til tiltak for gjennomføring og videreutvikling av IT- og </w:t>
      </w:r>
      <w:proofErr w:type="spellStart"/>
      <w:r w:rsidRPr="006D40F0">
        <w:t>ekompolitikken</w:t>
      </w:r>
      <w:proofErr w:type="spellEnd"/>
      <w:r w:rsidRPr="006D40F0">
        <w:t>.</w:t>
      </w:r>
    </w:p>
    <w:p w14:paraId="1A866CD7" w14:textId="77777777" w:rsidR="00575AC3" w:rsidRPr="006D40F0" w:rsidRDefault="00575AC3" w:rsidP="006D40F0">
      <w:r w:rsidRPr="006D40F0">
        <w:t xml:space="preserve">Norge har annonsert sitt kandidatur som vertskapsland for </w:t>
      </w:r>
      <w:proofErr w:type="spellStart"/>
      <w:r w:rsidRPr="006D40F0">
        <w:t>Internet</w:t>
      </w:r>
      <w:proofErr w:type="spellEnd"/>
      <w:r w:rsidRPr="006D40F0">
        <w:t xml:space="preserve"> </w:t>
      </w:r>
      <w:proofErr w:type="spellStart"/>
      <w:r w:rsidRPr="006D40F0">
        <w:t>Governance</w:t>
      </w:r>
      <w:proofErr w:type="spellEnd"/>
      <w:r w:rsidRPr="006D40F0">
        <w:t xml:space="preserve"> Forum (IGF) 2025. IGF er et viktig forum for å promotere at internett fremdeles skal være sikkert, gratis og åpent for alle, og ved et norsk kandidatur vil verdier som menneskerettigheter, ytringsfrihet og personvern holdes høyt. Russland har også annonsert sitt kandidatur som vertskapsland for IGF i 2025. IGF-sekretariatet har foreløpig ikke besluttet hvilket av landene som får arrangementet.</w:t>
      </w:r>
    </w:p>
    <w:p w14:paraId="320A4302" w14:textId="77777777" w:rsidR="00575AC3" w:rsidRPr="006D40F0" w:rsidRDefault="00575AC3" w:rsidP="006D40F0">
      <w:r w:rsidRPr="006D40F0">
        <w:t>Det er behov for 6 mill. kroner for nødvendige forberedelser i 2024 til et eventuelt IGF i Norge i 2025. Det foreslås derfor å øke bevilgningen med 6 mill. kroner.</w:t>
      </w:r>
    </w:p>
    <w:p w14:paraId="4EB96178" w14:textId="77777777" w:rsidR="00575AC3" w:rsidRPr="006D40F0" w:rsidRDefault="00575AC3" w:rsidP="006D40F0">
      <w:r w:rsidRPr="006D40F0">
        <w:t>Det foreslås å redusere bevilgningen med 0,4 mill. kroner, for å gjøre rom til andre prioriteringer.</w:t>
      </w:r>
    </w:p>
    <w:p w14:paraId="38DD05D8" w14:textId="77777777" w:rsidR="00575AC3" w:rsidRPr="006D40F0" w:rsidRDefault="00575AC3" w:rsidP="006D40F0">
      <w:r w:rsidRPr="006D40F0">
        <w:t>Samlet foreslås det å øke bevilgningen med 5,6 mill. kroner.</w:t>
      </w:r>
    </w:p>
    <w:p w14:paraId="123613BA" w14:textId="77777777" w:rsidR="00575AC3" w:rsidRPr="006D40F0" w:rsidRDefault="00575AC3" w:rsidP="006D40F0">
      <w:pPr>
        <w:pStyle w:val="b-post"/>
      </w:pPr>
      <w:r w:rsidRPr="006D40F0">
        <w:t xml:space="preserve">Post 70 Forvaltningsutvikling, IT- og </w:t>
      </w:r>
      <w:proofErr w:type="spellStart"/>
      <w:r w:rsidRPr="006D40F0">
        <w:t>ekompolitikk</w:t>
      </w:r>
      <w:proofErr w:type="spellEnd"/>
      <w:r w:rsidRPr="006D40F0">
        <w:t>, kan nyttes under post 22</w:t>
      </w:r>
    </w:p>
    <w:p w14:paraId="3F9F7B65" w14:textId="77777777" w:rsidR="00575AC3" w:rsidRPr="006D40F0" w:rsidRDefault="00575AC3" w:rsidP="006D40F0">
      <w:r w:rsidRPr="006D40F0">
        <w:t xml:space="preserve">På posten bevilges diverse tilskudd og kontingenter innenfor forvaltningsutvikling, IT- og </w:t>
      </w:r>
      <w:proofErr w:type="spellStart"/>
      <w:r w:rsidRPr="006D40F0">
        <w:t>ekompolitikk</w:t>
      </w:r>
      <w:proofErr w:type="spellEnd"/>
      <w:r w:rsidRPr="006D40F0">
        <w:t>, inkludert Det europeiske nettverks- og informasjonssikkerhetsbyrået (ENISA). Den norske kontingentforpliktelsen til ENISA har økt, jf. også omtale under kap. 400, post 71.</w:t>
      </w:r>
    </w:p>
    <w:p w14:paraId="644DADB4" w14:textId="77777777" w:rsidR="00575AC3" w:rsidRPr="006D40F0" w:rsidRDefault="00575AC3" w:rsidP="006D40F0">
      <w:r w:rsidRPr="006D40F0">
        <w:t>Bevilgningen på post 70 foreslås økt med 1,8 mill. kroner.</w:t>
      </w:r>
    </w:p>
    <w:p w14:paraId="130DAE55" w14:textId="77777777" w:rsidR="00575AC3" w:rsidRPr="006D40F0" w:rsidRDefault="00575AC3" w:rsidP="006D40F0">
      <w:pPr>
        <w:pStyle w:val="b-budkaptit"/>
      </w:pPr>
      <w:r w:rsidRPr="006D40F0">
        <w:t>Kap. 1542 Internasjonalt samarbeid</w:t>
      </w:r>
    </w:p>
    <w:p w14:paraId="0EE5A17D" w14:textId="77777777" w:rsidR="00575AC3" w:rsidRPr="006D40F0" w:rsidRDefault="00575AC3" w:rsidP="006D40F0">
      <w:pPr>
        <w:pStyle w:val="b-post"/>
      </w:pPr>
      <w:r w:rsidRPr="006D40F0">
        <w:t>Post 01 Driftsutgifter</w:t>
      </w:r>
    </w:p>
    <w:p w14:paraId="1A70EB24" w14:textId="77777777" w:rsidR="00575AC3" w:rsidRPr="006D40F0" w:rsidRDefault="00575AC3" w:rsidP="006D40F0">
      <w:r w:rsidRPr="006D40F0">
        <w:t xml:space="preserve">Bevilgningen dekker utgifter til lønn og drift for nasjonale eksperter til EU-kommisjonen som del av deltakelsen i EU-program. Bevilgningen tar utgangspunkt i at Norge har tre nasjonale eksperter. Digitaliserings- og forvaltningsdepartementet rekrutterer to til tre nasjonale eksperter i 2024. Som følge av dette ligger det an til et </w:t>
      </w:r>
      <w:proofErr w:type="spellStart"/>
      <w:r w:rsidRPr="006D40F0">
        <w:t>mindreforbruk</w:t>
      </w:r>
      <w:proofErr w:type="spellEnd"/>
      <w:r w:rsidRPr="006D40F0">
        <w:t xml:space="preserve"> på posten. Bevilgningen på posten foreslås derfor redusert med 1,5 mill. kroner.</w:t>
      </w:r>
    </w:p>
    <w:p w14:paraId="78F9766D" w14:textId="77777777" w:rsidR="00575AC3" w:rsidRPr="006D40F0" w:rsidRDefault="00575AC3" w:rsidP="006D40F0">
      <w:pPr>
        <w:pStyle w:val="b-budkaptit"/>
      </w:pPr>
      <w:r w:rsidRPr="006D40F0">
        <w:t>Kap. 1543 Nasjonal kommunikasjonsmyndighet</w:t>
      </w:r>
    </w:p>
    <w:p w14:paraId="15413633" w14:textId="77777777" w:rsidR="00575AC3" w:rsidRPr="006D40F0" w:rsidRDefault="00575AC3" w:rsidP="006D40F0">
      <w:pPr>
        <w:pStyle w:val="b-post"/>
      </w:pPr>
      <w:r w:rsidRPr="006D40F0">
        <w:t>Post 01 Driftsutgifter, kan overføres</w:t>
      </w:r>
    </w:p>
    <w:p w14:paraId="01C90D16" w14:textId="77777777" w:rsidR="00575AC3" w:rsidRPr="006D40F0" w:rsidRDefault="00575AC3" w:rsidP="006D40F0">
      <w:r w:rsidRPr="006D40F0">
        <w:t>Bevilgningen dekker lønn til ansatte, husleie og andre faste driftsutgifter for Nasjonal kommunikasjonsmyndighet.</w:t>
      </w:r>
    </w:p>
    <w:p w14:paraId="1907AE35" w14:textId="77777777" w:rsidR="00575AC3" w:rsidRPr="006D40F0" w:rsidRDefault="00575AC3" w:rsidP="006D40F0">
      <w:r w:rsidRPr="006D40F0">
        <w:t xml:space="preserve">Ny </w:t>
      </w:r>
      <w:proofErr w:type="spellStart"/>
      <w:r w:rsidRPr="006D40F0">
        <w:t>ekomlov</w:t>
      </w:r>
      <w:proofErr w:type="spellEnd"/>
      <w:r w:rsidRPr="006D40F0">
        <w:t xml:space="preserve">, som </w:t>
      </w:r>
      <w:proofErr w:type="gramStart"/>
      <w:r w:rsidRPr="006D40F0">
        <w:t>implementerer</w:t>
      </w:r>
      <w:proofErr w:type="gramEnd"/>
      <w:r w:rsidRPr="006D40F0">
        <w:t xml:space="preserve"> felleseuropeisk regelverk, ble lagt frem for Stortinget 12. april, jf. Prop. LS 93 (2023–2024). Som følge av det nye regelverket vil det bli nødvendig å dekke kostnader til kontingent for norsk deltakelse i Body </w:t>
      </w:r>
      <w:proofErr w:type="spellStart"/>
      <w:r w:rsidRPr="006D40F0">
        <w:t>of</w:t>
      </w:r>
      <w:proofErr w:type="spellEnd"/>
      <w:r w:rsidRPr="006D40F0">
        <w:t xml:space="preserve"> European Regulators for Electronic </w:t>
      </w:r>
      <w:r w:rsidRPr="006D40F0">
        <w:lastRenderedPageBreak/>
        <w:t>Communications (BEREC). Dette er et viktig organ for Norges mulighet til å påvirke utviklingen og praktiseringen av det felleseuropeiske regelverket for elektronisk kommunikasjon. Nasjonal kommunikasjonsmyndighets medlemskap skal etter planen besluttes i juli, og etter opptak forfaller hele den årlige avgiften for inneværende år. Bevilgningen foreslås på den bakgrunn økt med 3,1 mill. kroner.</w:t>
      </w:r>
    </w:p>
    <w:p w14:paraId="56B2D6FC" w14:textId="77777777" w:rsidR="00575AC3" w:rsidRPr="006D40F0" w:rsidRDefault="00575AC3" w:rsidP="006D40F0">
      <w:r w:rsidRPr="006D40F0">
        <w:t xml:space="preserve">Samferdselsdepartementet vedtok 25. september 2023 å oppheve </w:t>
      </w:r>
      <w:proofErr w:type="spellStart"/>
      <w:r w:rsidRPr="006D40F0">
        <w:t>Nkoms</w:t>
      </w:r>
      <w:proofErr w:type="spellEnd"/>
      <w:r w:rsidRPr="006D40F0">
        <w:t xml:space="preserve"> vedtak om sektoravgifter for Posten Bring AS for årene 2018, 2019, 2020 og 2021. Vedtaket ble gjort ut fra vurderinger rundt </w:t>
      </w:r>
      <w:proofErr w:type="spellStart"/>
      <w:r w:rsidRPr="006D40F0">
        <w:t>Nkoms</w:t>
      </w:r>
      <w:proofErr w:type="spellEnd"/>
      <w:r w:rsidRPr="006D40F0">
        <w:t xml:space="preserve"> fordeling av sektoravgiften mellom tilbydere av posttjenester og hvilke tjenester som skal omfattes av grunnlaget for sektoravgift.</w:t>
      </w:r>
    </w:p>
    <w:p w14:paraId="25EE6714" w14:textId="77777777" w:rsidR="00575AC3" w:rsidRPr="006D40F0" w:rsidRDefault="00575AC3" w:rsidP="006D40F0">
      <w:r w:rsidRPr="006D40F0">
        <w:t xml:space="preserve">Opphevingen av vedtakene innebærer at </w:t>
      </w:r>
      <w:proofErr w:type="spellStart"/>
      <w:r w:rsidRPr="006D40F0">
        <w:t>Nkom</w:t>
      </w:r>
      <w:proofErr w:type="spellEnd"/>
      <w:r w:rsidRPr="006D40F0">
        <w:t xml:space="preserve"> må fordele sektoravgiften på nytt for alle tilbydere av posttjenester som har blitt pålagt sektoravgifter. På grunn av foreldelsesfrister og forvaltningslovens regler som forhindrer omgjøring av vedtak til ugunst, kan </w:t>
      </w:r>
      <w:proofErr w:type="spellStart"/>
      <w:r w:rsidRPr="006D40F0">
        <w:t>Nkom</w:t>
      </w:r>
      <w:proofErr w:type="spellEnd"/>
      <w:r w:rsidRPr="006D40F0">
        <w:t xml:space="preserve"> ikke kreve tilbake sektoravgifter fra de tilbyderne som har betalt for lite. </w:t>
      </w:r>
      <w:proofErr w:type="spellStart"/>
      <w:r w:rsidRPr="006D40F0">
        <w:t>Nkom</w:t>
      </w:r>
      <w:proofErr w:type="spellEnd"/>
      <w:r w:rsidRPr="006D40F0">
        <w:t xml:space="preserve"> må derimot betale tilbake til de tilbyderne som har betalt for mye. Samlet utgjør dette kravet 3,3 mill. kroner, og det foreslår å øke bevilgningen tilsvarende.</w:t>
      </w:r>
    </w:p>
    <w:p w14:paraId="45F52276" w14:textId="77777777" w:rsidR="00575AC3" w:rsidRPr="006D40F0" w:rsidRDefault="00575AC3" w:rsidP="006D40F0">
      <w:r w:rsidRPr="006D40F0">
        <w:t xml:space="preserve">Nasjonal kommunikasjonsmyndighet har ansvar knyttet til datasenterområdet, og vil i forbindelse med den nye </w:t>
      </w:r>
      <w:proofErr w:type="spellStart"/>
      <w:r w:rsidRPr="006D40F0">
        <w:t>ekomloven</w:t>
      </w:r>
      <w:proofErr w:type="spellEnd"/>
      <w:r w:rsidRPr="006D40F0">
        <w:t xml:space="preserve"> få et økt oppgaveomfang relatert til dette arbeidet, som blant annet omfatter tilsyn. Varig økt ressursbruk er anslått til tre årsverk. Det foreslås derfor en økning på 1,95 mill. kroner, tilsvarende halvårseffekten av de tre årsverkene, for arbeidet som skal gjøres i andre halvår 2024.</w:t>
      </w:r>
    </w:p>
    <w:p w14:paraId="6837EB8C" w14:textId="77777777" w:rsidR="00575AC3" w:rsidRPr="006D40F0" w:rsidRDefault="00575AC3" w:rsidP="006D40F0">
      <w:r w:rsidRPr="006D40F0">
        <w:t>Bevilgningen foreslås videre redusert med 7 mill. kroner, jf. forslag under kap. 5579, post 70 om å redusere inntektsbevilgningen på grunn av manglende lovhjemmel til å kreve inn sektoravgift for deler av arbeidet på datasenterområdet og sikkerhetsområdet.</w:t>
      </w:r>
    </w:p>
    <w:p w14:paraId="44543C2A" w14:textId="77777777" w:rsidR="00575AC3" w:rsidRPr="006D40F0" w:rsidRDefault="00575AC3" w:rsidP="006D40F0">
      <w:r w:rsidRPr="006D40F0">
        <w:t>Samlet foreslås det å øke bevilgningen med 1,3 mill. kroner, jf. også forslag under kap. 5579, post 70.</w:t>
      </w:r>
    </w:p>
    <w:p w14:paraId="6E94FD15" w14:textId="77777777" w:rsidR="00575AC3" w:rsidRPr="006D40F0" w:rsidRDefault="00575AC3" w:rsidP="006D40F0">
      <w:pPr>
        <w:pStyle w:val="b-post"/>
      </w:pPr>
      <w:r w:rsidRPr="006D40F0">
        <w:t>Post 71 Funksjonell internettilgang til alle, kan overføres</w:t>
      </w:r>
    </w:p>
    <w:p w14:paraId="64BE090F" w14:textId="77777777" w:rsidR="00575AC3" w:rsidRPr="006D40F0" w:rsidRDefault="00575AC3" w:rsidP="006D40F0">
      <w:r w:rsidRPr="006D40F0">
        <w:t>Bevilgningen skal gå til en egen tilskuddsordning som skal sikre mulighet for funksjonell internettilgang til husstander og små og mellomstore bedrifter som ellers ikke kan få slik tilgang gjennom markedsbasert utvikling eller gjennom eksisterende offentlige virkemidler. Digitaliserings- og forvaltningsdepartementet og Nasjonal kommunikasjonsmyndighet har arbeidet med å fastsette forskriften med tilskuddsregler. Det har oppstått en del praktiske utfordringer, blant annet knyttet til statsstøtteregelverk. Det har derfor tatt lengre tid enn forventet å etablere ordningen. Det foreslås på denne bakgrunn å redusere bevilgningen med 10 mill. kroner.</w:t>
      </w:r>
    </w:p>
    <w:p w14:paraId="696E7D28" w14:textId="77777777" w:rsidR="00575AC3" w:rsidRPr="006D40F0" w:rsidRDefault="00575AC3" w:rsidP="006D40F0">
      <w:pPr>
        <w:pStyle w:val="b-budkaptit"/>
      </w:pPr>
      <w:r w:rsidRPr="006D40F0">
        <w:t>Kap. 5579 Sektoravgifter under Digitaliserings- og forvaltningsdepartementet</w:t>
      </w:r>
    </w:p>
    <w:p w14:paraId="4EC45946" w14:textId="77777777" w:rsidR="00575AC3" w:rsidRPr="006D40F0" w:rsidRDefault="00575AC3" w:rsidP="006D40F0">
      <w:pPr>
        <w:pStyle w:val="b-post"/>
      </w:pPr>
      <w:r w:rsidRPr="006D40F0">
        <w:t>Post 70 Sektoravgifter Nasjonal kommunikasjonsmyndighet</w:t>
      </w:r>
    </w:p>
    <w:p w14:paraId="5DA1A1ED" w14:textId="77777777" w:rsidR="00575AC3" w:rsidRPr="006D40F0" w:rsidRDefault="00575AC3" w:rsidP="006D40F0">
      <w:r w:rsidRPr="006D40F0">
        <w:t>Nasjonal kommunikasjonsmyndighets utgifter på kap. 1543, postene 01 og 45 dekkes i hovedsak av inntekter fra sektoravgifter og gebyrer. I tillegg skal inntektene også dekke merverdiavgift som belastes sentralt på kap. 1633, post 01.</w:t>
      </w:r>
    </w:p>
    <w:p w14:paraId="1CCDF696" w14:textId="77777777" w:rsidR="00575AC3" w:rsidRPr="006D40F0" w:rsidRDefault="00575AC3" w:rsidP="006D40F0">
      <w:r w:rsidRPr="006D40F0">
        <w:lastRenderedPageBreak/>
        <w:t>Det er behov for å dekke kostnader til kontingenten for norsk deltakelse i BEREC og øke Nasjonal kommunikasjonsmyndighets kapasitet på datasenterområdet, jf. omtale under kap. 1543, post 01. Det foreslås derfor en økning på 5,05 mill. kroner.</w:t>
      </w:r>
    </w:p>
    <w:p w14:paraId="2479AB24" w14:textId="77777777" w:rsidR="00575AC3" w:rsidRPr="006D40F0" w:rsidRDefault="00575AC3" w:rsidP="006D40F0">
      <w:r w:rsidRPr="006D40F0">
        <w:t>På grunn av manglende lovhjemmel til å kreve inn sektoravgift for deler av arbeidet på datasenterområdet og sikkerhetsområdet kan Nasjonal kommunikasjonsmyndighet ikke kreve inn 100 pst. av inntektene som er bevilget på posten i år. Bevilgningen foreslås derfor redusert med 7,0 mill. kroner.</w:t>
      </w:r>
    </w:p>
    <w:p w14:paraId="6AA744F7" w14:textId="77777777" w:rsidR="00575AC3" w:rsidRPr="006D40F0" w:rsidRDefault="00575AC3" w:rsidP="006D40F0">
      <w:r w:rsidRPr="006D40F0">
        <w:t>Samlet foreslås det å redusere bevilgningen med 2,0 mill. kroner.</w:t>
      </w:r>
    </w:p>
    <w:p w14:paraId="2E0D9D1C" w14:textId="77777777" w:rsidR="00575AC3" w:rsidRPr="006D40F0" w:rsidRDefault="00575AC3" w:rsidP="006D40F0">
      <w:pPr>
        <w:pStyle w:val="b-budkaptit"/>
      </w:pPr>
      <w:r w:rsidRPr="006D40F0">
        <w:t xml:space="preserve">Kap. 1560 </w:t>
      </w:r>
      <w:proofErr w:type="spellStart"/>
      <w:r w:rsidRPr="006D40F0">
        <w:t>Tariffavtalte</w:t>
      </w:r>
      <w:proofErr w:type="spellEnd"/>
      <w:r w:rsidRPr="006D40F0">
        <w:t xml:space="preserve"> avsetninger mv.</w:t>
      </w:r>
    </w:p>
    <w:p w14:paraId="5B510BCB" w14:textId="77777777" w:rsidR="00575AC3" w:rsidRPr="006D40F0" w:rsidRDefault="00575AC3" w:rsidP="006D40F0">
      <w:pPr>
        <w:pStyle w:val="b-post"/>
      </w:pPr>
      <w:r w:rsidRPr="006D40F0">
        <w:t>Post 72 Pensjonskostnader tjenestemannsorganisasjonene</w:t>
      </w:r>
    </w:p>
    <w:p w14:paraId="4F3E55AB" w14:textId="77777777" w:rsidR="00575AC3" w:rsidRPr="006D40F0" w:rsidRDefault="00575AC3" w:rsidP="006D40F0">
      <w:r w:rsidRPr="006D40F0">
        <w:t xml:space="preserve">Virksomheter som er medlemmer i Statens pensjonskasse (SPK) skal betale en </w:t>
      </w:r>
      <w:proofErr w:type="spellStart"/>
      <w:r w:rsidRPr="006D40F0">
        <w:t>aktuarisk</w:t>
      </w:r>
      <w:proofErr w:type="spellEnd"/>
      <w:r w:rsidRPr="006D40F0">
        <w:t xml:space="preserve"> beregnet premie (arbeidsgiverandel), slik det gjøres i privat sektor.</w:t>
      </w:r>
    </w:p>
    <w:p w14:paraId="256962AE" w14:textId="77777777" w:rsidR="00575AC3" w:rsidRPr="006D40F0" w:rsidRDefault="00575AC3" w:rsidP="006D40F0">
      <w:r w:rsidRPr="006D40F0">
        <w:t>Tjenestemannsorganisasjonene betaler ikke arbeidsgiverandel for ansatte som har ulønnet permisjon fra statlig virksomhet for å ha verv eller være ansatt i en slik organisasjon. I samsvar med permisjonsavtalen betaler organisasjonene kun 2 pst. medlemsinnskudd. For å synliggjøre statens årlige bidrag til tjenestemannsorganisasjonene på pensjonsområdet, budsjetteres disse premiekostnadene på en egen post i statsbudsjettet. Posten inkluderer også arbeidsgiveravgift.</w:t>
      </w:r>
    </w:p>
    <w:p w14:paraId="56FB73B8" w14:textId="77777777" w:rsidR="00575AC3" w:rsidRPr="006D40F0" w:rsidRDefault="00575AC3" w:rsidP="006D40F0">
      <w:r w:rsidRPr="006D40F0">
        <w:t>SPK fakturerer utgiftene halvårlig og etterskuddsvis. For tjenestemannsorganisasjonene består premieprognosen for 2024 derfor av fakturert premie for 2. halvår 2023 og premieprognose for 1. halvår 2024. Som følge av endringer i medlemsbestanden og forutsetningen for vekst i grunnbeløpet (G) i folketrygden samt endring i lønnsvekstforutsetningen øker bevilgningsbehovet på posten. Det foreslås derfor å øke bevilgningen med 1,5 mill. kroner.</w:t>
      </w:r>
    </w:p>
    <w:p w14:paraId="079330C4" w14:textId="77777777" w:rsidR="00575AC3" w:rsidRPr="006D40F0" w:rsidRDefault="00575AC3" w:rsidP="006D40F0">
      <w:pPr>
        <w:pStyle w:val="b-budkaptit"/>
      </w:pPr>
      <w:r w:rsidRPr="006D40F0">
        <w:t>Kap. 1565 Boliglånsordningen i Statens pensjonskasse</w:t>
      </w:r>
    </w:p>
    <w:p w14:paraId="34C2774A" w14:textId="77777777" w:rsidR="00575AC3" w:rsidRPr="006D40F0" w:rsidRDefault="00575AC3" w:rsidP="006D40F0">
      <w:pPr>
        <w:pStyle w:val="b-post"/>
      </w:pPr>
      <w:r w:rsidRPr="006D40F0">
        <w:t>Post 01 Driftsutgifter</w:t>
      </w:r>
    </w:p>
    <w:p w14:paraId="2367328B" w14:textId="77777777" w:rsidR="00575AC3" w:rsidRPr="006D40F0" w:rsidRDefault="00575AC3" w:rsidP="006D40F0">
      <w:r w:rsidRPr="006D40F0">
        <w:t>Bevilgningen dekker kostnadene til SPK for å administrere boliglånsordningen. Administrasjonskostnadene anslås å utgjøre 57 mill. kroner i 2024, en økning på 5 mill. kroner fra saldert budsjett for 2024. Økningen skyldes at det legges til grunn at SPK skal behandle og utbetale flere lånesøknader samt en økning i samlet låneportefølje, jf. nærmere redegjørelse under kap. 1565, post 90. Det foreslås derfor å øke bevilgningen med 5 mill. kroner.</w:t>
      </w:r>
    </w:p>
    <w:p w14:paraId="490ABE1C" w14:textId="77777777" w:rsidR="00575AC3" w:rsidRPr="006D40F0" w:rsidRDefault="00575AC3" w:rsidP="006D40F0">
      <w:pPr>
        <w:pStyle w:val="b-post"/>
      </w:pPr>
      <w:r w:rsidRPr="006D40F0">
        <w:t>Post 90 Utlån, overslagsbevilgning</w:t>
      </w:r>
    </w:p>
    <w:p w14:paraId="3C2C1A2E" w14:textId="77777777" w:rsidR="00575AC3" w:rsidRPr="006D40F0" w:rsidRDefault="00575AC3" w:rsidP="006D40F0">
      <w:r w:rsidRPr="006D40F0">
        <w:t>Bevilgningen dekker forventet brutto utlån til boliglån i SPK, i tillegg til beregnede opptjente, ikke betalte renter på lånene. Som følge av at det legges til grunn flere utbetalte lån anslås det nå at utbetalte lån vil utgjøre 22 200 mill. kroner i 2024. Anslaget inkluderer 191 mill. kroner i beregnede opptjente renteinntekter ved utgangen av 2024. Det foreslås på denne bakgrunn å øke bevilgningen med 2 800 mill. kroner.</w:t>
      </w:r>
    </w:p>
    <w:p w14:paraId="02F520AB" w14:textId="77777777" w:rsidR="00575AC3" w:rsidRPr="006D40F0" w:rsidRDefault="00575AC3" w:rsidP="006D40F0">
      <w:pPr>
        <w:pStyle w:val="b-budkaptit"/>
      </w:pPr>
      <w:r w:rsidRPr="006D40F0">
        <w:lastRenderedPageBreak/>
        <w:t>Kap. 4565 Boliglånsordningen i Statens pensjonskasse</w:t>
      </w:r>
    </w:p>
    <w:p w14:paraId="10F2FE51" w14:textId="77777777" w:rsidR="00575AC3" w:rsidRPr="006D40F0" w:rsidRDefault="00575AC3" w:rsidP="006D40F0">
      <w:pPr>
        <w:pStyle w:val="b-post"/>
      </w:pPr>
      <w:r w:rsidRPr="006D40F0">
        <w:t>Post 01 Gebyrinntekter, lån</w:t>
      </w:r>
    </w:p>
    <w:p w14:paraId="551313C3" w14:textId="77777777" w:rsidR="00575AC3" w:rsidRPr="006D40F0" w:rsidRDefault="00575AC3" w:rsidP="006D40F0">
      <w:r w:rsidRPr="006D40F0">
        <w:t>Bevilgningen gjelder innbetaling av gebyrer fra låntakerne i boliglånsordningen i SPK i form av termingebyr, etableringsgebyr, purregebyr o.l. Som følge av at det legges til grunn flere utbetalte lån og en høyere utlånsportefølje enn i saldert budsjett for 2024, anslås gebyrinntektene å utgjøre 52 mill. kroner i 2024. Bevilgningen foreslås derfor økt med 5 mill. kroner, jf. kap. 1565, post 01.</w:t>
      </w:r>
    </w:p>
    <w:p w14:paraId="57EA025F" w14:textId="77777777" w:rsidR="00575AC3" w:rsidRPr="006D40F0" w:rsidRDefault="00575AC3" w:rsidP="006D40F0">
      <w:pPr>
        <w:pStyle w:val="b-post"/>
      </w:pPr>
      <w:r w:rsidRPr="006D40F0">
        <w:t>Post 90 Tilbakebetaling av lån</w:t>
      </w:r>
    </w:p>
    <w:p w14:paraId="4769CAE1" w14:textId="77777777" w:rsidR="00575AC3" w:rsidRPr="006D40F0" w:rsidRDefault="00575AC3" w:rsidP="006D40F0">
      <w:r w:rsidRPr="006D40F0">
        <w:t>Posten omfatter ordinære og ekstraordinære avdrag, innfrielser av boliglån og tilbakeføring av beregnet opptjente, men ikke betalte renteinntekter. På bakgrunn av utviklingen den siste tiden forventes det flere innfridde lån og en økning i gjennomsnittlig innfridd beløp sammenlignet med det som ble lagt til grunn i saldert budsjett for 2024.</w:t>
      </w:r>
    </w:p>
    <w:p w14:paraId="409907CF" w14:textId="77777777" w:rsidR="00575AC3" w:rsidRPr="006D40F0" w:rsidRDefault="00575AC3" w:rsidP="006D40F0">
      <w:r w:rsidRPr="006D40F0">
        <w:t>Samtidig forventes det en reduksjon i ordinære avdrag. Anslaget er basert på faktiske ordinære avdrag i 2023 samt at mange lånekunder ønsker avdragsfrihet på lånene. Ekstraordinære avdrag er ventet å øke basert på faktiske ekstraordinære avdrag i 2023 og hittil i 2024.</w:t>
      </w:r>
    </w:p>
    <w:p w14:paraId="49CD6385" w14:textId="77777777" w:rsidR="00575AC3" w:rsidRPr="006D40F0" w:rsidRDefault="00575AC3" w:rsidP="006D40F0">
      <w:r w:rsidRPr="006D40F0">
        <w:t>Det legges nå til grunn en innbetaling på 10 600 mill. kroner i 2024, inkludert 149 mill. kroner i tilbakeføring av beregnede opptjente renter ved inngangen til 2024. Det foreslås derfor å øke bevilgningen med 1 200 mill. kroner.</w:t>
      </w:r>
    </w:p>
    <w:p w14:paraId="676FBE8E" w14:textId="77777777" w:rsidR="00575AC3" w:rsidRPr="006D40F0" w:rsidRDefault="00575AC3" w:rsidP="006D40F0">
      <w:pPr>
        <w:pStyle w:val="b-budkaptit"/>
      </w:pPr>
      <w:r w:rsidRPr="006D40F0">
        <w:t>Kap. 5607 Renter av boliglånsordningen i Statens pensjonskasse</w:t>
      </w:r>
    </w:p>
    <w:p w14:paraId="44EE343D" w14:textId="77777777" w:rsidR="00575AC3" w:rsidRPr="006D40F0" w:rsidRDefault="00575AC3" w:rsidP="006D40F0">
      <w:pPr>
        <w:pStyle w:val="b-post"/>
      </w:pPr>
      <w:r w:rsidRPr="006D40F0">
        <w:t>Post 80 Renter</w:t>
      </w:r>
    </w:p>
    <w:p w14:paraId="0156DC29" w14:textId="77777777" w:rsidR="00575AC3" w:rsidRPr="006D40F0" w:rsidRDefault="00575AC3" w:rsidP="006D40F0">
      <w:r w:rsidRPr="006D40F0">
        <w:t>Bevilgningen gjelder renteinntekter og opptjente, ikke betalte renter knyttet til boliglånsordningen i Statens pensjonskasse. Låneporteføljen ved inngangen til 2024 var høyere enn det som ble forutsatt i saldert budsjett for 2024, og det forventes en høyere vekst i låneporteføljen gjennom 2024 jf. omtale under kap. 1565, post 90. På bakgrunn av dette foreslås det å øke bevilgningen med 871 mill. kroner.</w:t>
      </w:r>
    </w:p>
    <w:p w14:paraId="7C48B5C2" w14:textId="77777777" w:rsidR="00575AC3" w:rsidRPr="006D40F0" w:rsidRDefault="00575AC3" w:rsidP="006D40F0">
      <w:pPr>
        <w:pStyle w:val="b-budkaptit"/>
      </w:pPr>
      <w:r w:rsidRPr="006D40F0">
        <w:t>Kap. 1567 Gruppelivsforsikring</w:t>
      </w:r>
    </w:p>
    <w:p w14:paraId="0C71BB68" w14:textId="77777777" w:rsidR="00575AC3" w:rsidRPr="006D40F0" w:rsidRDefault="00575AC3" w:rsidP="006D40F0">
      <w:pPr>
        <w:pStyle w:val="b-post"/>
      </w:pPr>
      <w:r w:rsidRPr="006D40F0">
        <w:t>Post 01 Driftsutgifter, overslagsbevilgning</w:t>
      </w:r>
    </w:p>
    <w:p w14:paraId="022F4167" w14:textId="77777777" w:rsidR="00575AC3" w:rsidRPr="006D40F0" w:rsidRDefault="00575AC3" w:rsidP="006D40F0">
      <w:r w:rsidRPr="006D40F0">
        <w:t>Bevilgningen gjelder erstatningsutbetalinger og kostnader til å administrere gruppelivsordningen. Basert på erfaringstall for antall erstatningssaker og gjennomsnittlig erstatningsutbetaling samt økning i grunnbeløpet i folketrygden (G) legges det til grunn et bevilgningsbehov på 256 mill. kroner i 2024. Det foreslås derfor å øke bevilgningen med 16 mill. kroner.</w:t>
      </w:r>
    </w:p>
    <w:p w14:paraId="69ECBDDE" w14:textId="77777777" w:rsidR="00575AC3" w:rsidRPr="006D40F0" w:rsidRDefault="00575AC3" w:rsidP="006D40F0">
      <w:pPr>
        <w:pStyle w:val="Overskrift2"/>
      </w:pPr>
      <w:r w:rsidRPr="006D40F0">
        <w:lastRenderedPageBreak/>
        <w:t>Finansdepartementet</w:t>
      </w:r>
    </w:p>
    <w:p w14:paraId="3A3CE95C" w14:textId="77777777" w:rsidR="00575AC3" w:rsidRPr="006D40F0" w:rsidRDefault="00575AC3" w:rsidP="006D40F0">
      <w:pPr>
        <w:pStyle w:val="b-budkaptit"/>
      </w:pPr>
      <w:r w:rsidRPr="006D40F0">
        <w:t>Kap. 21 Statsrådet</w:t>
      </w:r>
    </w:p>
    <w:p w14:paraId="4DD134A1" w14:textId="77777777" w:rsidR="00575AC3" w:rsidRPr="006D40F0" w:rsidRDefault="00575AC3" w:rsidP="006D40F0">
      <w:pPr>
        <w:pStyle w:val="b-post"/>
      </w:pPr>
      <w:r w:rsidRPr="006D40F0">
        <w:t>Post 01 Driftsutgifter</w:t>
      </w:r>
    </w:p>
    <w:p w14:paraId="6DDCE5E5" w14:textId="77777777" w:rsidR="00575AC3" w:rsidRPr="006D40F0" w:rsidRDefault="00575AC3" w:rsidP="006D40F0">
      <w:r w:rsidRPr="006D40F0">
        <w:t>Stortinget vedtok 15. juni 2023 å øke godtgjørelsen til blant annet regjeringens medlemmer med virkning fra 1. mai 2023. Etter vanlig praksis justeres lønn til statssekretærer og statsrådenes politiske rådgivere tilsvarende. Merutgiftene i 2024 som følge av disse endringene er 5,3 mill. kroner.</w:t>
      </w:r>
    </w:p>
    <w:p w14:paraId="4E6C6120" w14:textId="77777777" w:rsidR="00575AC3" w:rsidRPr="006D40F0" w:rsidRDefault="00575AC3" w:rsidP="006D40F0">
      <w:r w:rsidRPr="006D40F0">
        <w:t>Regjeringen har hatt en stor økning i antall pendlere i politisk ledelse i løpet av 2023, dette øker kostnadene til pendlerboliger og hjemreiser. Det foreslås å øke bevilgningen med 6,7 mill. kroner på grunn av økte kostnader til pendlerboliger og hjemreiser, samt andre økte reisekostnader for politisk ledelse i departementene.</w:t>
      </w:r>
    </w:p>
    <w:p w14:paraId="2ED6E7DC" w14:textId="77777777" w:rsidR="00575AC3" w:rsidRPr="006D40F0" w:rsidRDefault="00575AC3" w:rsidP="006D40F0">
      <w:r w:rsidRPr="006D40F0">
        <w:t>Samlet foreslås det å øke bevilgningen på kap. 21, post 01 med 12 mill. kroner.</w:t>
      </w:r>
    </w:p>
    <w:p w14:paraId="0589B798" w14:textId="77777777" w:rsidR="00575AC3" w:rsidRPr="006D40F0" w:rsidRDefault="00575AC3" w:rsidP="006D40F0">
      <w:pPr>
        <w:pStyle w:val="b-budkaptit"/>
      </w:pPr>
      <w:r w:rsidRPr="006D40F0">
        <w:t>Kap. 24 Regjeringsadvokaten</w:t>
      </w:r>
    </w:p>
    <w:p w14:paraId="0F54FF70" w14:textId="77777777" w:rsidR="00575AC3" w:rsidRPr="006D40F0" w:rsidRDefault="00575AC3" w:rsidP="006D40F0">
      <w:pPr>
        <w:pStyle w:val="b-post"/>
      </w:pPr>
      <w:r w:rsidRPr="006D40F0">
        <w:t>Post 01 Driftsutgifter</w:t>
      </w:r>
    </w:p>
    <w:p w14:paraId="4AD82E86" w14:textId="77777777" w:rsidR="00575AC3" w:rsidRPr="006D40F0" w:rsidRDefault="00575AC3" w:rsidP="006D40F0">
      <w:r w:rsidRPr="006D40F0">
        <w:t>Bevilgningen foreslås økt med 3,8 mill. kroner i forbindelse med at Regjeringsadvokaten flytter til nye lokaler. Beløpet gjelder nødvendige og uforutsette engangsutgifter i forbindelse med selve flytteprosessen.</w:t>
      </w:r>
    </w:p>
    <w:p w14:paraId="627DA56B" w14:textId="77777777" w:rsidR="00575AC3" w:rsidRPr="006D40F0" w:rsidRDefault="00575AC3" w:rsidP="006D40F0">
      <w:pPr>
        <w:pStyle w:val="b-budkaptit"/>
      </w:pPr>
      <w:r w:rsidRPr="006D40F0">
        <w:t>Kap. 41 Stortinget</w:t>
      </w:r>
    </w:p>
    <w:p w14:paraId="093FD271" w14:textId="77777777" w:rsidR="00575AC3" w:rsidRPr="006D40F0" w:rsidRDefault="00575AC3" w:rsidP="006D40F0">
      <w:pPr>
        <w:pStyle w:val="b-post"/>
      </w:pPr>
      <w:r w:rsidRPr="006D40F0">
        <w:t>Post 21 Spesielle driftsutgifter, kan overføres</w:t>
      </w:r>
    </w:p>
    <w:p w14:paraId="7078E0FC" w14:textId="77777777" w:rsidR="00575AC3" w:rsidRPr="006D40F0" w:rsidRDefault="00575AC3" w:rsidP="006D40F0">
      <w:r w:rsidRPr="006D40F0">
        <w:t>Riksrevisjonsutvalget har brukt noe lenger tid enn opprinnelig planlagt. Dette har medført økte utgifter og det foreslås derfor å øke bevilgningen med 0,6 mill. kroner.</w:t>
      </w:r>
    </w:p>
    <w:p w14:paraId="685C1CA1" w14:textId="77777777" w:rsidR="00575AC3" w:rsidRPr="006D40F0" w:rsidRDefault="00575AC3" w:rsidP="006D40F0">
      <w:pPr>
        <w:pStyle w:val="b-post"/>
      </w:pPr>
      <w:r w:rsidRPr="006D40F0">
        <w:t>Post 74 Reisetilskudd til skoler</w:t>
      </w:r>
    </w:p>
    <w:p w14:paraId="30C33AB6" w14:textId="77777777" w:rsidR="00575AC3" w:rsidRPr="006D40F0" w:rsidRDefault="00575AC3" w:rsidP="006D40F0">
      <w:r w:rsidRPr="006D40F0">
        <w:t>Stortingets presidentskap har vedtatt at egenandelen for skoleklasser som besøker Stortinget skal bortfalle. Det foreslås derfor at bevilgningen på posten økes med 0,5 mill. kroner.</w:t>
      </w:r>
    </w:p>
    <w:p w14:paraId="4CB01303" w14:textId="77777777" w:rsidR="00575AC3" w:rsidRPr="006D40F0" w:rsidRDefault="00575AC3" w:rsidP="006D40F0">
      <w:pPr>
        <w:pStyle w:val="b-budkaptit"/>
      </w:pPr>
      <w:r w:rsidRPr="006D40F0">
        <w:t>Kap. 45 Norges institusjon for menneskerettigheter</w:t>
      </w:r>
    </w:p>
    <w:p w14:paraId="19D62B17" w14:textId="77777777" w:rsidR="00575AC3" w:rsidRPr="006D40F0" w:rsidRDefault="00575AC3" w:rsidP="006D40F0">
      <w:pPr>
        <w:pStyle w:val="b-post"/>
      </w:pPr>
      <w:r w:rsidRPr="006D40F0">
        <w:t>Post 01 Driftsutgifter</w:t>
      </w:r>
    </w:p>
    <w:p w14:paraId="483FD265" w14:textId="77777777" w:rsidR="00575AC3" w:rsidRPr="006D40F0" w:rsidRDefault="00575AC3" w:rsidP="006D40F0">
      <w:r w:rsidRPr="006D40F0">
        <w:t>Det foreslås å øke bevilgningen med 0,8 mill. kroner. Økningen er knyttet til lønnskompensasjon for uvanlig mange foreldrepermisjoner, samt rekrutteringskostnader.</w:t>
      </w:r>
    </w:p>
    <w:p w14:paraId="537739A4" w14:textId="77777777" w:rsidR="00575AC3" w:rsidRPr="006D40F0" w:rsidRDefault="00575AC3" w:rsidP="006D40F0">
      <w:pPr>
        <w:pStyle w:val="b-budkaptit"/>
      </w:pPr>
      <w:r w:rsidRPr="006D40F0">
        <w:lastRenderedPageBreak/>
        <w:t>Kap. 1600 Finansdepartementet</w:t>
      </w:r>
    </w:p>
    <w:p w14:paraId="1FEB3753" w14:textId="77777777" w:rsidR="00575AC3" w:rsidRPr="006D40F0" w:rsidRDefault="00575AC3" w:rsidP="006D40F0">
      <w:pPr>
        <w:pStyle w:val="b-post"/>
      </w:pPr>
      <w:r w:rsidRPr="006D40F0">
        <w:t>Post 21 Spesielle driftsutgifter, kan overføres</w:t>
      </w:r>
    </w:p>
    <w:p w14:paraId="1DB63077" w14:textId="77777777" w:rsidR="00575AC3" w:rsidRPr="006D40F0" w:rsidRDefault="00575AC3" w:rsidP="006D40F0">
      <w:r w:rsidRPr="006D40F0">
        <w:t>Det foreslås å redusere bevilgningen på posten med 2 mill. kroner for å dekke uforutsette merutgifter under andre kapitler. Inndekningen muliggjøres blant annet av lavere kapasitet til gjennomføring av prosjekter og utredninger enn tidligere lagt til grunn.</w:t>
      </w:r>
    </w:p>
    <w:p w14:paraId="716DF961" w14:textId="77777777" w:rsidR="00575AC3" w:rsidRPr="006D40F0" w:rsidRDefault="00575AC3" w:rsidP="006D40F0">
      <w:r w:rsidRPr="006D40F0">
        <w:t>Bevilgningen foreslås i tillegg økt med 0,7 mill. kroner, mot tilsvarende reduksjon på kap. 1618, post 50, til forskningsprosjekt om etterlevelseseffekter av administrative sanksjoner og straff.</w:t>
      </w:r>
    </w:p>
    <w:p w14:paraId="2304E844" w14:textId="77777777" w:rsidR="00575AC3" w:rsidRPr="006D40F0" w:rsidRDefault="00575AC3" w:rsidP="006D40F0">
      <w:r w:rsidRPr="006D40F0">
        <w:t>Samlet foreslås det å redusere bevilgningen på kap. 1600, post 21 med 1,3 mill. kroner.</w:t>
      </w:r>
    </w:p>
    <w:p w14:paraId="0E4F2D15" w14:textId="77777777" w:rsidR="00575AC3" w:rsidRPr="006D40F0" w:rsidRDefault="00575AC3" w:rsidP="006D40F0">
      <w:pPr>
        <w:pStyle w:val="b-post"/>
      </w:pPr>
      <w:r w:rsidRPr="006D40F0">
        <w:t>Post 95 (Ny) Kapitalinnskudd Statens fond i Tromsø</w:t>
      </w:r>
    </w:p>
    <w:p w14:paraId="0E8130D6" w14:textId="77777777" w:rsidR="00575AC3" w:rsidRPr="006D40F0" w:rsidRDefault="00575AC3" w:rsidP="006D40F0">
      <w:r w:rsidRPr="006D40F0">
        <w:t>Regjeringen legger opp til at et nytt statlig fond, Statens fond i Tromsø, skal etableres med en forvaltningskapital på 15 mrd. kroner. Målet med investeringene skal være høyest mulig avkastning til akseptabel risiko.</w:t>
      </w:r>
    </w:p>
    <w:p w14:paraId="0D3B29AF" w14:textId="77777777" w:rsidR="00575AC3" w:rsidRPr="006D40F0" w:rsidRDefault="00575AC3" w:rsidP="006D40F0">
      <w:r w:rsidRPr="006D40F0">
        <w:t xml:space="preserve">Det legges opp til at fondet får et investeringsunivers bestående av børsnoterte selskaper i Norge og Norden, og at finansieringen skal skje ved opptak av statslån. Fondet skal investeres i børsnoterte selskaper, og har begrensninger på eierandelene i enkeltselskaper. Statens innskudd i fondet budsjetteres derfor på 90-post og finansieres ved statlig låneopptak. Se </w:t>
      </w:r>
      <w:proofErr w:type="gramStart"/>
      <w:r w:rsidRPr="006D40F0">
        <w:t>for øvrig</w:t>
      </w:r>
      <w:proofErr w:type="gramEnd"/>
      <w:r w:rsidRPr="006D40F0">
        <w:t xml:space="preserve"> omtale i Meld. St. 2 (2023–2024) </w:t>
      </w:r>
      <w:r w:rsidRPr="00575AC3">
        <w:rPr>
          <w:rStyle w:val="kursiv"/>
        </w:rPr>
        <w:t>Revidert nasjonalbudsjett 2024</w:t>
      </w:r>
      <w:r w:rsidRPr="006D40F0">
        <w:t>.</w:t>
      </w:r>
    </w:p>
    <w:p w14:paraId="31BACAEF" w14:textId="77777777" w:rsidR="00575AC3" w:rsidRPr="006D40F0" w:rsidRDefault="00575AC3" w:rsidP="006D40F0">
      <w:r w:rsidRPr="006D40F0">
        <w:t>På denne bakgrunn foreslås det at det bevilges 15 mrd. kroner på kap. 1600, post 95.</w:t>
      </w:r>
    </w:p>
    <w:p w14:paraId="6607FAAE" w14:textId="77777777" w:rsidR="00575AC3" w:rsidRPr="006D40F0" w:rsidRDefault="00575AC3" w:rsidP="006D40F0">
      <w:pPr>
        <w:pStyle w:val="b-budkaptit"/>
      </w:pPr>
      <w:r w:rsidRPr="006D40F0">
        <w:t>Kap. 1605 Direktoratet for forvaltning og økonomistyring</w:t>
      </w:r>
    </w:p>
    <w:p w14:paraId="5B28C677" w14:textId="77777777" w:rsidR="00575AC3" w:rsidRPr="006D40F0" w:rsidRDefault="00575AC3" w:rsidP="006D40F0">
      <w:pPr>
        <w:pStyle w:val="b-post"/>
      </w:pPr>
      <w:r w:rsidRPr="006D40F0">
        <w:t>Post 01 Driftsutgifter</w:t>
      </w:r>
    </w:p>
    <w:p w14:paraId="4652BA97" w14:textId="77777777" w:rsidR="00575AC3" w:rsidRPr="006D40F0" w:rsidRDefault="00575AC3" w:rsidP="006D40F0">
      <w:pPr>
        <w:pStyle w:val="avsnitt-undertittel"/>
      </w:pPr>
      <w:r w:rsidRPr="006D40F0">
        <w:t xml:space="preserve">Avvikling av </w:t>
      </w:r>
      <w:proofErr w:type="spellStart"/>
      <w:r w:rsidRPr="006D40F0">
        <w:t>StartOff</w:t>
      </w:r>
      <w:proofErr w:type="spellEnd"/>
    </w:p>
    <w:p w14:paraId="6ECD1A41" w14:textId="77777777" w:rsidR="00575AC3" w:rsidRPr="006D40F0" w:rsidRDefault="00575AC3" w:rsidP="006D40F0">
      <w:r w:rsidRPr="006D40F0">
        <w:t xml:space="preserve">Det ble i forbindelse med statsbudsjettet for 2024 vedtatt å avvikle ordningen </w:t>
      </w:r>
      <w:proofErr w:type="spellStart"/>
      <w:r w:rsidRPr="006D40F0">
        <w:t>StartOff</w:t>
      </w:r>
      <w:proofErr w:type="spellEnd"/>
      <w:r w:rsidRPr="006D40F0">
        <w:t xml:space="preserve">. Det gjenstår forpliktelser på 1 mill. kroner i 2024 overfor oppdragsgiverne i prosjektet. Det foreslås derfor å øke bevilgningen med 1 mill. kroner i 2024 slik at DFØ kan innfri disse forpliktelsene i forbindelse med avviklingen av </w:t>
      </w:r>
      <w:proofErr w:type="spellStart"/>
      <w:r w:rsidRPr="006D40F0">
        <w:t>StartOff</w:t>
      </w:r>
      <w:proofErr w:type="spellEnd"/>
      <w:r w:rsidRPr="006D40F0">
        <w:t>.</w:t>
      </w:r>
    </w:p>
    <w:p w14:paraId="4D7522ED" w14:textId="77777777" w:rsidR="00575AC3" w:rsidRPr="006D40F0" w:rsidRDefault="00575AC3" w:rsidP="006D40F0">
      <w:pPr>
        <w:pStyle w:val="avsnitt-undertittel"/>
      </w:pPr>
      <w:r w:rsidRPr="006D40F0">
        <w:t>Betalingskort</w:t>
      </w:r>
    </w:p>
    <w:p w14:paraId="21C9CCEB" w14:textId="77777777" w:rsidR="00575AC3" w:rsidRPr="006D40F0" w:rsidRDefault="00575AC3" w:rsidP="006D40F0">
      <w:r w:rsidRPr="006D40F0">
        <w:t>DFØ fikk i 2020 i samarbeid med DNB etablert en løsning for å sikre lovpålagte statlige utbetalinger til personer uten bankkonto. Det har de siste årene vært en stor økning i antall utstedte kort. Det har ført til merutgifter i DFØ, og det foreslås derfor å øke bevilgningen med 3,5 mill. kroner til drift av løsningen i 2024. Varige økte driftskostnader er 5,1 mill. kroner fra 2025.</w:t>
      </w:r>
    </w:p>
    <w:p w14:paraId="55C71FA6" w14:textId="77777777" w:rsidR="00575AC3" w:rsidRPr="006D40F0" w:rsidRDefault="00575AC3" w:rsidP="006D40F0">
      <w:pPr>
        <w:pStyle w:val="avsnitt-undertittel"/>
      </w:pPr>
      <w:r w:rsidRPr="006D40F0">
        <w:lastRenderedPageBreak/>
        <w:t>Økonomitjenester</w:t>
      </w:r>
    </w:p>
    <w:p w14:paraId="5315F9B2" w14:textId="77777777" w:rsidR="00575AC3" w:rsidRPr="006D40F0" w:rsidRDefault="00575AC3" w:rsidP="006D40F0">
      <w:r w:rsidRPr="006D40F0">
        <w:t xml:space="preserve">Det foreslås å øke bevilgningen på posten med 110 mill. kroner mot en tilsvarende inntektsøkning på kap. 4605, post 01. Dette fordi både antall kunder av </w:t>
      </w:r>
      <w:proofErr w:type="spellStart"/>
      <w:r w:rsidRPr="006D40F0">
        <w:t>DFØs</w:t>
      </w:r>
      <w:proofErr w:type="spellEnd"/>
      <w:r w:rsidRPr="006D40F0">
        <w:t xml:space="preserve"> økonomitjenester og antall tilleggstjenester har økt de siste årene, noe som øker både utgiftene og inntektene til DFØ.</w:t>
      </w:r>
    </w:p>
    <w:p w14:paraId="0D190C11" w14:textId="77777777" w:rsidR="00575AC3" w:rsidRPr="006D40F0" w:rsidRDefault="00575AC3" w:rsidP="006D40F0">
      <w:pPr>
        <w:pStyle w:val="avsnitt-undertittel"/>
      </w:pPr>
      <w:r w:rsidRPr="006D40F0">
        <w:t>Oppsummering</w:t>
      </w:r>
    </w:p>
    <w:p w14:paraId="14F098F5" w14:textId="77777777" w:rsidR="00575AC3" w:rsidRPr="006D40F0" w:rsidRDefault="00575AC3" w:rsidP="006D40F0">
      <w:r w:rsidRPr="006D40F0">
        <w:t>Samlet foreslås det å øke bevilgningen på kap. 1605, post 01 med 114,5 mill. kroner.</w:t>
      </w:r>
    </w:p>
    <w:p w14:paraId="6D28ABFE" w14:textId="77777777" w:rsidR="00575AC3" w:rsidRPr="006D40F0" w:rsidRDefault="00575AC3" w:rsidP="006D40F0">
      <w:pPr>
        <w:pStyle w:val="b-budkaptit"/>
      </w:pPr>
      <w:r w:rsidRPr="006D40F0">
        <w:t>Kap. 4605 Direktoratet for forvaltning og økonomistyring</w:t>
      </w:r>
    </w:p>
    <w:p w14:paraId="4C5B29EE" w14:textId="77777777" w:rsidR="00575AC3" w:rsidRPr="006D40F0" w:rsidRDefault="00575AC3" w:rsidP="006D40F0">
      <w:pPr>
        <w:pStyle w:val="b-post"/>
      </w:pPr>
      <w:r w:rsidRPr="006D40F0">
        <w:t>Post 01 Økonomitjenester og andre driftsinntekter</w:t>
      </w:r>
    </w:p>
    <w:p w14:paraId="606476A3" w14:textId="77777777" w:rsidR="00575AC3" w:rsidRPr="006D40F0" w:rsidRDefault="00575AC3" w:rsidP="006D40F0">
      <w:r w:rsidRPr="006D40F0">
        <w:t>Det foreslås å øke bevilgningen på posten med 110 mill. kroner mot en tilsvarende økning på kap. 1605, post 01. Se nærmere omtale over.</w:t>
      </w:r>
    </w:p>
    <w:p w14:paraId="092829A1" w14:textId="77777777" w:rsidR="00575AC3" w:rsidRPr="006D40F0" w:rsidRDefault="00575AC3" w:rsidP="006D40F0">
      <w:pPr>
        <w:pStyle w:val="b-budkaptit"/>
      </w:pPr>
      <w:r w:rsidRPr="006D40F0">
        <w:t>Kap. 1610 Tolletaten</w:t>
      </w:r>
    </w:p>
    <w:p w14:paraId="64D1B3DE" w14:textId="77777777" w:rsidR="00575AC3" w:rsidRPr="006D40F0" w:rsidRDefault="00575AC3" w:rsidP="006D40F0">
      <w:pPr>
        <w:pStyle w:val="b-post"/>
      </w:pPr>
      <w:r w:rsidRPr="006D40F0">
        <w:t>Post 01 Driftsutgifter</w:t>
      </w:r>
    </w:p>
    <w:p w14:paraId="5BEE3632" w14:textId="77777777" w:rsidR="00575AC3" w:rsidRPr="006D40F0" w:rsidRDefault="00575AC3" w:rsidP="006D40F0">
      <w:pPr>
        <w:pStyle w:val="avsnitt-undertittel"/>
      </w:pPr>
      <w:r w:rsidRPr="006D40F0">
        <w:t>Forsinkelser av NCTS-5</w:t>
      </w:r>
    </w:p>
    <w:p w14:paraId="5CA2013E" w14:textId="77777777" w:rsidR="00575AC3" w:rsidRPr="006D40F0" w:rsidRDefault="00575AC3" w:rsidP="006D40F0">
      <w:r w:rsidRPr="006D40F0">
        <w:t>Det foreslås å øke bevilgningene til Tolletaten med 3,5 mill. kroner grunnet forsinkelser hos leverandør av programvare og hos EU ved innføringen av NCTS-5 (internasjonalt elektronisk transitteringssystem). Dette medfører merkostnader hos Tolletaten da de må forlenge sin prosjektperiode. Det foreslås derfor å øke bevilgningen på posten med 3,5 mill. kroner der 2 mill. kroner av de økte kostandene dekkes av omdisponeringer fra kap. 1600, post 21.</w:t>
      </w:r>
    </w:p>
    <w:p w14:paraId="4E1682A3" w14:textId="77777777" w:rsidR="00575AC3" w:rsidRPr="006D40F0" w:rsidRDefault="00575AC3" w:rsidP="006D40F0">
      <w:pPr>
        <w:pStyle w:val="avsnitt-undertittel"/>
      </w:pPr>
      <w:r w:rsidRPr="006D40F0">
        <w:t>Handels- og økonomisk partnerskapsavtale mellom EFTA-statene og India</w:t>
      </w:r>
    </w:p>
    <w:p w14:paraId="509E7C42" w14:textId="77777777" w:rsidR="00575AC3" w:rsidRPr="006D40F0" w:rsidRDefault="00575AC3" w:rsidP="006D40F0">
      <w:r w:rsidRPr="006D40F0">
        <w:t xml:space="preserve">Nærings- og fiskeridepartementet har på vegne av Norge deltatt i </w:t>
      </w:r>
      <w:proofErr w:type="spellStart"/>
      <w:r w:rsidRPr="006D40F0">
        <w:t>EFTAs</w:t>
      </w:r>
      <w:proofErr w:type="spellEnd"/>
      <w:r w:rsidRPr="006D40F0">
        <w:t xml:space="preserve"> handelsforhandlinger med India. Forhandlingene er nå ferdigstilt. Partene er enige om at norske opprinnelseserklæringer (opprinnelsesbevis under frihandelsavtalen) skal kunne autentiseres i sanntid. Tolletaten vil bli ansvarlig for å etablere en slik autorisasjonsløsning. Dette medfører en merutgift for Tolletaten, og det foreslås derfor å bevilge 8 mill. kroner til å dekke investeringene i 2024. Varige driftskostnader er anslått til 1 mill. kroner fra 2025.</w:t>
      </w:r>
    </w:p>
    <w:p w14:paraId="6B11D008" w14:textId="77777777" w:rsidR="00575AC3" w:rsidRPr="006D40F0" w:rsidRDefault="00575AC3" w:rsidP="006D40F0">
      <w:pPr>
        <w:pStyle w:val="avsnitt-undertittel"/>
      </w:pPr>
      <w:r w:rsidRPr="006D40F0">
        <w:t>Økt kontroll – bekjempelse av narkotikasmugling</w:t>
      </w:r>
    </w:p>
    <w:p w14:paraId="2566BDDE" w14:textId="77777777" w:rsidR="00575AC3" w:rsidRPr="006D40F0" w:rsidRDefault="00575AC3" w:rsidP="006D40F0">
      <w:r w:rsidRPr="006D40F0">
        <w:t xml:space="preserve">Narkotikahandelen utgjør en betydelig trussel for både Norge og resten av Europa. Tolletaten har en viktig rolle i bekjempelsen av narkotikasmugling. Regjeringen foreslår derfor å bevilge 118 mill. kroner til Tolletaten, spesielt rettet mot økt bekjempelse av narkotikasmugling. Styrkingen innebærer økt bemanning til kontroll, økt satsing på kontroll med skips- og containertrafikk, herunder anskaffelse av nye skannere og båter, og anskaffelse av annet nødvendig kontrollutstyr. Tolletaten vil med dette kunne sette i gang anskaffelse av skannerne som trenger å fornyes i Oslo, Brevik og på Ørje og deretter utvide skannertjenesten til Nord-Norge og Vestlandet. Utskifting og anskaffelse av nye skannere innebærer store investeringer som vil gjennomføres over </w:t>
      </w:r>
      <w:r w:rsidRPr="006D40F0">
        <w:lastRenderedPageBreak/>
        <w:t>flere år. Det foreslås å øke bevilgning på posten med 68 mill. kroner. Bevilgningen på post 45 foreslås økt med 50 mill. kroner, se nærmere omtale under. Helårsvirkningen av tiltaket er 200 mill. kroner.</w:t>
      </w:r>
    </w:p>
    <w:p w14:paraId="718EA3F8" w14:textId="77777777" w:rsidR="00575AC3" w:rsidRPr="006D40F0" w:rsidRDefault="00575AC3" w:rsidP="006D40F0">
      <w:pPr>
        <w:pStyle w:val="avsnitt-undertittel"/>
      </w:pPr>
      <w:r w:rsidRPr="006D40F0">
        <w:t>Oppsummering</w:t>
      </w:r>
    </w:p>
    <w:p w14:paraId="08355563" w14:textId="77777777" w:rsidR="00575AC3" w:rsidRPr="006D40F0" w:rsidRDefault="00575AC3" w:rsidP="006D40F0">
      <w:r w:rsidRPr="006D40F0">
        <w:t>Samlet foreslås det å øke bevilgningen på kap. 1610, post 01, med 79,5 mill. kroner.</w:t>
      </w:r>
    </w:p>
    <w:p w14:paraId="011966D9" w14:textId="77777777" w:rsidR="00575AC3" w:rsidRPr="006D40F0" w:rsidRDefault="00575AC3" w:rsidP="006D40F0">
      <w:pPr>
        <w:pStyle w:val="b-post"/>
      </w:pPr>
      <w:r w:rsidRPr="006D40F0">
        <w:t>Post 45 Større utstyrsanskaffelser og vedlikehold, kan overføres</w:t>
      </w:r>
    </w:p>
    <w:p w14:paraId="468B48EE" w14:textId="77777777" w:rsidR="00575AC3" w:rsidRPr="006D40F0" w:rsidRDefault="00575AC3" w:rsidP="006D40F0">
      <w:r w:rsidRPr="006D40F0">
        <w:t>Det foreslås å øke bevilgningen på posten med 50 mill. kroner til satsing på økt kontrollkapasitet i Tolletaten. Se nærmere omtale under post 01.</w:t>
      </w:r>
    </w:p>
    <w:p w14:paraId="6879B1D8" w14:textId="77777777" w:rsidR="00575AC3" w:rsidRPr="006D40F0" w:rsidRDefault="00575AC3" w:rsidP="006D40F0">
      <w:pPr>
        <w:pStyle w:val="b-budkaptit"/>
      </w:pPr>
      <w:r w:rsidRPr="006D40F0">
        <w:t>Kap. 4610 Tolletaten</w:t>
      </w:r>
    </w:p>
    <w:p w14:paraId="1FA8998A" w14:textId="77777777" w:rsidR="00575AC3" w:rsidRPr="006D40F0" w:rsidRDefault="00575AC3" w:rsidP="006D40F0">
      <w:pPr>
        <w:pStyle w:val="b-post"/>
      </w:pPr>
      <w:r w:rsidRPr="006D40F0">
        <w:t>Post 01 Særskilt vederlag for tolltjenester</w:t>
      </w:r>
    </w:p>
    <w:p w14:paraId="22171675" w14:textId="77777777" w:rsidR="00575AC3" w:rsidRPr="006D40F0" w:rsidRDefault="00575AC3" w:rsidP="006D40F0">
      <w:r w:rsidRPr="006D40F0">
        <w:t>Posten består av privatrekvirert overtid og ekspedisjonsgebyr. Det foreslås å redusere bevilgningen på posten med 1,5 mill. kroner, hovedsakelig på grunn av nedleggelse og andre endringer i ferjeruter.</w:t>
      </w:r>
    </w:p>
    <w:p w14:paraId="6AC53961" w14:textId="77777777" w:rsidR="00575AC3" w:rsidRPr="006D40F0" w:rsidRDefault="00575AC3" w:rsidP="006D40F0">
      <w:pPr>
        <w:pStyle w:val="b-budkaptit"/>
      </w:pPr>
      <w:r w:rsidRPr="006D40F0">
        <w:t>Kap. 1618 Skatteetaten</w:t>
      </w:r>
    </w:p>
    <w:p w14:paraId="2B3724E4" w14:textId="77777777" w:rsidR="00575AC3" w:rsidRPr="006D40F0" w:rsidRDefault="00575AC3" w:rsidP="006D40F0">
      <w:pPr>
        <w:pStyle w:val="b-post"/>
      </w:pPr>
      <w:r w:rsidRPr="006D40F0">
        <w:t>Post 01 Driftsutgifter</w:t>
      </w:r>
    </w:p>
    <w:p w14:paraId="7D8F12F8" w14:textId="77777777" w:rsidR="00575AC3" w:rsidRPr="006D40F0" w:rsidRDefault="00575AC3" w:rsidP="006D40F0">
      <w:pPr>
        <w:pStyle w:val="avsnitt-undertittel"/>
      </w:pPr>
      <w:r w:rsidRPr="006D40F0">
        <w:t>Regelverksendringer i skatte- og avgiftsopplegget</w:t>
      </w:r>
    </w:p>
    <w:p w14:paraId="74D7B39E" w14:textId="77777777" w:rsidR="00575AC3" w:rsidRPr="006D40F0" w:rsidRDefault="00575AC3" w:rsidP="006D40F0">
      <w:r w:rsidRPr="006D40F0">
        <w:t>Det er i 2023-budsjettet lagt opp til flere endringer i skatte- og avgiftsopplegget knyttet til petroleumsvirksomhet, vannkraftproduksjon, landbasert vindkraft og havbruksnæringen. Det lå til grunn at Skatteetaten skulle bli kompensert for utgifter for regelverksendringene. Regelverksendringene er kompliserte og omfattende, og det har vært vanskelig å beregne de administrative konsekvensene. Det viser seg nå at det er behov for mer omfattende systemutvikling i Skatteetaten enn først antatt. Det foreslås derfor å øke bevilgningen på posten med 54,3 mill. kroner for å møte behovet i 2024. Videre vil det være en merkostnad i 2025 på 31 mill. kroner og en varig økning på 3 mill. kroner fra 2026.</w:t>
      </w:r>
    </w:p>
    <w:p w14:paraId="1212BA99" w14:textId="77777777" w:rsidR="00575AC3" w:rsidRPr="006D40F0" w:rsidRDefault="00575AC3" w:rsidP="006D40F0">
      <w:pPr>
        <w:pStyle w:val="avsnitt-undertittel"/>
      </w:pPr>
      <w:r w:rsidRPr="006D40F0">
        <w:t>Bruttoføring av refusjoner fra andre etater</w:t>
      </w:r>
    </w:p>
    <w:p w14:paraId="738D3F58" w14:textId="77777777" w:rsidR="00575AC3" w:rsidRPr="006D40F0" w:rsidRDefault="00575AC3" w:rsidP="006D40F0">
      <w:r w:rsidRPr="006D40F0">
        <w:t>Det foreslås å øke bevilgningen på posten med 33,2 mill. kroner, mot en tilsvarende økning på kap. 4618, post 03. Begrunnelsen er en endring fra nettoføring til bruttoføring av refusjoner fra andre etater. Se omtale under.</w:t>
      </w:r>
    </w:p>
    <w:p w14:paraId="0CC402EA" w14:textId="77777777" w:rsidR="00575AC3" w:rsidRPr="006D40F0" w:rsidRDefault="00575AC3" w:rsidP="006D40F0">
      <w:pPr>
        <w:pStyle w:val="avsnitt-undertittel"/>
      </w:pPr>
      <w:r w:rsidRPr="006D40F0">
        <w:t>Oppsummering</w:t>
      </w:r>
    </w:p>
    <w:p w14:paraId="56B08CDE" w14:textId="77777777" w:rsidR="00575AC3" w:rsidRPr="006D40F0" w:rsidRDefault="00575AC3" w:rsidP="006D40F0">
      <w:r w:rsidRPr="006D40F0">
        <w:t>Samlet foreslås det å øke bevilgningen på kap. 1618, post 01, med 87,5 mill. kroner.</w:t>
      </w:r>
    </w:p>
    <w:p w14:paraId="4E1913E3" w14:textId="77777777" w:rsidR="00575AC3" w:rsidRPr="006D40F0" w:rsidRDefault="00575AC3" w:rsidP="006D40F0">
      <w:pPr>
        <w:pStyle w:val="b-post"/>
      </w:pPr>
      <w:r w:rsidRPr="006D40F0">
        <w:lastRenderedPageBreak/>
        <w:t>Post 21 Spesielle driftsutgifter</w:t>
      </w:r>
    </w:p>
    <w:p w14:paraId="331CD33E" w14:textId="77777777" w:rsidR="00575AC3" w:rsidRPr="006D40F0" w:rsidRDefault="00575AC3" w:rsidP="006D40F0">
      <w:r w:rsidRPr="006D40F0">
        <w:t>Det foreslås å redusere bevilgningen med 65,6 mill. kroner. Hovedårsaken til redusert behov er omlegging av avskrivingskonto for tvangsmulkt knyttet til skatteinnkreving, jf. behandling av Prop. 33 S (2022–2023) og opprettinger som følge av dette.</w:t>
      </w:r>
    </w:p>
    <w:p w14:paraId="73E0BAF3" w14:textId="77777777" w:rsidR="00575AC3" w:rsidRPr="006D40F0" w:rsidRDefault="00575AC3" w:rsidP="006D40F0">
      <w:pPr>
        <w:pStyle w:val="b-post"/>
      </w:pPr>
      <w:r w:rsidRPr="006D40F0">
        <w:t>Post 22 Større IT-prosjekter, kan overføres</w:t>
      </w:r>
    </w:p>
    <w:p w14:paraId="0F70FCC8" w14:textId="77777777" w:rsidR="00575AC3" w:rsidRPr="006D40F0" w:rsidRDefault="00575AC3" w:rsidP="006D40F0">
      <w:pPr>
        <w:pStyle w:val="avsnitt-undertittel"/>
      </w:pPr>
      <w:r w:rsidRPr="006D40F0">
        <w:t>Fremtidens innkreving</w:t>
      </w:r>
    </w:p>
    <w:p w14:paraId="7C9E4BE9" w14:textId="77777777" w:rsidR="00575AC3" w:rsidRPr="006D40F0" w:rsidRDefault="00575AC3" w:rsidP="006D40F0">
      <w:r w:rsidRPr="006D40F0">
        <w:t>Det foreslås å redusere bevilgningen på posten med 50 mill. kroner, mot en tilsvarende økning i 2025-2026, grunnet forskyvninger i fremdriften i prosjektet Fremtidens innkreving. Reduksjonen påvirker ikke kostnadsrammen til prosjektet.</w:t>
      </w:r>
    </w:p>
    <w:p w14:paraId="5FD31FE1" w14:textId="77777777" w:rsidR="00575AC3" w:rsidRPr="006D40F0" w:rsidRDefault="00575AC3" w:rsidP="006D40F0">
      <w:pPr>
        <w:pStyle w:val="avsnitt-undertittel"/>
      </w:pPr>
      <w:r w:rsidRPr="006D40F0">
        <w:t xml:space="preserve">Nye </w:t>
      </w:r>
      <w:proofErr w:type="spellStart"/>
      <w:r w:rsidRPr="006D40F0">
        <w:t>Altinn</w:t>
      </w:r>
      <w:proofErr w:type="spellEnd"/>
    </w:p>
    <w:p w14:paraId="417AECDB" w14:textId="77777777" w:rsidR="00575AC3" w:rsidRPr="006D40F0" w:rsidRDefault="00575AC3" w:rsidP="006D40F0">
      <w:r w:rsidRPr="006D40F0">
        <w:t xml:space="preserve">Det foreslås å øke bevilgningen på posten med 70,8 mill. kroner til arbeidet med Nye </w:t>
      </w:r>
      <w:proofErr w:type="spellStart"/>
      <w:r w:rsidRPr="006D40F0">
        <w:t>Altinn</w:t>
      </w:r>
      <w:proofErr w:type="spellEnd"/>
      <w:r w:rsidRPr="006D40F0">
        <w:t xml:space="preserve"> i Skatteetaten. Det er allerede satt av 90 mill. kroner til Skatteetaten til arbeidet i 2024. Bevilgningen skal dekke Skatteetatens utgifter til utvikling og reetablering av tjenester i den nye plattformen. Det vises til nærmere omtale under kap. 1543, post 23 under Digitaliserings- og forvaltningsdepartementet.</w:t>
      </w:r>
    </w:p>
    <w:p w14:paraId="23DD598A" w14:textId="77777777" w:rsidR="00575AC3" w:rsidRPr="006D40F0" w:rsidRDefault="00575AC3" w:rsidP="006D40F0">
      <w:pPr>
        <w:pStyle w:val="avsnitt-undertittel"/>
      </w:pPr>
      <w:r w:rsidRPr="006D40F0">
        <w:t>Oppsummering</w:t>
      </w:r>
    </w:p>
    <w:p w14:paraId="7DC0BDA6" w14:textId="77777777" w:rsidR="00575AC3" w:rsidRPr="006D40F0" w:rsidRDefault="00575AC3" w:rsidP="006D40F0">
      <w:r w:rsidRPr="006D40F0">
        <w:t>Samlet foreslås det å øke bevilgningen på kap. 1618, post 22 med 20,8 mill. kroner.</w:t>
      </w:r>
    </w:p>
    <w:p w14:paraId="6638842F" w14:textId="77777777" w:rsidR="00575AC3" w:rsidRPr="006D40F0" w:rsidRDefault="00575AC3" w:rsidP="006D40F0">
      <w:pPr>
        <w:pStyle w:val="b-post"/>
      </w:pPr>
      <w:r w:rsidRPr="006D40F0">
        <w:t xml:space="preserve">Post 50 Skatte- og </w:t>
      </w:r>
      <w:proofErr w:type="spellStart"/>
      <w:r w:rsidRPr="006D40F0">
        <w:t>avgiftsforskning</w:t>
      </w:r>
      <w:proofErr w:type="spellEnd"/>
    </w:p>
    <w:p w14:paraId="2133FB15" w14:textId="77777777" w:rsidR="00575AC3" w:rsidRPr="006D40F0" w:rsidRDefault="00575AC3" w:rsidP="006D40F0">
      <w:r w:rsidRPr="006D40F0">
        <w:t>Det foreslås å redusere bevilgningen på posten med 0,7 mill. kroner for å tilpasse til behov for inngåtte avtaler. Midlene foreslås omprioritert til kap. 1600, post 21 der de skal benyttes til forskningsprosjekt om etterlevelseseffekter av administrative sanksjoner og straff.</w:t>
      </w:r>
    </w:p>
    <w:p w14:paraId="62341FB5" w14:textId="77777777" w:rsidR="00575AC3" w:rsidRPr="006D40F0" w:rsidRDefault="00575AC3" w:rsidP="006D40F0">
      <w:pPr>
        <w:pStyle w:val="b-budkaptit"/>
      </w:pPr>
      <w:r w:rsidRPr="006D40F0">
        <w:t>Kap. 4618 Skatteetaten</w:t>
      </w:r>
    </w:p>
    <w:p w14:paraId="04B13CBF" w14:textId="77777777" w:rsidR="00575AC3" w:rsidRPr="006D40F0" w:rsidRDefault="00575AC3" w:rsidP="006D40F0">
      <w:pPr>
        <w:pStyle w:val="b-post"/>
      </w:pPr>
      <w:r w:rsidRPr="006D40F0">
        <w:t>Post 01 Refunderte utleggs- og tinglysingsgebyr</w:t>
      </w:r>
    </w:p>
    <w:p w14:paraId="1E7424A2" w14:textId="77777777" w:rsidR="00575AC3" w:rsidRPr="006D40F0" w:rsidRDefault="00575AC3" w:rsidP="006D40F0">
      <w:r w:rsidRPr="006D40F0">
        <w:t>På grunnlag av regnskapsutviklingen foreslås bevilgningen på posten redusert med 6 mill. kroner.</w:t>
      </w:r>
    </w:p>
    <w:p w14:paraId="68AE2BFF" w14:textId="77777777" w:rsidR="00575AC3" w:rsidRPr="006D40F0" w:rsidRDefault="00575AC3" w:rsidP="006D40F0">
      <w:pPr>
        <w:pStyle w:val="b-post"/>
      </w:pPr>
      <w:r w:rsidRPr="006D40F0">
        <w:t>Post 03 Andre inntekter</w:t>
      </w:r>
    </w:p>
    <w:p w14:paraId="7CDACAF9" w14:textId="77777777" w:rsidR="00575AC3" w:rsidRPr="006D40F0" w:rsidRDefault="00575AC3" w:rsidP="006D40F0">
      <w:r w:rsidRPr="006D40F0">
        <w:t>Tidligere har refusjoner fra andre etater for utlegg Skatteetaten har i forbindelse med trykkeoppdrag etaten gjør for andre etater, blitt nettoført med både utgifter og inntekter på kap. 1618, post 01. Etter en juridisk vurdering har Skatteetaten konkludert med at dette ikke er i tråd med økonomiregelverket og at inntektene må føres på en inntektspost. Det foreslår derfor å øke bevilgningen på posten med 33,2 mill. kroner, mot en tilsvarende økning på kap. 1618, post 01.</w:t>
      </w:r>
    </w:p>
    <w:p w14:paraId="70A99D87" w14:textId="77777777" w:rsidR="00575AC3" w:rsidRPr="006D40F0" w:rsidRDefault="00575AC3" w:rsidP="006D40F0">
      <w:pPr>
        <w:pStyle w:val="b-post"/>
      </w:pPr>
      <w:r w:rsidRPr="006D40F0">
        <w:lastRenderedPageBreak/>
        <w:t>Post 05 Gebyr for utleggsforretninger</w:t>
      </w:r>
    </w:p>
    <w:p w14:paraId="360D339D" w14:textId="77777777" w:rsidR="00575AC3" w:rsidRPr="006D40F0" w:rsidRDefault="00575AC3" w:rsidP="006D40F0">
      <w:r w:rsidRPr="006D40F0">
        <w:t>På grunnlag av regnskapsutviklingen foreslås bevilgningen på posten redusert med 15 mill. kroner.</w:t>
      </w:r>
    </w:p>
    <w:p w14:paraId="3381D358" w14:textId="77777777" w:rsidR="00575AC3" w:rsidRPr="006D40F0" w:rsidRDefault="00575AC3" w:rsidP="006D40F0">
      <w:pPr>
        <w:pStyle w:val="b-post"/>
      </w:pPr>
      <w:r w:rsidRPr="006D40F0">
        <w:t>Post 86 Bøter, inndragninger mv.</w:t>
      </w:r>
    </w:p>
    <w:p w14:paraId="1695B17C" w14:textId="77777777" w:rsidR="00575AC3" w:rsidRPr="006D40F0" w:rsidRDefault="00575AC3" w:rsidP="006D40F0">
      <w:r w:rsidRPr="006D40F0">
        <w:t>Inntektene på posten styres i vesentlig grad av aktiviteter og avgjørelser i politiet, påtalemyndigheten og domstolene. På grunnlag av regnskapsutviklingen foreslås bevilgningen på posten økt med 150 mill. kroner.</w:t>
      </w:r>
    </w:p>
    <w:p w14:paraId="07C6A5B6" w14:textId="77777777" w:rsidR="00575AC3" w:rsidRPr="006D40F0" w:rsidRDefault="00575AC3" w:rsidP="006D40F0">
      <w:pPr>
        <w:pStyle w:val="b-budkaptit"/>
      </w:pPr>
      <w:r w:rsidRPr="006D40F0">
        <w:t>Kap. 1620 Statistisk sentralbyrå</w:t>
      </w:r>
    </w:p>
    <w:p w14:paraId="6ACFEB6A" w14:textId="77777777" w:rsidR="00575AC3" w:rsidRPr="006D40F0" w:rsidRDefault="00575AC3" w:rsidP="006D40F0">
      <w:pPr>
        <w:pStyle w:val="b-post"/>
      </w:pPr>
      <w:r w:rsidRPr="006D40F0">
        <w:t>Post 01 Driftsutgifter</w:t>
      </w:r>
    </w:p>
    <w:p w14:paraId="45873978" w14:textId="77777777" w:rsidR="00575AC3" w:rsidRPr="006D40F0" w:rsidRDefault="00575AC3" w:rsidP="006D40F0">
      <w:pPr>
        <w:pStyle w:val="avsnitt-undertittel"/>
      </w:pPr>
      <w:r w:rsidRPr="006D40F0">
        <w:t>FoU-statistikken</w:t>
      </w:r>
    </w:p>
    <w:p w14:paraId="6FB48316" w14:textId="77777777" w:rsidR="00575AC3" w:rsidRPr="006D40F0" w:rsidRDefault="00575AC3" w:rsidP="006D40F0">
      <w:r w:rsidRPr="006D40F0">
        <w:t>Det foreslås å øke bevilgningen med 1,8 mill. kroner mot en tilsvarende reduksjon under Nærings- og fiskeridepartementet kap. 920, post 50. Endringen skyldes flytting av midler til FoU-statistikken.</w:t>
      </w:r>
    </w:p>
    <w:p w14:paraId="7B15E2AB" w14:textId="77777777" w:rsidR="00575AC3" w:rsidRPr="006D40F0" w:rsidRDefault="00575AC3" w:rsidP="006D40F0">
      <w:pPr>
        <w:pStyle w:val="avsnitt-undertittel"/>
      </w:pPr>
      <w:r w:rsidRPr="006D40F0">
        <w:t>Sirius</w:t>
      </w:r>
    </w:p>
    <w:p w14:paraId="11A5A7BF" w14:textId="77777777" w:rsidR="00575AC3" w:rsidRPr="006D40F0" w:rsidRDefault="00575AC3" w:rsidP="006D40F0">
      <w:r w:rsidRPr="006D40F0">
        <w:t>Prosjektet Sirius i Skatteetaten ferdigstilles i 2024. Omleggingen i Skatteetaten fører til store endringer i SSB, og vil medføre økte driftskostnader i SSB. Det foreslås derfor å øke bevilgningen til SSB med 2,3 mill. kroner i 2024.</w:t>
      </w:r>
    </w:p>
    <w:p w14:paraId="1B20F3F9" w14:textId="77777777" w:rsidR="00575AC3" w:rsidRPr="006D40F0" w:rsidRDefault="00575AC3" w:rsidP="006D40F0">
      <w:pPr>
        <w:pStyle w:val="avsnitt-undertittel"/>
      </w:pPr>
      <w:r w:rsidRPr="006D40F0">
        <w:t xml:space="preserve">Nye </w:t>
      </w:r>
      <w:proofErr w:type="spellStart"/>
      <w:r w:rsidRPr="006D40F0">
        <w:t>Altinn</w:t>
      </w:r>
      <w:proofErr w:type="spellEnd"/>
    </w:p>
    <w:p w14:paraId="5A3C6A07" w14:textId="77777777" w:rsidR="00575AC3" w:rsidRPr="006D40F0" w:rsidRDefault="00575AC3" w:rsidP="006D40F0">
      <w:r w:rsidRPr="006D40F0">
        <w:t xml:space="preserve">Det foreslås å øke bevilgningen på posten med 5,6 mill. kroner til arbeidet med Nye </w:t>
      </w:r>
      <w:proofErr w:type="spellStart"/>
      <w:r w:rsidRPr="006D40F0">
        <w:t>Altinn</w:t>
      </w:r>
      <w:proofErr w:type="spellEnd"/>
      <w:r w:rsidRPr="006D40F0">
        <w:t xml:space="preserve"> i SBB. Det er allerede satt av 10 mill. kroner til Skatteetaten til arbeidet i 2024. Bevilgningen skal dekke SSBs utgifter til utvikling og reetablering av tjenester i den nye plattformen. Det vises til nærmere omtale under kap. 1543, post 23 under Digitaliserings- og forvaltningsdepartementet.</w:t>
      </w:r>
    </w:p>
    <w:p w14:paraId="5ABC6ED3" w14:textId="77777777" w:rsidR="00575AC3" w:rsidRPr="006D40F0" w:rsidRDefault="00575AC3" w:rsidP="006D40F0">
      <w:pPr>
        <w:pStyle w:val="avsnitt-undertittel"/>
      </w:pPr>
      <w:r w:rsidRPr="006D40F0">
        <w:t>Oppsummering</w:t>
      </w:r>
    </w:p>
    <w:p w14:paraId="09F47E28" w14:textId="77777777" w:rsidR="00575AC3" w:rsidRPr="006D40F0" w:rsidRDefault="00575AC3" w:rsidP="006D40F0">
      <w:r w:rsidRPr="006D40F0">
        <w:t>Samlet foreslås det å øke bevilgningen på kap. 1620, post 01 med 9,7 mill. kroner.</w:t>
      </w:r>
    </w:p>
    <w:p w14:paraId="03986E6C" w14:textId="77777777" w:rsidR="00575AC3" w:rsidRPr="006D40F0" w:rsidRDefault="00575AC3" w:rsidP="006D40F0">
      <w:pPr>
        <w:pStyle w:val="b-budkaptit"/>
      </w:pPr>
      <w:r w:rsidRPr="006D40F0">
        <w:t>Kap. 1645 Statlig garantiordning for lån til små og mellomstore bedrifter</w:t>
      </w:r>
    </w:p>
    <w:p w14:paraId="09D0C6F5" w14:textId="77777777" w:rsidR="00575AC3" w:rsidRPr="006D40F0" w:rsidRDefault="00575AC3" w:rsidP="006D40F0">
      <w:pPr>
        <w:pStyle w:val="b-post"/>
      </w:pPr>
      <w:r w:rsidRPr="006D40F0">
        <w:t>Post 23 Spesielle driftsutgifter til administrasjon av statlig garantiordning for små og mellomstore bedrifter</w:t>
      </w:r>
    </w:p>
    <w:p w14:paraId="296D4E71" w14:textId="77777777" w:rsidR="00575AC3" w:rsidRPr="006D40F0" w:rsidRDefault="00575AC3" w:rsidP="006D40F0">
      <w:r w:rsidRPr="006D40F0">
        <w:t xml:space="preserve">Våren 2020 ble det etablert en garantiordning for lån til små og mellomstore virksomheter for å avhjelpe virkningene av koronapandemien. Eksportfinansiering Norge (Eksfin) følger opp ordningen. Ordningen har vært stengt for nye lån siden juni 2022. Siden de garanterte lånene kan ha en løpetid på inntil seks år (i særlige tilfeller også lenger enn seks år), vil Eksfin ha enkelte </w:t>
      </w:r>
      <w:r w:rsidRPr="006D40F0">
        <w:lastRenderedPageBreak/>
        <w:t>administrasjonsoppgaver knyttet til ordningen i hvert fall frem til 2028. Eksfin har også ansvar for andre ordninger, og det foreslås å flytte ansvaret for garantiordningen til Nærings- og fiskeridepartementet slik at de har ansvar for alle ordningene under Eksfin. I den forbindelse foreslås det å flytte bevilgningen på 5,3 mill. kroner fra kap. 1645, post 23 under Finansdepartementet til kap. 900, post 23 under Nærings- og fiskeridepartementet.</w:t>
      </w:r>
    </w:p>
    <w:p w14:paraId="616709AF" w14:textId="77777777" w:rsidR="00575AC3" w:rsidRPr="006D40F0" w:rsidRDefault="00575AC3" w:rsidP="006D40F0">
      <w:pPr>
        <w:pStyle w:val="b-budkaptit"/>
      </w:pPr>
      <w:r w:rsidRPr="006D40F0">
        <w:t>Kap. 4645 Statlig garantiordning for lån til små og mellomstore bedrifter</w:t>
      </w:r>
    </w:p>
    <w:p w14:paraId="48EB6719" w14:textId="77777777" w:rsidR="00575AC3" w:rsidRPr="006D40F0" w:rsidRDefault="00575AC3" w:rsidP="006D40F0">
      <w:pPr>
        <w:pStyle w:val="b-post"/>
      </w:pPr>
      <w:r w:rsidRPr="006D40F0">
        <w:t>Post 50 (Ny) Tilbakeføring av tapsavsetning for statlig garantiordning for lån til små og mellomstore bedrifter</w:t>
      </w:r>
    </w:p>
    <w:p w14:paraId="09DF12D6" w14:textId="77777777" w:rsidR="00575AC3" w:rsidRPr="006D40F0" w:rsidRDefault="00575AC3" w:rsidP="006D40F0">
      <w:r w:rsidRPr="006D40F0">
        <w:t>Ved opprettelsen av garantiordningen for lån til små og mellomstore bedrifter i 2020 ble det satt av en tapsavsetning på 10 mrd. kroner. Ved utgangen av 2023 er gjenstående tapsavsetning på 9,5 mrd. kroner. Garantiordningen er stengt for nye lån, og av garantirammen på 50 mrd. kroner utgjorde statens ansvar om lag 3,4 mrd. kroner ved utgangen av 2023. Det er lagt til grunn en tapsavsetning på 20 pst. av garantirammen, noe som tilsier at avsetningen nå kan reduseres vesentlig. En avsetning på 2,5 mrd. kroner vurderes som tilstrekkelig nå, gitt usikkerheten i låneporteføljen. Det foreslås derfor å tilbakeføre 7 mrd. kroner av tapsavsetningen gjennom inntektsføring på kap. 4645, post 50. Den resterende tapsavsetningen vil teknisk overføres til Nærings- og fiskeridepartementet når ansvaret for ordningen flyttes, jf. omtale under kap. 1645, post 23.</w:t>
      </w:r>
    </w:p>
    <w:p w14:paraId="4DE24CAB" w14:textId="77777777" w:rsidR="00575AC3" w:rsidRPr="006D40F0" w:rsidRDefault="00575AC3" w:rsidP="006D40F0">
      <w:pPr>
        <w:pStyle w:val="b-budkaptit"/>
      </w:pPr>
      <w:r w:rsidRPr="006D40F0">
        <w:t>Kap. 1650 Statsgjeld, renter mv.</w:t>
      </w:r>
    </w:p>
    <w:p w14:paraId="7DA42D69" w14:textId="77777777" w:rsidR="00575AC3" w:rsidRPr="006D40F0" w:rsidRDefault="00575AC3" w:rsidP="006D40F0">
      <w:pPr>
        <w:pStyle w:val="b-post"/>
      </w:pPr>
      <w:r w:rsidRPr="006D40F0">
        <w:t>Post 89 Renter og provisjon mv. på innenlandsk statsgjeld, overslagsbevilgning</w:t>
      </w:r>
    </w:p>
    <w:p w14:paraId="1E6F0790" w14:textId="77777777" w:rsidR="00575AC3" w:rsidRPr="006D40F0" w:rsidRDefault="00575AC3" w:rsidP="006D40F0">
      <w:r w:rsidRPr="006D40F0">
        <w:t>Bevilgningsbehovet på posten er usikkert og varierer med størrelsen på og sammensetningen av statsgjelden samt endringer i rentenivået. Bevilgningen på posten foreslås økt med 1 520,8 mill. kroner til 13 975 mill. kroner. Hovedårsaken til endringen er økte renter.</w:t>
      </w:r>
    </w:p>
    <w:p w14:paraId="2481E0E0" w14:textId="77777777" w:rsidR="00575AC3" w:rsidRDefault="00575AC3" w:rsidP="006D40F0">
      <w:r w:rsidRPr="006D40F0">
        <w:t>I tabellen for posten i Prop. 1 S (2023–2024) var tallene for underpostene ved en feil byttet om. Korrekte tall for underpostene, inkludert bevilgningsendringene omtalt over, er som vist i tabellen under.</w:t>
      </w:r>
    </w:p>
    <w:p w14:paraId="6D214ADA" w14:textId="314171D3" w:rsidR="00265CE1" w:rsidRPr="006D40F0" w:rsidRDefault="00265CE1" w:rsidP="00265CE1">
      <w:pPr>
        <w:pStyle w:val="tabell-tittel"/>
      </w:pPr>
      <w:r w:rsidRPr="006D40F0">
        <w:t>Underpostfordeling for kap. 1650, post 89</w:t>
      </w:r>
    </w:p>
    <w:p w14:paraId="259CC8BE" w14:textId="77777777" w:rsidR="00575AC3" w:rsidRPr="006D40F0" w:rsidRDefault="00575AC3" w:rsidP="006D40F0">
      <w:pPr>
        <w:pStyle w:val="Tabellnavn"/>
      </w:pPr>
      <w:r w:rsidRPr="006D40F0">
        <w:t>05J2xt2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20"/>
        <w:gridCol w:w="4080"/>
        <w:gridCol w:w="1420"/>
        <w:gridCol w:w="1460"/>
        <w:gridCol w:w="1140"/>
      </w:tblGrid>
      <w:tr w:rsidR="00DD49A7" w:rsidRPr="006D40F0" w14:paraId="4725CB85" w14:textId="77777777">
        <w:trPr>
          <w:trHeight w:val="360"/>
        </w:trPr>
        <w:tc>
          <w:tcPr>
            <w:tcW w:w="1420" w:type="dxa"/>
            <w:tcBorders>
              <w:top w:val="nil"/>
              <w:left w:val="nil"/>
              <w:bottom w:val="single" w:sz="4" w:space="0" w:color="000000"/>
              <w:right w:val="nil"/>
            </w:tcBorders>
            <w:tcMar>
              <w:top w:w="128" w:type="dxa"/>
              <w:left w:w="43" w:type="dxa"/>
              <w:bottom w:w="43" w:type="dxa"/>
              <w:right w:w="43" w:type="dxa"/>
            </w:tcMar>
            <w:vAlign w:val="bottom"/>
          </w:tcPr>
          <w:p w14:paraId="367ED4FC" w14:textId="77777777" w:rsidR="00575AC3" w:rsidRPr="006D40F0" w:rsidRDefault="00575AC3" w:rsidP="006D40F0"/>
        </w:tc>
        <w:tc>
          <w:tcPr>
            <w:tcW w:w="4080" w:type="dxa"/>
            <w:tcBorders>
              <w:top w:val="nil"/>
              <w:left w:val="nil"/>
              <w:bottom w:val="single" w:sz="4" w:space="0" w:color="000000"/>
              <w:right w:val="nil"/>
            </w:tcBorders>
            <w:tcMar>
              <w:top w:w="128" w:type="dxa"/>
              <w:left w:w="43" w:type="dxa"/>
              <w:bottom w:w="43" w:type="dxa"/>
              <w:right w:w="43" w:type="dxa"/>
            </w:tcMar>
            <w:vAlign w:val="bottom"/>
          </w:tcPr>
          <w:p w14:paraId="3ABD946D" w14:textId="77777777" w:rsidR="00575AC3" w:rsidRPr="006D40F0" w:rsidRDefault="00575AC3" w:rsidP="006D40F0"/>
        </w:tc>
        <w:tc>
          <w:tcPr>
            <w:tcW w:w="4020" w:type="dxa"/>
            <w:gridSpan w:val="3"/>
            <w:tcBorders>
              <w:top w:val="nil"/>
              <w:left w:val="nil"/>
              <w:bottom w:val="single" w:sz="4" w:space="0" w:color="000000"/>
              <w:right w:val="nil"/>
            </w:tcBorders>
            <w:tcMar>
              <w:top w:w="128" w:type="dxa"/>
              <w:left w:w="43" w:type="dxa"/>
              <w:bottom w:w="43" w:type="dxa"/>
              <w:right w:w="43" w:type="dxa"/>
            </w:tcMar>
            <w:vAlign w:val="bottom"/>
          </w:tcPr>
          <w:p w14:paraId="15F3DB03" w14:textId="77777777" w:rsidR="00575AC3" w:rsidRPr="006D40F0" w:rsidRDefault="00575AC3" w:rsidP="006D40F0">
            <w:r w:rsidRPr="006D40F0">
              <w:t>(mill. kroner)</w:t>
            </w:r>
          </w:p>
        </w:tc>
      </w:tr>
      <w:tr w:rsidR="00DD49A7" w:rsidRPr="006D40F0" w14:paraId="011C80AA" w14:textId="77777777">
        <w:trPr>
          <w:trHeight w:val="600"/>
        </w:trPr>
        <w:tc>
          <w:tcPr>
            <w:tcW w:w="1420" w:type="dxa"/>
            <w:tcBorders>
              <w:top w:val="nil"/>
              <w:left w:val="nil"/>
              <w:bottom w:val="single" w:sz="4" w:space="0" w:color="000000"/>
              <w:right w:val="nil"/>
            </w:tcBorders>
            <w:tcMar>
              <w:top w:w="128" w:type="dxa"/>
              <w:left w:w="43" w:type="dxa"/>
              <w:bottom w:w="43" w:type="dxa"/>
              <w:right w:w="43" w:type="dxa"/>
            </w:tcMar>
            <w:vAlign w:val="bottom"/>
          </w:tcPr>
          <w:p w14:paraId="0FFD8775" w14:textId="77777777" w:rsidR="00575AC3" w:rsidRPr="006D40F0" w:rsidRDefault="00575AC3" w:rsidP="006D40F0">
            <w:r w:rsidRPr="006D40F0">
              <w:t>Underpost</w:t>
            </w:r>
          </w:p>
        </w:tc>
        <w:tc>
          <w:tcPr>
            <w:tcW w:w="4080" w:type="dxa"/>
            <w:tcBorders>
              <w:top w:val="nil"/>
              <w:left w:val="nil"/>
              <w:bottom w:val="single" w:sz="4" w:space="0" w:color="000000"/>
              <w:right w:val="nil"/>
            </w:tcBorders>
            <w:tcMar>
              <w:top w:w="128" w:type="dxa"/>
              <w:left w:w="43" w:type="dxa"/>
              <w:bottom w:w="43" w:type="dxa"/>
              <w:right w:w="43" w:type="dxa"/>
            </w:tcMar>
            <w:vAlign w:val="bottom"/>
          </w:tcPr>
          <w:p w14:paraId="0C425AB0" w14:textId="77777777" w:rsidR="00575AC3" w:rsidRPr="006D40F0" w:rsidRDefault="00575AC3" w:rsidP="006D40F0">
            <w:r w:rsidRPr="006D40F0">
              <w:t>Underpostnavn</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689DDAD7" w14:textId="77777777" w:rsidR="00575AC3" w:rsidRPr="006D40F0" w:rsidRDefault="00575AC3" w:rsidP="006D40F0">
            <w:r w:rsidRPr="006D40F0">
              <w:t>Regnskap 2023</w:t>
            </w:r>
            <w:r w:rsidRPr="006D40F0">
              <w:rPr>
                <w:rStyle w:val="skrift-hevet"/>
              </w:rPr>
              <w:t>1</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0AE16032" w14:textId="77777777" w:rsidR="00575AC3" w:rsidRPr="006D40F0" w:rsidRDefault="00575AC3" w:rsidP="006D40F0">
            <w:r w:rsidRPr="006D40F0">
              <w:t>Saldert budsjett 2024</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3341BD6" w14:textId="77777777" w:rsidR="00575AC3" w:rsidRPr="006D40F0" w:rsidRDefault="00575AC3" w:rsidP="006D40F0">
            <w:r w:rsidRPr="006D40F0">
              <w:t>Forslag 2024</w:t>
            </w:r>
          </w:p>
        </w:tc>
      </w:tr>
      <w:tr w:rsidR="00DD49A7" w:rsidRPr="006D40F0" w14:paraId="36391429" w14:textId="77777777">
        <w:trPr>
          <w:trHeight w:val="380"/>
        </w:trPr>
        <w:tc>
          <w:tcPr>
            <w:tcW w:w="1420" w:type="dxa"/>
            <w:tcBorders>
              <w:top w:val="single" w:sz="4" w:space="0" w:color="000000"/>
              <w:left w:val="nil"/>
              <w:bottom w:val="nil"/>
              <w:right w:val="nil"/>
            </w:tcBorders>
            <w:tcMar>
              <w:top w:w="128" w:type="dxa"/>
              <w:left w:w="43" w:type="dxa"/>
              <w:bottom w:w="43" w:type="dxa"/>
              <w:right w:w="43" w:type="dxa"/>
            </w:tcMar>
          </w:tcPr>
          <w:p w14:paraId="3D80BBC6" w14:textId="77777777" w:rsidR="00575AC3" w:rsidRPr="006D40F0" w:rsidRDefault="00575AC3" w:rsidP="006D40F0">
            <w:r w:rsidRPr="006D40F0">
              <w:t>89.11</w:t>
            </w:r>
          </w:p>
        </w:tc>
        <w:tc>
          <w:tcPr>
            <w:tcW w:w="4080" w:type="dxa"/>
            <w:tcBorders>
              <w:top w:val="single" w:sz="4" w:space="0" w:color="000000"/>
              <w:left w:val="nil"/>
              <w:bottom w:val="nil"/>
              <w:right w:val="nil"/>
            </w:tcBorders>
            <w:tcMar>
              <w:top w:w="128" w:type="dxa"/>
              <w:left w:w="43" w:type="dxa"/>
              <w:bottom w:w="43" w:type="dxa"/>
              <w:right w:w="43" w:type="dxa"/>
            </w:tcMar>
            <w:vAlign w:val="bottom"/>
          </w:tcPr>
          <w:p w14:paraId="0EB06661" w14:textId="77777777" w:rsidR="00575AC3" w:rsidRPr="006D40F0" w:rsidRDefault="00575AC3" w:rsidP="006D40F0">
            <w:r w:rsidRPr="006D40F0">
              <w:t>Faste lån</w:t>
            </w:r>
          </w:p>
        </w:tc>
        <w:tc>
          <w:tcPr>
            <w:tcW w:w="1420" w:type="dxa"/>
            <w:tcBorders>
              <w:top w:val="single" w:sz="4" w:space="0" w:color="000000"/>
              <w:left w:val="nil"/>
              <w:bottom w:val="nil"/>
              <w:right w:val="nil"/>
            </w:tcBorders>
            <w:tcMar>
              <w:top w:w="128" w:type="dxa"/>
              <w:left w:w="43" w:type="dxa"/>
              <w:bottom w:w="43" w:type="dxa"/>
              <w:right w:w="43" w:type="dxa"/>
            </w:tcMar>
            <w:vAlign w:val="bottom"/>
          </w:tcPr>
          <w:p w14:paraId="20545A9A" w14:textId="77777777" w:rsidR="00575AC3" w:rsidRPr="006D40F0" w:rsidRDefault="00575AC3" w:rsidP="006D40F0">
            <w:r w:rsidRPr="006D40F0">
              <w:t>8 415</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5F2484BC" w14:textId="77777777" w:rsidR="00575AC3" w:rsidRPr="006D40F0" w:rsidRDefault="00575AC3" w:rsidP="006D40F0">
            <w:r w:rsidRPr="006D40F0">
              <w:t xml:space="preserve">7 528 </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7050261" w14:textId="77777777" w:rsidR="00575AC3" w:rsidRPr="006D40F0" w:rsidRDefault="00575AC3" w:rsidP="006D40F0">
            <w:r w:rsidRPr="006D40F0">
              <w:t xml:space="preserve"> 10 194 </w:t>
            </w:r>
          </w:p>
        </w:tc>
      </w:tr>
      <w:tr w:rsidR="00DD49A7" w:rsidRPr="006D40F0" w14:paraId="33C5CCD2" w14:textId="77777777">
        <w:trPr>
          <w:trHeight w:val="380"/>
        </w:trPr>
        <w:tc>
          <w:tcPr>
            <w:tcW w:w="1420" w:type="dxa"/>
            <w:tcBorders>
              <w:top w:val="nil"/>
              <w:left w:val="nil"/>
              <w:bottom w:val="nil"/>
              <w:right w:val="nil"/>
            </w:tcBorders>
            <w:tcMar>
              <w:top w:w="128" w:type="dxa"/>
              <w:left w:w="43" w:type="dxa"/>
              <w:bottom w:w="43" w:type="dxa"/>
              <w:right w:w="43" w:type="dxa"/>
            </w:tcMar>
          </w:tcPr>
          <w:p w14:paraId="46C74954" w14:textId="77777777" w:rsidR="00575AC3" w:rsidRPr="006D40F0" w:rsidRDefault="00575AC3" w:rsidP="006D40F0">
            <w:r w:rsidRPr="006D40F0">
              <w:t>89.12</w:t>
            </w:r>
          </w:p>
        </w:tc>
        <w:tc>
          <w:tcPr>
            <w:tcW w:w="4080" w:type="dxa"/>
            <w:tcBorders>
              <w:top w:val="nil"/>
              <w:left w:val="nil"/>
              <w:bottom w:val="nil"/>
              <w:right w:val="nil"/>
            </w:tcBorders>
            <w:tcMar>
              <w:top w:w="128" w:type="dxa"/>
              <w:left w:w="43" w:type="dxa"/>
              <w:bottom w:w="43" w:type="dxa"/>
              <w:right w:w="43" w:type="dxa"/>
            </w:tcMar>
            <w:vAlign w:val="bottom"/>
          </w:tcPr>
          <w:p w14:paraId="6654EC96" w14:textId="77777777" w:rsidR="00575AC3" w:rsidRPr="006D40F0" w:rsidRDefault="00575AC3" w:rsidP="006D40F0">
            <w:r w:rsidRPr="006D40F0">
              <w:t>Gjenkjøps- og rentebyteavtaler</w:t>
            </w:r>
          </w:p>
        </w:tc>
        <w:tc>
          <w:tcPr>
            <w:tcW w:w="1420" w:type="dxa"/>
            <w:tcBorders>
              <w:top w:val="nil"/>
              <w:left w:val="nil"/>
              <w:bottom w:val="nil"/>
              <w:right w:val="nil"/>
            </w:tcBorders>
            <w:tcMar>
              <w:top w:w="128" w:type="dxa"/>
              <w:left w:w="43" w:type="dxa"/>
              <w:bottom w:w="43" w:type="dxa"/>
              <w:right w:w="43" w:type="dxa"/>
            </w:tcMar>
            <w:vAlign w:val="bottom"/>
          </w:tcPr>
          <w:p w14:paraId="630524DC" w14:textId="77777777" w:rsidR="00575AC3" w:rsidRPr="006D40F0" w:rsidRDefault="00575AC3" w:rsidP="006D40F0">
            <w:r w:rsidRPr="006D40F0">
              <w:t>95</w:t>
            </w:r>
          </w:p>
        </w:tc>
        <w:tc>
          <w:tcPr>
            <w:tcW w:w="1460" w:type="dxa"/>
            <w:tcBorders>
              <w:top w:val="nil"/>
              <w:left w:val="nil"/>
              <w:bottom w:val="nil"/>
              <w:right w:val="nil"/>
            </w:tcBorders>
            <w:tcMar>
              <w:top w:w="128" w:type="dxa"/>
              <w:left w:w="43" w:type="dxa"/>
              <w:bottom w:w="43" w:type="dxa"/>
              <w:right w:w="43" w:type="dxa"/>
            </w:tcMar>
            <w:vAlign w:val="bottom"/>
          </w:tcPr>
          <w:p w14:paraId="5763FB1D" w14:textId="77777777" w:rsidR="00575AC3" w:rsidRPr="006D40F0" w:rsidRDefault="00575AC3" w:rsidP="006D40F0">
            <w:r w:rsidRPr="006D40F0">
              <w:t xml:space="preserve">2 220 </w:t>
            </w:r>
          </w:p>
        </w:tc>
        <w:tc>
          <w:tcPr>
            <w:tcW w:w="1140" w:type="dxa"/>
            <w:tcBorders>
              <w:top w:val="nil"/>
              <w:left w:val="nil"/>
              <w:bottom w:val="nil"/>
              <w:right w:val="nil"/>
            </w:tcBorders>
            <w:tcMar>
              <w:top w:w="128" w:type="dxa"/>
              <w:left w:w="43" w:type="dxa"/>
              <w:bottom w:w="43" w:type="dxa"/>
              <w:right w:w="43" w:type="dxa"/>
            </w:tcMar>
            <w:vAlign w:val="bottom"/>
          </w:tcPr>
          <w:p w14:paraId="31A576A8" w14:textId="77777777" w:rsidR="00575AC3" w:rsidRPr="006D40F0" w:rsidRDefault="00575AC3" w:rsidP="006D40F0">
            <w:r w:rsidRPr="006D40F0">
              <w:t xml:space="preserve"> 46 </w:t>
            </w:r>
          </w:p>
        </w:tc>
      </w:tr>
      <w:tr w:rsidR="00DD49A7" w:rsidRPr="006D40F0" w14:paraId="39380A55" w14:textId="77777777">
        <w:trPr>
          <w:trHeight w:val="380"/>
        </w:trPr>
        <w:tc>
          <w:tcPr>
            <w:tcW w:w="1420" w:type="dxa"/>
            <w:tcBorders>
              <w:top w:val="nil"/>
              <w:left w:val="nil"/>
              <w:bottom w:val="nil"/>
              <w:right w:val="nil"/>
            </w:tcBorders>
            <w:tcMar>
              <w:top w:w="128" w:type="dxa"/>
              <w:left w:w="43" w:type="dxa"/>
              <w:bottom w:w="43" w:type="dxa"/>
              <w:right w:w="43" w:type="dxa"/>
            </w:tcMar>
          </w:tcPr>
          <w:p w14:paraId="464F5A32" w14:textId="77777777" w:rsidR="00575AC3" w:rsidRPr="006D40F0" w:rsidRDefault="00575AC3" w:rsidP="006D40F0">
            <w:r w:rsidRPr="006D40F0">
              <w:t>89.13</w:t>
            </w:r>
          </w:p>
        </w:tc>
        <w:tc>
          <w:tcPr>
            <w:tcW w:w="4080" w:type="dxa"/>
            <w:tcBorders>
              <w:top w:val="nil"/>
              <w:left w:val="nil"/>
              <w:bottom w:val="nil"/>
              <w:right w:val="nil"/>
            </w:tcBorders>
            <w:tcMar>
              <w:top w:w="128" w:type="dxa"/>
              <w:left w:w="43" w:type="dxa"/>
              <w:bottom w:w="43" w:type="dxa"/>
              <w:right w:w="43" w:type="dxa"/>
            </w:tcMar>
            <w:vAlign w:val="bottom"/>
          </w:tcPr>
          <w:p w14:paraId="6D441C0F" w14:textId="77777777" w:rsidR="00575AC3" w:rsidRPr="006D40F0" w:rsidRDefault="00575AC3" w:rsidP="006D40F0">
            <w:r w:rsidRPr="006D40F0">
              <w:t>Kontolån</w:t>
            </w:r>
          </w:p>
        </w:tc>
        <w:tc>
          <w:tcPr>
            <w:tcW w:w="1420" w:type="dxa"/>
            <w:tcBorders>
              <w:top w:val="nil"/>
              <w:left w:val="nil"/>
              <w:bottom w:val="nil"/>
              <w:right w:val="nil"/>
            </w:tcBorders>
            <w:tcMar>
              <w:top w:w="128" w:type="dxa"/>
              <w:left w:w="43" w:type="dxa"/>
              <w:bottom w:w="43" w:type="dxa"/>
              <w:right w:w="43" w:type="dxa"/>
            </w:tcMar>
            <w:vAlign w:val="bottom"/>
          </w:tcPr>
          <w:p w14:paraId="68F55ADE" w14:textId="77777777" w:rsidR="00575AC3" w:rsidRPr="006D40F0" w:rsidRDefault="00575AC3" w:rsidP="006D40F0">
            <w:r w:rsidRPr="006D40F0">
              <w:t>360</w:t>
            </w:r>
          </w:p>
        </w:tc>
        <w:tc>
          <w:tcPr>
            <w:tcW w:w="1460" w:type="dxa"/>
            <w:tcBorders>
              <w:top w:val="nil"/>
              <w:left w:val="nil"/>
              <w:bottom w:val="nil"/>
              <w:right w:val="nil"/>
            </w:tcBorders>
            <w:tcMar>
              <w:top w:w="128" w:type="dxa"/>
              <w:left w:w="43" w:type="dxa"/>
              <w:bottom w:w="43" w:type="dxa"/>
              <w:right w:w="43" w:type="dxa"/>
            </w:tcMar>
            <w:vAlign w:val="bottom"/>
          </w:tcPr>
          <w:p w14:paraId="27ABD463" w14:textId="77777777" w:rsidR="00575AC3" w:rsidRPr="006D40F0" w:rsidRDefault="00575AC3" w:rsidP="006D40F0">
            <w:r w:rsidRPr="006D40F0">
              <w:t xml:space="preserve">41 </w:t>
            </w:r>
          </w:p>
        </w:tc>
        <w:tc>
          <w:tcPr>
            <w:tcW w:w="1140" w:type="dxa"/>
            <w:tcBorders>
              <w:top w:val="nil"/>
              <w:left w:val="nil"/>
              <w:bottom w:val="nil"/>
              <w:right w:val="nil"/>
            </w:tcBorders>
            <w:tcMar>
              <w:top w:w="128" w:type="dxa"/>
              <w:left w:w="43" w:type="dxa"/>
              <w:bottom w:w="43" w:type="dxa"/>
              <w:right w:w="43" w:type="dxa"/>
            </w:tcMar>
            <w:vAlign w:val="bottom"/>
          </w:tcPr>
          <w:p w14:paraId="05FF965C" w14:textId="77777777" w:rsidR="00575AC3" w:rsidRPr="006D40F0" w:rsidRDefault="00575AC3" w:rsidP="006D40F0">
            <w:r w:rsidRPr="006D40F0">
              <w:t xml:space="preserve"> 464 </w:t>
            </w:r>
          </w:p>
        </w:tc>
      </w:tr>
      <w:tr w:rsidR="00DD49A7" w:rsidRPr="006D40F0" w14:paraId="6DC880D2" w14:textId="77777777">
        <w:trPr>
          <w:trHeight w:val="380"/>
        </w:trPr>
        <w:tc>
          <w:tcPr>
            <w:tcW w:w="1420" w:type="dxa"/>
            <w:tcBorders>
              <w:top w:val="nil"/>
              <w:left w:val="nil"/>
              <w:bottom w:val="nil"/>
              <w:right w:val="nil"/>
            </w:tcBorders>
            <w:tcMar>
              <w:top w:w="128" w:type="dxa"/>
              <w:left w:w="43" w:type="dxa"/>
              <w:bottom w:w="43" w:type="dxa"/>
              <w:right w:w="43" w:type="dxa"/>
            </w:tcMar>
          </w:tcPr>
          <w:p w14:paraId="35F14096" w14:textId="77777777" w:rsidR="00575AC3" w:rsidRPr="006D40F0" w:rsidRDefault="00575AC3" w:rsidP="006D40F0">
            <w:r w:rsidRPr="006D40F0">
              <w:lastRenderedPageBreak/>
              <w:t>89.14</w:t>
            </w:r>
          </w:p>
        </w:tc>
        <w:tc>
          <w:tcPr>
            <w:tcW w:w="4080" w:type="dxa"/>
            <w:tcBorders>
              <w:top w:val="nil"/>
              <w:left w:val="nil"/>
              <w:bottom w:val="nil"/>
              <w:right w:val="nil"/>
            </w:tcBorders>
            <w:tcMar>
              <w:top w:w="128" w:type="dxa"/>
              <w:left w:w="43" w:type="dxa"/>
              <w:bottom w:w="43" w:type="dxa"/>
              <w:right w:w="43" w:type="dxa"/>
            </w:tcMar>
            <w:vAlign w:val="bottom"/>
          </w:tcPr>
          <w:p w14:paraId="03478EF1" w14:textId="77777777" w:rsidR="00575AC3" w:rsidRPr="006D40F0" w:rsidRDefault="00575AC3" w:rsidP="006D40F0">
            <w:r w:rsidRPr="006D40F0">
              <w:t>Kontolån fra ordinære fond</w:t>
            </w:r>
          </w:p>
        </w:tc>
        <w:tc>
          <w:tcPr>
            <w:tcW w:w="1420" w:type="dxa"/>
            <w:tcBorders>
              <w:top w:val="nil"/>
              <w:left w:val="nil"/>
              <w:bottom w:val="nil"/>
              <w:right w:val="nil"/>
            </w:tcBorders>
            <w:tcMar>
              <w:top w:w="128" w:type="dxa"/>
              <w:left w:w="43" w:type="dxa"/>
              <w:bottom w:w="43" w:type="dxa"/>
              <w:right w:w="43" w:type="dxa"/>
            </w:tcMar>
            <w:vAlign w:val="bottom"/>
          </w:tcPr>
          <w:p w14:paraId="6B435BDC" w14:textId="77777777" w:rsidR="00575AC3" w:rsidRPr="006D40F0" w:rsidRDefault="00575AC3" w:rsidP="006D40F0">
            <w:r w:rsidRPr="006D40F0">
              <w:t>636</w:t>
            </w:r>
          </w:p>
        </w:tc>
        <w:tc>
          <w:tcPr>
            <w:tcW w:w="1460" w:type="dxa"/>
            <w:tcBorders>
              <w:top w:val="nil"/>
              <w:left w:val="nil"/>
              <w:bottom w:val="nil"/>
              <w:right w:val="nil"/>
            </w:tcBorders>
            <w:tcMar>
              <w:top w:w="128" w:type="dxa"/>
              <w:left w:w="43" w:type="dxa"/>
              <w:bottom w:w="43" w:type="dxa"/>
              <w:right w:w="43" w:type="dxa"/>
            </w:tcMar>
            <w:vAlign w:val="bottom"/>
          </w:tcPr>
          <w:p w14:paraId="1227FC7D" w14:textId="77777777" w:rsidR="00575AC3" w:rsidRPr="006D40F0" w:rsidRDefault="00575AC3" w:rsidP="006D40F0">
            <w:r w:rsidRPr="006D40F0">
              <w:t xml:space="preserve">368 </w:t>
            </w:r>
          </w:p>
        </w:tc>
        <w:tc>
          <w:tcPr>
            <w:tcW w:w="1140" w:type="dxa"/>
            <w:tcBorders>
              <w:top w:val="nil"/>
              <w:left w:val="nil"/>
              <w:bottom w:val="nil"/>
              <w:right w:val="nil"/>
            </w:tcBorders>
            <w:tcMar>
              <w:top w:w="128" w:type="dxa"/>
              <w:left w:w="43" w:type="dxa"/>
              <w:bottom w:w="43" w:type="dxa"/>
              <w:right w:w="43" w:type="dxa"/>
            </w:tcMar>
            <w:vAlign w:val="bottom"/>
          </w:tcPr>
          <w:p w14:paraId="230E11AB" w14:textId="77777777" w:rsidR="00575AC3" w:rsidRPr="006D40F0" w:rsidRDefault="00575AC3" w:rsidP="006D40F0">
            <w:r w:rsidRPr="006D40F0">
              <w:t xml:space="preserve"> 856 </w:t>
            </w:r>
          </w:p>
        </w:tc>
      </w:tr>
      <w:tr w:rsidR="00DD49A7" w:rsidRPr="006D40F0" w14:paraId="003FFF06" w14:textId="77777777">
        <w:trPr>
          <w:trHeight w:val="380"/>
        </w:trPr>
        <w:tc>
          <w:tcPr>
            <w:tcW w:w="1420" w:type="dxa"/>
            <w:tcBorders>
              <w:top w:val="nil"/>
              <w:left w:val="nil"/>
              <w:bottom w:val="nil"/>
              <w:right w:val="nil"/>
            </w:tcBorders>
            <w:tcMar>
              <w:top w:w="128" w:type="dxa"/>
              <w:left w:w="43" w:type="dxa"/>
              <w:bottom w:w="43" w:type="dxa"/>
              <w:right w:w="43" w:type="dxa"/>
            </w:tcMar>
          </w:tcPr>
          <w:p w14:paraId="4002DEDE" w14:textId="77777777" w:rsidR="00575AC3" w:rsidRPr="006D40F0" w:rsidRDefault="00575AC3" w:rsidP="006D40F0">
            <w:r w:rsidRPr="006D40F0">
              <w:t>89.15</w:t>
            </w:r>
          </w:p>
        </w:tc>
        <w:tc>
          <w:tcPr>
            <w:tcW w:w="4080" w:type="dxa"/>
            <w:tcBorders>
              <w:top w:val="nil"/>
              <w:left w:val="nil"/>
              <w:bottom w:val="nil"/>
              <w:right w:val="nil"/>
            </w:tcBorders>
            <w:tcMar>
              <w:top w:w="128" w:type="dxa"/>
              <w:left w:w="43" w:type="dxa"/>
              <w:bottom w:w="43" w:type="dxa"/>
              <w:right w:w="43" w:type="dxa"/>
            </w:tcMar>
            <w:vAlign w:val="bottom"/>
          </w:tcPr>
          <w:p w14:paraId="492CB7C0" w14:textId="77777777" w:rsidR="00575AC3" w:rsidRPr="006D40F0" w:rsidRDefault="00575AC3" w:rsidP="006D40F0">
            <w:r w:rsidRPr="006D40F0">
              <w:t xml:space="preserve">Statskasseveksler </w:t>
            </w:r>
          </w:p>
        </w:tc>
        <w:tc>
          <w:tcPr>
            <w:tcW w:w="1420" w:type="dxa"/>
            <w:tcBorders>
              <w:top w:val="nil"/>
              <w:left w:val="nil"/>
              <w:bottom w:val="nil"/>
              <w:right w:val="nil"/>
            </w:tcBorders>
            <w:tcMar>
              <w:top w:w="128" w:type="dxa"/>
              <w:left w:w="43" w:type="dxa"/>
              <w:bottom w:w="43" w:type="dxa"/>
              <w:right w:w="43" w:type="dxa"/>
            </w:tcMar>
            <w:vAlign w:val="bottom"/>
          </w:tcPr>
          <w:p w14:paraId="53921711" w14:textId="77777777" w:rsidR="00575AC3" w:rsidRPr="006D40F0" w:rsidRDefault="00575AC3" w:rsidP="006D40F0">
            <w:r w:rsidRPr="006D40F0">
              <w:t>1 624</w:t>
            </w:r>
          </w:p>
        </w:tc>
        <w:tc>
          <w:tcPr>
            <w:tcW w:w="1460" w:type="dxa"/>
            <w:tcBorders>
              <w:top w:val="nil"/>
              <w:left w:val="nil"/>
              <w:bottom w:val="nil"/>
              <w:right w:val="nil"/>
            </w:tcBorders>
            <w:tcMar>
              <w:top w:w="128" w:type="dxa"/>
              <w:left w:w="43" w:type="dxa"/>
              <w:bottom w:w="43" w:type="dxa"/>
              <w:right w:w="43" w:type="dxa"/>
            </w:tcMar>
            <w:vAlign w:val="bottom"/>
          </w:tcPr>
          <w:p w14:paraId="268BCA9C" w14:textId="77777777" w:rsidR="00575AC3" w:rsidRPr="006D40F0" w:rsidRDefault="00575AC3" w:rsidP="006D40F0">
            <w:r w:rsidRPr="006D40F0">
              <w:t xml:space="preserve">616 </w:t>
            </w:r>
          </w:p>
        </w:tc>
        <w:tc>
          <w:tcPr>
            <w:tcW w:w="1140" w:type="dxa"/>
            <w:tcBorders>
              <w:top w:val="nil"/>
              <w:left w:val="nil"/>
              <w:bottom w:val="nil"/>
              <w:right w:val="nil"/>
            </w:tcBorders>
            <w:tcMar>
              <w:top w:w="128" w:type="dxa"/>
              <w:left w:w="43" w:type="dxa"/>
              <w:bottom w:w="43" w:type="dxa"/>
              <w:right w:w="43" w:type="dxa"/>
            </w:tcMar>
            <w:vAlign w:val="bottom"/>
          </w:tcPr>
          <w:p w14:paraId="5BE87792" w14:textId="77777777" w:rsidR="00575AC3" w:rsidRPr="006D40F0" w:rsidRDefault="00575AC3" w:rsidP="006D40F0">
            <w:r w:rsidRPr="006D40F0">
              <w:t xml:space="preserve"> 2 060 </w:t>
            </w:r>
          </w:p>
        </w:tc>
      </w:tr>
      <w:tr w:rsidR="00DD49A7" w:rsidRPr="006D40F0" w14:paraId="54DD94FE" w14:textId="77777777">
        <w:trPr>
          <w:trHeight w:val="380"/>
        </w:trPr>
        <w:tc>
          <w:tcPr>
            <w:tcW w:w="1420" w:type="dxa"/>
            <w:tcBorders>
              <w:top w:val="nil"/>
              <w:left w:val="nil"/>
              <w:bottom w:val="single" w:sz="4" w:space="0" w:color="000000"/>
              <w:right w:val="nil"/>
            </w:tcBorders>
            <w:tcMar>
              <w:top w:w="128" w:type="dxa"/>
              <w:left w:w="43" w:type="dxa"/>
              <w:bottom w:w="43" w:type="dxa"/>
              <w:right w:w="43" w:type="dxa"/>
            </w:tcMar>
          </w:tcPr>
          <w:p w14:paraId="32273AA2" w14:textId="77777777" w:rsidR="00575AC3" w:rsidRPr="006D40F0" w:rsidRDefault="00575AC3" w:rsidP="006D40F0">
            <w:r w:rsidRPr="006D40F0">
              <w:t>89.17</w:t>
            </w:r>
          </w:p>
        </w:tc>
        <w:tc>
          <w:tcPr>
            <w:tcW w:w="4080" w:type="dxa"/>
            <w:tcBorders>
              <w:top w:val="nil"/>
              <w:left w:val="nil"/>
              <w:bottom w:val="single" w:sz="4" w:space="0" w:color="000000"/>
              <w:right w:val="nil"/>
            </w:tcBorders>
            <w:tcMar>
              <w:top w:w="128" w:type="dxa"/>
              <w:left w:w="43" w:type="dxa"/>
              <w:bottom w:w="43" w:type="dxa"/>
              <w:right w:w="43" w:type="dxa"/>
            </w:tcMar>
            <w:vAlign w:val="bottom"/>
          </w:tcPr>
          <w:p w14:paraId="26012E33" w14:textId="77777777" w:rsidR="00575AC3" w:rsidRPr="006D40F0" w:rsidRDefault="00575AC3" w:rsidP="006D40F0">
            <w:r w:rsidRPr="006D40F0">
              <w:t>Nye faste lån</w:t>
            </w:r>
          </w:p>
        </w:tc>
        <w:tc>
          <w:tcPr>
            <w:tcW w:w="1420" w:type="dxa"/>
            <w:tcBorders>
              <w:top w:val="nil"/>
              <w:left w:val="nil"/>
              <w:bottom w:val="single" w:sz="4" w:space="0" w:color="000000"/>
              <w:right w:val="nil"/>
            </w:tcBorders>
            <w:tcMar>
              <w:top w:w="128" w:type="dxa"/>
              <w:left w:w="43" w:type="dxa"/>
              <w:bottom w:w="43" w:type="dxa"/>
              <w:right w:w="43" w:type="dxa"/>
            </w:tcMar>
            <w:vAlign w:val="bottom"/>
          </w:tcPr>
          <w:p w14:paraId="1656181F" w14:textId="77777777" w:rsidR="00575AC3" w:rsidRPr="006D40F0" w:rsidRDefault="00575AC3" w:rsidP="006D40F0"/>
        </w:tc>
        <w:tc>
          <w:tcPr>
            <w:tcW w:w="1460" w:type="dxa"/>
            <w:tcBorders>
              <w:top w:val="nil"/>
              <w:left w:val="nil"/>
              <w:bottom w:val="single" w:sz="4" w:space="0" w:color="000000"/>
              <w:right w:val="nil"/>
            </w:tcBorders>
            <w:tcMar>
              <w:top w:w="128" w:type="dxa"/>
              <w:left w:w="43" w:type="dxa"/>
              <w:bottom w:w="43" w:type="dxa"/>
              <w:right w:w="43" w:type="dxa"/>
            </w:tcMar>
            <w:vAlign w:val="bottom"/>
          </w:tcPr>
          <w:p w14:paraId="7FE81C93" w14:textId="77777777" w:rsidR="00575AC3" w:rsidRPr="006D40F0" w:rsidRDefault="00575AC3" w:rsidP="006D40F0">
            <w:r w:rsidRPr="006D40F0">
              <w:t xml:space="preserve"> 1 681 </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69D1FE7" w14:textId="77777777" w:rsidR="00575AC3" w:rsidRPr="006D40F0" w:rsidRDefault="00575AC3" w:rsidP="006D40F0">
            <w:r w:rsidRPr="006D40F0">
              <w:t xml:space="preserve"> 355 </w:t>
            </w:r>
          </w:p>
        </w:tc>
      </w:tr>
      <w:tr w:rsidR="00DD49A7" w:rsidRPr="006D40F0" w14:paraId="6B27977E"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53A9B754" w14:textId="77777777" w:rsidR="00575AC3" w:rsidRPr="006D40F0" w:rsidRDefault="00575AC3" w:rsidP="006D40F0"/>
        </w:tc>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AF04D" w14:textId="77777777" w:rsidR="00575AC3" w:rsidRPr="006D40F0" w:rsidRDefault="00575AC3" w:rsidP="006D40F0">
            <w:r w:rsidRPr="006D40F0">
              <w:t>Sum kap. 1650, post 89</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118B32" w14:textId="77777777" w:rsidR="00575AC3" w:rsidRPr="006D40F0" w:rsidRDefault="00575AC3" w:rsidP="006D40F0">
            <w:r w:rsidRPr="006D40F0">
              <w:t>11 130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5D31A" w14:textId="77777777" w:rsidR="00575AC3" w:rsidRPr="006D40F0" w:rsidRDefault="00575AC3" w:rsidP="006D40F0">
            <w:r w:rsidRPr="006D40F0">
              <w:t xml:space="preserve">12 454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099C2" w14:textId="77777777" w:rsidR="00575AC3" w:rsidRPr="006D40F0" w:rsidRDefault="00575AC3" w:rsidP="006D40F0">
            <w:r w:rsidRPr="006D40F0">
              <w:t xml:space="preserve"> 13 975 </w:t>
            </w:r>
          </w:p>
        </w:tc>
      </w:tr>
    </w:tbl>
    <w:p w14:paraId="342E320E" w14:textId="77777777" w:rsidR="00575AC3" w:rsidRPr="006D40F0" w:rsidRDefault="00575AC3" w:rsidP="006D40F0">
      <w:pPr>
        <w:pStyle w:val="tabell-noter"/>
      </w:pPr>
      <w:r w:rsidRPr="006D40F0">
        <w:rPr>
          <w:rStyle w:val="skrift-hevet"/>
        </w:rPr>
        <w:t>1</w:t>
      </w:r>
      <w:r w:rsidRPr="006D40F0">
        <w:rPr>
          <w:rStyle w:val="skrift-hevet"/>
        </w:rPr>
        <w:tab/>
      </w:r>
      <w:r w:rsidRPr="006D40F0">
        <w:t>I regnskapet blir faste lån og nye faste lån ført samlet.</w:t>
      </w:r>
    </w:p>
    <w:p w14:paraId="6B430FF6" w14:textId="77777777" w:rsidR="00575AC3" w:rsidRPr="006D40F0" w:rsidRDefault="00575AC3" w:rsidP="006D40F0">
      <w:pPr>
        <w:pStyle w:val="b-budkaptit"/>
      </w:pPr>
      <w:r w:rsidRPr="006D40F0">
        <w:t>Kap. 1651 Statsgjeld, avdrag og innløsning</w:t>
      </w:r>
    </w:p>
    <w:p w14:paraId="06C83826" w14:textId="77777777" w:rsidR="00575AC3" w:rsidRPr="006D40F0" w:rsidRDefault="00575AC3" w:rsidP="006D40F0">
      <w:pPr>
        <w:pStyle w:val="b-post"/>
      </w:pPr>
      <w:r w:rsidRPr="006D40F0">
        <w:t>Post 98 Avdrag på innenlandsk statsgjeld, overslagsbevilgning</w:t>
      </w:r>
    </w:p>
    <w:p w14:paraId="4A1EACF2" w14:textId="77777777" w:rsidR="00575AC3" w:rsidRPr="006D40F0" w:rsidRDefault="00575AC3" w:rsidP="006D40F0">
      <w:r w:rsidRPr="006D40F0">
        <w:t>Bevilgningen foreslås redusert med 5 175 mill. kroner. Reduksjonen skyldes Norges Banks tilbakekjøp av obligasjoner høsten 2023 som forfaller i 2024.</w:t>
      </w:r>
    </w:p>
    <w:p w14:paraId="15DDA106" w14:textId="77777777" w:rsidR="00575AC3" w:rsidRPr="006D40F0" w:rsidRDefault="00575AC3" w:rsidP="006D40F0">
      <w:pPr>
        <w:pStyle w:val="b-budkaptit"/>
      </w:pPr>
      <w:r w:rsidRPr="006D40F0">
        <w:t>Kap. 2309 Tilfeldige utgifter</w:t>
      </w:r>
    </w:p>
    <w:p w14:paraId="7277263D" w14:textId="77777777" w:rsidR="00575AC3" w:rsidRPr="006D40F0" w:rsidRDefault="00575AC3" w:rsidP="006D40F0">
      <w:pPr>
        <w:pStyle w:val="b-post"/>
      </w:pPr>
      <w:r w:rsidRPr="006D40F0">
        <w:t>Post 01 Driftsutgifter</w:t>
      </w:r>
    </w:p>
    <w:p w14:paraId="6002E1CD" w14:textId="77777777" w:rsidR="00575AC3" w:rsidRPr="006D40F0" w:rsidRDefault="00575AC3" w:rsidP="006D40F0">
      <w:r w:rsidRPr="006D40F0">
        <w:t>Bevilgningen er motpost til tilleggsbevilgninger til blant annet forhandlinger hvor staten er part, herunder lønnsoppgjøret for statsansatte, takstoppgjøret for privatpraktiserende leger, fysioterapeuter og psykologer, og til uforutsette utgifter. Bevilgningsbehovet til inntektsoppgjør mv. er usikkert og avhenger av utfallet av lønnsforhandlingene. Det er også avsatt midler på posten til kommunenes og fylkeskommunenes andel av vederlag for tildelte oppdrettstillatelser samt provenyet fra produksjonsavgiften, jf. omtale under kap. 919, post 60.</w:t>
      </w:r>
    </w:p>
    <w:p w14:paraId="699D6830" w14:textId="77777777" w:rsidR="00575AC3" w:rsidRPr="006D40F0" w:rsidRDefault="00575AC3" w:rsidP="006D40F0">
      <w:r w:rsidRPr="006D40F0">
        <w:t>Bevilgningen på posten foreslås redusert som følge av avsetningen til kommunenes andel av havbruksinntekter og endrede lønnsvekstanslag. Samlet foreslås bevilgningen på posten redusert med 1,25 mrd. kroner.</w:t>
      </w:r>
    </w:p>
    <w:p w14:paraId="56B2D6CC" w14:textId="77777777" w:rsidR="00575AC3" w:rsidRPr="006D40F0" w:rsidRDefault="00575AC3" w:rsidP="006D40F0">
      <w:pPr>
        <w:pStyle w:val="b-budkaptit"/>
      </w:pPr>
      <w:r w:rsidRPr="006D40F0">
        <w:t>Kap. 5351 Overføring fra Norges Bank</w:t>
      </w:r>
    </w:p>
    <w:p w14:paraId="25E73663" w14:textId="77777777" w:rsidR="00575AC3" w:rsidRPr="006D40F0" w:rsidRDefault="00575AC3" w:rsidP="006D40F0">
      <w:pPr>
        <w:pStyle w:val="b-post"/>
      </w:pPr>
      <w:r w:rsidRPr="006D40F0">
        <w:t>Post 85 Overføring</w:t>
      </w:r>
    </w:p>
    <w:p w14:paraId="321E4B7B" w14:textId="77777777" w:rsidR="00575AC3" w:rsidRPr="006D40F0" w:rsidRDefault="00575AC3" w:rsidP="006D40F0">
      <w:r w:rsidRPr="006D40F0">
        <w:t>I saldert budsjett for 2024 er det ført opp 24 600 mill. kroner på kap. 5351, post 85. Bankens representantskap fastsatte 22. februar 2024 endelig beløp til 17 604,3 mill. kroner. Det foreslås derfor at bevilgningen på posten reduseres med 6 995,7 mill. kroner.</w:t>
      </w:r>
    </w:p>
    <w:p w14:paraId="4F428D84" w14:textId="77777777" w:rsidR="00575AC3" w:rsidRPr="006D40F0" w:rsidRDefault="00575AC3" w:rsidP="006D40F0">
      <w:pPr>
        <w:pStyle w:val="b-budkaptit"/>
      </w:pPr>
      <w:r w:rsidRPr="006D40F0">
        <w:t>Kap. 5605 Renter av statskassens kontantbeholdning og andre fordringer</w:t>
      </w:r>
    </w:p>
    <w:p w14:paraId="473BE701" w14:textId="77777777" w:rsidR="00575AC3" w:rsidRPr="006D40F0" w:rsidRDefault="00575AC3" w:rsidP="006D40F0">
      <w:pPr>
        <w:pStyle w:val="b-post"/>
      </w:pPr>
      <w:r w:rsidRPr="006D40F0">
        <w:t>Post 80 Av statskassens foliokonto i Norges Bank</w:t>
      </w:r>
    </w:p>
    <w:p w14:paraId="6019FA56" w14:textId="77777777" w:rsidR="00575AC3" w:rsidRPr="006D40F0" w:rsidRDefault="00575AC3" w:rsidP="006D40F0">
      <w:r w:rsidRPr="006D40F0">
        <w:t>Renten på foliokontoen i Norges Bank beregnes på grunnlag av renten banken får på sine utenlandske krav. Renten fastsettes for ett kvartal av gangen.</w:t>
      </w:r>
    </w:p>
    <w:p w14:paraId="5FA5A170" w14:textId="77777777" w:rsidR="00575AC3" w:rsidRPr="006D40F0" w:rsidRDefault="00575AC3" w:rsidP="006D40F0">
      <w:r w:rsidRPr="006D40F0">
        <w:lastRenderedPageBreak/>
        <w:t>Det foreslås å øke bevilgningen med 4 172,6 mill. kroner. Økningen skyldes høyere rente enn lagt til grunn for saldert budsjett.</w:t>
      </w:r>
    </w:p>
    <w:p w14:paraId="702F2A9D" w14:textId="77777777" w:rsidR="00575AC3" w:rsidRPr="006D40F0" w:rsidRDefault="00575AC3" w:rsidP="006D40F0">
      <w:pPr>
        <w:pStyle w:val="b-post"/>
      </w:pPr>
      <w:r w:rsidRPr="006D40F0">
        <w:t>Post 82 Av innenlandske verdipapirer</w:t>
      </w:r>
    </w:p>
    <w:p w14:paraId="5C82BC93" w14:textId="77777777" w:rsidR="00575AC3" w:rsidRPr="006D40F0" w:rsidRDefault="00575AC3" w:rsidP="006D40F0">
      <w:r w:rsidRPr="006D40F0">
        <w:t>Bevilgningen på posten foreslås økt med 20,7 mill. kroner. Økningen skyldes høyere renter.</w:t>
      </w:r>
    </w:p>
    <w:p w14:paraId="1E8930D7" w14:textId="77777777" w:rsidR="00575AC3" w:rsidRPr="006D40F0" w:rsidRDefault="00575AC3" w:rsidP="006D40F0">
      <w:pPr>
        <w:pStyle w:val="b-post"/>
      </w:pPr>
      <w:r w:rsidRPr="006D40F0">
        <w:t>Post 84 Av driftskreditt til statsbedrifter</w:t>
      </w:r>
    </w:p>
    <w:p w14:paraId="10236EFE" w14:textId="77777777" w:rsidR="00575AC3" w:rsidRPr="006D40F0" w:rsidRDefault="00575AC3" w:rsidP="006D40F0">
      <w:r w:rsidRPr="006D40F0">
        <w:t xml:space="preserve">Bevilgningen på posten foreslås økt med 1 129,2 mill. kroner. Økningen skyldes i hovedsak høyere </w:t>
      </w:r>
      <w:proofErr w:type="spellStart"/>
      <w:r w:rsidRPr="006D40F0">
        <w:t>opptrekksrenter</w:t>
      </w:r>
      <w:proofErr w:type="spellEnd"/>
      <w:r w:rsidRPr="006D40F0">
        <w:t xml:space="preserve"> enn lagt til grunn i saldert budsjett.</w:t>
      </w:r>
    </w:p>
    <w:p w14:paraId="3A65B34E" w14:textId="77777777" w:rsidR="00575AC3" w:rsidRPr="006D40F0" w:rsidRDefault="00575AC3" w:rsidP="006D40F0">
      <w:pPr>
        <w:pStyle w:val="b-post"/>
      </w:pPr>
      <w:r w:rsidRPr="006D40F0">
        <w:t>Post 89 Garantiprovisjon</w:t>
      </w:r>
    </w:p>
    <w:p w14:paraId="6A9C978B" w14:textId="77777777" w:rsidR="00575AC3" w:rsidRPr="006D40F0" w:rsidRDefault="00575AC3" w:rsidP="006D40F0">
      <w:r w:rsidRPr="006D40F0">
        <w:t>For lån under garantiordningen for lån til små og mellomstore bedrifter, skal det betales garantiprovisjon. I forbindelse med forslag om å overføre ansvaret for ordningen fra Finansdepartementet til Nærings- og fiskeridepartementet, jf. omtale under kap. 1645, post 23, foreslås det å overføre bevilgningen på 40 mill. kroner fra kap. 5605, post 89 under Finansdepartementet til kap. 5460, post 89 under Nærings- og fiskeridepartementet.</w:t>
      </w:r>
    </w:p>
    <w:p w14:paraId="146E9208" w14:textId="77777777" w:rsidR="00575AC3" w:rsidRPr="006D40F0" w:rsidRDefault="00575AC3" w:rsidP="006D40F0">
      <w:pPr>
        <w:pStyle w:val="b-budkaptit"/>
      </w:pPr>
      <w:r w:rsidRPr="006D40F0">
        <w:t>Kap. 5692 Utbytte av statens kapital i Den nordiske investeringsbank</w:t>
      </w:r>
    </w:p>
    <w:p w14:paraId="70E4EAE9" w14:textId="77777777" w:rsidR="00575AC3" w:rsidRPr="006D40F0" w:rsidRDefault="00575AC3" w:rsidP="006D40F0">
      <w:pPr>
        <w:pStyle w:val="b-post"/>
      </w:pPr>
      <w:r w:rsidRPr="006D40F0">
        <w:t>Post 85 Utbytte</w:t>
      </w:r>
    </w:p>
    <w:p w14:paraId="1914DAB8" w14:textId="77777777" w:rsidR="00575AC3" w:rsidRPr="006D40F0" w:rsidRDefault="00575AC3" w:rsidP="006D40F0">
      <w:r w:rsidRPr="006D40F0">
        <w:t>I saldert budsjett 2024 er det ført opp 64,4 mill. kroner på kap. 5692, post 85. Beløpet var basert på at det ville bli gitt samme utbytte som for 2023.</w:t>
      </w:r>
    </w:p>
    <w:p w14:paraId="501771E0" w14:textId="77777777" w:rsidR="00575AC3" w:rsidRPr="006D40F0" w:rsidRDefault="00575AC3" w:rsidP="006D40F0">
      <w:r w:rsidRPr="006D40F0">
        <w:t>Bankens styre har for 2024 anbefalt et utbytte på 63 mill. euro, hvorav 21,5 pst. eller 13,5 mill. går til Norge. Basert på eurokursen per 11. mars tilsvarer det 155 mill. kroner. Bevilgningen foreslås derfor økt med 90,6 mill. kroner.</w:t>
      </w:r>
    </w:p>
    <w:p w14:paraId="2E787E96" w14:textId="77777777" w:rsidR="00575AC3" w:rsidRPr="006D40F0" w:rsidRDefault="00575AC3" w:rsidP="006D40F0">
      <w:pPr>
        <w:pStyle w:val="Undertittel"/>
      </w:pPr>
      <w:r w:rsidRPr="006D40F0">
        <w:t>Andre saker</w:t>
      </w:r>
    </w:p>
    <w:p w14:paraId="5F9CFCA8" w14:textId="77777777" w:rsidR="00575AC3" w:rsidRPr="006D40F0" w:rsidRDefault="00575AC3" w:rsidP="006D40F0">
      <w:pPr>
        <w:pStyle w:val="avsnitt-undertittel"/>
      </w:pPr>
      <w:r w:rsidRPr="006D40F0">
        <w:t>Godkjenning av endringer i Norges forpliktelser til IMF som følge av den 16. kvoterevisjon</w:t>
      </w:r>
    </w:p>
    <w:p w14:paraId="2495B3C4" w14:textId="77777777" w:rsidR="00575AC3" w:rsidRPr="006D40F0" w:rsidRDefault="00575AC3" w:rsidP="006D40F0">
      <w:r w:rsidRPr="006D40F0">
        <w:t>Det internasjonale valutafondet (IMF) har 190 medlemsland. IMF fungerer som en kredittunion der medlemslandene stiller deler av sine valutareserver til disposisjon for å finansiere utlån til medlemsland som på grunn av økonomiske vanskeligheter ikke kan skaffe tilstrekkelig utenlandsfinansiering til akseptable vilkår fra andre kilder. Lånene skal tilbakebetales så snart landets betalingsbalanse og valutasituasjon gjør det mulig. Dette gjenspeiles i låneprogrammets lengde og betingelser. Organisasjonen står sentralt i det globale samarbeidet om økonomiske og finansielle spørsmål.</w:t>
      </w:r>
    </w:p>
    <w:p w14:paraId="1E1E2DE9" w14:textId="77777777" w:rsidR="00575AC3" w:rsidRPr="006D40F0" w:rsidRDefault="00575AC3" w:rsidP="006D40F0">
      <w:r w:rsidRPr="006D40F0">
        <w:t xml:space="preserve">Stortinget ga i november 2011, jf. Prop. 142 S (2010–2011) og </w:t>
      </w:r>
      <w:proofErr w:type="spellStart"/>
      <w:r w:rsidRPr="006D40F0">
        <w:t>Innst</w:t>
      </w:r>
      <w:proofErr w:type="spellEnd"/>
      <w:r w:rsidRPr="006D40F0">
        <w:t xml:space="preserve">. 40 S (2011–2012), samtykke til at Norge godkjente at Norges kvote i IMF ble satt til 3 755 mill. SDR, som innebar en økning på 1 884 mill. SDR jf. St.prp. nr. 142 (2010–2011). Endringen fulgte av IMFs 14. </w:t>
      </w:r>
      <w:r w:rsidRPr="006D40F0">
        <w:lastRenderedPageBreak/>
        <w:t xml:space="preserve">kvotereform, som IMFs guvernørråd vedtok i desember 2010. Det tok lengre tid før en tilstrekkelig andel av IMFs medlemsmasse hadde godkjent sin kvoteøkning og endringen </w:t>
      </w:r>
      <w:proofErr w:type="gramStart"/>
      <w:r w:rsidRPr="006D40F0">
        <w:t>trådte</w:t>
      </w:r>
      <w:proofErr w:type="gramEnd"/>
      <w:r w:rsidRPr="006D40F0">
        <w:t xml:space="preserve"> derfor i kraft først i 2016. Den 15. kvoterevisjonen ble avsluttet uten at medlemslandene kom til enighet om en endring i kvotene.</w:t>
      </w:r>
    </w:p>
    <w:p w14:paraId="06D416F8" w14:textId="77777777" w:rsidR="00575AC3" w:rsidRPr="006D40F0" w:rsidRDefault="00575AC3" w:rsidP="006D40F0">
      <w:r w:rsidRPr="006D40F0">
        <w:t xml:space="preserve">Stortinget samtykket i desember 2020, jf. Prop. 1 S (2020–2021) for Finansdepartementet og </w:t>
      </w:r>
      <w:proofErr w:type="spellStart"/>
      <w:r w:rsidRPr="006D40F0">
        <w:t>Innst</w:t>
      </w:r>
      <w:proofErr w:type="spellEnd"/>
      <w:r w:rsidRPr="006D40F0">
        <w:t xml:space="preserve">. 5 S (2020–2021), til at Norge inngikk en fornyet låneavtale under den multilaterale innlånsordningen «New Arrangements to </w:t>
      </w:r>
      <w:proofErr w:type="spellStart"/>
      <w:r w:rsidRPr="006D40F0">
        <w:t>Borrow</w:t>
      </w:r>
      <w:proofErr w:type="spellEnd"/>
      <w:r w:rsidRPr="006D40F0">
        <w:t>» (NAB) innenfor en ramme for lån fra Norge på 3 933 mill. SDR. Låneavtalene gjelder for fem år av gangen.</w:t>
      </w:r>
    </w:p>
    <w:p w14:paraId="1181DAF9" w14:textId="77777777" w:rsidR="00575AC3" w:rsidRPr="006D40F0" w:rsidRDefault="00575AC3" w:rsidP="006D40F0">
      <w:r w:rsidRPr="006D40F0">
        <w:t>I desember 2023 godkjente IMFs guvernørråd å øke kvotene med 50 prosent til 715,7 mrd. SDR i sammenheng med avslutningen av den 16. kvoterevisjonen. Kvoteøkningen blir fordelt mellom landene proporsjonalt med deres nåværende kvoter, slik at fordelingen av kvotene og stemmevektene mellom medlemmene ikke blir endret. Guvernørrådet ga samtidig føringer om at IMFs samlede utlånskapasitet holdes om lag uendret ved at økningen i kvotene kombineres med at den multilaterale innlånsordningen NAB reduseres og de bilaterale innlånene falle bort. Norge deltar i begge disse innlånsarrangementene.</w:t>
      </w:r>
    </w:p>
    <w:p w14:paraId="3DBA42BF" w14:textId="77777777" w:rsidR="00575AC3" w:rsidRPr="006D40F0" w:rsidRDefault="00575AC3" w:rsidP="006D40F0">
      <w:r w:rsidRPr="006D40F0">
        <w:t>Norge er bedt om å godkjenne sin andel av kvoteøkningen innen 15. november 2024. Kvoteøkningen blir effektiv når minst 85 prosent av medlemmene har godkjent at deres kvote øker, og landene som deltar i NAB-ordningen har godtatt nedskaleringen av sine bidrag til NAB-ordningen. Det legges opp til begge deler må være klart innen 15. november 2024, men det er usikkert om alle land vil svare innen denne tidsfristen.</w:t>
      </w:r>
    </w:p>
    <w:p w14:paraId="2D9F6D62" w14:textId="77777777" w:rsidR="00575AC3" w:rsidRPr="006D40F0" w:rsidRDefault="00575AC3" w:rsidP="006D40F0">
      <w:r w:rsidRPr="006D40F0">
        <w:t>Norge er bedt om å godkjenne at Norges kvote til IMF øker fra 3 755 mill. SDR til 5632 mill. SDR, og trekkrettigheten som IMF har i NAB-ordningen vil reduseres fra 3 934 mill. SDR til 3 293 mill. SDR.</w:t>
      </w:r>
    </w:p>
    <w:p w14:paraId="583413D4" w14:textId="77777777" w:rsidR="00575AC3" w:rsidRPr="006D40F0" w:rsidRDefault="00575AC3" w:rsidP="006D40F0">
      <w:r w:rsidRPr="006D40F0">
        <w:t>De bilaterale innlånene, som 42 land inkludert Norge har inngått med IMF, forfaller 31. desember 2024, men IMF har bedt om at lånene forlenges dersom kvoteøkningen blir forsinket. Det bilaterale lånet fra Norges Bank er på 2 585 mill. SDR.</w:t>
      </w:r>
    </w:p>
    <w:p w14:paraId="60E993F1" w14:textId="77777777" w:rsidR="00575AC3" w:rsidRPr="006D40F0" w:rsidRDefault="00575AC3" w:rsidP="006D40F0">
      <w:r w:rsidRPr="006D40F0">
        <w:t>I sum vil forslaget ha liten betydning for Norges forpliktelser til IMF, og stemmevekten blir den samme. Norges forpliktelser til IMF innebærer reallokeringer av valutareservene til Norges Bank, og forslaget har ikke budsjettvirkninger. Norges Bank har støttet endringene for Norge.</w:t>
      </w:r>
    </w:p>
    <w:p w14:paraId="7BDD5BEA" w14:textId="77777777" w:rsidR="00575AC3" w:rsidRPr="006D40F0" w:rsidRDefault="00575AC3" w:rsidP="006D40F0">
      <w:r w:rsidRPr="006D40F0">
        <w:t>Det vises til forslag om romertallsfullmakt for godkjenning av endringer i Norges forpliktelser til IMF.</w:t>
      </w:r>
    </w:p>
    <w:p w14:paraId="761C1844" w14:textId="77777777" w:rsidR="00575AC3" w:rsidRPr="006D40F0" w:rsidRDefault="00575AC3" w:rsidP="006D40F0">
      <w:pPr>
        <w:pStyle w:val="avsnitt-undertittel"/>
      </w:pPr>
      <w:r w:rsidRPr="006D40F0">
        <w:t>Kostnadsramme for Treff-prosjektet</w:t>
      </w:r>
    </w:p>
    <w:p w14:paraId="2EDBD713" w14:textId="77777777" w:rsidR="00575AC3" w:rsidRPr="006D40F0" w:rsidRDefault="00575AC3" w:rsidP="006D40F0">
      <w:r w:rsidRPr="006D40F0">
        <w:t>I Prop. 1 S (2023–2024) for Finansdepartementet ble det opplyst om en kostnadsramme for Treff-prosjektet på 857,5 mill. kroner. Det var brukt feil prisjusteringsfaktor ved utregning av denne. Korrekt kostnadsramme for Treff-prosjektet er 863,2 mill. kroner (2024-kroner), der 200,6 mill. kroner er Tolletatens egenfinansiering. For 2024 er det satt av 27,1 mill. kroner til Treff-satsingen. Forslag om økt kostnadsramme har ikke konsekvenser for bevilgningen til Tolletaten da bevilgningspostene er korrekt prisjustert. Det vises til forslag til romertallsvedtak om økning av kostnadsrammen for Treff-prosjektet.</w:t>
      </w:r>
    </w:p>
    <w:p w14:paraId="42D6BCCF" w14:textId="77777777" w:rsidR="00575AC3" w:rsidRPr="006D40F0" w:rsidRDefault="00575AC3" w:rsidP="006D40F0">
      <w:pPr>
        <w:pStyle w:val="Overskrift2"/>
      </w:pPr>
      <w:r w:rsidRPr="006D40F0">
        <w:lastRenderedPageBreak/>
        <w:t>Forsvarsdepartementet</w:t>
      </w:r>
    </w:p>
    <w:p w14:paraId="431620EC" w14:textId="77777777" w:rsidR="00575AC3" w:rsidRPr="006D40F0" w:rsidRDefault="00575AC3" w:rsidP="006D40F0">
      <w:r w:rsidRPr="006D40F0">
        <w:t xml:space="preserve">Våren 2024 la regjeringen frem forslag til ny langtidsplan for forsvarssektoren for perioden 2025-2036, jf. Prop. 87 S (2023–2024) </w:t>
      </w:r>
      <w:r w:rsidRPr="00575AC3">
        <w:rPr>
          <w:rStyle w:val="kursiv"/>
        </w:rPr>
        <w:t>Forsvarsløftet – For Norges trygghet</w:t>
      </w:r>
      <w:r w:rsidRPr="006D40F0">
        <w:t>. Forslaget innebærer en opptrapping av forsvarsbudsjettet på til sammen 600 mrd. kroner innen 2036 for å finansiere utbedring av kritiske svakheter i dagens struktur, for å få dagens forsvar til å virke bedre, og investere i nye kapasiteter i samtlige domener. For å møte de sikkerhetspolitiske utfordringene Norge står overfor foreslår regjeringen å starte opptrappingen i ny langtidsplan allerede i 2024. Regjeringen foreslår derfor å øke forsvarsbudsjettet med 5 mrd. kroner til økte investeringer i eiendom, bygg og anlegg (EBA), investeringer i materiell av stor betydning for norsk forsvarsevne, økt trening, øving, kompetanseheving og anskaffelser av utstyr i Heimevernet, og til å opprettholde økt vakthold og sikring på Andøya. Regjeringen foreslår videre 2 mrd. kroner til tiltak for å øke den operative ambisjonen og legge til rette for økt aktivitet i Forsvaret i 2024. Regjeringens samlede forslag til økt forsvarsbudsjett innebærer at Norge vil bruke anslagsvis 2,16 pst. av BNP til forsvarsformål i 2024.</w:t>
      </w:r>
    </w:p>
    <w:p w14:paraId="42F9E1C4" w14:textId="77777777" w:rsidR="00575AC3" w:rsidRPr="006D40F0" w:rsidRDefault="00575AC3" w:rsidP="006D40F0">
      <w:r w:rsidRPr="006D40F0">
        <w:t>Regjeringen foreslår til sammen 7 mrd. kroner til økt militær og sivil støtte til Ukraina i 2024 innenfor Nansen-programmets rammer. Økningen fordeler seg med 6 mrd. kroner til økt militær støtte og 1 mrd. kroner til økt sivil støtte i 2024. Den økte militære støtten skal blant annet gå til luftvern til Ukraina, økt produksjonskapasitet i den norske forsvarsindustrien og til økt handlingsrom for andre tiltak gjennom året.</w:t>
      </w:r>
    </w:p>
    <w:p w14:paraId="0756E27D" w14:textId="77777777" w:rsidR="00575AC3" w:rsidRPr="006D40F0" w:rsidRDefault="00575AC3" w:rsidP="006D40F0">
      <w:r w:rsidRPr="006D40F0">
        <w:t>Forslagene til økte bevilgninger over forsvarsbudsjettet er nærmere omtalt under de enkelte budsjettpostene under.</w:t>
      </w:r>
    </w:p>
    <w:p w14:paraId="2B3B976C" w14:textId="77777777" w:rsidR="00575AC3" w:rsidRPr="006D40F0" w:rsidRDefault="00575AC3" w:rsidP="006D40F0">
      <w:pPr>
        <w:pStyle w:val="b-budkaptit"/>
      </w:pPr>
      <w:r w:rsidRPr="006D40F0">
        <w:t>Kap. 1700 Forsvarsdepartementet</w:t>
      </w:r>
    </w:p>
    <w:p w14:paraId="282CE50D" w14:textId="77777777" w:rsidR="00575AC3" w:rsidRPr="006D40F0" w:rsidRDefault="00575AC3" w:rsidP="006D40F0">
      <w:pPr>
        <w:pStyle w:val="b-post"/>
      </w:pPr>
      <w:r w:rsidRPr="006D40F0">
        <w:t>Post 01 Driftsutgifter</w:t>
      </w:r>
    </w:p>
    <w:p w14:paraId="5D5BDCE4" w14:textId="77777777" w:rsidR="00575AC3" w:rsidRPr="006D40F0" w:rsidRDefault="00575AC3" w:rsidP="006D40F0">
      <w:r w:rsidRPr="006D40F0">
        <w:t>Bevilgningen på posten foreslås økt med 10,3 mill. kroner knyttet til bidrag til den militære støtten til Ukraina, mot tilsvarende reduksjon i bevilgningen til militær støtte til Ukraina på kap. 1700, post 79. I forslaget ligger en økning av den norske tilstedeværelsen ved ambassaden i Kyiv, tiltak for anti-korrupsjon og godt styresett i den ukrainske forsvarssektoren, samt økte utgifter for Forsvarsdepartementet i forbindelse med Ukraina-arbeidet.</w:t>
      </w:r>
    </w:p>
    <w:p w14:paraId="2836075F" w14:textId="77777777" w:rsidR="00575AC3" w:rsidRPr="006D40F0" w:rsidRDefault="00575AC3" w:rsidP="006D40F0">
      <w:r w:rsidRPr="006D40F0">
        <w:t>For at Forsvarsdepartementet bedre skal kunne understøtte sikkerhetspolitiske og forsvarspolitiske målsettinger og følge opp Riksrevisjonens funn (Dokument 3:3 (2022–2023)) på IKT-området er det igangsatt et prosjekt i departementet. Prosjektet har behov for ekstern støtte i 2024 for å videreutvikle og styrke forsvarssektorens IKT-virksomhet. Bevilgningen på posten foreslås derfor økt med 10 mill. kroner, mot en tilsvarende reduksjon av bevilgningen på kap. 1710, post 01.</w:t>
      </w:r>
    </w:p>
    <w:p w14:paraId="3BC59A9C" w14:textId="77777777" w:rsidR="00575AC3" w:rsidRPr="006D40F0" w:rsidRDefault="00575AC3" w:rsidP="006D40F0">
      <w:r w:rsidRPr="006D40F0">
        <w:t>Det foreslås å øke bevilgningen med 4,0 mill. kroner til å gjennomføre strengt nødvendige sikringstiltak ved Forsvarets ledelsesbygg for å oppfylle lovpålagte krav til sikring av skjermingsverdige verdier, mot en tilsvarende reduksjon av bevilgningen på kap. 1760, post 01.</w:t>
      </w:r>
    </w:p>
    <w:p w14:paraId="26C91702" w14:textId="77777777" w:rsidR="00575AC3" w:rsidRPr="006D40F0" w:rsidRDefault="00575AC3" w:rsidP="006D40F0">
      <w:r w:rsidRPr="006D40F0">
        <w:t>Bevilgningen foreslås økt med 3,3 mill. kroner knyttet til driftsmessige merbehov, jf. omtale på kap. 1720, post 01.</w:t>
      </w:r>
    </w:p>
    <w:p w14:paraId="0B847462" w14:textId="77777777" w:rsidR="00575AC3" w:rsidRPr="006D40F0" w:rsidRDefault="00575AC3" w:rsidP="006D40F0">
      <w:r w:rsidRPr="006D40F0">
        <w:lastRenderedPageBreak/>
        <w:t>Det foreslås å øke bevilgingen med 3,0 mill. kroner til ekstern juridisk bistand i forbindelse med pågående rettslige og utenomrettslige juridiske prosesser av sensitiv karakter, mot en tilsvarende en reduksjon av bevilgningen på kap. 1760, post 01.</w:t>
      </w:r>
    </w:p>
    <w:p w14:paraId="7371801B" w14:textId="77777777" w:rsidR="00575AC3" w:rsidRPr="006D40F0" w:rsidRDefault="00575AC3" w:rsidP="006D40F0">
      <w:r w:rsidRPr="006D40F0">
        <w:t xml:space="preserve">Bevilgningen foreslås økt med 2,2 mill. kroner til utgifter i forbindelse med besøk fra NATOs råd og assisterende generalsekretærer til øvelse Nordic </w:t>
      </w:r>
      <w:proofErr w:type="spellStart"/>
      <w:r w:rsidRPr="006D40F0">
        <w:t>Response</w:t>
      </w:r>
      <w:proofErr w:type="spellEnd"/>
      <w:r w:rsidRPr="006D40F0">
        <w:t xml:space="preserve"> 2024 (1,7 mill. kroner), merutgifter i forbindelse med forsvarsministerens festkonsert (0,1 mill. kroner) og utgifter knyttet til følgeforskning for Distriktssenterets bidrag til sivilt-militært samarbeid i forsvarskommuner (0,4 mill. kroner), mot tilsvarende reduksjon av bevilgningen på kap. 1700, post 43.</w:t>
      </w:r>
    </w:p>
    <w:p w14:paraId="644C87F6" w14:textId="77777777" w:rsidR="00575AC3" w:rsidRPr="006D40F0" w:rsidRDefault="00575AC3" w:rsidP="006D40F0">
      <w:r w:rsidRPr="006D40F0">
        <w:t>Den militære delen av kommunikasjonsenheten i Forsvarsdepartementet er overført til Forsvaret. Bevilgningen på posten foreslås derfor redusert med 5,4 mill. kroner, mot en tilsvarende økning av bevilgingen på kap. 1720, post 01.</w:t>
      </w:r>
    </w:p>
    <w:p w14:paraId="6708E7D1" w14:textId="77777777" w:rsidR="00575AC3" w:rsidRPr="006D40F0" w:rsidRDefault="00575AC3" w:rsidP="006D40F0">
      <w:r w:rsidRPr="006D40F0">
        <w:t xml:space="preserve">Det foreslås å redusere bevilgningen 0,8 mill. kroner med en motsvarende bevilgningsøkning på kap. 1720, post 01 for en stilling ved NATO-senteret Cooperative Cyber </w:t>
      </w:r>
      <w:proofErr w:type="spellStart"/>
      <w:r w:rsidRPr="006D40F0">
        <w:t>Defence</w:t>
      </w:r>
      <w:proofErr w:type="spellEnd"/>
      <w:r w:rsidRPr="006D40F0">
        <w:t xml:space="preserve"> Centre </w:t>
      </w:r>
      <w:proofErr w:type="spellStart"/>
      <w:r w:rsidRPr="006D40F0">
        <w:t>of</w:t>
      </w:r>
      <w:proofErr w:type="spellEnd"/>
      <w:r w:rsidRPr="006D40F0">
        <w:t xml:space="preserve"> </w:t>
      </w:r>
      <w:proofErr w:type="spellStart"/>
      <w:r w:rsidRPr="006D40F0">
        <w:t>Excellence</w:t>
      </w:r>
      <w:proofErr w:type="spellEnd"/>
      <w:r w:rsidRPr="006D40F0">
        <w:t xml:space="preserve"> (CCDCOE) i Tallinn og med 0,7 mill. kroner for gjennomføring av regjeringens tiltaksplan for veteraner.</w:t>
      </w:r>
    </w:p>
    <w:p w14:paraId="5BB23C01" w14:textId="77777777" w:rsidR="00575AC3" w:rsidRPr="006D40F0" w:rsidRDefault="00575AC3" w:rsidP="006D40F0">
      <w:r w:rsidRPr="006D40F0">
        <w:t>Samlet foreslås bevilgningen på kap. 1700, post 01 økt med 25,9 mill. kroner.</w:t>
      </w:r>
    </w:p>
    <w:p w14:paraId="5FB4CE99" w14:textId="77777777" w:rsidR="00575AC3" w:rsidRPr="006D40F0" w:rsidRDefault="00575AC3" w:rsidP="006D40F0">
      <w:pPr>
        <w:pStyle w:val="b-post"/>
      </w:pPr>
      <w:r w:rsidRPr="006D40F0">
        <w:t>Post 22 IKT-virksomhet, kan overføres</w:t>
      </w:r>
    </w:p>
    <w:p w14:paraId="3666B46D" w14:textId="77777777" w:rsidR="00575AC3" w:rsidRPr="006D40F0" w:rsidRDefault="00575AC3" w:rsidP="006D40F0">
      <w:r w:rsidRPr="006D40F0">
        <w:t>Bevilgningen dekker Forsvarsdepartementets IKT-organisasjon (FD IKT) og Program for Felles IKT-tjenester i departementsfellesskapet.</w:t>
      </w:r>
    </w:p>
    <w:p w14:paraId="1D248235" w14:textId="77777777" w:rsidR="00575AC3" w:rsidRPr="006D40F0" w:rsidRDefault="00575AC3" w:rsidP="006D40F0">
      <w:r w:rsidRPr="006D40F0">
        <w:t>Regjeringen vil opprette en egen etat med ansvar for å levere graderte kommunikasjonsløsninger til aktører i både sivil og militær sektor. Navnet på etaten er ikke besluttet ennå, men den har arbeidstittelen «</w:t>
      </w:r>
      <w:proofErr w:type="spellStart"/>
      <w:r w:rsidRPr="006D40F0">
        <w:t>NyOrg</w:t>
      </w:r>
      <w:proofErr w:type="spellEnd"/>
      <w:r w:rsidRPr="006D40F0">
        <w:t>». Det tas sikte på at den nye etaten blir etablert i 2025 som et ordinært forvaltningsorgan under Forsvarsdepartementet. I den forbindelse er det behov for ekstern støtte til opprettelsen av etaten. Det foreslås derfor å øke bevilgningen med 45 mill. kroner. Midlene foreslås omdisponert fra kap. 1760, post 01 (12,0 mill. kroner) og kap. 1710, post 47 (33,0 mill. kroner).</w:t>
      </w:r>
    </w:p>
    <w:p w14:paraId="1CA3DF1B" w14:textId="77777777" w:rsidR="00575AC3" w:rsidRPr="006D40F0" w:rsidRDefault="00575AC3" w:rsidP="006D40F0">
      <w:r w:rsidRPr="006D40F0">
        <w:t>Det foreslås en bevilgningsøkning til Program for Felles IKT på 35 mill. kroner, for å etablere og klargjøre for oppstart av drift av Departementenes digitaliseringsorganisasjon (DIO). Dette skal gå til å dekke engangsutgifter til tilpasning av lokaler i Biskop Gunnerus gate 6 (Byporten), kjøp av nødvendig utstyr og møbler utover det som skal gjenbrukes, og faste driftsutgifter til husleie og administrative støttefunksjoner, for DIO.</w:t>
      </w:r>
    </w:p>
    <w:p w14:paraId="55B2DCF5" w14:textId="77777777" w:rsidR="00575AC3" w:rsidRPr="006D40F0" w:rsidRDefault="00575AC3" w:rsidP="006D40F0">
      <w:r w:rsidRPr="006D40F0">
        <w:t>Regjeringen ønsker å styrke robusthet og overlevelse på utvalgte ledelsesnoder i totalforsvaret. Arbeidet organiseres som et rammestyrt skjermet prosjekt som strekker seg over fire år. Prosjektet starter i 2024 og det foreslås at det bevilges 18,2 mill. kroner på kap. 1700, post 22 og 10,0 mill. kroner på kap. 1710, post 01.</w:t>
      </w:r>
    </w:p>
    <w:p w14:paraId="49D38E27" w14:textId="77777777" w:rsidR="00575AC3" w:rsidRPr="006D40F0" w:rsidRDefault="00575AC3" w:rsidP="006D40F0">
      <w:r w:rsidRPr="006D40F0">
        <w:t xml:space="preserve">Dataangrepet mot Departementenes sikkerhets- og serviceorganisasjon (DSS) har ført til en ny utredning av flere alternativer for fremtidig plattformløsning i Program Felles IKT-tjenester for departementsfelleskapet, inkludert løsninger med mindre grad av gjenbruk. Dette har ført til en </w:t>
      </w:r>
      <w:r w:rsidRPr="006D40F0">
        <w:lastRenderedPageBreak/>
        <w:t>forskyvning av programmets aktiviteter i 2024 og endret periodisering mellom 2024 og 2025. Det foreslås derfor å redusere bevilgningen med 150,0 mill. kroner i 2024.</w:t>
      </w:r>
    </w:p>
    <w:p w14:paraId="54013E44" w14:textId="77777777" w:rsidR="00575AC3" w:rsidRPr="006D40F0" w:rsidRDefault="00575AC3" w:rsidP="006D40F0">
      <w:r w:rsidRPr="006D40F0">
        <w:t>Samlet foreslås bevilgningen på kap. 1700, post 22 redusert med 51,8 mill. kroner.</w:t>
      </w:r>
    </w:p>
    <w:p w14:paraId="4EBE9736" w14:textId="77777777" w:rsidR="00575AC3" w:rsidRPr="006D40F0" w:rsidRDefault="00575AC3" w:rsidP="006D40F0">
      <w:pPr>
        <w:pStyle w:val="b-post"/>
      </w:pPr>
      <w:r w:rsidRPr="006D40F0">
        <w:t>Post 43 Til disposisjon for Forsvarsdepartementet, kan overføres</w:t>
      </w:r>
    </w:p>
    <w:p w14:paraId="00BBCAAA" w14:textId="77777777" w:rsidR="00575AC3" w:rsidRPr="006D40F0" w:rsidRDefault="00575AC3" w:rsidP="006D40F0">
      <w:r w:rsidRPr="006D40F0">
        <w:t xml:space="preserve">Bevilgningen på posten foreslås redusert med 2,2 mill. kroner mot en tilsvarende økning på kap. 1700, post 01, for å finansiere besøk fra NATOs råd og assisterende generalsekretær til Nordic </w:t>
      </w:r>
      <w:proofErr w:type="spellStart"/>
      <w:r w:rsidRPr="006D40F0">
        <w:t>Response</w:t>
      </w:r>
      <w:proofErr w:type="spellEnd"/>
      <w:r w:rsidRPr="006D40F0">
        <w:t xml:space="preserve"> 2024, merutgifter i forbindelse med forsvarsministerens festkonsert og utgifter knyttet til følgeforskning for Distriktssenterets bidrag til sivilt-militært samarbeid i forsvarskommuner.</w:t>
      </w:r>
    </w:p>
    <w:p w14:paraId="3F5A7948" w14:textId="77777777" w:rsidR="00575AC3" w:rsidRPr="006D40F0" w:rsidRDefault="00575AC3" w:rsidP="006D40F0">
      <w:pPr>
        <w:pStyle w:val="b-post"/>
      </w:pPr>
      <w:r w:rsidRPr="006D40F0">
        <w:t>Post 52 Overføringer til statlige forvaltningsorganer</w:t>
      </w:r>
    </w:p>
    <w:p w14:paraId="0CEB885E" w14:textId="77777777" w:rsidR="00575AC3" w:rsidRPr="006D40F0" w:rsidRDefault="00575AC3" w:rsidP="006D40F0">
      <w:r w:rsidRPr="006D40F0">
        <w:t>Sammen med Innovasjon Norge har Forsvarsdepartementet besluttet å opprette en forsvarsindustriråd i Australia. Stillingen skal styrke norsk og alliert forsvarsevne og stridskraft, gjennom å styrke Norges forsvarsindustrielle og -teknologiske base for økt eksport og tettere industrisamarbeid med Australia i et kort og langsiktig perspektiv. Stillingen finansieres av Innovasjon Norge og Forsvarsdepartementet. Det foreslås derfor å øke bevilgningen med 1,5 mill. kroner. Midlene foreslås omdisponert fra kap. 1700, post 78.</w:t>
      </w:r>
    </w:p>
    <w:p w14:paraId="42DB287C" w14:textId="77777777" w:rsidR="00575AC3" w:rsidRPr="006D40F0" w:rsidRDefault="00575AC3" w:rsidP="006D40F0">
      <w:pPr>
        <w:pStyle w:val="b-post"/>
      </w:pPr>
      <w:r w:rsidRPr="006D40F0">
        <w:t>Post 71 Overføringer til andre, kan overføres</w:t>
      </w:r>
    </w:p>
    <w:p w14:paraId="6CACE892" w14:textId="77777777" w:rsidR="00575AC3" w:rsidRPr="006D40F0" w:rsidRDefault="00575AC3" w:rsidP="006D40F0">
      <w:r w:rsidRPr="006D40F0">
        <w:t>Stiftelsen Roseslottet åpnet i 2020 en kunstinstallasjon på Frognerseteren i Oslo. Roseslottet ønsker nå å gjøre utstillingen tilgjengelig andre steder i landet gjennom en vandreutstilling til 20 steder i Norge fra høsten 2024 til høsten 2025. Den landsdekkende vandreutstillingen vil sammenfalle med, og være et positivt bidrag til, 80-årsmarkeringen av frigjøringen av Norge og slutten på annen verdenskrig. Det foreslås et enkeltstående tilskudd til Stiftelsen Roseslottet på 3,0 mill. kroner. Det foreslås derfor å øke bevilgningen på kap. 1700, post 71, med 3,0 mill. kroner mot en tilsvarende reduksjon på kap. 1710, post 01.</w:t>
      </w:r>
    </w:p>
    <w:p w14:paraId="40632CD7" w14:textId="77777777" w:rsidR="00575AC3" w:rsidRPr="006D40F0" w:rsidRDefault="00575AC3" w:rsidP="006D40F0">
      <w:r w:rsidRPr="006D40F0">
        <w:t>Videre foreslås bevilgningen på posten redusert med 5,6 mill. kroner mot en tilsvarende økning på kap. 1720, post 01, knyttet til oppfølging av regjeringens tiltaksplan for veteraner.</w:t>
      </w:r>
    </w:p>
    <w:p w14:paraId="37BBFB10" w14:textId="77777777" w:rsidR="00575AC3" w:rsidRPr="006D40F0" w:rsidRDefault="00575AC3" w:rsidP="006D40F0">
      <w:r w:rsidRPr="006D40F0">
        <w:t>Samlet foreslås bevilgningen på kap. 1700, post 71 redusert med 2,6 mill. kroner.</w:t>
      </w:r>
    </w:p>
    <w:p w14:paraId="419B6F2D" w14:textId="77777777" w:rsidR="00575AC3" w:rsidRPr="006D40F0" w:rsidRDefault="00575AC3" w:rsidP="006D40F0">
      <w:pPr>
        <w:pStyle w:val="b-post"/>
      </w:pPr>
      <w:r w:rsidRPr="006D40F0">
        <w:t>Post 73 Forskning og utvikling, kan overføres</w:t>
      </w:r>
    </w:p>
    <w:p w14:paraId="0304ED70" w14:textId="77777777" w:rsidR="00575AC3" w:rsidRPr="006D40F0" w:rsidRDefault="00575AC3" w:rsidP="006D40F0">
      <w:r w:rsidRPr="006D40F0">
        <w:t>Knyttet til sikkerhetspolitisk forskning og utvikling foreslås det å øke bevilgningen med 1,6 mill. kroner med motsvarende bevilgningsreduksjon på kap. 1720, post 01.</w:t>
      </w:r>
    </w:p>
    <w:p w14:paraId="6F159E3A" w14:textId="77777777" w:rsidR="00575AC3" w:rsidRPr="006D40F0" w:rsidRDefault="00575AC3" w:rsidP="006D40F0">
      <w:pPr>
        <w:pStyle w:val="b-post"/>
      </w:pPr>
      <w:r w:rsidRPr="006D40F0">
        <w:t>Post 78 Norges tilskudd til NATOs og internasjonale driftsbudsjetter, kan overføres</w:t>
      </w:r>
    </w:p>
    <w:p w14:paraId="2B640E49" w14:textId="77777777" w:rsidR="00575AC3" w:rsidRPr="006D40F0" w:rsidRDefault="00575AC3" w:rsidP="006D40F0">
      <w:r w:rsidRPr="006D40F0">
        <w:t xml:space="preserve">Regjeringen foreslår å øke rammen for militær støtte til Ukraina i 2024 med 6,0 mrd. kroner. Det foreslås å styrke den militære støtten til Ukraina gjennom en økning av bevilgningen på kap. 1700, post 78, med om lag 1 mrd. kroner for tiltak om økt industriproduksjonskapasitet for </w:t>
      </w:r>
      <w:r w:rsidRPr="006D40F0">
        <w:lastRenderedPageBreak/>
        <w:t>militært materiell i Norge. Det foreslås i tillegg å styrke bevilgningen på kap. 1700, post 79, med 4,96 mrd. kroner for å legge til rette for nye tiltak om støtte til Ukraina i 2024.</w:t>
      </w:r>
    </w:p>
    <w:p w14:paraId="3884D0A0" w14:textId="77777777" w:rsidR="00575AC3" w:rsidRPr="006D40F0" w:rsidRDefault="00575AC3" w:rsidP="006D40F0">
      <w:r w:rsidRPr="006D40F0">
        <w:t xml:space="preserve">Regjeringen har besluttet at Norge deltar i EU-ordningene EDIRPA (European </w:t>
      </w:r>
      <w:proofErr w:type="spellStart"/>
      <w:r w:rsidRPr="006D40F0">
        <w:t>Defence</w:t>
      </w:r>
      <w:proofErr w:type="spellEnd"/>
      <w:r w:rsidRPr="006D40F0">
        <w:t xml:space="preserve"> Industry </w:t>
      </w:r>
      <w:proofErr w:type="spellStart"/>
      <w:r w:rsidRPr="006D40F0">
        <w:t>Reinforcement</w:t>
      </w:r>
      <w:proofErr w:type="spellEnd"/>
      <w:r w:rsidRPr="006D40F0">
        <w:t xml:space="preserve"> </w:t>
      </w:r>
      <w:proofErr w:type="spellStart"/>
      <w:r w:rsidRPr="006D40F0">
        <w:t>through</w:t>
      </w:r>
      <w:proofErr w:type="spellEnd"/>
      <w:r w:rsidRPr="006D40F0">
        <w:t xml:space="preserve"> </w:t>
      </w:r>
      <w:proofErr w:type="spellStart"/>
      <w:r w:rsidRPr="006D40F0">
        <w:t>common</w:t>
      </w:r>
      <w:proofErr w:type="spellEnd"/>
      <w:r w:rsidRPr="006D40F0">
        <w:t xml:space="preserve"> </w:t>
      </w:r>
      <w:proofErr w:type="spellStart"/>
      <w:r w:rsidRPr="006D40F0">
        <w:t>Procurement</w:t>
      </w:r>
      <w:proofErr w:type="spellEnd"/>
      <w:r w:rsidRPr="006D40F0">
        <w:t xml:space="preserve"> </w:t>
      </w:r>
      <w:proofErr w:type="spellStart"/>
      <w:r w:rsidRPr="006D40F0">
        <w:t>Act</w:t>
      </w:r>
      <w:proofErr w:type="spellEnd"/>
      <w:r w:rsidRPr="006D40F0">
        <w:t>) og ASAP (</w:t>
      </w:r>
      <w:proofErr w:type="spellStart"/>
      <w:r w:rsidRPr="006D40F0">
        <w:t>Act</w:t>
      </w:r>
      <w:proofErr w:type="spellEnd"/>
      <w:r w:rsidRPr="006D40F0">
        <w:t xml:space="preserve"> in Support </w:t>
      </w:r>
      <w:proofErr w:type="spellStart"/>
      <w:r w:rsidRPr="006D40F0">
        <w:t>of</w:t>
      </w:r>
      <w:proofErr w:type="spellEnd"/>
      <w:r w:rsidRPr="006D40F0">
        <w:t xml:space="preserve"> </w:t>
      </w:r>
      <w:proofErr w:type="spellStart"/>
      <w:r w:rsidRPr="006D40F0">
        <w:t>Ammunition</w:t>
      </w:r>
      <w:proofErr w:type="spellEnd"/>
      <w:r w:rsidRPr="006D40F0">
        <w:t xml:space="preserve"> Production) for å styrke forsvarsindustrien til støtte for Ukraina. Samlet er det planlagt utbetalinger i 2024 til de to ordningene for 683 mill. kroner, hvorav 283 mill. kroner gjelder kontingent til de to ordningene og 400 mill. kroner gjelder forventede utbetalinger til medfinansiering ASAP i 2024. 357 mill. kroner foreslås til andre tiltak for økt produksjonskapasitet i 2024. Midlene til ASAP, EDIRPA og andre tiltak for økt produksjonskapasitet foreslås bevilget for å utvide produksjonskapasitet for missiler, eksplosiver og artilleriammunisjon i Norge.</w:t>
      </w:r>
    </w:p>
    <w:p w14:paraId="5A445640" w14:textId="77777777" w:rsidR="00575AC3" w:rsidRPr="006D40F0" w:rsidRDefault="00575AC3" w:rsidP="006D40F0">
      <w:r w:rsidRPr="006D40F0">
        <w:t>Bevilgningen foreslås også redusert med 1,5 mill. kroner, mot en tilsvarende økning på kap. 1700, post 52, i forbindelse med opprettelse av en ny stilling som forsvarsindustriråd i Australia.</w:t>
      </w:r>
    </w:p>
    <w:p w14:paraId="0AADC413" w14:textId="77777777" w:rsidR="00575AC3" w:rsidRPr="006D40F0" w:rsidRDefault="00575AC3" w:rsidP="006D40F0">
      <w:r w:rsidRPr="006D40F0">
        <w:t>Samlet foreslås bevilgningen på kap. 1700, post 78 økt med 1 038,5 mill. kroner.</w:t>
      </w:r>
    </w:p>
    <w:p w14:paraId="4747B2D1" w14:textId="77777777" w:rsidR="00575AC3" w:rsidRPr="006D40F0" w:rsidRDefault="00575AC3" w:rsidP="006D40F0">
      <w:pPr>
        <w:pStyle w:val="b-post"/>
      </w:pPr>
      <w:r w:rsidRPr="006D40F0">
        <w:t>Post 79 Militær støtte til Ukraina, kan overføres, kan nyttes under kap. 1710, post 1 og 47, kap. 1720, post 1 og kap. 1760, post 1 og 45</w:t>
      </w:r>
    </w:p>
    <w:p w14:paraId="24A3D252" w14:textId="77777777" w:rsidR="00575AC3" w:rsidRPr="006D40F0" w:rsidRDefault="00575AC3" w:rsidP="006D40F0">
      <w:r w:rsidRPr="006D40F0">
        <w:t>Posten omfatter den militære støtten til Ukraina gjennom Nansen-programmet, jf. Prop. 44 S (2022–2023). Bevilgningen i saldert budsjett 2024 er 4 450,0 mill. kroner.</w:t>
      </w:r>
    </w:p>
    <w:p w14:paraId="3BC857D3" w14:textId="77777777" w:rsidR="00575AC3" w:rsidRPr="006D40F0" w:rsidRDefault="00575AC3" w:rsidP="006D40F0">
      <w:r w:rsidRPr="006D40F0">
        <w:t>Regjeringen foreslår å øke rammen for militær støtte til Ukraina i 2024 med 6,0 mrd. kroner, gjennom en fremskyndelse av midler innenfor rammene av det gjeldende Nansen-programmet. Av denne økningen tas det sikte på å benytte inntil 4 mrd. kroner til luftverntiltak med rask effekt til støtte for Ukraina, om lag 1 mrd. kroner til styrket industriproduksjonskapasitet for militært materiell i Norge, og om lag 1 mrd. kroner til økt handlingsrom for andre tiltak ut året.</w:t>
      </w:r>
    </w:p>
    <w:p w14:paraId="0FDE10CC" w14:textId="77777777" w:rsidR="00575AC3" w:rsidRPr="006D40F0" w:rsidRDefault="00575AC3" w:rsidP="006D40F0">
      <w:r w:rsidRPr="006D40F0">
        <w:t xml:space="preserve">Samtidig som den foreslåtte økningen i rammen, foreslås bevilgningen på posten redusert med 1 384,3 mill. kroner, mot tilsvarende økninger på andre poster i forsvarsbudsjettet. Reduksjonen skyldes omdisponeringer til andre poster i forsvarsbudsjettet, som følge av regjeringens tiltak for støtte til Ukraina innenfor hovedsporene i Nansen-programmet: </w:t>
      </w:r>
      <w:r w:rsidRPr="00575AC3">
        <w:rPr>
          <w:rStyle w:val="kursiv"/>
        </w:rPr>
        <w:t>donasjoner av materiell fra forsvarssektoren, donasjoner gjennom internasjonale mekanismer, anskaffelser fra industrien, trening av ukrainsk personell, styrket forsvarsindustriproduksjon samt andre utgifter.</w:t>
      </w:r>
    </w:p>
    <w:p w14:paraId="55371F1A" w14:textId="77777777" w:rsidR="00575AC3" w:rsidRPr="006D40F0" w:rsidRDefault="00575AC3" w:rsidP="006D40F0">
      <w:pPr>
        <w:pStyle w:val="avsnitt-undertittel"/>
      </w:pPr>
      <w:r w:rsidRPr="006D40F0">
        <w:t>Utgifter ifm. donasjoner av materiell fra forsvarssektoren</w:t>
      </w:r>
    </w:p>
    <w:p w14:paraId="3EB0FCBD" w14:textId="77777777" w:rsidR="00575AC3" w:rsidRPr="006D40F0" w:rsidRDefault="00575AC3" w:rsidP="006D40F0">
      <w:r w:rsidRPr="006D40F0">
        <w:t>Regjeringen foreslår å omdisponere totalt 771,4 mill. kroner under den militære støtten til Ukraina for å finansiere utgifter i forbindelse med donasjoner av materiell fra forsvarssektoren.</w:t>
      </w:r>
    </w:p>
    <w:p w14:paraId="26DCC5C3" w14:textId="77777777" w:rsidR="00575AC3" w:rsidRPr="006D40F0" w:rsidRDefault="00575AC3" w:rsidP="006D40F0">
      <w:r w:rsidRPr="006D40F0">
        <w:t>139,2 mill. kroner av bevilgningen foreslås omdisponert til kap. 1720, post 01, jf. omtale under posten. De foreslåtte endringene gjelder trening av ukrainske piloter (88,0 mill. kroner), utgifter til avbøtende tiltak for å beholde kompetanse i Forsvaret etter donasjon av materiell (20,0 mill. kroner), midler til prosjekt for mulig donasjon til Ukraina (15,0 mill. kroner), utgifter til transport av donert materiell (8,9 mill. kroner) og trening av ukrainsk personell og donasjon av reservedelspakke i forbindelse med donasjon av anti-droneløsning (7,3 mill. kroner).</w:t>
      </w:r>
    </w:p>
    <w:p w14:paraId="7E9BA147" w14:textId="77777777" w:rsidR="00575AC3" w:rsidRPr="006D40F0" w:rsidRDefault="00575AC3" w:rsidP="006D40F0">
      <w:r w:rsidRPr="006D40F0">
        <w:lastRenderedPageBreak/>
        <w:t>632,2 mill. kroner av bevilgningen foreslås omdisponert til kap. 1760, post 45, jf. omtale under posten. De foreslåtte endringene gjelder utbetalinger til gjenanskaffelse av donert materiell og håndtering av prisutvikling mellom år (373,7 mill. kroner), klargjøring av F-16-fly for donasjon (136,0 mill. kroner), utgifter til anskaffelse i forbindelse med donasjon av gummibåter og tilhørende utstyr til Ukraina (62,5 mill. kroner) og utgifter til et flerårig utviklingsprosjekt for donasjon til Ukraina ledet som Forsvarets forskningsinstitutt utfører på oppdrag fra Forsvarsdepartementet (60,0 mill. kroner).</w:t>
      </w:r>
    </w:p>
    <w:p w14:paraId="33872006" w14:textId="77777777" w:rsidR="00575AC3" w:rsidRPr="006D40F0" w:rsidRDefault="00575AC3" w:rsidP="006D40F0">
      <w:pPr>
        <w:pStyle w:val="avsnitt-undertittel"/>
      </w:pPr>
      <w:r w:rsidRPr="006D40F0">
        <w:t>Anskaffelser fra industrien for donasjon til Ukraina</w:t>
      </w:r>
    </w:p>
    <w:p w14:paraId="61E44A23" w14:textId="77777777" w:rsidR="00575AC3" w:rsidRPr="006D40F0" w:rsidRDefault="00575AC3" w:rsidP="006D40F0">
      <w:r w:rsidRPr="006D40F0">
        <w:t>Det foreslås å redusere bevilgningen på kap. 1700, post 79, med 160,0 mill. kroner mot en tilsvarende økning av bevilgingen på kap. 1760, post 45, jf. omtale under posten, i forbindelse med anskaffelser fra industrien for donasjon til Ukraina. Midlene skal benyttes til å håndtere andre utbetaling i anskaffelsen av Black Hornet-droner for donasjon til Ukraina, som ble iverksatt i 2023.</w:t>
      </w:r>
    </w:p>
    <w:p w14:paraId="0DFD1741" w14:textId="77777777" w:rsidR="00575AC3" w:rsidRPr="006D40F0" w:rsidRDefault="00575AC3" w:rsidP="006D40F0">
      <w:pPr>
        <w:pStyle w:val="avsnitt-undertittel"/>
      </w:pPr>
      <w:r w:rsidRPr="006D40F0">
        <w:t>Trening og opplæring av ukrainsk personell</w:t>
      </w:r>
    </w:p>
    <w:p w14:paraId="4171D9BA" w14:textId="77777777" w:rsidR="00575AC3" w:rsidRPr="006D40F0" w:rsidRDefault="00575AC3" w:rsidP="006D40F0">
      <w:r w:rsidRPr="006D40F0">
        <w:t>4,0 mill. kroner av bevilgningen foreslås omdisponert til kap. 1700, post 01, jf. omtale under posten. Midlene nyttes til et samarbeidsprosjekt mellom Ukraina og Norge om antikorrupsjon og godt styresett i ukrainsk forsvarssektor.</w:t>
      </w:r>
    </w:p>
    <w:p w14:paraId="47BA887D" w14:textId="77777777" w:rsidR="00575AC3" w:rsidRPr="006D40F0" w:rsidRDefault="00575AC3" w:rsidP="006D40F0">
      <w:r w:rsidRPr="006D40F0">
        <w:t xml:space="preserve">131,6 mill. kroner av bevilgningen foreslås omdisponert til kap. 1720, post 01, jf. omtale under posten. Endringene omfatter blant annet midler til personlig bekledning og utstyr for ukrainsk personell til treningen i </w:t>
      </w:r>
      <w:proofErr w:type="spellStart"/>
      <w:r w:rsidRPr="006D40F0">
        <w:t>Interflex</w:t>
      </w:r>
      <w:proofErr w:type="spellEnd"/>
      <w:r w:rsidRPr="006D40F0">
        <w:t xml:space="preserve"> (80,0 mill. kroner), trening av ukrainsk personell i forbindelse med donasjon av småbåter (45,0 mill. kroner), trening av ukrainsk personell på donerte mineryddere (4,6 mill. kroner), og trening av ukrainske minedykkere (2,0 mill. kroner).</w:t>
      </w:r>
    </w:p>
    <w:p w14:paraId="5A130E08" w14:textId="77777777" w:rsidR="00575AC3" w:rsidRPr="006D40F0" w:rsidRDefault="00575AC3" w:rsidP="006D40F0">
      <w:r w:rsidRPr="006D40F0">
        <w:t>Regjeringens forslag om omdisponeringer under den militære støtten til Ukraina for Trening av ukrainsk personell innebærer forslag om en bevilgningsreduksjon på 135,6 mill. kroner.</w:t>
      </w:r>
    </w:p>
    <w:p w14:paraId="280E34F4" w14:textId="77777777" w:rsidR="00575AC3" w:rsidRPr="006D40F0" w:rsidRDefault="00575AC3" w:rsidP="006D40F0">
      <w:pPr>
        <w:pStyle w:val="avsnitt-undertittel"/>
      </w:pPr>
      <w:r w:rsidRPr="006D40F0">
        <w:t>Økt industriproduksjonskapasitet i forsvarsindustrien</w:t>
      </w:r>
    </w:p>
    <w:p w14:paraId="44124BA2" w14:textId="77777777" w:rsidR="00575AC3" w:rsidRPr="006D40F0" w:rsidRDefault="00575AC3" w:rsidP="006D40F0">
      <w:r w:rsidRPr="006D40F0">
        <w:t>281,4 mill. kroner foreslås omdisponert til kap. 1760, post 45, til styrket ammunisjonsproduksjonskapasitet hos Nammo Raufoss AS.</w:t>
      </w:r>
    </w:p>
    <w:p w14:paraId="0CEC5B46" w14:textId="77777777" w:rsidR="00575AC3" w:rsidRPr="006D40F0" w:rsidRDefault="00575AC3" w:rsidP="006D40F0">
      <w:pPr>
        <w:pStyle w:val="avsnitt-undertittel"/>
      </w:pPr>
      <w:r w:rsidRPr="006D40F0">
        <w:t>Andre endringer</w:t>
      </w:r>
    </w:p>
    <w:p w14:paraId="6276429A" w14:textId="77777777" w:rsidR="00575AC3" w:rsidRPr="006D40F0" w:rsidRDefault="00575AC3" w:rsidP="006D40F0">
      <w:r w:rsidRPr="006D40F0">
        <w:t>6,3 mill. kroner foreslås omdisponert til kap. 1700, post 01, jf. omtale under posten. De foreslåtte endringene gjelder økt norsk tilstedeværelse ved ambassaden Kyiv gjennom styrking av antall militærattachestillinger (5 mill. kroner) samt økte utgifter for Forsvarsdepartementet, hovedsakelig knyttet til reise og merarbeid i forbindelse med Ukraina-arbeidet (1,3 mill. kroner).</w:t>
      </w:r>
    </w:p>
    <w:p w14:paraId="6DE5F44B" w14:textId="77777777" w:rsidR="00575AC3" w:rsidRPr="006D40F0" w:rsidRDefault="00575AC3" w:rsidP="006D40F0">
      <w:r w:rsidRPr="006D40F0">
        <w:t xml:space="preserve">25,6 mill. kroner av bevilgningen foreslås omdisponert til kap. 1720, post 01, i forbindelse med utgifter til Norges </w:t>
      </w:r>
      <w:proofErr w:type="spellStart"/>
      <w:r w:rsidRPr="006D40F0">
        <w:t>medlederskap</w:t>
      </w:r>
      <w:proofErr w:type="spellEnd"/>
      <w:r w:rsidRPr="006D40F0">
        <w:t xml:space="preserve"> i den maritime koalisjonen for Ukraina (16,3 mill. kroner) og styrking av Forsvarsstaben og Forsvarets logistikkorganisasjon i forbindelse med deres arbeid med oppfølging av oppdrag om trening og donasjon til Ukraina (9,3 mill. kroner).</w:t>
      </w:r>
    </w:p>
    <w:p w14:paraId="29D9E618" w14:textId="77777777" w:rsidR="00575AC3" w:rsidRPr="006D40F0" w:rsidRDefault="00575AC3" w:rsidP="006D40F0">
      <w:r w:rsidRPr="006D40F0">
        <w:lastRenderedPageBreak/>
        <w:t>4,0 mill. kroner av bevilgningen foreslås omdisponert til kap. 1760, post 01, knyttet til reparasjon av donert materiell. Regjeringens forslag om omdisponeringer under den militære støtten til Ukraina for Andre endringer innebærer forslag om en bevilgningsreduksjon på 35,9 mill. kroner.</w:t>
      </w:r>
    </w:p>
    <w:p w14:paraId="275D0282" w14:textId="77777777" w:rsidR="00575AC3" w:rsidRPr="006D40F0" w:rsidRDefault="00575AC3" w:rsidP="006D40F0">
      <w:r w:rsidRPr="006D40F0">
        <w:t>Samlet foreslås bevilgningen på kap. 1700, post 79, økt med 3 575,8 mill. kroner.</w:t>
      </w:r>
    </w:p>
    <w:p w14:paraId="3635FC42" w14:textId="77777777" w:rsidR="00575AC3" w:rsidRPr="006D40F0" w:rsidRDefault="00575AC3" w:rsidP="006D40F0">
      <w:pPr>
        <w:pStyle w:val="b-budkaptit"/>
      </w:pPr>
      <w:r w:rsidRPr="006D40F0">
        <w:t>Kap. 1710 Forsvarsbygg og nybygg og nyanlegg</w:t>
      </w:r>
    </w:p>
    <w:p w14:paraId="501B514F" w14:textId="77777777" w:rsidR="00575AC3" w:rsidRPr="006D40F0" w:rsidRDefault="00575AC3" w:rsidP="006D40F0">
      <w:pPr>
        <w:pStyle w:val="b-post"/>
      </w:pPr>
      <w:r w:rsidRPr="006D40F0">
        <w:t>Post 01 Driftsutgifter, kan overføres</w:t>
      </w:r>
    </w:p>
    <w:p w14:paraId="430B1BAA" w14:textId="77777777" w:rsidR="00575AC3" w:rsidRPr="006D40F0" w:rsidRDefault="00575AC3" w:rsidP="006D40F0">
      <w:r w:rsidRPr="006D40F0">
        <w:t>Det foreslås å øke bevilgningen med 108 mill. kroner knyttet til prosjekt for Sikker teknisk infrastruktur (STI) på grunn av endret fremdrift i prosjektet.</w:t>
      </w:r>
    </w:p>
    <w:p w14:paraId="1C312C0A" w14:textId="77777777" w:rsidR="00575AC3" w:rsidRPr="006D40F0" w:rsidRDefault="00575AC3" w:rsidP="006D40F0">
      <w:r w:rsidRPr="006D40F0">
        <w:t>Bevilgningen foreslås økt med 30,1 mill. kroner, mot en tilsvarende økning av inntektene under kap. 4710, post 01, jf. nærmere omtale under kap. 4710, post 01.</w:t>
      </w:r>
    </w:p>
    <w:p w14:paraId="257348F6" w14:textId="77777777" w:rsidR="00575AC3" w:rsidRPr="006D40F0" w:rsidRDefault="00575AC3" w:rsidP="006D40F0">
      <w:r w:rsidRPr="006D40F0">
        <w:t>Regjeringens foreslår at det settes av 10,0 mill. kroner til ledelsesnoder, jf. omtale under kap. 1700, post 22.</w:t>
      </w:r>
    </w:p>
    <w:p w14:paraId="52C2CA3A" w14:textId="77777777" w:rsidR="00575AC3" w:rsidRPr="006D40F0" w:rsidRDefault="00575AC3" w:rsidP="006D40F0">
      <w:r w:rsidRPr="006D40F0">
        <w:t>Bevilgningen foreslås redusert med 8,8 mill. kroner mot en tilsvarende økning under kap. 1716, post 51 knyttet til overføring av renholdstjenester til Forsvarets forskningsinstitutt, jf. nærmere omtale under kap. 1716, post 51.</w:t>
      </w:r>
    </w:p>
    <w:p w14:paraId="15D4EA24" w14:textId="77777777" w:rsidR="00575AC3" w:rsidRPr="006D40F0" w:rsidRDefault="00575AC3" w:rsidP="006D40F0">
      <w:r w:rsidRPr="006D40F0">
        <w:t xml:space="preserve">Det foreslås å redusere bevilgningen med 11,5 mill. kroner, tilsvarende </w:t>
      </w:r>
      <w:proofErr w:type="spellStart"/>
      <w:r w:rsidRPr="006D40F0">
        <w:t>mindreforbruket</w:t>
      </w:r>
      <w:proofErr w:type="spellEnd"/>
      <w:r w:rsidRPr="006D40F0">
        <w:t xml:space="preserve"> ved ferdigstilling av utbedring av F-blokken ved Joint </w:t>
      </w:r>
      <w:proofErr w:type="spellStart"/>
      <w:r w:rsidRPr="006D40F0">
        <w:t>Warfare</w:t>
      </w:r>
      <w:proofErr w:type="spellEnd"/>
      <w:r w:rsidRPr="006D40F0">
        <w:t xml:space="preserve"> Centre Jåttå. Midlene foreslås omdisponert til kap. 1700, post 01, og kap. 1760, post 45.</w:t>
      </w:r>
    </w:p>
    <w:p w14:paraId="24271D1A" w14:textId="77777777" w:rsidR="00575AC3" w:rsidRPr="006D40F0" w:rsidRDefault="00575AC3" w:rsidP="006D40F0">
      <w:r w:rsidRPr="006D40F0">
        <w:t xml:space="preserve">Forsvarsbygg har stanset to igangsatte IKT-prosjekter i påvente av avklaringer om nytt system for forvaltning, drift og vedlikehold, med en samlet ramme på 28,5 mill. kroner. Det foreslås at 13,1 mill. kroner av </w:t>
      </w:r>
      <w:proofErr w:type="spellStart"/>
      <w:r w:rsidRPr="006D40F0">
        <w:t>mindreforbruket</w:t>
      </w:r>
      <w:proofErr w:type="spellEnd"/>
      <w:r w:rsidRPr="006D40F0">
        <w:t xml:space="preserve"> benyttes til inndekking av nødvendige merutgifter innenfor samme kapittel og post knyttet til miljøopprydding ved Kjeller og Karljohansvern. Det foreslås at bevilgningen reduseres med 14,8 mill. kroner, tilsvarende det resterende </w:t>
      </w:r>
      <w:proofErr w:type="spellStart"/>
      <w:r w:rsidRPr="006D40F0">
        <w:t>mindreforbruket</w:t>
      </w:r>
      <w:proofErr w:type="spellEnd"/>
      <w:r w:rsidRPr="006D40F0">
        <w:t>, og omdisponeres til kap. 1700, post 71, kap. 1720, post 01, og kap. 1760, post 45.</w:t>
      </w:r>
    </w:p>
    <w:p w14:paraId="0B9446DD" w14:textId="77777777" w:rsidR="00575AC3" w:rsidRPr="006D40F0" w:rsidRDefault="00575AC3" w:rsidP="006D40F0">
      <w:r w:rsidRPr="006D40F0">
        <w:t>Samlet foreslås bevilgningen på kap. 1710, post 01 økt med 113,0 mill. kroner.</w:t>
      </w:r>
    </w:p>
    <w:p w14:paraId="526F4CA6" w14:textId="77777777" w:rsidR="00575AC3" w:rsidRPr="006D40F0" w:rsidRDefault="00575AC3" w:rsidP="006D40F0">
      <w:pPr>
        <w:pStyle w:val="b-post"/>
      </w:pPr>
      <w:r w:rsidRPr="006D40F0">
        <w:t>Post 47 Nybygg og nyanlegg, kan overføres</w:t>
      </w:r>
    </w:p>
    <w:p w14:paraId="12DC5745" w14:textId="77777777" w:rsidR="00575AC3" w:rsidRPr="006D40F0" w:rsidRDefault="00575AC3" w:rsidP="006D40F0">
      <w:r w:rsidRPr="006D40F0">
        <w:t xml:space="preserve">I den nylig fremlagte langtidsplanen for forsvarssektoren, Prop. 87 S (2023–2024) </w:t>
      </w:r>
      <w:r w:rsidRPr="00575AC3">
        <w:rPr>
          <w:rStyle w:val="kursiv"/>
        </w:rPr>
        <w:t>Forsvarsløftet – For Norges trygghet</w:t>
      </w:r>
      <w:r w:rsidRPr="006D40F0">
        <w:t xml:space="preserve"> ligger det et en kraftfull satsning på eiendom, bygg og anlegg (EBA) som understøtter styrkingen av Forsvarets operative evne. Sektoren har et stort vedlikeholdsetterslep, i tillegg er det behov for mange nye bygg inkludert nye boliger, kvarter og kaserner til bemanningsøkningen i Forsvaret. For å møte de sikkerhetspolitiske utfordringene Norge står overfor, foreslår regjeringen at forsvarsøftet starter allerede i år. Regjeringen foreslår derfor en økning av bevilgningen på posten med 737,5 mill. kroner til oppgradering og styrking av kritisk infrastruktur, oppstart av fornyelse og etablering av personellrelatert EBA som boliger og forlegninger for å legge til rette for rask personellopptrapping samt øvrige EBA-tiltak, herunder forsering av utskifting til LED-belysning. Tiltakene vil bidra til å styrke forsvarsevnen i form av økt operativ ytelse og kapasitet i form av beredskap.</w:t>
      </w:r>
    </w:p>
    <w:p w14:paraId="2A0CB92D" w14:textId="77777777" w:rsidR="00575AC3" w:rsidRPr="006D40F0" w:rsidRDefault="00575AC3" w:rsidP="006D40F0">
      <w:r w:rsidRPr="006D40F0">
        <w:lastRenderedPageBreak/>
        <w:t>Det foreslås å øke bevilgningen med 100,0 mill. kroner knyttet til økning i inntekter fra salg av boliger i 2024. Inntektene budsjetteres på kap. 4710, post 47. Det foreslås å omdisponere midlene til kap. 1720, post 01 med 67,0 mill. kroner og kap. 1700, post 22 med 33,0 mill. kroner, til dekning av andre merutgifter som har oppstått.</w:t>
      </w:r>
    </w:p>
    <w:p w14:paraId="4528B549" w14:textId="77777777" w:rsidR="00575AC3" w:rsidRPr="006D40F0" w:rsidRDefault="00575AC3" w:rsidP="006D40F0">
      <w:r w:rsidRPr="006D40F0">
        <w:t xml:space="preserve">I tillegg foreslås bevilgningen på posten redusert med 150,0 mill. kroner mot en tilsvarende økning av bevilgningen på kap. 1760, post 01, knyttet til å styrke sikkerhetsnivået ved Andøya </w:t>
      </w:r>
      <w:proofErr w:type="spellStart"/>
      <w:r w:rsidRPr="006D40F0">
        <w:t>Spaceport</w:t>
      </w:r>
      <w:proofErr w:type="spellEnd"/>
      <w:r w:rsidRPr="006D40F0">
        <w:t>, jf. nærmere omtale under kap. 1760, post 45.</w:t>
      </w:r>
    </w:p>
    <w:p w14:paraId="45BF855D" w14:textId="77777777" w:rsidR="00575AC3" w:rsidRPr="006D40F0" w:rsidRDefault="00575AC3" w:rsidP="006D40F0">
      <w:pPr>
        <w:pStyle w:val="avsnitt-undertittel"/>
      </w:pPr>
      <w:r w:rsidRPr="006D40F0">
        <w:t>Nytt hovedbygg på Jan Mayen</w:t>
      </w:r>
    </w:p>
    <w:p w14:paraId="5F6C2470" w14:textId="77777777" w:rsidR="00575AC3" w:rsidRPr="006D40F0" w:rsidRDefault="00575AC3" w:rsidP="006D40F0">
      <w:r w:rsidRPr="006D40F0">
        <w:t xml:space="preserve">Justis- og beredskapsdepartementet har budsjettansvaret og forvaltningsansvaret for Samfunnet Jan Mayen. Forsvarsdepartementet ved Forsvaret </w:t>
      </w:r>
      <w:proofErr w:type="gramStart"/>
      <w:r w:rsidRPr="006D40F0">
        <w:t>besørger</w:t>
      </w:r>
      <w:proofErr w:type="gramEnd"/>
      <w:r w:rsidRPr="006D40F0">
        <w:t xml:space="preserve"> den daglige driften av Samfunnet Jan Mayen, drift av stasjonen og transport til og fra øya. Oppgavene består blant annet i drift av øyas infrastruktur og drift og vedlikehold av bygningsmassen knyttet til stasjonen. Forsvaret utfører også tjenester etter avtaler med ulike aktører på øya. Bred norsk sivil og militær tilstedeværelse og aktivitet er viktig for å markere norsk suverenitet og hevde norske interesser på Jan Mayen.</w:t>
      </w:r>
    </w:p>
    <w:p w14:paraId="52BECCDB" w14:textId="77777777" w:rsidR="00575AC3" w:rsidRPr="006D40F0" w:rsidRDefault="00575AC3" w:rsidP="006D40F0">
      <w:r w:rsidRPr="006D40F0">
        <w:t>Dagens stasjonsbygg som ble bygget på 60-tallet, er i svært dårlig forfatning. Det er blant annet påvist store råteskader i pælene som bygget står på og andre bærende konstruksjoner. Det er benyttet asbest i oppføringen av hovedbygget, noe som gjør det vanskelig å gjøre utbedringer eller renoveringer av eksisterende bygningsmasse. Uten tiltak er det en risiko for at stasjonen må stenge. Dette kan innebære at Norge vil stå uten fast fysisk tilstedeværelse på Jan Mayen.</w:t>
      </w:r>
    </w:p>
    <w:p w14:paraId="7CC5C42C" w14:textId="77777777" w:rsidR="00575AC3" w:rsidRPr="006D40F0" w:rsidRDefault="00575AC3" w:rsidP="006D40F0">
      <w:r w:rsidRPr="006D40F0">
        <w:t>Forsvarsbygg har fått oppdrag om å utarbeide et forprosjekt for nytt hovedbygg på Jan Mayen, jf. Prop. 1 S (2023–2024) for Forsvarsdepartementet. Prosjektet omfatter nytt hovedbygg, ny storgarasje og erstatning av to naust. Prosjektet er planlagt gjennomført i perioden 2024–2028.</w:t>
      </w:r>
    </w:p>
    <w:p w14:paraId="4A03CB4A" w14:textId="77777777" w:rsidR="00575AC3" w:rsidRPr="006D40F0" w:rsidRDefault="00575AC3" w:rsidP="006D40F0">
      <w:r w:rsidRPr="006D40F0">
        <w:t>Prosjektet har gjennomgått ekstern kvalitetssikring (KS2). Foreslått kostnadsramme for prosjektet er 1 641 mill. kroner inkl. mva. og gjennomføringskostnader, jf. forslag til romertallsvedtak. I 2024 foreslås bevilgningen på kap. 1710, post 47 økt med 80,0 mill. kroner knyttet til oppstart av prosjektet.</w:t>
      </w:r>
    </w:p>
    <w:p w14:paraId="0E9AA0BD" w14:textId="77777777" w:rsidR="00575AC3" w:rsidRPr="006D40F0" w:rsidRDefault="00575AC3" w:rsidP="006D40F0">
      <w:r w:rsidRPr="006D40F0">
        <w:t>Samlet foreslås bevilgningen på kap. 1710, post 47 økt med 667,5 mill. kroner.</w:t>
      </w:r>
    </w:p>
    <w:p w14:paraId="5D1537BE" w14:textId="77777777" w:rsidR="00575AC3" w:rsidRPr="006D40F0" w:rsidRDefault="00575AC3" w:rsidP="006D40F0">
      <w:pPr>
        <w:pStyle w:val="b-budkaptit"/>
      </w:pPr>
      <w:r w:rsidRPr="006D40F0">
        <w:t>Kap. 4710 Forsvarsbygg og nybygg og nyanlegg</w:t>
      </w:r>
    </w:p>
    <w:p w14:paraId="12086000" w14:textId="77777777" w:rsidR="00575AC3" w:rsidRPr="006D40F0" w:rsidRDefault="00575AC3" w:rsidP="006D40F0">
      <w:pPr>
        <w:pStyle w:val="b-post"/>
      </w:pPr>
      <w:r w:rsidRPr="006D40F0">
        <w:t>Post 01 Driftsinntekter</w:t>
      </w:r>
    </w:p>
    <w:p w14:paraId="665789A8" w14:textId="77777777" w:rsidR="00575AC3" w:rsidRPr="006D40F0" w:rsidRDefault="00575AC3" w:rsidP="006D40F0">
      <w:r w:rsidRPr="006D40F0">
        <w:t xml:space="preserve">Det foreslås å øke inntektsbevilgningen med 30,1 mill. kroner knyttet til oppjustering av Forsvarsbyggs husleieinntekter i tråd med den ekstraordinære priskompensasjonen i 2023, jf. Prop. 118 S (2022–2023) </w:t>
      </w:r>
      <w:r w:rsidRPr="00575AC3">
        <w:rPr>
          <w:rStyle w:val="kursiv"/>
        </w:rPr>
        <w:t>Tilleggsbevilgninger og omprioriteringer i statsbudsjettet 2023,</w:t>
      </w:r>
      <w:r w:rsidRPr="006D40F0">
        <w:t xml:space="preserve"> mot en tilsvarende økning av bevilgningen på kap. 1710, post 01.</w:t>
      </w:r>
    </w:p>
    <w:p w14:paraId="4748F1EF" w14:textId="77777777" w:rsidR="00575AC3" w:rsidRPr="006D40F0" w:rsidRDefault="00575AC3" w:rsidP="006D40F0">
      <w:pPr>
        <w:pStyle w:val="b-post"/>
      </w:pPr>
      <w:r w:rsidRPr="006D40F0">
        <w:t>Post 47 Salg av eiendom</w:t>
      </w:r>
    </w:p>
    <w:p w14:paraId="547639FC" w14:textId="77777777" w:rsidR="00575AC3" w:rsidRPr="006D40F0" w:rsidRDefault="00575AC3" w:rsidP="006D40F0">
      <w:r w:rsidRPr="006D40F0">
        <w:t xml:space="preserve">Forsvarsbygg forventer en økning i inntekter knyttet til salg av boliger i Bodø, Trondheim, Bergen, Lillestrøm, Ullensaker, Eidsvoll, Hamar, Lillehammer, Elverum, Rygge, Bærum og Oslo. </w:t>
      </w:r>
      <w:r w:rsidRPr="006D40F0">
        <w:lastRenderedPageBreak/>
        <w:t>Bevilgningen på posten foreslås derfor økt med 100 mill. kroner mot en tilsvarende økning av bevilgningen på kap. 1710, post 47, jf. Forsvarsdepartementets generelle merinntektsfullmakt.</w:t>
      </w:r>
    </w:p>
    <w:p w14:paraId="569B626B" w14:textId="77777777" w:rsidR="00575AC3" w:rsidRPr="006D40F0" w:rsidRDefault="00575AC3" w:rsidP="006D40F0">
      <w:pPr>
        <w:pStyle w:val="b-budkaptit"/>
      </w:pPr>
      <w:r w:rsidRPr="006D40F0">
        <w:t>Kap. 1716 Forsvarets forskningsinstitutt</w:t>
      </w:r>
    </w:p>
    <w:p w14:paraId="221B95F7" w14:textId="77777777" w:rsidR="00575AC3" w:rsidRPr="006D40F0" w:rsidRDefault="00575AC3" w:rsidP="006D40F0">
      <w:pPr>
        <w:pStyle w:val="b-post"/>
      </w:pPr>
      <w:r w:rsidRPr="006D40F0">
        <w:t>Post 51 Tilskudd til Forsvarets forskningsinstitutt</w:t>
      </w:r>
    </w:p>
    <w:p w14:paraId="1754D836" w14:textId="77777777" w:rsidR="00575AC3" w:rsidRPr="006D40F0" w:rsidRDefault="00575AC3" w:rsidP="006D40F0">
      <w:r w:rsidRPr="006D40F0">
        <w:t>Som følge av ekstremværet Hans i 2023 har det oppstått skader som følge av oversvømmelse i et av Forsvarets forskningsinstitutts (FFI) bygg på Kjeller. Oversvømmelsen medførte omfattende skader på lager, laboratorium, utstyr, elektriske anlegg og ventilasjonsanlegg. I forbindelse med nysalderingen av 2023-budsjettet (Prop. 17 S (2023–2024)) ble det bevilget 18 mill. kroner til formålet og det ble redegjort for ytterligere merutgifter i 2024. Bevilgningen foreslås økt med 17 mill. kroner for å dekke behovet for utbedringer.</w:t>
      </w:r>
    </w:p>
    <w:p w14:paraId="2CF73AED" w14:textId="77777777" w:rsidR="00575AC3" w:rsidRPr="006D40F0" w:rsidRDefault="00575AC3" w:rsidP="006D40F0">
      <w:r w:rsidRPr="006D40F0">
        <w:t>I 2024 fikk Forsvarsbygg overført 9,6 mill. kroner fra FFI knyttet til overføring av renholdstjenester fra 2024, jf. Prop. 1 S (2023–2024) for Forsvarsdepartementet. Overføringen gjaldt elleve årsverk på Kjeller og ett årsverk på Horten. Imidlertid skulle nedtrekket kun vært gjort for ett årsverk på Horten. Det foreslås derfor å tilbakeføre 8,8 mill. kroner fra kap. 1710, post 01, til kap. 1716, post 51.</w:t>
      </w:r>
    </w:p>
    <w:p w14:paraId="239C6F7D" w14:textId="77777777" w:rsidR="00575AC3" w:rsidRPr="006D40F0" w:rsidRDefault="00575AC3" w:rsidP="006D40F0">
      <w:r w:rsidRPr="006D40F0">
        <w:t>Samlet foreslås bevilgningen på kap. 1716, post 51 økt med 25,8 mill. kroner.</w:t>
      </w:r>
    </w:p>
    <w:p w14:paraId="436DDCA3" w14:textId="77777777" w:rsidR="00575AC3" w:rsidRPr="006D40F0" w:rsidRDefault="00575AC3" w:rsidP="006D40F0">
      <w:pPr>
        <w:pStyle w:val="b-budkaptit"/>
      </w:pPr>
      <w:r w:rsidRPr="006D40F0">
        <w:t>Kap. 1720 Forsvaret</w:t>
      </w:r>
    </w:p>
    <w:p w14:paraId="68B624F7" w14:textId="77777777" w:rsidR="00575AC3" w:rsidRPr="006D40F0" w:rsidRDefault="00575AC3" w:rsidP="006D40F0">
      <w:pPr>
        <w:pStyle w:val="b-post"/>
      </w:pPr>
      <w:r w:rsidRPr="006D40F0">
        <w:t>Post 01 Driftsutgifter</w:t>
      </w:r>
    </w:p>
    <w:p w14:paraId="2EB50A13" w14:textId="77777777" w:rsidR="00575AC3" w:rsidRPr="006D40F0" w:rsidRDefault="00575AC3" w:rsidP="006D40F0">
      <w:r w:rsidRPr="006D40F0">
        <w:t>Regjeringens ambisjoner i den nye langtidsplanen for forsvarssektoren (Prop. 87 S (2023–2024)) forutsetter at svakheter i dagens struktur utbedres for gjennom det å legge til rette for videre vekst. Noen forutsetninger har endret seg siden budsjettet for 2024 ble lagt frem. For å opprettholde den gjeldende planen, og unngå at nye svakheter oppstår, er det nødvendig å tilføre midler.</w:t>
      </w:r>
    </w:p>
    <w:p w14:paraId="7250356B" w14:textId="77777777" w:rsidR="00575AC3" w:rsidRPr="006D40F0" w:rsidRDefault="00575AC3" w:rsidP="006D40F0">
      <w:r w:rsidRPr="006D40F0">
        <w:t>Det foreslås å øke bevilgningen med 992,9 mill. kroner for å for å styrke den operative ambisjonen for 2024 og legge til rette for aktivitetsøkning i Forsvaret i inneværende år. Det vises til omtale av tilsvarende driftsmessige økninger i henholdsvis Forsvarsdepartementet og Forsvarsmateriell på kap. 1700, post 01 og kap. 1760, post 01.</w:t>
      </w:r>
    </w:p>
    <w:p w14:paraId="0A1E44C2" w14:textId="77777777" w:rsidR="00575AC3" w:rsidRPr="006D40F0" w:rsidRDefault="00575AC3" w:rsidP="006D40F0">
      <w:r w:rsidRPr="006D40F0">
        <w:t xml:space="preserve">Regjeringen foreslår 180,0 millioner kroner for å øke Heimevernets aktivitetsnivå. Av økningen vil 150,0 mill. kroner gå kompetanseheving av mannskaper og ytterligere øving og trening av innsatsstyrkene og områdestrukturen i 2024, 30,0 mill. kroner vil gå til personlig bekledning og utrustning. Tiltaket viderefører regjeringens satsing på et sterkere og </w:t>
      </w:r>
      <w:proofErr w:type="gramStart"/>
      <w:r w:rsidRPr="006D40F0">
        <w:t>mer robust</w:t>
      </w:r>
      <w:proofErr w:type="gramEnd"/>
      <w:r w:rsidRPr="006D40F0">
        <w:t xml:space="preserve"> Heimevern, og er en del av forseringen av styrkingen av Heimevernet i ny langtidsplan for forsvarssektoren.</w:t>
      </w:r>
    </w:p>
    <w:p w14:paraId="464075C2" w14:textId="77777777" w:rsidR="00575AC3" w:rsidRPr="006D40F0" w:rsidRDefault="00575AC3" w:rsidP="006D40F0">
      <w:r w:rsidRPr="006D40F0">
        <w:t>Bevilgningen foreslås økt med 296,4 mill. kroner mot en tilsvarende reduksjon av bevilgningen på kap. 1700, post 79 for å finansiere militær støtte til Ukraina.</w:t>
      </w:r>
    </w:p>
    <w:p w14:paraId="31F25E8E" w14:textId="77777777" w:rsidR="00575AC3" w:rsidRPr="006D40F0" w:rsidRDefault="00575AC3" w:rsidP="006D40F0">
      <w:r w:rsidRPr="006D40F0">
        <w:t>Bevilgningen foreslås økt med 200,0 mill. kroner for å utføre vedlikehold og utbedring av avvik relatert til byggekvalitet på logistikkfartøyet KNM Maud. Gjennom kontroll og vedlikehold av fartøyet er det avdekket avvik på KNM Maud som må utbedres for å oppnå forutsatt og nødvendig operativ kapasitet og aktivitetsnivå.</w:t>
      </w:r>
    </w:p>
    <w:p w14:paraId="3A224793" w14:textId="63F1AEE2" w:rsidR="00575AC3" w:rsidRPr="006D40F0" w:rsidRDefault="00575AC3" w:rsidP="006D40F0">
      <w:r w:rsidRPr="006D40F0">
        <w:lastRenderedPageBreak/>
        <w:t xml:space="preserve">For å styrke leveranser av vedlikeholdstjenester og utdanning av tekniker knyttet til P-8 er det behov for å videreføre avtalen om Site </w:t>
      </w:r>
      <w:proofErr w:type="spellStart"/>
      <w:r w:rsidRPr="006D40F0">
        <w:t>Activation</w:t>
      </w:r>
      <w:proofErr w:type="spellEnd"/>
      <w:r w:rsidRPr="006D40F0">
        <w:t xml:space="preserve"> Team (SAT) med Boeing i 2024. Det arbeides med en strategisk avtale med norsk industri for å kunne etablere en permanent løsning for vedlikehold av P-8 med virking fra 2025. Det foreslås derfor å øke bevilgningen med 40,0 mill. kroner knyttet til interimløsning for vedlikehold av P</w:t>
      </w:r>
      <w:r w:rsidR="006D40F0">
        <w:t>-</w:t>
      </w:r>
      <w:r w:rsidRPr="006D40F0">
        <w:t>8 maritime patruljefly.</w:t>
      </w:r>
    </w:p>
    <w:p w14:paraId="5020B203" w14:textId="77777777" w:rsidR="00575AC3" w:rsidRPr="006D40F0" w:rsidRDefault="00575AC3" w:rsidP="006D40F0">
      <w:r w:rsidRPr="006D40F0">
        <w:t>I forbindelse med avviklingen av Forsvarets virksomhet på Andøya flystasjon, var en forutsetning at behovet for bemannet vakthold skulle falle bort andre halvår 2024. Basert på sikkerhetsfaglige vurderinger, hvor særlig oppdaterte verdivurderinger er vektlagt, er det behov for å videreføre bemannet vakthold og sikring ved Andøya. I den forbindelse foreslås bevilgningen økt med 37,5 mill. kroner. Forslaget inngår i forseringen av ny langtidsplan for forsvarssektoren.</w:t>
      </w:r>
    </w:p>
    <w:p w14:paraId="1159EE3E" w14:textId="77777777" w:rsidR="00575AC3" w:rsidRPr="006D40F0" w:rsidRDefault="00575AC3" w:rsidP="006D40F0">
      <w:r w:rsidRPr="006D40F0">
        <w:t>Det foreslås å øke bevilgningen med 67,0 mill. kroner mot tilsvarende reduksjon av bevilgningen på kap. 1710, post 47, for å finansiere økt aktivitet og drift av fregatter.</w:t>
      </w:r>
    </w:p>
    <w:p w14:paraId="42156923" w14:textId="77777777" w:rsidR="00575AC3" w:rsidRPr="006D40F0" w:rsidRDefault="00575AC3" w:rsidP="006D40F0">
      <w:r w:rsidRPr="006D40F0">
        <w:t xml:space="preserve">Som følge av justert husleiemodell ved Joint </w:t>
      </w:r>
      <w:proofErr w:type="spellStart"/>
      <w:r w:rsidRPr="006D40F0">
        <w:t>Warfare</w:t>
      </w:r>
      <w:proofErr w:type="spellEnd"/>
      <w:r w:rsidRPr="006D40F0">
        <w:t xml:space="preserve"> Center og endret finansieringsmodell for </w:t>
      </w:r>
      <w:proofErr w:type="spellStart"/>
      <w:r w:rsidRPr="006D40F0">
        <w:t>Concept</w:t>
      </w:r>
      <w:proofErr w:type="spellEnd"/>
      <w:r w:rsidRPr="006D40F0">
        <w:t xml:space="preserve"> Development and </w:t>
      </w:r>
      <w:proofErr w:type="spellStart"/>
      <w:r w:rsidRPr="006D40F0">
        <w:t>Experimentation</w:t>
      </w:r>
      <w:proofErr w:type="spellEnd"/>
      <w:r w:rsidRPr="006D40F0">
        <w:t xml:space="preserve"> foreslås bevilgningen redusert med 10,2 mill. kroner, mot en tilsvarende inntektsreduksjon på kap. 4720, post 01.</w:t>
      </w:r>
    </w:p>
    <w:p w14:paraId="4A6F286C" w14:textId="77777777" w:rsidR="00575AC3" w:rsidRPr="006D40F0" w:rsidRDefault="00575AC3" w:rsidP="006D40F0">
      <w:r w:rsidRPr="006D40F0">
        <w:t>I forbindelse med hjemtransport av H.M. Kongen fra Malaysia foreslås bevilgningen økt med 2,7 mill. kroner, mot en tilsvarende reduksjon på kap. 1710, post 01.</w:t>
      </w:r>
    </w:p>
    <w:p w14:paraId="256EA6BB" w14:textId="77777777" w:rsidR="00575AC3" w:rsidRPr="006D40F0" w:rsidRDefault="00575AC3" w:rsidP="006D40F0">
      <w:r w:rsidRPr="006D40F0">
        <w:t xml:space="preserve">Regjeringen foreslår å øke bevilgningen med 6,3 mill. kroner mot en tilsvarende utgiftsreduksjon på kap. 1700, post 01 på 0,7 mill. kroner og kap. 1700, post 71 på 5,6 mill. kroner. Midlene er knyttet til regjeringens tiltaksplan for anerkjennelse, ivaretakelse og oppfølging av veteraner. Midlene skal gå til økt kapasitet på Forsvarets veteransenter </w:t>
      </w:r>
      <w:proofErr w:type="spellStart"/>
      <w:r w:rsidRPr="006D40F0">
        <w:t>Bæreia</w:t>
      </w:r>
      <w:proofErr w:type="spellEnd"/>
      <w:r w:rsidRPr="006D40F0">
        <w:t xml:space="preserve"> og etablering av en digital plattform for informasjon og kunnskap om og for veteraner, samt Forsvarets støtte til helsesektorens arbeid med å videreutvikle og digitalisere kompetansehevende tiltak.</w:t>
      </w:r>
    </w:p>
    <w:p w14:paraId="20FF1234" w14:textId="77777777" w:rsidR="00575AC3" w:rsidRPr="006D40F0" w:rsidRDefault="00575AC3" w:rsidP="006D40F0">
      <w:r w:rsidRPr="006D40F0">
        <w:t>Det foreslås å øke bevilgningen med 2,2 mill. kroner mot en tilsvarende utgiftsreduksjon på kap. 1791, post 01, knyttet til driftsutgifter til tjenestekjøp og lisenser samt ugraderte klienter innenfor Justis- og beredskapsdepartementets prosjekt for anskaffelse av nye redningshelikoptre.</w:t>
      </w:r>
    </w:p>
    <w:p w14:paraId="746A0631" w14:textId="77777777" w:rsidR="00575AC3" w:rsidRPr="006D40F0" w:rsidRDefault="00575AC3" w:rsidP="006D40F0">
      <w:r w:rsidRPr="006D40F0">
        <w:t>Det foreslås å øke bevilgningen med 5,5 mill. kroner mot en tilsvarende utgiftsreduksjon på kap. 1735, post 21 grunnet tekniske endringer internt i Forsvaret.</w:t>
      </w:r>
    </w:p>
    <w:p w14:paraId="227C7393" w14:textId="77777777" w:rsidR="00575AC3" w:rsidRPr="006D40F0" w:rsidRDefault="00575AC3" w:rsidP="006D40F0">
      <w:r w:rsidRPr="006D40F0">
        <w:t>Det foreslås å øke bevilgningen med 5,3 mill. kroner mot en tilsvarende utgiftsreduksjon på kap. 1760, post 45. Endringen er knyttet til moderniserings- og effektiviseringstiltak i Forsvaret. Midlene skal anvendes til prosjekt Fleksibel arbeidsplass, som skal bedre arealutnyttelsen i leide og eide kontorlokaler i Osloområdet.</w:t>
      </w:r>
    </w:p>
    <w:p w14:paraId="1B6A85ED" w14:textId="77777777" w:rsidR="00575AC3" w:rsidRPr="006D40F0" w:rsidRDefault="00575AC3" w:rsidP="006D40F0">
      <w:r w:rsidRPr="006D40F0">
        <w:t>Som følge av en organisatorisk overføring av fem stillinger i kommunikasjonsenheten, fra Forsvarsdepartementet til Forsvaret foreslås bevilgningen økt med 5,4 mill. kroner mot en tilsvarende utgiftsreduksjon på kap. 1700, post 01.</w:t>
      </w:r>
    </w:p>
    <w:p w14:paraId="60A09F6D" w14:textId="77777777" w:rsidR="00575AC3" w:rsidRPr="006D40F0" w:rsidRDefault="00575AC3" w:rsidP="006D40F0">
      <w:r w:rsidRPr="006D40F0">
        <w:t xml:space="preserve">Det foreslås å redusere bevilgningen med 4,7 mill. kroner mot en tilsvarende utgiftsøkning på kap. 922, post 71. Endringen er knyttet til en rammeoverføring til Nærings- og fiskeridepartementet for kjøp av satellittdata fra </w:t>
      </w:r>
      <w:proofErr w:type="spellStart"/>
      <w:r w:rsidRPr="006D40F0">
        <w:t>Radarsat</w:t>
      </w:r>
      <w:proofErr w:type="spellEnd"/>
      <w:r w:rsidRPr="006D40F0">
        <w:t>. Det vises til omtale under kap. 922, post 71.</w:t>
      </w:r>
    </w:p>
    <w:p w14:paraId="0D10F9A2" w14:textId="77777777" w:rsidR="00575AC3" w:rsidRPr="006D40F0" w:rsidRDefault="00575AC3" w:rsidP="006D40F0">
      <w:r w:rsidRPr="006D40F0">
        <w:lastRenderedPageBreak/>
        <w:t>Bevilgningen foreslås økt med 3,6 mill. kroner mot en tilsvarende utgiftsreduksjon på kap. 446, post 01, knyttet til en rammeoverføring fra Den militære påtalemyndigheten i forbindelse med avviklingen av Generaladvokatembetet.</w:t>
      </w:r>
    </w:p>
    <w:p w14:paraId="5F4577F1" w14:textId="77777777" w:rsidR="00575AC3" w:rsidRPr="006D40F0" w:rsidRDefault="00575AC3" w:rsidP="006D40F0">
      <w:r w:rsidRPr="006D40F0">
        <w:t xml:space="preserve">Som følge av implementeringen av ny forskrift om opptak og annen bruk av informasjon om bestemt angitte bunnforhold foreslås en rammeoverføring der bevilgningen reduseres med 3,6 mill. kroner mot en tilsvarende økning på Kommunal- og </w:t>
      </w:r>
      <w:proofErr w:type="spellStart"/>
      <w:r w:rsidRPr="006D40F0">
        <w:t>distriktsdepartementets</w:t>
      </w:r>
      <w:proofErr w:type="spellEnd"/>
      <w:r w:rsidRPr="006D40F0">
        <w:t xml:space="preserve"> kap. 595, post 01, Statens kartverk.</w:t>
      </w:r>
    </w:p>
    <w:p w14:paraId="07174C52" w14:textId="77777777" w:rsidR="00575AC3" w:rsidRPr="006D40F0" w:rsidRDefault="00575AC3" w:rsidP="006D40F0">
      <w:r w:rsidRPr="006D40F0">
        <w:t xml:space="preserve">I forbindelse med øvelsen Nordic </w:t>
      </w:r>
      <w:proofErr w:type="spellStart"/>
      <w:r w:rsidRPr="006D40F0">
        <w:t>Response</w:t>
      </w:r>
      <w:proofErr w:type="spellEnd"/>
      <w:r w:rsidRPr="006D40F0">
        <w:t xml:space="preserve"> 2024 påløper det utgifter i Forsvaret på om lag 700,0 mill. kroner knyttet til logistikkstøtte til allierte. Utgiftene vil bli refundert fra deltakerlandene. Av dette beløpet forventer Forsvaret at 560,0 mill. kroner vil bli innbetalt i 2024, og at de resterende 140,0 mill. kroner vil bli innbetalt i 2025. For å dekke differansen som oppstår på kap. 1720, post 01, foreslås det å omdisponere 140,0 mill. kroner midler fra kap. 1760, post 45, med en planlagt tilbakeføring i 2025. Samtidig foreslås det å øke inntektskravet på kap. 4720, post 01 med 560,0 mill. kroner, jf. omtale på posten.</w:t>
      </w:r>
    </w:p>
    <w:p w14:paraId="23D78B41" w14:textId="77777777" w:rsidR="00575AC3" w:rsidRPr="006D40F0" w:rsidRDefault="00575AC3" w:rsidP="006D40F0">
      <w:r w:rsidRPr="006D40F0">
        <w:t>Det foreslås å redusere bevilgningen med 1,6 mill. kroner med motsvarende bevilgningsøkning på kap. 1700, post 73, til sikkerhetspolitisk forskning og utvikling fra Forsvaret til Forsvarsdepartementet, ref. omtale under kap. 1700, post 73.</w:t>
      </w:r>
    </w:p>
    <w:p w14:paraId="1F060F90" w14:textId="77777777" w:rsidR="00575AC3" w:rsidRPr="006D40F0" w:rsidRDefault="00575AC3" w:rsidP="006D40F0">
      <w:r w:rsidRPr="006D40F0">
        <w:t xml:space="preserve">Det foreslås en bevilgningsøkning på 0,8 mill. kroner for en stilling ved NATO-senteret Cooperative Cyber </w:t>
      </w:r>
      <w:proofErr w:type="spellStart"/>
      <w:r w:rsidRPr="006D40F0">
        <w:t>Defence</w:t>
      </w:r>
      <w:proofErr w:type="spellEnd"/>
      <w:r w:rsidRPr="006D40F0">
        <w:t xml:space="preserve"> Centre </w:t>
      </w:r>
      <w:proofErr w:type="spellStart"/>
      <w:r w:rsidRPr="006D40F0">
        <w:t>of</w:t>
      </w:r>
      <w:proofErr w:type="spellEnd"/>
      <w:r w:rsidRPr="006D40F0">
        <w:t xml:space="preserve"> </w:t>
      </w:r>
      <w:proofErr w:type="spellStart"/>
      <w:r w:rsidRPr="006D40F0">
        <w:t>Excellence</w:t>
      </w:r>
      <w:proofErr w:type="spellEnd"/>
      <w:r w:rsidRPr="006D40F0">
        <w:t xml:space="preserve"> (CCDCOE) i Tallinn fra Forsvarsdepartementet til Forsvaret, med motsvarende bevilgningsreduksjon på kap. 1700, post 01, ref. omtale under kap. 1700, post 01.</w:t>
      </w:r>
    </w:p>
    <w:p w14:paraId="468FBDB6" w14:textId="77777777" w:rsidR="00575AC3" w:rsidRPr="006D40F0" w:rsidRDefault="00575AC3" w:rsidP="006D40F0">
      <w:r w:rsidRPr="006D40F0">
        <w:t>Samlet foreslås bevilgningen på kap. 1720, post 01 økt med 2 525,5 mill. kroner.</w:t>
      </w:r>
    </w:p>
    <w:p w14:paraId="136DC404" w14:textId="77777777" w:rsidR="00575AC3" w:rsidRPr="006D40F0" w:rsidRDefault="00575AC3" w:rsidP="006D40F0">
      <w:pPr>
        <w:pStyle w:val="b-budkaptit"/>
      </w:pPr>
      <w:r w:rsidRPr="006D40F0">
        <w:t>Kap. 4720 Forsvaret</w:t>
      </w:r>
    </w:p>
    <w:p w14:paraId="75057935" w14:textId="77777777" w:rsidR="00575AC3" w:rsidRPr="006D40F0" w:rsidRDefault="00575AC3" w:rsidP="006D40F0">
      <w:pPr>
        <w:pStyle w:val="b-post"/>
      </w:pPr>
      <w:r w:rsidRPr="006D40F0">
        <w:t>Post 01 Driftsinntekter</w:t>
      </w:r>
    </w:p>
    <w:p w14:paraId="6E07E973" w14:textId="77777777" w:rsidR="00575AC3" w:rsidRPr="006D40F0" w:rsidRDefault="00575AC3" w:rsidP="006D40F0">
      <w:r w:rsidRPr="006D40F0">
        <w:t xml:space="preserve">I forbindelse med øvelsen Nordic </w:t>
      </w:r>
      <w:proofErr w:type="spellStart"/>
      <w:r w:rsidRPr="006D40F0">
        <w:t>Response</w:t>
      </w:r>
      <w:proofErr w:type="spellEnd"/>
      <w:r w:rsidRPr="006D40F0">
        <w:t xml:space="preserve"> 2024 foreslås det å øke bevilgningen med 560,0 mill. kroner mot en tilsvarende utgiftsøkning på kap. 1720, post 01, jf. omtale under kap. 1720, post 01.</w:t>
      </w:r>
    </w:p>
    <w:p w14:paraId="4093E314" w14:textId="77777777" w:rsidR="00575AC3" w:rsidRPr="006D40F0" w:rsidRDefault="00575AC3" w:rsidP="006D40F0">
      <w:r w:rsidRPr="006D40F0">
        <w:t xml:space="preserve">Som følge av justert husleiemodell ved Joint </w:t>
      </w:r>
      <w:proofErr w:type="spellStart"/>
      <w:r w:rsidRPr="006D40F0">
        <w:t>Warfare</w:t>
      </w:r>
      <w:proofErr w:type="spellEnd"/>
      <w:r w:rsidRPr="006D40F0">
        <w:t xml:space="preserve"> Center og endret finansieringsmodell for </w:t>
      </w:r>
      <w:proofErr w:type="spellStart"/>
      <w:r w:rsidRPr="006D40F0">
        <w:t>Concept</w:t>
      </w:r>
      <w:proofErr w:type="spellEnd"/>
      <w:r w:rsidRPr="006D40F0">
        <w:t xml:space="preserve"> Development and </w:t>
      </w:r>
      <w:proofErr w:type="spellStart"/>
      <w:r w:rsidRPr="006D40F0">
        <w:t>Experimentation</w:t>
      </w:r>
      <w:proofErr w:type="spellEnd"/>
      <w:r w:rsidRPr="006D40F0">
        <w:t xml:space="preserve"> foreslås bevilgningen redusert med 10,2 mill. kroner mot en tilsvarende utgiftsreduksjon på kap. 1720, post 01.</w:t>
      </w:r>
    </w:p>
    <w:p w14:paraId="047B4B50" w14:textId="77777777" w:rsidR="00575AC3" w:rsidRPr="006D40F0" w:rsidRDefault="00575AC3" w:rsidP="006D40F0">
      <w:r w:rsidRPr="006D40F0">
        <w:t>Samlet foreslås bevilgningen på kap. 4720, post 01 økt med 549,8 mill. kroner.</w:t>
      </w:r>
    </w:p>
    <w:p w14:paraId="0904F5C3" w14:textId="77777777" w:rsidR="00575AC3" w:rsidRPr="006D40F0" w:rsidRDefault="00575AC3" w:rsidP="006D40F0">
      <w:pPr>
        <w:pStyle w:val="b-budkaptit"/>
      </w:pPr>
      <w:r w:rsidRPr="006D40F0">
        <w:t>Kap. 1735 Etterretningstjenesten</w:t>
      </w:r>
    </w:p>
    <w:p w14:paraId="1E54E813" w14:textId="77777777" w:rsidR="00575AC3" w:rsidRPr="006D40F0" w:rsidRDefault="00575AC3" w:rsidP="006D40F0">
      <w:pPr>
        <w:pStyle w:val="b-post"/>
      </w:pPr>
      <w:r w:rsidRPr="006D40F0">
        <w:t>Post 21 Spesielle driftsutgifter</w:t>
      </w:r>
    </w:p>
    <w:p w14:paraId="3A57D727" w14:textId="77777777" w:rsidR="00575AC3" w:rsidRPr="006D40F0" w:rsidRDefault="00575AC3" w:rsidP="006D40F0">
      <w:r w:rsidRPr="006D40F0">
        <w:t>Det foreslås å redusere bevilgningen med 5,5 mill. kroner mot en tilsvarende utgiftsøkning på kap. 1720, post 01 grunnet tekniske endringer internt i Forsvaret.</w:t>
      </w:r>
    </w:p>
    <w:p w14:paraId="56E5BA20" w14:textId="77777777" w:rsidR="00575AC3" w:rsidRPr="006D40F0" w:rsidRDefault="00575AC3" w:rsidP="006D40F0">
      <w:pPr>
        <w:pStyle w:val="b-budkaptit"/>
      </w:pPr>
      <w:r w:rsidRPr="006D40F0">
        <w:lastRenderedPageBreak/>
        <w:t>Kap. 1760 Forsvarsmateriell og større anskaffelser og vedlikehold</w:t>
      </w:r>
    </w:p>
    <w:p w14:paraId="462237FD" w14:textId="77777777" w:rsidR="00575AC3" w:rsidRPr="006D40F0" w:rsidRDefault="00575AC3" w:rsidP="006D40F0">
      <w:pPr>
        <w:pStyle w:val="b-post"/>
      </w:pPr>
      <w:r w:rsidRPr="006D40F0">
        <w:t>Post 01 Driftsutgifter, kan nyttes under kap. 1760, post 45</w:t>
      </w:r>
    </w:p>
    <w:p w14:paraId="29CAC100" w14:textId="77777777" w:rsidR="00575AC3" w:rsidRPr="006D40F0" w:rsidRDefault="00575AC3" w:rsidP="006D40F0">
      <w:r w:rsidRPr="006D40F0">
        <w:t>Det foreslås å øke bevilgningen med 164,0 mill. kroner mot en tilsvarende reduksjon på kap. 1700, post 79.Midlene inngår i Norges støtte til Ukraina og gjelder donasjon av Black Hornet-droner (160,0 mill. kroner) og reparasjon av donert materiell (4,0 mill. kroner).</w:t>
      </w:r>
    </w:p>
    <w:p w14:paraId="625AD98A" w14:textId="77777777" w:rsidR="00575AC3" w:rsidRPr="006D40F0" w:rsidRDefault="00575AC3" w:rsidP="006D40F0">
      <w:r w:rsidRPr="006D40F0">
        <w:t>Det foreslås å øke bevilgningen med 75,0 mill. kroner mot en tilsvarende inntektsøkning på kap. 4760, post 01, knyttet til refusjoner og salg av varer og tjenester, i hovedsak knyttet til system- og artikkelforvaltning (SAF) og salg av tjenester til Forsvaret.</w:t>
      </w:r>
    </w:p>
    <w:p w14:paraId="52587A58" w14:textId="77777777" w:rsidR="00575AC3" w:rsidRPr="006D40F0" w:rsidRDefault="00575AC3" w:rsidP="006D40F0">
      <w:r w:rsidRPr="006D40F0">
        <w:t>Knyttet til endret fordeling av FoU-midler mellom post 01 og 45 foreslås det å øke bevilgningen med 19,0 mill. kroner mot en tilsvarende reduksjon på kap. 1760, post 45.</w:t>
      </w:r>
    </w:p>
    <w:p w14:paraId="275A5B6F" w14:textId="77777777" w:rsidR="00575AC3" w:rsidRPr="006D40F0" w:rsidRDefault="00575AC3" w:rsidP="006D40F0">
      <w:r w:rsidRPr="006D40F0">
        <w:t>Det foreslås å øke bevilgningen med 19,0 mill. kroner knyttet til høyere inntekter fra royalties enn først budsjettert for 2024. Inntektene budsjetteres på kap. 4760, post 01. Det foreslås å omdisponere midlene til kap. 1700, post 01 med 7,0 mill. kroner og kap. 1700, post 22 med 12,0 mill. kroner, til dekning av andre merutgifter som har oppstått.</w:t>
      </w:r>
    </w:p>
    <w:p w14:paraId="50728684" w14:textId="77777777" w:rsidR="00575AC3" w:rsidRPr="006D40F0" w:rsidRDefault="00575AC3" w:rsidP="006D40F0">
      <w:r w:rsidRPr="006D40F0">
        <w:t>Det foreslås å øke bevilgningen med 15,3 mill. kroner knyttet til driftsmessige merbehov, jf. omtale på kap. 1720, post 01.</w:t>
      </w:r>
    </w:p>
    <w:p w14:paraId="549F63F2" w14:textId="77777777" w:rsidR="00575AC3" w:rsidRPr="006D40F0" w:rsidRDefault="00575AC3" w:rsidP="006D40F0">
      <w:r w:rsidRPr="006D40F0">
        <w:t>Samlet foreslås bevilgningen på kap. 1760, post 01, økt med 273,3 mill. kroner</w:t>
      </w:r>
    </w:p>
    <w:p w14:paraId="01CA2DA2" w14:textId="77777777" w:rsidR="00575AC3" w:rsidRPr="006D40F0" w:rsidRDefault="00575AC3" w:rsidP="006D40F0">
      <w:pPr>
        <w:pStyle w:val="b-post"/>
      </w:pPr>
      <w:r w:rsidRPr="006D40F0">
        <w:t>Post 44 Fellesfinansierte investeringer, nasjonalfinansiert andel, kan overføres</w:t>
      </w:r>
    </w:p>
    <w:p w14:paraId="444556D9" w14:textId="77777777" w:rsidR="00575AC3" w:rsidRPr="006D40F0" w:rsidRDefault="00575AC3" w:rsidP="006D40F0">
      <w:r w:rsidRPr="006D40F0">
        <w:t>Beslutninger på NATO-toppmøtet i Madrid har medført prosjektgjennomføring i NATO som er høyere enn det som ble antatt på budsjetteringstidspunktet. Dette øker Norges forpliktelse til NATOs investeringsprogram for sikkerhet (NSIP) i 2024. Det foreslås derfor å øke bevilgningen med 15,0 mill. kroner.</w:t>
      </w:r>
    </w:p>
    <w:p w14:paraId="3321A91D" w14:textId="77777777" w:rsidR="00575AC3" w:rsidRPr="006D40F0" w:rsidRDefault="00575AC3" w:rsidP="006D40F0">
      <w:pPr>
        <w:pStyle w:val="b-post"/>
      </w:pPr>
      <w:r w:rsidRPr="006D40F0">
        <w:t>Post 45 Større utstyrsanskaffelser og vedlikehold, kan overføres</w:t>
      </w:r>
    </w:p>
    <w:p w14:paraId="2D6185B1" w14:textId="77777777" w:rsidR="00575AC3" w:rsidRPr="006D40F0" w:rsidRDefault="00575AC3" w:rsidP="006D40F0">
      <w:r w:rsidRPr="006D40F0">
        <w:t>I den nylig fremlagte langtidsplanen for forsvarssektoren, Prop. 87 S (2023–2024) Forsvarsløftet – for Norges trygghet ligger det en stor satsning på økt anskaffelse av materiell som understøtter styrkingen av Forsvarets operative evne. Regjeringen foreslår i denne proposisjonen å forsere styrkingen og moderniseringen av forsvarssektoren, som varslet i den fremlagte langtidsplanen for forsvarssektoren, allerede i år. En viktig del av forseringen er å gjennomføre investeringer i materiell tidligere enn opprinnelig planlagt. Bevilgningen foreslås derfor økt med 4 045,0 mill. kroner for å forsere anskaffelsen av materiell med stor betydning for norsk forsvarsevne, blant annet knyttet til stridsavgjørende ammunisjon, kampflyanskaffelsen, luftvern, IKT, situasjonsforståelse samt materiell til Hæren, Forsvarets spesialstyrker og Sjøforsvaret, herunder personlig utrustning og våpen, CBRN-materiell (kjemiske stoffer (C), biologiske agens (B), radioaktive stoffer (R) og nukleært materiale (N)), sanitetsmateriell, avdelingsvåpen og reservedeler til kampvogn og artilleriskyts samt ammunisjonsanskaffelse til fregatter og korvetter, tiltak knyttet til nye kystvaktfartøy og oppgradering av Skjoldklassen og endring på KNM Maud.</w:t>
      </w:r>
    </w:p>
    <w:p w14:paraId="1152AE12" w14:textId="77777777" w:rsidR="00575AC3" w:rsidRPr="006D40F0" w:rsidRDefault="00575AC3" w:rsidP="006D40F0">
      <w:r w:rsidRPr="006D40F0">
        <w:lastRenderedPageBreak/>
        <w:t>For å opprettholde Forsvarets operative evne er det forutsatt at materiell som er donert til Ukraina fra Forsvarets struktur skal gjennanskaffes, jf. Meld. St. 8 (2023–2024). Regjeringen foreslår derfor å øke bevilgningen med 823,0 mill. kroner, i tråd med forventede utbetalinger til gjenanskaffelse av donert materiell i 2024. Av dette foreslås 373,7 mill. kroner omdisponert fra kap. 1700, post 79, for å håndtere prisutvikling mellom år. Midlene skal anvendes i tråd med innretningen i Nansen-programmet, hvor verdien av donert materiell som er forutsatt gjenanskaffet trekkes fra bevilgningen i den militære støtten til Ukraina på donasjonstidspunktet, mot en tilsvarende økning av bevilgningen på forsvarsbudsjettet når gjenanskaffelsen kommer til utbetaling. Utgiftene til slike gjenanskaffelser er ikke en del av det foreslåtte økonomiske grunnlaget i den nye langtidsplanen for forsvarssektoren, og kommer i tillegg i det året utbetalingen skjer. Så langt er om lag 6,3 mrd. kroner trukket fra bevilgningen i 2023 og 2,0 mrd. kroner ble trukket fra i forbindelse med saldert budsjett 2024.</w:t>
      </w:r>
    </w:p>
    <w:p w14:paraId="2BECA90E" w14:textId="77777777" w:rsidR="00575AC3" w:rsidRPr="006D40F0" w:rsidRDefault="00575AC3" w:rsidP="006D40F0">
      <w:r w:rsidRPr="006D40F0">
        <w:t>Videre foreslår regjeringen å bevilge 281,4 mill. kroner til styrket ammunisjonsproduksjonskapasitet hos Nammo Raufoss AS, mot en tilsvarende reduksjon på kap. 1700, post 79.</w:t>
      </w:r>
    </w:p>
    <w:p w14:paraId="311E40A0" w14:textId="77777777" w:rsidR="00575AC3" w:rsidRPr="006D40F0" w:rsidRDefault="00575AC3" w:rsidP="006D40F0">
      <w:r w:rsidRPr="006D40F0">
        <w:t>Det foreslås å øke bevilgningen med 258,5 mill. kroner tilknyttet videre militær støtte til Ukraina. Midlene skal anvendes til klargjøring av F-16 fly for donasjon (136,0 mill. kroner), donasjon av gummibåter (62,5 mill. kroner), og utviklingsprosjekt om donasjon til Ukraina (60,0 mill. kroner), jf. omtale under kap. 1700, post 79.</w:t>
      </w:r>
    </w:p>
    <w:p w14:paraId="70A1F8FD" w14:textId="77777777" w:rsidR="00575AC3" w:rsidRPr="006D40F0" w:rsidRDefault="00575AC3" w:rsidP="006D40F0">
      <w:r w:rsidRPr="006D40F0">
        <w:t xml:space="preserve">For å styrke Forsvarets og NATO-alliertes evne til raskt å kunne erstatte tapte satellitter eller forsterke eksisterende satellittkapasiteter ble det i saldert budsjett for 2024 bevilget midler til sikkerhetstiltak ved Andøya </w:t>
      </w:r>
      <w:proofErr w:type="spellStart"/>
      <w:r w:rsidRPr="006D40F0">
        <w:t>Spaceport</w:t>
      </w:r>
      <w:proofErr w:type="spellEnd"/>
      <w:r w:rsidRPr="006D40F0">
        <w:t>. På budsjetteringstidspunktet ble midlene foreløpig plassert på kap. 1710, post 47. Regjeringen foreslår derfor å øke bevilgningen med 150,0 mill. kroner mot en tilsvarende utgiftsreduksjon på kap. 1710, post 47.</w:t>
      </w:r>
    </w:p>
    <w:p w14:paraId="10D9EAF6" w14:textId="77777777" w:rsidR="00575AC3" w:rsidRPr="006D40F0" w:rsidRDefault="00575AC3" w:rsidP="006D40F0">
      <w:r w:rsidRPr="006D40F0">
        <w:t>Det foreslås å øke bevilgningen med 55,0 mill. kroner tilknyttet innbetalinger fra allierte som er utestående fra 2023, jf. omtale under kap. 4760, post 48.</w:t>
      </w:r>
    </w:p>
    <w:p w14:paraId="1317AC52" w14:textId="77777777" w:rsidR="00575AC3" w:rsidRPr="006D40F0" w:rsidRDefault="00575AC3" w:rsidP="006D40F0">
      <w:r w:rsidRPr="006D40F0">
        <w:t>Det foreslås å øke bevilgningen med 10,7 mill. kroner til gjennomføring av materiellinvesteringsprosjekter mot en tilsvarende reduksjon på kap. 1710, post 01.</w:t>
      </w:r>
    </w:p>
    <w:p w14:paraId="0E3A8E2C" w14:textId="77777777" w:rsidR="00575AC3" w:rsidRPr="006D40F0" w:rsidRDefault="00575AC3" w:rsidP="006D40F0">
      <w:r w:rsidRPr="006D40F0">
        <w:t>Det foreslås å redusere bevilgningen med 5,3 mill. kroner mot en tilsvarende økning på kap. 1720, post 01, for å finansiere moderniserings- og effektiviseringstiltak i forsvarssektoren. Sentrale omstillingsmidler til modernisering og effektivisering er innledningsvis budsjettert på kap. 1760, post 45 og tildeles aktuelle tiltak i sektoren gjennom året. Se omtale av endringer under det aktuelle utgiftskapittelet.</w:t>
      </w:r>
    </w:p>
    <w:p w14:paraId="776CF34A" w14:textId="77777777" w:rsidR="00575AC3" w:rsidRPr="006D40F0" w:rsidRDefault="00575AC3" w:rsidP="006D40F0">
      <w:r w:rsidRPr="006D40F0">
        <w:t>Det foreslås å redusere bevilgningen med 19,0 mill. kroner, mot en tilsvarende økning av bevilgningen på kap. 1760, post 01, knyttet til fordeling av FoU-midler mellom poster.</w:t>
      </w:r>
    </w:p>
    <w:p w14:paraId="29BE5EC3" w14:textId="77777777" w:rsidR="00575AC3" w:rsidRPr="006D40F0" w:rsidRDefault="00575AC3" w:rsidP="006D40F0">
      <w:r w:rsidRPr="006D40F0">
        <w:t xml:space="preserve">Det foreslås å redusere bevilgningen med 140,0 mill. kroner mot en tilsvarende økning av bevilgningen på kap. 1720, post 01, knyttet til logistikkstøtte til den internasjonale militærøvelsen Nordic </w:t>
      </w:r>
      <w:proofErr w:type="spellStart"/>
      <w:r w:rsidRPr="006D40F0">
        <w:t>Response</w:t>
      </w:r>
      <w:proofErr w:type="spellEnd"/>
      <w:r w:rsidRPr="006D40F0">
        <w:t xml:space="preserve"> 2024.</w:t>
      </w:r>
    </w:p>
    <w:p w14:paraId="07462281" w14:textId="77777777" w:rsidR="00575AC3" w:rsidRPr="006D40F0" w:rsidRDefault="00575AC3" w:rsidP="006D40F0">
      <w:r w:rsidRPr="006D40F0">
        <w:t xml:space="preserve">Det foreslås å redusere bevilgningen med 625,8 mill. kroner tilknyttet endringer i valutaforutsetningene i budsjetterte utbetalinger i 2024 for investeringskostnadene i store materiellinvesteringsprosjekter. Den foreslåtte bevilgningsendringen baserer seg på realiserte valutadifferanser i januar og februar 2024, pluss planlagte utbetalinger i mars til desember 2024 i utenlandsk valuta, </w:t>
      </w:r>
      <w:r w:rsidRPr="006D40F0">
        <w:lastRenderedPageBreak/>
        <w:t>gitt oppdaterte betalingsplaner og valutakurser per 1. mars 2024. I saldert budsjett ble det lagt til grunn forventede merutgifter på 3 204,5 mill. kroner. Basert på oppdaterte valutadifferanser og planer er de forventede merutgiftene redusert til 2 578,7 mill. kroner, derfor foreslås det å redusere bevilgningen med 625,8 mill. kroner.</w:t>
      </w:r>
    </w:p>
    <w:p w14:paraId="28A6632A" w14:textId="77777777" w:rsidR="00575AC3" w:rsidRPr="006D40F0" w:rsidRDefault="00575AC3" w:rsidP="006D40F0">
      <w:r w:rsidRPr="006D40F0">
        <w:t>Samlet foreslås bevilgningen på kap. 1760, post 45 økt med 4 833,4 mill. kroner.</w:t>
      </w:r>
    </w:p>
    <w:p w14:paraId="123713DC" w14:textId="77777777" w:rsidR="00575AC3" w:rsidRPr="006D40F0" w:rsidRDefault="00575AC3" w:rsidP="006D40F0">
      <w:pPr>
        <w:pStyle w:val="b-post"/>
      </w:pPr>
      <w:r w:rsidRPr="006D40F0">
        <w:t>Post 48 Fellesfinansierte investeringer, fellesfinansiert andel, kan overføres</w:t>
      </w:r>
    </w:p>
    <w:p w14:paraId="66018AFA" w14:textId="77777777" w:rsidR="00575AC3" w:rsidRPr="006D40F0" w:rsidRDefault="00575AC3" w:rsidP="006D40F0">
      <w:r w:rsidRPr="006D40F0">
        <w:t>Det legges opp til en betydelig økning av fellesfinansiering i NATO i de kommende årene. Knyttet til økt omfang av NATO-finansierte prosjekter foreslås det å øke bevilgningen med 105,0 mill. kroner mot en tilsvarende inntektsøkning på kap. 4760, post 48. Videre foreslås det å øke bevilgningen med 150,4 mill. kroner mot en tilsvarende inntektsendring på kap. 4760, post 48, knyttet til innbetalinger fra allierte som er utestående fra 2023.</w:t>
      </w:r>
    </w:p>
    <w:p w14:paraId="643D9187" w14:textId="77777777" w:rsidR="00575AC3" w:rsidRPr="006D40F0" w:rsidRDefault="00575AC3" w:rsidP="006D40F0">
      <w:r w:rsidRPr="006D40F0">
        <w:t>Samlet foreslås bevilgningen på kap. 1760, post 48 økt med 255,4 mill. kroner.</w:t>
      </w:r>
    </w:p>
    <w:p w14:paraId="2904D9C9" w14:textId="77777777" w:rsidR="00575AC3" w:rsidRPr="006D40F0" w:rsidRDefault="00575AC3" w:rsidP="006D40F0">
      <w:pPr>
        <w:pStyle w:val="b-post"/>
      </w:pPr>
      <w:r w:rsidRPr="006D40F0">
        <w:t>Post 75 Fellesfinansierte investeringer, Norges tilskudd til NATOs investeringsprogram for sikkerhet, kan overføres, kan nyttes under kap. 1760, post 44</w:t>
      </w:r>
    </w:p>
    <w:p w14:paraId="3A23C385" w14:textId="77777777" w:rsidR="00575AC3" w:rsidRPr="006D40F0" w:rsidRDefault="00575AC3" w:rsidP="006D40F0">
      <w:r w:rsidRPr="006D40F0">
        <w:t>På NATO-toppmøtet i Madrid ble lagt opp til en betydelig økning av NATOs investeringsprogram for sikkerhet (NSIP) i perioden 2023–2030. Det ble tatt en prinsippbeslutning av statslederne i NATO-nasjonene om at det skulle være en årlig økning i NATOs investeringsprogram på 25 pst. Norges andel i NSIP er i dag om lag 1,7 pst. Regjeringen foreslår derfor å øke bevilgningen med 80,0 mill. kroner for å finansiere økningen i Norges tilskudd til NSIP.</w:t>
      </w:r>
    </w:p>
    <w:p w14:paraId="09109472" w14:textId="77777777" w:rsidR="00575AC3" w:rsidRPr="006D40F0" w:rsidRDefault="00575AC3" w:rsidP="006D40F0">
      <w:pPr>
        <w:pStyle w:val="b-budkaptit"/>
      </w:pPr>
      <w:r w:rsidRPr="006D40F0">
        <w:t>Kap. 4760 Forsvarsmateriell og større anskaffelser og vedlikehold</w:t>
      </w:r>
    </w:p>
    <w:p w14:paraId="5C1B85B2" w14:textId="77777777" w:rsidR="00575AC3" w:rsidRPr="006D40F0" w:rsidRDefault="00575AC3" w:rsidP="006D40F0">
      <w:pPr>
        <w:pStyle w:val="b-post"/>
      </w:pPr>
      <w:r w:rsidRPr="006D40F0">
        <w:t>Post 01 Driftsinntekter</w:t>
      </w:r>
    </w:p>
    <w:p w14:paraId="26E4E4EB" w14:textId="77777777" w:rsidR="00575AC3" w:rsidRPr="006D40F0" w:rsidRDefault="00575AC3" w:rsidP="006D40F0">
      <w:r w:rsidRPr="006D40F0">
        <w:t>Det foreslås å øke bevilgningen med 75,0 mill. kroner, med en tilsvarende utgiftsøkning på kap. 1760 post 01, tilknyttet salg av tjenester til Forsvaret.</w:t>
      </w:r>
    </w:p>
    <w:p w14:paraId="362ECA63" w14:textId="77777777" w:rsidR="00575AC3" w:rsidRPr="006D40F0" w:rsidRDefault="00575AC3" w:rsidP="006D40F0">
      <w:r w:rsidRPr="006D40F0">
        <w:t>Det foreslås å øke bevilgningen med 19,0 mill. kroner mot en tilsvarende utgiftsøkning på kap. 1760, post 01, knyttet til høyere inntekter fra royalties enn først budsjettert for 2024, jf. Forsvarsdepartementets generelle merinntektsfullmakt.</w:t>
      </w:r>
    </w:p>
    <w:p w14:paraId="3C170897" w14:textId="77777777" w:rsidR="00575AC3" w:rsidRPr="006D40F0" w:rsidRDefault="00575AC3" w:rsidP="006D40F0">
      <w:r w:rsidRPr="006D40F0">
        <w:t>Samlet foreslås bevilgningen på kap. 4760, post 01 økt med 94,0 mill. kroner.</w:t>
      </w:r>
    </w:p>
    <w:p w14:paraId="5AB14D6A" w14:textId="77777777" w:rsidR="00575AC3" w:rsidRPr="006D40F0" w:rsidRDefault="00575AC3" w:rsidP="006D40F0">
      <w:pPr>
        <w:pStyle w:val="b-post"/>
      </w:pPr>
      <w:r w:rsidRPr="006D40F0">
        <w:t>Post 45 Større utstyrsanskaffelser og vedlikehold, inntekter</w:t>
      </w:r>
    </w:p>
    <w:p w14:paraId="5EF3BD10" w14:textId="27F489E4" w:rsidR="00575AC3" w:rsidRPr="006D40F0" w:rsidRDefault="00575AC3" w:rsidP="006D40F0">
      <w:r w:rsidRPr="006D40F0">
        <w:t>Bevilgningen foreslås redusert med 390,0 mill. kroner tilknyttet reduserte inntekter fra salg av F</w:t>
      </w:r>
      <w:r w:rsidR="006D40F0">
        <w:t>-</w:t>
      </w:r>
      <w:r w:rsidRPr="006D40F0">
        <w:t>16 som følge av donasjon til Ukraina. Inntekten omfattes ikke av merinntektsfullmakten og mindreinntekten skal dermed ikke ha en tilsvarende reduksjon av utgifter.</w:t>
      </w:r>
    </w:p>
    <w:p w14:paraId="47A8FBAF" w14:textId="77777777" w:rsidR="00575AC3" w:rsidRPr="006D40F0" w:rsidRDefault="00575AC3" w:rsidP="006D40F0">
      <w:pPr>
        <w:pStyle w:val="b-post"/>
      </w:pPr>
      <w:r w:rsidRPr="006D40F0">
        <w:lastRenderedPageBreak/>
        <w:t>Post 48 Fellesfinansierte investeringer, inntekter</w:t>
      </w:r>
    </w:p>
    <w:p w14:paraId="38CC3F7E" w14:textId="77777777" w:rsidR="00575AC3" w:rsidRPr="006D40F0" w:rsidRDefault="00575AC3" w:rsidP="006D40F0">
      <w:r w:rsidRPr="006D40F0">
        <w:t>Det foreslås å øke bevilgningen med 105,0 mill. kroner, mot en tilsvarende utgiftsøkning på kap. 1760, post 48, knyttet til større omfang av NATO-finansierte prosjekter enn opprinnelig budsjettert for 2024. Bevilgningen foreslås økt med 205,4 mill. kroner knyttet til innbetalinger fra allierte som er utestående fra 2023.</w:t>
      </w:r>
    </w:p>
    <w:p w14:paraId="0EAC933A" w14:textId="77777777" w:rsidR="00575AC3" w:rsidRPr="006D40F0" w:rsidRDefault="00575AC3" w:rsidP="006D40F0">
      <w:r w:rsidRPr="006D40F0">
        <w:t>Samlet foreslås bevilgningen på kap. 4760, post 48 økt med 310,4 mill. kroner.</w:t>
      </w:r>
    </w:p>
    <w:p w14:paraId="0D98D25E" w14:textId="77777777" w:rsidR="00575AC3" w:rsidRPr="006D40F0" w:rsidRDefault="00575AC3" w:rsidP="006D40F0">
      <w:pPr>
        <w:pStyle w:val="b-budkaptit"/>
      </w:pPr>
      <w:r w:rsidRPr="006D40F0">
        <w:t>Kap. 1791 Redningshelikoptertjenesten</w:t>
      </w:r>
    </w:p>
    <w:p w14:paraId="3ACB1FC3" w14:textId="77777777" w:rsidR="00575AC3" w:rsidRPr="006D40F0" w:rsidRDefault="00575AC3" w:rsidP="006D40F0">
      <w:pPr>
        <w:pStyle w:val="b-post"/>
      </w:pPr>
      <w:r w:rsidRPr="006D40F0">
        <w:t>Post 01 Driftsutgifter</w:t>
      </w:r>
    </w:p>
    <w:p w14:paraId="1D8E5DD9" w14:textId="77777777" w:rsidR="00575AC3" w:rsidRPr="006D40F0" w:rsidRDefault="00575AC3" w:rsidP="006D40F0">
      <w:r w:rsidRPr="006D40F0">
        <w:t xml:space="preserve">Med de nye redningshelikoptrene er leverandøren Leonardo </w:t>
      </w:r>
      <w:proofErr w:type="spellStart"/>
      <w:r w:rsidRPr="006D40F0">
        <w:t>Helicopters</w:t>
      </w:r>
      <w:proofErr w:type="spellEnd"/>
      <w:r w:rsidRPr="006D40F0">
        <w:t xml:space="preserve"> kontraktfestet ansvarlig for helikoptertilgjengeligheten på basene. Forsvaret skal utføre lett vedlikehold på helikoptrene. Det foreslås derfor å øke bevilgningen med 31,7 mill. kroner, mot en tilsvarende inntektsøkning på kap. 4791, post 01. Alle utgifter til drift av Redningshelikoptertjenesten belastes forsvarsbudsjettet på kap. 1791. Om lag ti pst. av bevilgningen budsjetteres over forsvarsbudsjettet, mens de resterende 90 pst. budsjetteres over Justis- og beredskapsdepartementets budsjett, og inntektsføres over Forsvarsdepartementets kap. 4791.</w:t>
      </w:r>
    </w:p>
    <w:p w14:paraId="79B317C8" w14:textId="77777777" w:rsidR="00575AC3" w:rsidRPr="006D40F0" w:rsidRDefault="00575AC3" w:rsidP="006D40F0">
      <w:r w:rsidRPr="006D40F0">
        <w:t>Det foreslås å redusere bevilgningen med 2,2 mill. kroner, mot en tilsvarende økning av bevilgningen på kap. 1720, post 01, som følge av økte driftsutgifter til tjenestekjøp og lisenser samt ugraderte klienter innenfor Justis- og beredskapsdepartementets prosjekt for anskaffelse av nye redningshelikoptre (NAWSARH), jf. nærmere omtale under kap. 1720, post 01.</w:t>
      </w:r>
    </w:p>
    <w:p w14:paraId="66A45E92" w14:textId="77777777" w:rsidR="00575AC3" w:rsidRPr="006D40F0" w:rsidRDefault="00575AC3" w:rsidP="006D40F0">
      <w:r w:rsidRPr="006D40F0">
        <w:t>Samlet foreslås bevilgningen på kap. 1791, post 01 økt med 29,4 mill. kroner.</w:t>
      </w:r>
    </w:p>
    <w:p w14:paraId="4ACCFE40" w14:textId="77777777" w:rsidR="00575AC3" w:rsidRPr="006D40F0" w:rsidRDefault="00575AC3" w:rsidP="006D40F0">
      <w:pPr>
        <w:pStyle w:val="b-budkaptit"/>
      </w:pPr>
      <w:r w:rsidRPr="006D40F0">
        <w:t>Kap. 4791 Redningshelikoptertjenesten</w:t>
      </w:r>
    </w:p>
    <w:p w14:paraId="3542B6B7" w14:textId="77777777" w:rsidR="00575AC3" w:rsidRPr="006D40F0" w:rsidRDefault="00575AC3" w:rsidP="006D40F0">
      <w:pPr>
        <w:pStyle w:val="b-post"/>
      </w:pPr>
      <w:r w:rsidRPr="006D40F0">
        <w:t>Post 01 Driftsinntekter</w:t>
      </w:r>
    </w:p>
    <w:p w14:paraId="5B685FAC" w14:textId="77777777" w:rsidR="00575AC3" w:rsidRPr="006D40F0" w:rsidRDefault="00575AC3" w:rsidP="006D40F0">
      <w:r w:rsidRPr="006D40F0">
        <w:t>Det foreslås å øke bevilgningen med 31,7 mill. kroner mot en tilsvarende utgiftsøkning på kap. 1791, post 01, i hovedsak knyttet til utgifter i forbindelse med drift av nytt helikopter, som teknisk understøttelse fra forsvaret for å sikre systemet tilfredsstillende beredskap, ny arbeidstidsordning for teknisk personell, tilstedevakt og etablering på Florøbasen. Se også omtale under kap. 454, post 01.</w:t>
      </w:r>
    </w:p>
    <w:p w14:paraId="4E2B377B" w14:textId="77777777" w:rsidR="00575AC3" w:rsidRPr="006D40F0" w:rsidRDefault="00575AC3" w:rsidP="006D40F0">
      <w:pPr>
        <w:pStyle w:val="Undertittel"/>
      </w:pPr>
      <w:r w:rsidRPr="006D40F0">
        <w:t>Andre saker</w:t>
      </w:r>
    </w:p>
    <w:p w14:paraId="6AFC3609" w14:textId="77777777" w:rsidR="00575AC3" w:rsidRPr="006D40F0" w:rsidRDefault="00575AC3" w:rsidP="006D40F0">
      <w:pPr>
        <w:pStyle w:val="avsnitt-undertittel"/>
      </w:pPr>
      <w:r w:rsidRPr="006D40F0">
        <w:t>Investeringsfullmakter</w:t>
      </w:r>
    </w:p>
    <w:p w14:paraId="68B1D4A1" w14:textId="77777777" w:rsidR="00575AC3" w:rsidRPr="006D40F0" w:rsidRDefault="00575AC3" w:rsidP="006D40F0">
      <w:r w:rsidRPr="006D40F0">
        <w:t>Lange anskaffelsesforløp og lange ledetider bidrar til å fordyre og forsinke anskaffelser i forsvarssektoren. I ny langtidsplan for forsvarssektoren, jf. Prop. 87 (2023–2024), redegjør regjeringen for ulike grep for å styrke evnen til å gjennomføre anskaffelser i forsvarssektoren mer tidsriktig og kostnadseffektivt.</w:t>
      </w:r>
    </w:p>
    <w:p w14:paraId="09370AEB" w14:textId="77777777" w:rsidR="00575AC3" w:rsidRPr="006D40F0" w:rsidRDefault="00575AC3" w:rsidP="006D40F0">
      <w:r w:rsidRPr="006D40F0">
        <w:lastRenderedPageBreak/>
        <w:t>Forsvarsdepartementet har i 2024 fullmakt til å starte opp og gjennomføre materiellinvesteringsprosjekter med en kostnadsramme under 500 mill. kroner. Det foreslås å øke fullmakten til en kostnadsramme på 1 000 mill. kroner, jf. forslag til romertallsvedtak.</w:t>
      </w:r>
    </w:p>
    <w:p w14:paraId="1FAA9877" w14:textId="77777777" w:rsidR="00575AC3" w:rsidRPr="006D40F0" w:rsidRDefault="00575AC3" w:rsidP="006D40F0">
      <w:r w:rsidRPr="006D40F0">
        <w:t>Forsvarsdepartementet har i 2024 fullmakt til å starte opp og gjennomføre eiendoms-, bygg- og anleggsprosjekter (inkludert tilhørende innredning) med en kostnadsramme under 200 mill. kroner. Det foreslås å øke fullmakten til en kostnadsramme på 500 mill. kroner, jf. forslag til romertallsvedtak.</w:t>
      </w:r>
    </w:p>
    <w:p w14:paraId="6EA7BE75" w14:textId="77777777" w:rsidR="00575AC3" w:rsidRPr="006D40F0" w:rsidRDefault="00575AC3" w:rsidP="006D40F0">
      <w:r w:rsidRPr="006D40F0">
        <w:t>Hensikten med forslagene om økt beløpsgrense er mer effektiv gjennomføring av prioriterte tiltak.</w:t>
      </w:r>
    </w:p>
    <w:p w14:paraId="3442754E" w14:textId="77777777" w:rsidR="00575AC3" w:rsidRPr="006D40F0" w:rsidRDefault="00575AC3" w:rsidP="006D40F0">
      <w:pPr>
        <w:pStyle w:val="avsnitt-undertittel"/>
      </w:pPr>
      <w:r w:rsidRPr="006D40F0">
        <w:t>Bestillingsfullmakt under kap. 1760 Forsvarsmateriell og større anskaffelser og vedlikehold, post, 45 Større utstyrsanskaffelser og vedlikehold</w:t>
      </w:r>
    </w:p>
    <w:p w14:paraId="749B1344" w14:textId="77777777" w:rsidR="00575AC3" w:rsidRPr="006D40F0" w:rsidRDefault="00575AC3" w:rsidP="006D40F0">
      <w:r w:rsidRPr="006D40F0">
        <w:t xml:space="preserve">Ved Stortingets behandling av </w:t>
      </w:r>
      <w:proofErr w:type="spellStart"/>
      <w:r w:rsidRPr="006D40F0">
        <w:t>Innst</w:t>
      </w:r>
      <w:proofErr w:type="spellEnd"/>
      <w:r w:rsidRPr="006D40F0">
        <w:t>. 7 S (2023–2024) ble det gitt samtykke til en bestillingsfullmakt på 103 820 mill. kroner på kap. 1760, post 45. Det foreslås en økning i denne bestillingsfullmakten på 20 000 mill. kroner. Forslaget er knyttet til den vesentlige økningen i investeringsvolum som kommende langtidsplan for forsvarssektoren legger opp til, med betydelige økninger allerede tidlig i kommende langtidsplanperiode. Gjenanskaffelser av materiell som er donert til Ukraina øker også behovet for bestillingsfullmakten. Videre har den økte etterspørselen i markedet for militært materiell medført vesentlig forlengede leveransetider, noe som medfører at summen av forpliktelser øker i takt med leveringstidene.</w:t>
      </w:r>
    </w:p>
    <w:p w14:paraId="7C3F010D" w14:textId="77777777" w:rsidR="00575AC3" w:rsidRPr="006D40F0" w:rsidRDefault="00575AC3" w:rsidP="006D40F0">
      <w:pPr>
        <w:pStyle w:val="avsnitt-undertittel"/>
      </w:pPr>
      <w:r w:rsidRPr="006D40F0">
        <w:t>Tilskudd over kap. 1700, post 71 – overføringer til andre, kan overføres</w:t>
      </w:r>
    </w:p>
    <w:p w14:paraId="1818388D" w14:textId="77777777" w:rsidR="00575AC3" w:rsidRPr="006D40F0" w:rsidRDefault="00575AC3" w:rsidP="006D40F0">
      <w:r w:rsidRPr="006D40F0">
        <w:t>Stiftelsen Akershus festning for kunst og kultur (SAKK) har som formål å styrke, organisere og koordinere kulturell virksomhet på Akershus festning. SAKK hadde i 2023 redusert omsetning. For at dette ikke skal få negative følgeeffekter for stiftelsens produksjoner i 2024 foreslås det å øke tilskuddet til SAKK med 0,148 mill. kroner til 3,533 mill. kroner i 2024.</w:t>
      </w:r>
    </w:p>
    <w:p w14:paraId="743E3131" w14:textId="77777777" w:rsidR="00575AC3" w:rsidRPr="006D40F0" w:rsidRDefault="00575AC3" w:rsidP="006D40F0">
      <w:pPr>
        <w:pStyle w:val="avsnitt-undertittel"/>
      </w:pPr>
      <w:r w:rsidRPr="006D40F0">
        <w:t>Tilskudd over kap. 1700, post 79 – Militær støtte til Ukraina over Nansen-programmet</w:t>
      </w:r>
    </w:p>
    <w:p w14:paraId="10F218F1" w14:textId="77777777" w:rsidR="00575AC3" w:rsidRPr="006D40F0" w:rsidRDefault="00575AC3" w:rsidP="006D40F0">
      <w:r w:rsidRPr="006D40F0">
        <w:t>Regjeringen støtter et tsjekkisk initiativ for anskaffelse av artilleriammunisjon til Ukraina med inntil 1 600 mill. kroner. I økonomisk størrelse er dette regjeringens største enkeltstående beslutning om militær støtte til Ukraina innenfor rammen av Nansen-programmet. Regjeringens beslutning ble offentlig kjent 7. mars 2024. Støtten gis i form av et tilskudd til Tsjekkia.</w:t>
      </w:r>
    </w:p>
    <w:p w14:paraId="32B39E02" w14:textId="77777777" w:rsidR="00575AC3" w:rsidRPr="006D40F0" w:rsidRDefault="00575AC3" w:rsidP="006D40F0">
      <w:pPr>
        <w:pStyle w:val="avsnitt-undertittel"/>
      </w:pPr>
      <w:r w:rsidRPr="006D40F0">
        <w:t>Informasjon om interne endringer på kap. 1720 Forsvaret</w:t>
      </w:r>
    </w:p>
    <w:p w14:paraId="2FC17F01" w14:textId="77777777" w:rsidR="00575AC3" w:rsidRDefault="00575AC3" w:rsidP="006D40F0">
      <w:r w:rsidRPr="006D40F0">
        <w:t>Tabellen under viser forsvarssjefens (FSJ) planlagte tildelinger til driftsenhetene på kap. 1720, i forbindelse med Revidert nasjonalbudsjett for 2024, relativt til opprinnelig plan for 2024, jf. Prop. 1 S (2023–2024). Tabellen viser endringene som er beskrevet under kap. 1720, post 01, i tillegg til de interne omdisponeringene mellom driftsenhetene.</w:t>
      </w:r>
    </w:p>
    <w:p w14:paraId="0FD76E3D" w14:textId="56ACC146" w:rsidR="00265CE1" w:rsidRPr="006D40F0" w:rsidRDefault="00265CE1" w:rsidP="00265CE1">
      <w:pPr>
        <w:pStyle w:val="tabell-tittel"/>
      </w:pPr>
      <w:r w:rsidRPr="006D40F0">
        <w:t>Interne endringer på kap. 1720 Forsvaret (i 1000 kroner)</w:t>
      </w:r>
    </w:p>
    <w:p w14:paraId="2D321FC2" w14:textId="77777777" w:rsidR="00575AC3" w:rsidRPr="006D40F0" w:rsidRDefault="00575AC3" w:rsidP="006D40F0">
      <w:pPr>
        <w:pStyle w:val="Tabellnavn"/>
      </w:pPr>
      <w:r w:rsidRPr="006D40F0">
        <w:t>04J1xt2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520"/>
        <w:gridCol w:w="1300"/>
      </w:tblGrid>
      <w:tr w:rsidR="00DD49A7" w:rsidRPr="006D40F0" w14:paraId="7FB9E193" w14:textId="77777777" w:rsidTr="00265CE1">
        <w:trPr>
          <w:trHeight w:val="60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E225D" w14:textId="77777777" w:rsidR="00575AC3" w:rsidRPr="006D40F0" w:rsidRDefault="00575AC3" w:rsidP="006D40F0">
            <w:r w:rsidRPr="006D40F0">
              <w:lastRenderedPageBreak/>
              <w:t>Driftsenhet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09250C" w14:textId="77777777" w:rsidR="00575AC3" w:rsidRPr="006D40F0" w:rsidRDefault="00575AC3" w:rsidP="006D40F0">
            <w:r w:rsidRPr="006D40F0">
              <w:t>FSJ plan 2024</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DF2058" w14:textId="77777777" w:rsidR="00575AC3" w:rsidRPr="006D40F0" w:rsidRDefault="00575AC3" w:rsidP="006D40F0">
            <w:r w:rsidRPr="006D40F0">
              <w:t>Forslag RNB 2024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E8816B" w14:textId="77777777" w:rsidR="00575AC3" w:rsidRPr="006D40F0" w:rsidRDefault="00575AC3" w:rsidP="006D40F0">
            <w:r w:rsidRPr="006D40F0">
              <w:t>Justert tildeling</w:t>
            </w:r>
          </w:p>
        </w:tc>
      </w:tr>
      <w:tr w:rsidR="00DD49A7" w:rsidRPr="006D40F0" w14:paraId="674B61C7" w14:textId="77777777" w:rsidTr="00265CE1">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190FC069" w14:textId="77777777" w:rsidR="00575AC3" w:rsidRPr="006D40F0" w:rsidRDefault="00575AC3" w:rsidP="006D40F0">
            <w:r w:rsidRPr="006D40F0">
              <w:t>Cyberforsvaret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C55474D" w14:textId="77777777" w:rsidR="00575AC3" w:rsidRPr="006D40F0" w:rsidRDefault="00575AC3" w:rsidP="006D40F0">
            <w:r w:rsidRPr="006D40F0">
              <w:t xml:space="preserve"> 2 767 631 </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E9D0F91" w14:textId="77777777" w:rsidR="00575AC3" w:rsidRPr="006D40F0" w:rsidRDefault="00575AC3" w:rsidP="006D40F0">
            <w:r w:rsidRPr="006D40F0">
              <w:t xml:space="preserve"> 24 932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6B092A" w14:textId="77777777" w:rsidR="00575AC3" w:rsidRPr="006D40F0" w:rsidRDefault="00575AC3" w:rsidP="006D40F0">
            <w:r w:rsidRPr="006D40F0">
              <w:t xml:space="preserve">2 792 563 </w:t>
            </w:r>
          </w:p>
        </w:tc>
      </w:tr>
      <w:tr w:rsidR="00DD49A7" w:rsidRPr="006D40F0" w14:paraId="71C1677A"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51F3011C" w14:textId="77777777" w:rsidR="00575AC3" w:rsidRPr="006D40F0" w:rsidRDefault="00575AC3" w:rsidP="006D40F0">
            <w:r w:rsidRPr="006D40F0">
              <w:t>Forsvarsstaben og Forsvarets fellestjenester</w:t>
            </w:r>
          </w:p>
        </w:tc>
        <w:tc>
          <w:tcPr>
            <w:tcW w:w="1400" w:type="dxa"/>
            <w:tcBorders>
              <w:top w:val="nil"/>
              <w:left w:val="nil"/>
              <w:bottom w:val="nil"/>
              <w:right w:val="nil"/>
            </w:tcBorders>
            <w:tcMar>
              <w:top w:w="128" w:type="dxa"/>
              <w:left w:w="43" w:type="dxa"/>
              <w:bottom w:w="43" w:type="dxa"/>
              <w:right w:w="43" w:type="dxa"/>
            </w:tcMar>
            <w:vAlign w:val="bottom"/>
          </w:tcPr>
          <w:p w14:paraId="727E65A3" w14:textId="77777777" w:rsidR="00575AC3" w:rsidRPr="006D40F0" w:rsidRDefault="00575AC3" w:rsidP="006D40F0">
            <w:r w:rsidRPr="006D40F0">
              <w:t xml:space="preserve"> 3 302 738 </w:t>
            </w:r>
          </w:p>
        </w:tc>
        <w:tc>
          <w:tcPr>
            <w:tcW w:w="1520" w:type="dxa"/>
            <w:tcBorders>
              <w:top w:val="nil"/>
              <w:left w:val="nil"/>
              <w:bottom w:val="nil"/>
              <w:right w:val="nil"/>
            </w:tcBorders>
            <w:tcMar>
              <w:top w:w="128" w:type="dxa"/>
              <w:left w:w="43" w:type="dxa"/>
              <w:bottom w:w="43" w:type="dxa"/>
              <w:right w:w="43" w:type="dxa"/>
            </w:tcMar>
            <w:vAlign w:val="bottom"/>
          </w:tcPr>
          <w:p w14:paraId="760E0F94" w14:textId="77777777" w:rsidR="00575AC3" w:rsidRPr="006D40F0" w:rsidRDefault="00575AC3" w:rsidP="006D40F0">
            <w:r w:rsidRPr="006D40F0">
              <w:t xml:space="preserve"> -1 612 588 </w:t>
            </w:r>
          </w:p>
        </w:tc>
        <w:tc>
          <w:tcPr>
            <w:tcW w:w="1300" w:type="dxa"/>
            <w:tcBorders>
              <w:top w:val="nil"/>
              <w:left w:val="nil"/>
              <w:bottom w:val="nil"/>
              <w:right w:val="nil"/>
            </w:tcBorders>
            <w:tcMar>
              <w:top w:w="128" w:type="dxa"/>
              <w:left w:w="43" w:type="dxa"/>
              <w:bottom w:w="43" w:type="dxa"/>
              <w:right w:w="43" w:type="dxa"/>
            </w:tcMar>
            <w:vAlign w:val="bottom"/>
          </w:tcPr>
          <w:p w14:paraId="14789A3A" w14:textId="77777777" w:rsidR="00575AC3" w:rsidRPr="006D40F0" w:rsidRDefault="00575AC3" w:rsidP="006D40F0">
            <w:r w:rsidRPr="006D40F0">
              <w:t xml:space="preserve">1 690 150 </w:t>
            </w:r>
          </w:p>
        </w:tc>
      </w:tr>
      <w:tr w:rsidR="00DD49A7" w:rsidRPr="006D40F0" w14:paraId="7256F578"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23ABAD4E" w14:textId="77777777" w:rsidR="00575AC3" w:rsidRPr="006D40F0" w:rsidRDefault="00575AC3" w:rsidP="006D40F0">
            <w:r w:rsidRPr="006D40F0">
              <w:t>Forsvarets høgskole</w:t>
            </w:r>
          </w:p>
        </w:tc>
        <w:tc>
          <w:tcPr>
            <w:tcW w:w="1400" w:type="dxa"/>
            <w:tcBorders>
              <w:top w:val="nil"/>
              <w:left w:val="nil"/>
              <w:bottom w:val="nil"/>
              <w:right w:val="nil"/>
            </w:tcBorders>
            <w:tcMar>
              <w:top w:w="128" w:type="dxa"/>
              <w:left w:w="43" w:type="dxa"/>
              <w:bottom w:w="43" w:type="dxa"/>
              <w:right w:w="43" w:type="dxa"/>
            </w:tcMar>
            <w:vAlign w:val="bottom"/>
          </w:tcPr>
          <w:p w14:paraId="0C245817" w14:textId="77777777" w:rsidR="00575AC3" w:rsidRPr="006D40F0" w:rsidRDefault="00575AC3" w:rsidP="006D40F0">
            <w:r w:rsidRPr="006D40F0">
              <w:t xml:space="preserve"> 1 072 807 </w:t>
            </w:r>
          </w:p>
        </w:tc>
        <w:tc>
          <w:tcPr>
            <w:tcW w:w="1520" w:type="dxa"/>
            <w:tcBorders>
              <w:top w:val="nil"/>
              <w:left w:val="nil"/>
              <w:bottom w:val="nil"/>
              <w:right w:val="nil"/>
            </w:tcBorders>
            <w:tcMar>
              <w:top w:w="128" w:type="dxa"/>
              <w:left w:w="43" w:type="dxa"/>
              <w:bottom w:w="43" w:type="dxa"/>
              <w:right w:w="43" w:type="dxa"/>
            </w:tcMar>
            <w:vAlign w:val="bottom"/>
          </w:tcPr>
          <w:p w14:paraId="69541A28" w14:textId="77777777" w:rsidR="00575AC3" w:rsidRPr="006D40F0" w:rsidRDefault="00575AC3" w:rsidP="006D40F0">
            <w:r w:rsidRPr="006D40F0">
              <w:t xml:space="preserve"> 57 924 </w:t>
            </w:r>
          </w:p>
        </w:tc>
        <w:tc>
          <w:tcPr>
            <w:tcW w:w="1300" w:type="dxa"/>
            <w:tcBorders>
              <w:top w:val="nil"/>
              <w:left w:val="nil"/>
              <w:bottom w:val="nil"/>
              <w:right w:val="nil"/>
            </w:tcBorders>
            <w:tcMar>
              <w:top w:w="128" w:type="dxa"/>
              <w:left w:w="43" w:type="dxa"/>
              <w:bottom w:w="43" w:type="dxa"/>
              <w:right w:w="43" w:type="dxa"/>
            </w:tcMar>
            <w:vAlign w:val="bottom"/>
          </w:tcPr>
          <w:p w14:paraId="5A7C6C63" w14:textId="77777777" w:rsidR="00575AC3" w:rsidRPr="006D40F0" w:rsidRDefault="00575AC3" w:rsidP="006D40F0">
            <w:r w:rsidRPr="006D40F0">
              <w:t xml:space="preserve">1 130 731 </w:t>
            </w:r>
          </w:p>
        </w:tc>
      </w:tr>
      <w:tr w:rsidR="00DD49A7" w:rsidRPr="006D40F0" w14:paraId="1FD791DA"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0D13DED4" w14:textId="77777777" w:rsidR="00575AC3" w:rsidRPr="006D40F0" w:rsidRDefault="00575AC3" w:rsidP="006D40F0">
            <w:r w:rsidRPr="006D40F0">
              <w:t>Forsvarets logistikkorganisasjon</w:t>
            </w:r>
          </w:p>
        </w:tc>
        <w:tc>
          <w:tcPr>
            <w:tcW w:w="1400" w:type="dxa"/>
            <w:tcBorders>
              <w:top w:val="nil"/>
              <w:left w:val="nil"/>
              <w:bottom w:val="nil"/>
              <w:right w:val="nil"/>
            </w:tcBorders>
            <w:tcMar>
              <w:top w:w="128" w:type="dxa"/>
              <w:left w:w="43" w:type="dxa"/>
              <w:bottom w:w="43" w:type="dxa"/>
              <w:right w:w="43" w:type="dxa"/>
            </w:tcMar>
            <w:vAlign w:val="bottom"/>
          </w:tcPr>
          <w:p w14:paraId="4E582396" w14:textId="77777777" w:rsidR="00575AC3" w:rsidRPr="006D40F0" w:rsidRDefault="00575AC3" w:rsidP="006D40F0">
            <w:r w:rsidRPr="006D40F0">
              <w:t xml:space="preserve"> 3 805 097 </w:t>
            </w:r>
          </w:p>
        </w:tc>
        <w:tc>
          <w:tcPr>
            <w:tcW w:w="1520" w:type="dxa"/>
            <w:tcBorders>
              <w:top w:val="nil"/>
              <w:left w:val="nil"/>
              <w:bottom w:val="nil"/>
              <w:right w:val="nil"/>
            </w:tcBorders>
            <w:tcMar>
              <w:top w:w="128" w:type="dxa"/>
              <w:left w:w="43" w:type="dxa"/>
              <w:bottom w:w="43" w:type="dxa"/>
              <w:right w:w="43" w:type="dxa"/>
            </w:tcMar>
            <w:vAlign w:val="bottom"/>
          </w:tcPr>
          <w:p w14:paraId="265A10A7" w14:textId="77777777" w:rsidR="00575AC3" w:rsidRPr="006D40F0" w:rsidRDefault="00575AC3" w:rsidP="006D40F0">
            <w:r w:rsidRPr="006D40F0">
              <w:t xml:space="preserve"> 1 158 391 </w:t>
            </w:r>
          </w:p>
        </w:tc>
        <w:tc>
          <w:tcPr>
            <w:tcW w:w="1300" w:type="dxa"/>
            <w:tcBorders>
              <w:top w:val="nil"/>
              <w:left w:val="nil"/>
              <w:bottom w:val="nil"/>
              <w:right w:val="nil"/>
            </w:tcBorders>
            <w:tcMar>
              <w:top w:w="128" w:type="dxa"/>
              <w:left w:w="43" w:type="dxa"/>
              <w:bottom w:w="43" w:type="dxa"/>
              <w:right w:w="43" w:type="dxa"/>
            </w:tcMar>
            <w:vAlign w:val="bottom"/>
          </w:tcPr>
          <w:p w14:paraId="683DA45E" w14:textId="77777777" w:rsidR="00575AC3" w:rsidRPr="006D40F0" w:rsidRDefault="00575AC3" w:rsidP="006D40F0">
            <w:r w:rsidRPr="006D40F0">
              <w:t xml:space="preserve">4 963 488 </w:t>
            </w:r>
          </w:p>
        </w:tc>
      </w:tr>
      <w:tr w:rsidR="00DD49A7" w:rsidRPr="006D40F0" w14:paraId="61AB4BEB"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2C031AA9" w14:textId="77777777" w:rsidR="00575AC3" w:rsidRPr="006D40F0" w:rsidRDefault="00575AC3" w:rsidP="006D40F0">
            <w:r w:rsidRPr="006D40F0">
              <w:t>Forsvarets operative hovedkvarter</w:t>
            </w:r>
          </w:p>
        </w:tc>
        <w:tc>
          <w:tcPr>
            <w:tcW w:w="1400" w:type="dxa"/>
            <w:tcBorders>
              <w:top w:val="nil"/>
              <w:left w:val="nil"/>
              <w:bottom w:val="nil"/>
              <w:right w:val="nil"/>
            </w:tcBorders>
            <w:tcMar>
              <w:top w:w="128" w:type="dxa"/>
              <w:left w:w="43" w:type="dxa"/>
              <w:bottom w:w="43" w:type="dxa"/>
              <w:right w:w="43" w:type="dxa"/>
            </w:tcMar>
            <w:vAlign w:val="bottom"/>
          </w:tcPr>
          <w:p w14:paraId="0E227D4B" w14:textId="77777777" w:rsidR="00575AC3" w:rsidRPr="006D40F0" w:rsidRDefault="00575AC3" w:rsidP="006D40F0">
            <w:r w:rsidRPr="006D40F0">
              <w:t xml:space="preserve"> 633 264 </w:t>
            </w:r>
          </w:p>
        </w:tc>
        <w:tc>
          <w:tcPr>
            <w:tcW w:w="1520" w:type="dxa"/>
            <w:tcBorders>
              <w:top w:val="nil"/>
              <w:left w:val="nil"/>
              <w:bottom w:val="nil"/>
              <w:right w:val="nil"/>
            </w:tcBorders>
            <w:tcMar>
              <w:top w:w="128" w:type="dxa"/>
              <w:left w:w="43" w:type="dxa"/>
              <w:bottom w:w="43" w:type="dxa"/>
              <w:right w:w="43" w:type="dxa"/>
            </w:tcMar>
            <w:vAlign w:val="bottom"/>
          </w:tcPr>
          <w:p w14:paraId="5C2D6D0D" w14:textId="77777777" w:rsidR="00575AC3" w:rsidRPr="006D40F0" w:rsidRDefault="00575AC3" w:rsidP="006D40F0">
            <w:r w:rsidRPr="006D40F0">
              <w:t xml:space="preserve"> 136 307 </w:t>
            </w:r>
          </w:p>
        </w:tc>
        <w:tc>
          <w:tcPr>
            <w:tcW w:w="1300" w:type="dxa"/>
            <w:tcBorders>
              <w:top w:val="nil"/>
              <w:left w:val="nil"/>
              <w:bottom w:val="nil"/>
              <w:right w:val="nil"/>
            </w:tcBorders>
            <w:tcMar>
              <w:top w:w="128" w:type="dxa"/>
              <w:left w:w="43" w:type="dxa"/>
              <w:bottom w:w="43" w:type="dxa"/>
              <w:right w:w="43" w:type="dxa"/>
            </w:tcMar>
            <w:vAlign w:val="bottom"/>
          </w:tcPr>
          <w:p w14:paraId="55BD7E83" w14:textId="77777777" w:rsidR="00575AC3" w:rsidRPr="006D40F0" w:rsidRDefault="00575AC3" w:rsidP="006D40F0">
            <w:r w:rsidRPr="006D40F0">
              <w:t xml:space="preserve">769 571 </w:t>
            </w:r>
          </w:p>
        </w:tc>
      </w:tr>
      <w:tr w:rsidR="00DD49A7" w:rsidRPr="006D40F0" w14:paraId="0BA4E6D2"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038C5888" w14:textId="77777777" w:rsidR="00575AC3" w:rsidRPr="006D40F0" w:rsidRDefault="00575AC3" w:rsidP="006D40F0">
            <w:r w:rsidRPr="006D40F0">
              <w:t xml:space="preserve">Forsvarets personell- og </w:t>
            </w:r>
            <w:proofErr w:type="spellStart"/>
            <w:r w:rsidRPr="006D40F0">
              <w:t>vernepliktssenter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A2D0AEF" w14:textId="77777777" w:rsidR="00575AC3" w:rsidRPr="006D40F0" w:rsidRDefault="00575AC3" w:rsidP="006D40F0">
            <w:r w:rsidRPr="006D40F0">
              <w:t xml:space="preserve"> 1 202 667 </w:t>
            </w:r>
          </w:p>
        </w:tc>
        <w:tc>
          <w:tcPr>
            <w:tcW w:w="1520" w:type="dxa"/>
            <w:tcBorders>
              <w:top w:val="nil"/>
              <w:left w:val="nil"/>
              <w:bottom w:val="nil"/>
              <w:right w:val="nil"/>
            </w:tcBorders>
            <w:tcMar>
              <w:top w:w="128" w:type="dxa"/>
              <w:left w:w="43" w:type="dxa"/>
              <w:bottom w:w="43" w:type="dxa"/>
              <w:right w:w="43" w:type="dxa"/>
            </w:tcMar>
            <w:vAlign w:val="bottom"/>
          </w:tcPr>
          <w:p w14:paraId="6D094F22" w14:textId="77777777" w:rsidR="00575AC3" w:rsidRPr="006D40F0" w:rsidRDefault="00575AC3" w:rsidP="006D40F0">
            <w:r w:rsidRPr="006D40F0">
              <w:t xml:space="preserve"> 473 420 </w:t>
            </w:r>
          </w:p>
        </w:tc>
        <w:tc>
          <w:tcPr>
            <w:tcW w:w="1300" w:type="dxa"/>
            <w:tcBorders>
              <w:top w:val="nil"/>
              <w:left w:val="nil"/>
              <w:bottom w:val="nil"/>
              <w:right w:val="nil"/>
            </w:tcBorders>
            <w:tcMar>
              <w:top w:w="128" w:type="dxa"/>
              <w:left w:w="43" w:type="dxa"/>
              <w:bottom w:w="43" w:type="dxa"/>
              <w:right w:w="43" w:type="dxa"/>
            </w:tcMar>
            <w:vAlign w:val="bottom"/>
          </w:tcPr>
          <w:p w14:paraId="192DC32A" w14:textId="77777777" w:rsidR="00575AC3" w:rsidRPr="006D40F0" w:rsidRDefault="00575AC3" w:rsidP="006D40F0">
            <w:r w:rsidRPr="006D40F0">
              <w:t xml:space="preserve">1 676 087 </w:t>
            </w:r>
          </w:p>
        </w:tc>
      </w:tr>
      <w:tr w:rsidR="00DD49A7" w:rsidRPr="006D40F0" w14:paraId="2EC77AB9"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5037C17B" w14:textId="77777777" w:rsidR="00575AC3" w:rsidRPr="006D40F0" w:rsidRDefault="00575AC3" w:rsidP="006D40F0">
            <w:r w:rsidRPr="006D40F0">
              <w:t>Forsvarets spesialstyrker</w:t>
            </w:r>
          </w:p>
        </w:tc>
        <w:tc>
          <w:tcPr>
            <w:tcW w:w="1400" w:type="dxa"/>
            <w:tcBorders>
              <w:top w:val="nil"/>
              <w:left w:val="nil"/>
              <w:bottom w:val="nil"/>
              <w:right w:val="nil"/>
            </w:tcBorders>
            <w:tcMar>
              <w:top w:w="128" w:type="dxa"/>
              <w:left w:w="43" w:type="dxa"/>
              <w:bottom w:w="43" w:type="dxa"/>
              <w:right w:w="43" w:type="dxa"/>
            </w:tcMar>
            <w:vAlign w:val="bottom"/>
          </w:tcPr>
          <w:p w14:paraId="0606788F" w14:textId="77777777" w:rsidR="00575AC3" w:rsidRPr="006D40F0" w:rsidRDefault="00575AC3" w:rsidP="006D40F0">
            <w:r w:rsidRPr="006D40F0">
              <w:t xml:space="preserve"> 1 150 674 </w:t>
            </w:r>
          </w:p>
        </w:tc>
        <w:tc>
          <w:tcPr>
            <w:tcW w:w="1520" w:type="dxa"/>
            <w:tcBorders>
              <w:top w:val="nil"/>
              <w:left w:val="nil"/>
              <w:bottom w:val="nil"/>
              <w:right w:val="nil"/>
            </w:tcBorders>
            <w:tcMar>
              <w:top w:w="128" w:type="dxa"/>
              <w:left w:w="43" w:type="dxa"/>
              <w:bottom w:w="43" w:type="dxa"/>
              <w:right w:w="43" w:type="dxa"/>
            </w:tcMar>
            <w:vAlign w:val="bottom"/>
          </w:tcPr>
          <w:p w14:paraId="414BB681" w14:textId="77777777" w:rsidR="00575AC3" w:rsidRPr="006D40F0" w:rsidRDefault="00575AC3" w:rsidP="006D40F0">
            <w:r w:rsidRPr="006D40F0">
              <w:t xml:space="preserve"> 176 420 </w:t>
            </w:r>
          </w:p>
        </w:tc>
        <w:tc>
          <w:tcPr>
            <w:tcW w:w="1300" w:type="dxa"/>
            <w:tcBorders>
              <w:top w:val="nil"/>
              <w:left w:val="nil"/>
              <w:bottom w:val="nil"/>
              <w:right w:val="nil"/>
            </w:tcBorders>
            <w:tcMar>
              <w:top w:w="128" w:type="dxa"/>
              <w:left w:w="43" w:type="dxa"/>
              <w:bottom w:w="43" w:type="dxa"/>
              <w:right w:w="43" w:type="dxa"/>
            </w:tcMar>
            <w:vAlign w:val="bottom"/>
          </w:tcPr>
          <w:p w14:paraId="10A54151" w14:textId="77777777" w:rsidR="00575AC3" w:rsidRPr="006D40F0" w:rsidRDefault="00575AC3" w:rsidP="006D40F0">
            <w:r w:rsidRPr="006D40F0">
              <w:t xml:space="preserve">1 327 094 </w:t>
            </w:r>
          </w:p>
        </w:tc>
      </w:tr>
      <w:tr w:rsidR="00DD49A7" w:rsidRPr="006D40F0" w14:paraId="4F7BBCB7"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35BBCAD2" w14:textId="77777777" w:rsidR="00575AC3" w:rsidRPr="006D40F0" w:rsidRDefault="00575AC3" w:rsidP="006D40F0">
            <w:r w:rsidRPr="006D40F0">
              <w:t>Forsvarets sanitet</w:t>
            </w:r>
          </w:p>
        </w:tc>
        <w:tc>
          <w:tcPr>
            <w:tcW w:w="1400" w:type="dxa"/>
            <w:tcBorders>
              <w:top w:val="nil"/>
              <w:left w:val="nil"/>
              <w:bottom w:val="nil"/>
              <w:right w:val="nil"/>
            </w:tcBorders>
            <w:tcMar>
              <w:top w:w="128" w:type="dxa"/>
              <w:left w:w="43" w:type="dxa"/>
              <w:bottom w:w="43" w:type="dxa"/>
              <w:right w:w="43" w:type="dxa"/>
            </w:tcMar>
            <w:vAlign w:val="bottom"/>
          </w:tcPr>
          <w:p w14:paraId="0060BC4D" w14:textId="77777777" w:rsidR="00575AC3" w:rsidRPr="006D40F0" w:rsidRDefault="00575AC3" w:rsidP="006D40F0">
            <w:r w:rsidRPr="006D40F0">
              <w:t xml:space="preserve"> 406 044 </w:t>
            </w:r>
          </w:p>
        </w:tc>
        <w:tc>
          <w:tcPr>
            <w:tcW w:w="1520" w:type="dxa"/>
            <w:tcBorders>
              <w:top w:val="nil"/>
              <w:left w:val="nil"/>
              <w:bottom w:val="nil"/>
              <w:right w:val="nil"/>
            </w:tcBorders>
            <w:tcMar>
              <w:top w:w="128" w:type="dxa"/>
              <w:left w:w="43" w:type="dxa"/>
              <w:bottom w:w="43" w:type="dxa"/>
              <w:right w:w="43" w:type="dxa"/>
            </w:tcMar>
            <w:vAlign w:val="bottom"/>
          </w:tcPr>
          <w:p w14:paraId="1A247991" w14:textId="77777777" w:rsidR="00575AC3" w:rsidRPr="006D40F0" w:rsidRDefault="00575AC3" w:rsidP="006D40F0">
            <w:r w:rsidRPr="006D40F0">
              <w:t xml:space="preserve"> 11 844 </w:t>
            </w:r>
          </w:p>
        </w:tc>
        <w:tc>
          <w:tcPr>
            <w:tcW w:w="1300" w:type="dxa"/>
            <w:tcBorders>
              <w:top w:val="nil"/>
              <w:left w:val="nil"/>
              <w:bottom w:val="nil"/>
              <w:right w:val="nil"/>
            </w:tcBorders>
            <w:tcMar>
              <w:top w:w="128" w:type="dxa"/>
              <w:left w:w="43" w:type="dxa"/>
              <w:bottom w:w="43" w:type="dxa"/>
              <w:right w:w="43" w:type="dxa"/>
            </w:tcMar>
            <w:vAlign w:val="bottom"/>
          </w:tcPr>
          <w:p w14:paraId="04586DDF" w14:textId="77777777" w:rsidR="00575AC3" w:rsidRPr="006D40F0" w:rsidRDefault="00575AC3" w:rsidP="006D40F0">
            <w:r w:rsidRPr="006D40F0">
              <w:t xml:space="preserve">417 888 </w:t>
            </w:r>
          </w:p>
        </w:tc>
      </w:tr>
      <w:tr w:rsidR="00DD49A7" w:rsidRPr="006D40F0" w14:paraId="5C4A6E80"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5903870F" w14:textId="77777777" w:rsidR="00575AC3" w:rsidRPr="006D40F0" w:rsidRDefault="00575AC3" w:rsidP="006D40F0">
            <w:r w:rsidRPr="006D40F0">
              <w:t>Heimevernet</w:t>
            </w:r>
          </w:p>
        </w:tc>
        <w:tc>
          <w:tcPr>
            <w:tcW w:w="1400" w:type="dxa"/>
            <w:tcBorders>
              <w:top w:val="nil"/>
              <w:left w:val="nil"/>
              <w:bottom w:val="nil"/>
              <w:right w:val="nil"/>
            </w:tcBorders>
            <w:tcMar>
              <w:top w:w="128" w:type="dxa"/>
              <w:left w:w="43" w:type="dxa"/>
              <w:bottom w:w="43" w:type="dxa"/>
              <w:right w:w="43" w:type="dxa"/>
            </w:tcMar>
            <w:vAlign w:val="bottom"/>
          </w:tcPr>
          <w:p w14:paraId="776140E8" w14:textId="77777777" w:rsidR="00575AC3" w:rsidRPr="006D40F0" w:rsidRDefault="00575AC3" w:rsidP="006D40F0">
            <w:r w:rsidRPr="006D40F0">
              <w:t xml:space="preserve"> 1 865 119 </w:t>
            </w:r>
          </w:p>
        </w:tc>
        <w:tc>
          <w:tcPr>
            <w:tcW w:w="1520" w:type="dxa"/>
            <w:tcBorders>
              <w:top w:val="nil"/>
              <w:left w:val="nil"/>
              <w:bottom w:val="nil"/>
              <w:right w:val="nil"/>
            </w:tcBorders>
            <w:tcMar>
              <w:top w:w="128" w:type="dxa"/>
              <w:left w:w="43" w:type="dxa"/>
              <w:bottom w:w="43" w:type="dxa"/>
              <w:right w:w="43" w:type="dxa"/>
            </w:tcMar>
            <w:vAlign w:val="bottom"/>
          </w:tcPr>
          <w:p w14:paraId="69040B26" w14:textId="77777777" w:rsidR="00575AC3" w:rsidRPr="006D40F0" w:rsidRDefault="00575AC3" w:rsidP="006D40F0">
            <w:r w:rsidRPr="006D40F0">
              <w:t xml:space="preserve"> 810 352 </w:t>
            </w:r>
          </w:p>
        </w:tc>
        <w:tc>
          <w:tcPr>
            <w:tcW w:w="1300" w:type="dxa"/>
            <w:tcBorders>
              <w:top w:val="nil"/>
              <w:left w:val="nil"/>
              <w:bottom w:val="nil"/>
              <w:right w:val="nil"/>
            </w:tcBorders>
            <w:tcMar>
              <w:top w:w="128" w:type="dxa"/>
              <w:left w:w="43" w:type="dxa"/>
              <w:bottom w:w="43" w:type="dxa"/>
              <w:right w:w="43" w:type="dxa"/>
            </w:tcMar>
            <w:vAlign w:val="bottom"/>
          </w:tcPr>
          <w:p w14:paraId="5B2CAF35" w14:textId="77777777" w:rsidR="00575AC3" w:rsidRPr="006D40F0" w:rsidRDefault="00575AC3" w:rsidP="006D40F0">
            <w:r w:rsidRPr="006D40F0">
              <w:t xml:space="preserve">2 675 471 </w:t>
            </w:r>
          </w:p>
        </w:tc>
      </w:tr>
      <w:tr w:rsidR="00DD49A7" w:rsidRPr="006D40F0" w14:paraId="6719EDBB"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2E7E1412" w14:textId="77777777" w:rsidR="00575AC3" w:rsidRPr="006D40F0" w:rsidRDefault="00575AC3" w:rsidP="006D40F0">
            <w:r w:rsidRPr="006D40F0">
              <w:t>Hæren</w:t>
            </w:r>
          </w:p>
        </w:tc>
        <w:tc>
          <w:tcPr>
            <w:tcW w:w="1400" w:type="dxa"/>
            <w:tcBorders>
              <w:top w:val="nil"/>
              <w:left w:val="nil"/>
              <w:bottom w:val="nil"/>
              <w:right w:val="nil"/>
            </w:tcBorders>
            <w:tcMar>
              <w:top w:w="128" w:type="dxa"/>
              <w:left w:w="43" w:type="dxa"/>
              <w:bottom w:w="43" w:type="dxa"/>
              <w:right w:w="43" w:type="dxa"/>
            </w:tcMar>
            <w:vAlign w:val="bottom"/>
          </w:tcPr>
          <w:p w14:paraId="35D4BBC6" w14:textId="77777777" w:rsidR="00575AC3" w:rsidRPr="006D40F0" w:rsidRDefault="00575AC3" w:rsidP="006D40F0">
            <w:r w:rsidRPr="006D40F0">
              <w:t xml:space="preserve"> 7 417 028 </w:t>
            </w:r>
          </w:p>
        </w:tc>
        <w:tc>
          <w:tcPr>
            <w:tcW w:w="1520" w:type="dxa"/>
            <w:tcBorders>
              <w:top w:val="nil"/>
              <w:left w:val="nil"/>
              <w:bottom w:val="nil"/>
              <w:right w:val="nil"/>
            </w:tcBorders>
            <w:tcMar>
              <w:top w:w="128" w:type="dxa"/>
              <w:left w:w="43" w:type="dxa"/>
              <w:bottom w:w="43" w:type="dxa"/>
              <w:right w:w="43" w:type="dxa"/>
            </w:tcMar>
            <w:vAlign w:val="bottom"/>
          </w:tcPr>
          <w:p w14:paraId="3D346E7A" w14:textId="77777777" w:rsidR="00575AC3" w:rsidRPr="006D40F0" w:rsidRDefault="00575AC3" w:rsidP="006D40F0">
            <w:r w:rsidRPr="006D40F0">
              <w:t xml:space="preserve"> 255 752 </w:t>
            </w:r>
          </w:p>
        </w:tc>
        <w:tc>
          <w:tcPr>
            <w:tcW w:w="1300" w:type="dxa"/>
            <w:tcBorders>
              <w:top w:val="nil"/>
              <w:left w:val="nil"/>
              <w:bottom w:val="nil"/>
              <w:right w:val="nil"/>
            </w:tcBorders>
            <w:tcMar>
              <w:top w:w="128" w:type="dxa"/>
              <w:left w:w="43" w:type="dxa"/>
              <w:bottom w:w="43" w:type="dxa"/>
              <w:right w:w="43" w:type="dxa"/>
            </w:tcMar>
            <w:vAlign w:val="bottom"/>
          </w:tcPr>
          <w:p w14:paraId="1F7F061B" w14:textId="77777777" w:rsidR="00575AC3" w:rsidRPr="006D40F0" w:rsidRDefault="00575AC3" w:rsidP="006D40F0">
            <w:r w:rsidRPr="006D40F0">
              <w:t xml:space="preserve">7 672 780 </w:t>
            </w:r>
          </w:p>
        </w:tc>
      </w:tr>
      <w:tr w:rsidR="00DD49A7" w:rsidRPr="006D40F0" w14:paraId="5DA78EC4"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68C21A6A" w14:textId="77777777" w:rsidR="00575AC3" w:rsidRPr="006D40F0" w:rsidRDefault="00575AC3" w:rsidP="006D40F0">
            <w:r w:rsidRPr="006D40F0">
              <w:t>Luftforsvaret</w:t>
            </w:r>
          </w:p>
        </w:tc>
        <w:tc>
          <w:tcPr>
            <w:tcW w:w="1400" w:type="dxa"/>
            <w:tcBorders>
              <w:top w:val="nil"/>
              <w:left w:val="nil"/>
              <w:bottom w:val="nil"/>
              <w:right w:val="nil"/>
            </w:tcBorders>
            <w:tcMar>
              <w:top w:w="128" w:type="dxa"/>
              <w:left w:w="43" w:type="dxa"/>
              <w:bottom w:w="43" w:type="dxa"/>
              <w:right w:w="43" w:type="dxa"/>
            </w:tcMar>
            <w:vAlign w:val="bottom"/>
          </w:tcPr>
          <w:p w14:paraId="797C3B88" w14:textId="77777777" w:rsidR="00575AC3" w:rsidRPr="006D40F0" w:rsidRDefault="00575AC3" w:rsidP="006D40F0">
            <w:r w:rsidRPr="006D40F0">
              <w:t xml:space="preserve"> 8 754 353 </w:t>
            </w:r>
          </w:p>
        </w:tc>
        <w:tc>
          <w:tcPr>
            <w:tcW w:w="1520" w:type="dxa"/>
            <w:tcBorders>
              <w:top w:val="nil"/>
              <w:left w:val="nil"/>
              <w:bottom w:val="nil"/>
              <w:right w:val="nil"/>
            </w:tcBorders>
            <w:tcMar>
              <w:top w:w="128" w:type="dxa"/>
              <w:left w:w="43" w:type="dxa"/>
              <w:bottom w:w="43" w:type="dxa"/>
              <w:right w:w="43" w:type="dxa"/>
            </w:tcMar>
            <w:vAlign w:val="bottom"/>
          </w:tcPr>
          <w:p w14:paraId="2E04C73E" w14:textId="77777777" w:rsidR="00575AC3" w:rsidRPr="006D40F0" w:rsidRDefault="00575AC3" w:rsidP="006D40F0">
            <w:r w:rsidRPr="006D40F0">
              <w:t xml:space="preserve"> 457 930 </w:t>
            </w:r>
          </w:p>
        </w:tc>
        <w:tc>
          <w:tcPr>
            <w:tcW w:w="1300" w:type="dxa"/>
            <w:tcBorders>
              <w:top w:val="nil"/>
              <w:left w:val="nil"/>
              <w:bottom w:val="nil"/>
              <w:right w:val="nil"/>
            </w:tcBorders>
            <w:tcMar>
              <w:top w:w="128" w:type="dxa"/>
              <w:left w:w="43" w:type="dxa"/>
              <w:bottom w:w="43" w:type="dxa"/>
              <w:right w:w="43" w:type="dxa"/>
            </w:tcMar>
            <w:vAlign w:val="bottom"/>
          </w:tcPr>
          <w:p w14:paraId="085C72AA" w14:textId="77777777" w:rsidR="00575AC3" w:rsidRPr="006D40F0" w:rsidRDefault="00575AC3" w:rsidP="006D40F0">
            <w:r w:rsidRPr="006D40F0">
              <w:t xml:space="preserve">9 212 283 </w:t>
            </w:r>
          </w:p>
        </w:tc>
      </w:tr>
      <w:tr w:rsidR="00DD49A7" w:rsidRPr="006D40F0" w14:paraId="3862462A"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001CD916" w14:textId="77777777" w:rsidR="00575AC3" w:rsidRPr="006D40F0" w:rsidRDefault="00575AC3" w:rsidP="006D40F0">
            <w:r w:rsidRPr="006D40F0">
              <w:t>Sjøforsvaret, ekskl. Kystvakten</w:t>
            </w:r>
          </w:p>
        </w:tc>
        <w:tc>
          <w:tcPr>
            <w:tcW w:w="1400" w:type="dxa"/>
            <w:tcBorders>
              <w:top w:val="nil"/>
              <w:left w:val="nil"/>
              <w:bottom w:val="nil"/>
              <w:right w:val="nil"/>
            </w:tcBorders>
            <w:tcMar>
              <w:top w:w="128" w:type="dxa"/>
              <w:left w:w="43" w:type="dxa"/>
              <w:bottom w:w="43" w:type="dxa"/>
              <w:right w:w="43" w:type="dxa"/>
            </w:tcMar>
            <w:vAlign w:val="bottom"/>
          </w:tcPr>
          <w:p w14:paraId="6DC0D956" w14:textId="77777777" w:rsidR="00575AC3" w:rsidRPr="006D40F0" w:rsidRDefault="00575AC3" w:rsidP="006D40F0">
            <w:r w:rsidRPr="006D40F0">
              <w:t xml:space="preserve"> 5 420 617 </w:t>
            </w:r>
          </w:p>
        </w:tc>
        <w:tc>
          <w:tcPr>
            <w:tcW w:w="1520" w:type="dxa"/>
            <w:tcBorders>
              <w:top w:val="nil"/>
              <w:left w:val="nil"/>
              <w:bottom w:val="nil"/>
              <w:right w:val="nil"/>
            </w:tcBorders>
            <w:tcMar>
              <w:top w:w="128" w:type="dxa"/>
              <w:left w:w="43" w:type="dxa"/>
              <w:bottom w:w="43" w:type="dxa"/>
              <w:right w:w="43" w:type="dxa"/>
            </w:tcMar>
            <w:vAlign w:val="bottom"/>
          </w:tcPr>
          <w:p w14:paraId="1A5EA8DD" w14:textId="77777777" w:rsidR="00575AC3" w:rsidRPr="006D40F0" w:rsidRDefault="00575AC3" w:rsidP="006D40F0">
            <w:r w:rsidRPr="006D40F0">
              <w:t xml:space="preserve"> 552 595 </w:t>
            </w:r>
          </w:p>
        </w:tc>
        <w:tc>
          <w:tcPr>
            <w:tcW w:w="1300" w:type="dxa"/>
            <w:tcBorders>
              <w:top w:val="nil"/>
              <w:left w:val="nil"/>
              <w:bottom w:val="nil"/>
              <w:right w:val="nil"/>
            </w:tcBorders>
            <w:tcMar>
              <w:top w:w="128" w:type="dxa"/>
              <w:left w:w="43" w:type="dxa"/>
              <w:bottom w:w="43" w:type="dxa"/>
              <w:right w:w="43" w:type="dxa"/>
            </w:tcMar>
            <w:vAlign w:val="bottom"/>
          </w:tcPr>
          <w:p w14:paraId="3C80E873" w14:textId="77777777" w:rsidR="00575AC3" w:rsidRPr="006D40F0" w:rsidRDefault="00575AC3" w:rsidP="006D40F0">
            <w:r w:rsidRPr="006D40F0">
              <w:t xml:space="preserve">5 973 212 </w:t>
            </w:r>
          </w:p>
        </w:tc>
      </w:tr>
      <w:tr w:rsidR="00DD49A7" w:rsidRPr="006D40F0" w14:paraId="0788DA91" w14:textId="77777777" w:rsidTr="00265CE1">
        <w:trPr>
          <w:trHeight w:val="380"/>
        </w:trPr>
        <w:tc>
          <w:tcPr>
            <w:tcW w:w="5320" w:type="dxa"/>
            <w:tcBorders>
              <w:top w:val="nil"/>
              <w:left w:val="nil"/>
              <w:bottom w:val="nil"/>
              <w:right w:val="nil"/>
            </w:tcBorders>
            <w:tcMar>
              <w:top w:w="128" w:type="dxa"/>
              <w:left w:w="43" w:type="dxa"/>
              <w:bottom w:w="43" w:type="dxa"/>
              <w:right w:w="43" w:type="dxa"/>
            </w:tcMar>
          </w:tcPr>
          <w:p w14:paraId="2D2A908D" w14:textId="77777777" w:rsidR="00575AC3" w:rsidRPr="006D40F0" w:rsidRDefault="00575AC3" w:rsidP="006D40F0">
            <w:r w:rsidRPr="006D40F0">
              <w:t>Norske styrker i utlandet</w:t>
            </w:r>
          </w:p>
        </w:tc>
        <w:tc>
          <w:tcPr>
            <w:tcW w:w="1400" w:type="dxa"/>
            <w:tcBorders>
              <w:top w:val="nil"/>
              <w:left w:val="nil"/>
              <w:bottom w:val="nil"/>
              <w:right w:val="nil"/>
            </w:tcBorders>
            <w:tcMar>
              <w:top w:w="128" w:type="dxa"/>
              <w:left w:w="43" w:type="dxa"/>
              <w:bottom w:w="43" w:type="dxa"/>
              <w:right w:w="43" w:type="dxa"/>
            </w:tcMar>
            <w:vAlign w:val="bottom"/>
          </w:tcPr>
          <w:p w14:paraId="54F83C26" w14:textId="77777777" w:rsidR="00575AC3" w:rsidRPr="006D40F0" w:rsidRDefault="00575AC3" w:rsidP="006D40F0">
            <w:r w:rsidRPr="006D40F0">
              <w:t xml:space="preserve"> 824 716 </w:t>
            </w:r>
          </w:p>
        </w:tc>
        <w:tc>
          <w:tcPr>
            <w:tcW w:w="1520" w:type="dxa"/>
            <w:tcBorders>
              <w:top w:val="nil"/>
              <w:left w:val="nil"/>
              <w:bottom w:val="nil"/>
              <w:right w:val="nil"/>
            </w:tcBorders>
            <w:tcMar>
              <w:top w:w="128" w:type="dxa"/>
              <w:left w:w="43" w:type="dxa"/>
              <w:bottom w:w="43" w:type="dxa"/>
              <w:right w:w="43" w:type="dxa"/>
            </w:tcMar>
            <w:vAlign w:val="bottom"/>
          </w:tcPr>
          <w:p w14:paraId="52287038" w14:textId="77777777" w:rsidR="00575AC3" w:rsidRPr="006D40F0" w:rsidRDefault="00575AC3" w:rsidP="006D40F0">
            <w:r w:rsidRPr="006D40F0">
              <w:t xml:space="preserve"> -956 </w:t>
            </w:r>
          </w:p>
        </w:tc>
        <w:tc>
          <w:tcPr>
            <w:tcW w:w="1300" w:type="dxa"/>
            <w:tcBorders>
              <w:top w:val="nil"/>
              <w:left w:val="nil"/>
              <w:bottom w:val="nil"/>
              <w:right w:val="nil"/>
            </w:tcBorders>
            <w:tcMar>
              <w:top w:w="128" w:type="dxa"/>
              <w:left w:w="43" w:type="dxa"/>
              <w:bottom w:w="43" w:type="dxa"/>
              <w:right w:w="43" w:type="dxa"/>
            </w:tcMar>
            <w:vAlign w:val="bottom"/>
          </w:tcPr>
          <w:p w14:paraId="7465FC31" w14:textId="77777777" w:rsidR="00575AC3" w:rsidRPr="006D40F0" w:rsidRDefault="00575AC3" w:rsidP="006D40F0">
            <w:r w:rsidRPr="006D40F0">
              <w:t xml:space="preserve">823 760 </w:t>
            </w:r>
          </w:p>
        </w:tc>
      </w:tr>
      <w:tr w:rsidR="00DD49A7" w:rsidRPr="006D40F0" w14:paraId="7C81AF16" w14:textId="77777777" w:rsidTr="00265CE1">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8359C68" w14:textId="77777777" w:rsidR="00575AC3" w:rsidRPr="006D40F0" w:rsidRDefault="00575AC3" w:rsidP="006D40F0">
            <w:r w:rsidRPr="006D40F0">
              <w:t>Kystvakten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BE104F" w14:textId="77777777" w:rsidR="00575AC3" w:rsidRPr="006D40F0" w:rsidRDefault="00575AC3" w:rsidP="006D40F0">
            <w:r w:rsidRPr="006D40F0">
              <w:t xml:space="preserve"> 1 541 865 </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358467F6" w14:textId="77777777" w:rsidR="00575AC3" w:rsidRPr="006D40F0" w:rsidRDefault="00575AC3" w:rsidP="006D40F0">
            <w:r w:rsidRPr="006D40F0">
              <w:t xml:space="preserve"> 23 130 </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952A3A" w14:textId="77777777" w:rsidR="00575AC3" w:rsidRPr="006D40F0" w:rsidRDefault="00575AC3" w:rsidP="006D40F0">
            <w:r w:rsidRPr="006D40F0">
              <w:t xml:space="preserve">1 564 995 </w:t>
            </w:r>
          </w:p>
        </w:tc>
      </w:tr>
      <w:tr w:rsidR="00DD49A7" w:rsidRPr="006D40F0" w14:paraId="5463BFF3" w14:textId="77777777" w:rsidTr="00265CE1">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626CBCA" w14:textId="77777777" w:rsidR="00575AC3" w:rsidRPr="006D40F0" w:rsidRDefault="00575AC3" w:rsidP="006D40F0">
            <w:r w:rsidRPr="006D40F0">
              <w:t>Sum kap. 1720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4D454" w14:textId="77777777" w:rsidR="00575AC3" w:rsidRPr="006D40F0" w:rsidRDefault="00575AC3" w:rsidP="006D40F0">
            <w:r w:rsidRPr="006D40F0">
              <w:t xml:space="preserve"> 40 164 620 </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329373" w14:textId="77777777" w:rsidR="00575AC3" w:rsidRPr="006D40F0" w:rsidRDefault="00575AC3" w:rsidP="006D40F0">
            <w:r w:rsidRPr="006D40F0">
              <w:t xml:space="preserve"> 2 525 453 </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4F8310" w14:textId="77777777" w:rsidR="00575AC3" w:rsidRPr="006D40F0" w:rsidRDefault="00575AC3" w:rsidP="006D40F0">
            <w:r w:rsidRPr="006D40F0">
              <w:t xml:space="preserve"> 42 690 073 </w:t>
            </w:r>
          </w:p>
        </w:tc>
      </w:tr>
    </w:tbl>
    <w:p w14:paraId="31F30C20" w14:textId="77777777" w:rsidR="00575AC3" w:rsidRPr="006D40F0" w:rsidRDefault="00575AC3" w:rsidP="006D40F0">
      <w:r w:rsidRPr="006D40F0">
        <w:t>De viktigste interne endringene kommer som følge av fordeling av avsetninger i Forsvarsstaben. Dette gjelder i hovedsak følgende områder: T-35 bonusutbetalinger, økt arbeidsgiveravgift på lønn over 850 000 kroner, fordeling av forserte årsverk, fellesfinansierte øvelser og operasjoner, forsterkede nasjonale øvelser, endret finansieringsmodell for renhold samt gjenstående avsetning av lønns- og priskompensasjon.</w:t>
      </w:r>
    </w:p>
    <w:p w14:paraId="5424F76C" w14:textId="77777777" w:rsidR="00575AC3" w:rsidRPr="006D40F0" w:rsidRDefault="00575AC3" w:rsidP="006D40F0">
      <w:r w:rsidRPr="006D40F0">
        <w:t xml:space="preserve">I tillegg er </w:t>
      </w:r>
      <w:proofErr w:type="spellStart"/>
      <w:r w:rsidRPr="006D40F0">
        <w:t>FSJs</w:t>
      </w:r>
      <w:proofErr w:type="spellEnd"/>
      <w:r w:rsidRPr="006D40F0">
        <w:t xml:space="preserve"> plan justert for endring av kostnadstilordninger knyttet til: Ny løsning for masterstudenter ved Forsvarets Høgskole (FHS), endring av informasjonsinfrastrukturtjenester, effekt av modernisering og effektivisering på HR-området og etablering av Forsvarets økonomisenter, styrking av CBRNE-fagfeltet (kjemiske stoffer (C), biologiske agens (B), radioaktive stoffer (R) nukleært materiale (N) og eksplosiver (E)) og endringer knyttet til forskning og utvikling.</w:t>
      </w:r>
    </w:p>
    <w:p w14:paraId="2934D53C" w14:textId="77777777" w:rsidR="00575AC3" w:rsidRPr="006D40F0" w:rsidRDefault="00575AC3" w:rsidP="006D40F0">
      <w:pPr>
        <w:pStyle w:val="Overskrift2"/>
      </w:pPr>
      <w:r w:rsidRPr="006D40F0">
        <w:lastRenderedPageBreak/>
        <w:t>Energidepartementet</w:t>
      </w:r>
    </w:p>
    <w:p w14:paraId="6AE520F5" w14:textId="77777777" w:rsidR="00575AC3" w:rsidRPr="006D40F0" w:rsidRDefault="00575AC3" w:rsidP="006D40F0">
      <w:pPr>
        <w:pStyle w:val="b-budkaptit"/>
      </w:pPr>
      <w:r w:rsidRPr="006D40F0">
        <w:t>Kap. 1810 Sokkeldirektoratet</w:t>
      </w:r>
    </w:p>
    <w:p w14:paraId="732E3FC0" w14:textId="77777777" w:rsidR="00575AC3" w:rsidRPr="006D40F0" w:rsidRDefault="00575AC3" w:rsidP="006D40F0">
      <w:pPr>
        <w:pStyle w:val="b-post"/>
      </w:pPr>
      <w:r w:rsidRPr="006D40F0">
        <w:t>Post 21 Spesielle driftsutgifter, kan overføres</w:t>
      </w:r>
    </w:p>
    <w:p w14:paraId="5050A68E" w14:textId="77777777" w:rsidR="00575AC3" w:rsidRPr="006D40F0" w:rsidRDefault="00575AC3" w:rsidP="006D40F0">
      <w:r w:rsidRPr="006D40F0">
        <w:t xml:space="preserve">Det foreslås å redusere bevilgningen med 400 000 kroner som følge av rammeoverføring til Nærings- og fiskeridepartementet i forbindelse med forlengelse av </w:t>
      </w:r>
      <w:proofErr w:type="spellStart"/>
      <w:r w:rsidRPr="006D40F0">
        <w:t>Radarsat</w:t>
      </w:r>
      <w:proofErr w:type="spellEnd"/>
      <w:r w:rsidRPr="006D40F0">
        <w:t>-avtalen med Canada, jf. nærmere omtale under kap. 922 Romvirksomhet, post 71 Internasjonal romvirksomhet under Nærings- og fiskeridepartementet.</w:t>
      </w:r>
    </w:p>
    <w:p w14:paraId="41126E87" w14:textId="77777777" w:rsidR="00575AC3" w:rsidRPr="006D40F0" w:rsidRDefault="00575AC3" w:rsidP="006D40F0">
      <w:pPr>
        <w:pStyle w:val="b-budkaptit"/>
      </w:pPr>
      <w:r w:rsidRPr="006D40F0">
        <w:t>Kap. 4810 Sokkeldirektoratet</w:t>
      </w:r>
    </w:p>
    <w:p w14:paraId="7B26FBD1" w14:textId="77777777" w:rsidR="00575AC3" w:rsidRPr="006D40F0" w:rsidRDefault="00575AC3" w:rsidP="006D40F0">
      <w:pPr>
        <w:pStyle w:val="b-post"/>
      </w:pPr>
      <w:r w:rsidRPr="006D40F0">
        <w:t>Post 03 (Ny) Salg av undersøkelsesmateriale</w:t>
      </w:r>
    </w:p>
    <w:p w14:paraId="21978BC5" w14:textId="77777777" w:rsidR="00575AC3" w:rsidRPr="006D40F0" w:rsidRDefault="00575AC3" w:rsidP="006D40F0">
      <w:r w:rsidRPr="006D40F0">
        <w:t xml:space="preserve">Sokkeldirektoratet har gjennomført grunnundersøkelser på Sørlige </w:t>
      </w:r>
      <w:proofErr w:type="spellStart"/>
      <w:r w:rsidRPr="006D40F0">
        <w:t>Nordsjø</w:t>
      </w:r>
      <w:proofErr w:type="spellEnd"/>
      <w:r w:rsidRPr="006D40F0">
        <w:t xml:space="preserve"> II (SNII). Datasettene fra undersøkelsene er gjort tilgjengelig for </w:t>
      </w:r>
      <w:proofErr w:type="spellStart"/>
      <w:r w:rsidRPr="006D40F0">
        <w:t>Ventyr</w:t>
      </w:r>
      <w:proofErr w:type="spellEnd"/>
      <w:r w:rsidRPr="006D40F0">
        <w:t xml:space="preserve"> SNII AS som ble tildelt prosjektområdet, og som skal refundere statens utgifter for grunnundersøkelsene i det tildelte prosjektområdet. Sokkeldirektoratet skal innkreve statens utgifter for grunnundersøkelser av den østlige delen av SNII, som er beregnet til 59,5 mill. kroner.</w:t>
      </w:r>
    </w:p>
    <w:p w14:paraId="4DD9CE5F" w14:textId="77777777" w:rsidR="00575AC3" w:rsidRPr="006D40F0" w:rsidRDefault="00575AC3" w:rsidP="006D40F0">
      <w:r w:rsidRPr="006D40F0">
        <w:t>Det foreslås derfor en bevilgning på 59,5 mill. kroner.</w:t>
      </w:r>
    </w:p>
    <w:p w14:paraId="37CEE921" w14:textId="77777777" w:rsidR="00575AC3" w:rsidRPr="006D40F0" w:rsidRDefault="00575AC3" w:rsidP="006D40F0">
      <w:pPr>
        <w:pStyle w:val="b-budkaptit"/>
      </w:pPr>
      <w:r w:rsidRPr="006D40F0">
        <w:t>Kap. 1820 Norges vassdrags- og energidirektorat</w:t>
      </w:r>
    </w:p>
    <w:p w14:paraId="17D26FEE" w14:textId="77777777" w:rsidR="00575AC3" w:rsidRPr="006D40F0" w:rsidRDefault="00575AC3" w:rsidP="006D40F0">
      <w:pPr>
        <w:pStyle w:val="b-post"/>
      </w:pPr>
      <w:r w:rsidRPr="006D40F0">
        <w:t>Post 22 Flom- og skredforebygging, kan overføres, kan nyttes under postene 45, 60 og 72</w:t>
      </w:r>
    </w:p>
    <w:p w14:paraId="7F1CC83C" w14:textId="77777777" w:rsidR="00575AC3" w:rsidRPr="006D40F0" w:rsidRDefault="00575AC3" w:rsidP="006D40F0">
      <w:r w:rsidRPr="006D40F0">
        <w:t>Posten omfatter utgifter til arbeid med flom- og skredforebygging i regi av Norges vassdrags- og energidirektorat (NVE). NVE har flere sikringsprosjekter med kostnadsramme på over 100 mill. kroner under planlegging og prosjektering hvor gjennomføringen går over flere år. For å opprettholde fremdriften i slike prosjekter er det nødvendig å inngå kontrakter med entreprenører, som kommer til utbetaling i senere år. Bestillingsfullmakten tilknyttet posten foreslås derfor økt til 330 mill. kroner, jf. forslag til romertallsvedtak.</w:t>
      </w:r>
    </w:p>
    <w:p w14:paraId="0E3AB0A4" w14:textId="77777777" w:rsidR="00575AC3" w:rsidRPr="006D40F0" w:rsidRDefault="00575AC3" w:rsidP="006D40F0">
      <w:pPr>
        <w:pStyle w:val="b-post"/>
      </w:pPr>
      <w:r w:rsidRPr="006D40F0">
        <w:t>Post 23 Oppdrags- og samarbeidsvirksomhet, kan overføres</w:t>
      </w:r>
    </w:p>
    <w:p w14:paraId="7C974D61" w14:textId="77777777" w:rsidR="00575AC3" w:rsidRPr="006D40F0" w:rsidRDefault="00575AC3" w:rsidP="006D40F0">
      <w:r w:rsidRPr="006D40F0">
        <w:t>Posten omfatter blant annet utgifter til NVEs samarbeidsavtale med Norad og andre internasjonale rådgivningsoppdrag innenfor vann- og energisektoren i utviklingsland.</w:t>
      </w:r>
    </w:p>
    <w:p w14:paraId="53807F38" w14:textId="77777777" w:rsidR="00575AC3" w:rsidRPr="006D40F0" w:rsidRDefault="00575AC3" w:rsidP="006D40F0">
      <w:r w:rsidRPr="006D40F0">
        <w:t>Det foreslås å redusere bevilgningen med 11 mill. kroner. Reduksjonen har sammenheng med lavere forventet aktivitetsnivå for den internasjonale oppdrags- og samarbeidsvirksomheten enn opprinnelig budsjettert. Det foreslås tilsvarende inntektsreduksjon under kap. 4820, post 02.</w:t>
      </w:r>
    </w:p>
    <w:p w14:paraId="039D604A" w14:textId="77777777" w:rsidR="00575AC3" w:rsidRPr="006D40F0" w:rsidRDefault="00575AC3" w:rsidP="006D40F0">
      <w:pPr>
        <w:pStyle w:val="b-post"/>
      </w:pPr>
      <w:r w:rsidRPr="006D40F0">
        <w:t>Post 25 Krise- og hastetiltak i forbindelse med flom- og skredhendelser, kan overføres, kan nyttes under post 61</w:t>
      </w:r>
    </w:p>
    <w:p w14:paraId="47839B4C" w14:textId="77777777" w:rsidR="00575AC3" w:rsidRPr="006D40F0" w:rsidRDefault="00575AC3" w:rsidP="006D40F0">
      <w:r w:rsidRPr="006D40F0">
        <w:t xml:space="preserve">Posten omfatter NVEs bistand til krise- og hastetiltak i forbindelse med flom- og skred-hendelser. Krisetiltak er tiltak som er nødvendige for å hindre overhengende fare rett før, under og rett </w:t>
      </w:r>
      <w:r w:rsidRPr="006D40F0">
        <w:lastRenderedPageBreak/>
        <w:t>etter flom- eller skredhendelser. Hastetiltak er tiltak som må gjennomføres raskt for å hindre eller redusere ytterligere skadeutvikling, men der det er tid til forenklet planlegging og saksbehandling.</w:t>
      </w:r>
    </w:p>
    <w:p w14:paraId="1EE99717" w14:textId="77777777" w:rsidR="00575AC3" w:rsidRPr="006D40F0" w:rsidRDefault="00575AC3" w:rsidP="006D40F0">
      <w:r w:rsidRPr="006D40F0">
        <w:t>På grunn av skader i flere kommuner etter ekstremværet «Hans», har NVE gitt flere tilsagn om tilskudd til krisetiltak til kommuner. Siden omfanget av tilskudd til kommuner har økt i etterkant av ekstremværet «Hans», foreslås det etablert en ny post 61 Tilskudd til krise- og hastetiltak i forbindelse med flom- og skredhendelser. Det foreslås å redusere bevilgningen under posten med 100 mill. kroner mot tilsvarende økt bevilgning under kap. 1820, ny post 61.</w:t>
      </w:r>
    </w:p>
    <w:p w14:paraId="02561717" w14:textId="77777777" w:rsidR="00575AC3" w:rsidRPr="006D40F0" w:rsidRDefault="00575AC3" w:rsidP="006D40F0">
      <w:r w:rsidRPr="006D40F0">
        <w:t>For at krise- og hastetiltakene etter ekstremværet «Hans» i august 2023 skal kunne gjennomføres på en rask og effektiv måte som hindrer eller reduserer ytterligere skadeutvikling, har NVE behov for å inngå kontrakter med entreprenører for tiltak som går over flere år. Bestillingsfullmakten foreslås derfor økt til 100 mill. kroner, jf. forslag til romertallsvedtak.</w:t>
      </w:r>
    </w:p>
    <w:p w14:paraId="3BC076A4" w14:textId="77777777" w:rsidR="00575AC3" w:rsidRPr="006D40F0" w:rsidRDefault="00575AC3" w:rsidP="006D40F0">
      <w:r w:rsidRPr="006D40F0">
        <w:t>I tillegg foreslås det at posten tilføyes stikkordene «kan overføres» og «kan nyttes under post 61», jf. kap. 1820, ny post 61, slik at postene til krise- og hastetiltak kan ses i sammenheng og som følge av usikkerhet om at deler av bevilgningen først blir utgiftsført neste år.</w:t>
      </w:r>
    </w:p>
    <w:p w14:paraId="61944EA4" w14:textId="77777777" w:rsidR="00575AC3" w:rsidRPr="006D40F0" w:rsidRDefault="00575AC3" w:rsidP="006D40F0">
      <w:pPr>
        <w:pStyle w:val="b-post"/>
      </w:pPr>
      <w:r w:rsidRPr="006D40F0">
        <w:t>Post 61 (Ny) Tilskudd til krise- og hastetiltak i forbindelse med flom- og skredhendelser, kan overføres, kan nyttes under post 25</w:t>
      </w:r>
    </w:p>
    <w:p w14:paraId="1199CAFD" w14:textId="77777777" w:rsidR="00575AC3" w:rsidRPr="006D40F0" w:rsidRDefault="00575AC3" w:rsidP="006D40F0">
      <w:r w:rsidRPr="006D40F0">
        <w:t>Det foreslås en bevilgning på 100 mill. kroner og en tilsagnsfullmakt på 100 mill. kroner, jf. forslag til romertallsvedtak. I tillegg foreslås det at posten tilføyes stikkordene «kan overføres» og «kan nyttes under post 25». Det vises til nærmere omtale og begrunnelse under kap. 1820, post 25.</w:t>
      </w:r>
    </w:p>
    <w:p w14:paraId="540D047B" w14:textId="77777777" w:rsidR="00575AC3" w:rsidRPr="006D40F0" w:rsidRDefault="00575AC3" w:rsidP="006D40F0">
      <w:pPr>
        <w:pStyle w:val="b-post"/>
      </w:pPr>
      <w:r w:rsidRPr="006D40F0">
        <w:t>Post 62 Tilbakeføring av produksjonsavgift fra landbasert vindkraft</w:t>
      </w:r>
    </w:p>
    <w:p w14:paraId="1271C1D8" w14:textId="77777777" w:rsidR="00575AC3" w:rsidRPr="006D40F0" w:rsidRDefault="00575AC3" w:rsidP="006D40F0">
      <w:r w:rsidRPr="006D40F0">
        <w:t>Innbetalt produksjonsavgift fra landbasert vindkraft for 2023 fordeles og utbetales av NVE til vertskommunene i 2024. For 2023 var avgiftssatsen 2 øre/kWh, og det ble innbetalt 278,6 mill. kroner. Det er en reduksjon på 59,4 mill. kroner fra Saldert budsjett 2024.</w:t>
      </w:r>
    </w:p>
    <w:p w14:paraId="3126492C" w14:textId="77777777" w:rsidR="00575AC3" w:rsidRPr="006D40F0" w:rsidRDefault="00575AC3" w:rsidP="006D40F0">
      <w:r w:rsidRPr="006D40F0">
        <w:t>Det foreslås å redusere bevilgningen med 59,4 mill. kroner.</w:t>
      </w:r>
    </w:p>
    <w:p w14:paraId="24D1DE53" w14:textId="77777777" w:rsidR="00575AC3" w:rsidRPr="006D40F0" w:rsidRDefault="00575AC3" w:rsidP="006D40F0">
      <w:pPr>
        <w:pStyle w:val="b-post"/>
      </w:pPr>
      <w:r w:rsidRPr="006D40F0">
        <w:t>Post 75 Stønad til husholdninger for ekstraordinære strømutgifter, overslagsbevilgning</w:t>
      </w:r>
    </w:p>
    <w:p w14:paraId="224AD89E" w14:textId="77777777" w:rsidR="00575AC3" w:rsidRPr="006D40F0" w:rsidRDefault="00575AC3" w:rsidP="006D40F0">
      <w:r w:rsidRPr="006D40F0">
        <w:t>Bevilgningen til den midlertidige stønadsordningen for ekstraordinære strømutgifter skal dekke utbetaling av stønad for strømforbruk fra desember 2023 til og med november 2024. Med utgangspunkt i gjennomførte utbetalinger så langt i 2024 og terminpriser per medio mars 2024, er forventede utbetalinger under strømstønadsordningen anslått til 4,8 mrd. kroner i 2024 på grunn av lavere anslåtte strømpriser enn de som lå til grunn for Saldert budsjett 2024. Anslaget er usikkert.</w:t>
      </w:r>
    </w:p>
    <w:p w14:paraId="2C64DD4C" w14:textId="77777777" w:rsidR="00575AC3" w:rsidRPr="006D40F0" w:rsidRDefault="00575AC3" w:rsidP="006D40F0">
      <w:r w:rsidRPr="006D40F0">
        <w:t>Det foreslås å redusere bevilgningen med 4,95 mrd. kroner.</w:t>
      </w:r>
    </w:p>
    <w:p w14:paraId="348A736B" w14:textId="77777777" w:rsidR="00575AC3" w:rsidRPr="006D40F0" w:rsidRDefault="00575AC3" w:rsidP="006D40F0">
      <w:pPr>
        <w:pStyle w:val="b-post"/>
      </w:pPr>
      <w:r w:rsidRPr="006D40F0">
        <w:lastRenderedPageBreak/>
        <w:t>Post 76 Stønad til husholdningskunder av nærvarmeanlegg, kan overføres</w:t>
      </w:r>
    </w:p>
    <w:p w14:paraId="3E7A9C4C" w14:textId="77777777" w:rsidR="00575AC3" w:rsidRPr="006D40F0" w:rsidRDefault="00575AC3" w:rsidP="006D40F0">
      <w:r w:rsidRPr="006D40F0">
        <w:t>Bevilgningen til den midlertidige stønadsordningen for ekstraordinære strømutgifter skal dekke utbetaling av stønad til husholdningskunder av nærvarmeanlegg for strømforbruk. Med utgangspunkt i gjennomførte utbetalinger så langt i 2024 og terminpriser per medio mars 2024, er forventede utbetalinger under stønadsordningen nedjustert til 10 mill. kroner i 2024 på grunn av anslåtte lavere strømpriser enn de som lå til grunn for Saldert budsjett 2024. Anslaget er usikkert.</w:t>
      </w:r>
    </w:p>
    <w:p w14:paraId="00CAF3F1" w14:textId="77777777" w:rsidR="00575AC3" w:rsidRPr="006D40F0" w:rsidRDefault="00575AC3" w:rsidP="006D40F0">
      <w:r w:rsidRPr="006D40F0">
        <w:t>Det foreslås å redusere bevilgningen med 12,5 mill. kroner.</w:t>
      </w:r>
    </w:p>
    <w:p w14:paraId="04FD2059" w14:textId="77777777" w:rsidR="00575AC3" w:rsidRPr="006D40F0" w:rsidRDefault="00575AC3" w:rsidP="006D40F0">
      <w:pPr>
        <w:pStyle w:val="b-budkaptit"/>
      </w:pPr>
      <w:r w:rsidRPr="006D40F0">
        <w:t>Kap. 4820 Norges vassdrags- og energidirektorat</w:t>
      </w:r>
    </w:p>
    <w:p w14:paraId="7DCEA7DB" w14:textId="77777777" w:rsidR="00575AC3" w:rsidRPr="006D40F0" w:rsidRDefault="00575AC3" w:rsidP="006D40F0">
      <w:pPr>
        <w:pStyle w:val="b-post"/>
      </w:pPr>
      <w:r w:rsidRPr="006D40F0">
        <w:t>Post 01 Gebyrinntekter</w:t>
      </w:r>
    </w:p>
    <w:p w14:paraId="7C0A8ABA" w14:textId="77777777" w:rsidR="00575AC3" w:rsidRPr="006D40F0" w:rsidRDefault="00575AC3" w:rsidP="006D40F0">
      <w:r w:rsidRPr="006D40F0">
        <w:t>Det foreslås å redusere bevilgningen med 1,5 mill. kroner. Reduksjonen har sammenheng med at finansieringen av NVEs tilsyn med vedlikehold og modernisering av elektriske anlegg, tilsyn med fjernvarme og miljøtilsyn er omgjort fra gebyr til sektoravgift fra 2024, jf. kap. 5582, post 72. Som følge av omgjøringen ble ikke prisjusteringen flyttet, jf. tilsvarende økning under kap. 5582, post 72.</w:t>
      </w:r>
    </w:p>
    <w:p w14:paraId="3B79006D" w14:textId="77777777" w:rsidR="00575AC3" w:rsidRPr="006D40F0" w:rsidRDefault="00575AC3" w:rsidP="006D40F0">
      <w:pPr>
        <w:pStyle w:val="b-post"/>
      </w:pPr>
      <w:r w:rsidRPr="006D40F0">
        <w:t>Post 02 Oppdrags- og samarbeidsinntekter</w:t>
      </w:r>
    </w:p>
    <w:p w14:paraId="2C121D02" w14:textId="77777777" w:rsidR="00575AC3" w:rsidRPr="006D40F0" w:rsidRDefault="00575AC3" w:rsidP="006D40F0">
      <w:r w:rsidRPr="006D40F0">
        <w:t>Det foreslås å redusere bevilgningen med 11 mill. kroner, jf. omtale under kap. 1820, post 23.</w:t>
      </w:r>
    </w:p>
    <w:p w14:paraId="4DEF8D2C" w14:textId="77777777" w:rsidR="00575AC3" w:rsidRPr="006D40F0" w:rsidRDefault="00575AC3" w:rsidP="006D40F0">
      <w:pPr>
        <w:pStyle w:val="b-budkaptit"/>
      </w:pPr>
      <w:r w:rsidRPr="006D40F0">
        <w:t>Kap. 1850 Klima, industri og teknologi</w:t>
      </w:r>
    </w:p>
    <w:p w14:paraId="7A07BAB4" w14:textId="77777777" w:rsidR="00575AC3" w:rsidRPr="006D40F0" w:rsidRDefault="00575AC3" w:rsidP="006D40F0">
      <w:pPr>
        <w:pStyle w:val="b-post"/>
      </w:pPr>
      <w:r w:rsidRPr="006D40F0">
        <w:t>Post 72 Langskip – fangst og lagring av CO</w:t>
      </w:r>
      <w:r w:rsidRPr="006D40F0">
        <w:rPr>
          <w:rStyle w:val="skrift-senket"/>
        </w:rPr>
        <w:t>2</w:t>
      </w:r>
      <w:r w:rsidRPr="006D40F0">
        <w:t>, kan overføres</w:t>
      </w:r>
    </w:p>
    <w:p w14:paraId="159296E9" w14:textId="77777777" w:rsidR="00575AC3" w:rsidRPr="006D40F0" w:rsidRDefault="00575AC3" w:rsidP="006D40F0">
      <w:r w:rsidRPr="006D40F0">
        <w:t>Langskip består av CO</w:t>
      </w:r>
      <w:r w:rsidRPr="00575AC3">
        <w:rPr>
          <w:rStyle w:val="skrift-senket"/>
        </w:rPr>
        <w:t>2</w:t>
      </w:r>
      <w:r w:rsidRPr="006D40F0">
        <w:t xml:space="preserve">-fangstprosjekter på sementfabrikken til Heidelberg Materials i Brevik og på avfallsforbrenningsanlegget til Hafslund Oslo </w:t>
      </w:r>
      <w:proofErr w:type="spellStart"/>
      <w:r w:rsidRPr="006D40F0">
        <w:t>Celsio</w:t>
      </w:r>
      <w:proofErr w:type="spellEnd"/>
      <w:r w:rsidRPr="006D40F0">
        <w:t xml:space="preserve"> på Klemetsrud, og i tillegg transport og lagring av CO</w:t>
      </w:r>
      <w:r w:rsidRPr="00575AC3">
        <w:rPr>
          <w:rStyle w:val="skrift-senket"/>
        </w:rPr>
        <w:t>2</w:t>
      </w:r>
      <w:r w:rsidRPr="006D40F0">
        <w:t xml:space="preserve"> på kontinentalsokkelen ved Northern </w:t>
      </w:r>
      <w:proofErr w:type="spellStart"/>
      <w:r w:rsidRPr="006D40F0">
        <w:t>Lights</w:t>
      </w:r>
      <w:proofErr w:type="spellEnd"/>
      <w:r w:rsidRPr="006D40F0">
        <w:t xml:space="preserve">, et samarbeid mellom </w:t>
      </w:r>
      <w:proofErr w:type="spellStart"/>
      <w:r w:rsidRPr="006D40F0">
        <w:t>Equinor</w:t>
      </w:r>
      <w:proofErr w:type="spellEnd"/>
      <w:r w:rsidRPr="006D40F0">
        <w:t xml:space="preserve">, </w:t>
      </w:r>
      <w:proofErr w:type="spellStart"/>
      <w:r w:rsidRPr="006D40F0">
        <w:t>TotalEnergies</w:t>
      </w:r>
      <w:proofErr w:type="spellEnd"/>
      <w:r w:rsidRPr="006D40F0">
        <w:t xml:space="preserve"> og Shell. Inkludert overføring av ubrukte midler fra 2023 disponerer Gassnova SF om lag 3,6 mrd. kroner til Langskip i 2024. Gassnova anslår et utbetalingsbehov på om lag 2,7 mrd. kroner. Det reduserte anslaget skyldes annen fasing av kostnadene i Langskip som innebærer senere utbetaling av statsstøtte, blant annet som følge av forsinkelser i prosjektet i Brevik.</w:t>
      </w:r>
    </w:p>
    <w:p w14:paraId="33B42483" w14:textId="77777777" w:rsidR="00575AC3" w:rsidRPr="006D40F0" w:rsidRDefault="00575AC3" w:rsidP="006D40F0">
      <w:r w:rsidRPr="006D40F0">
        <w:t>Det foreslås å redusere bevilgningen med 900 mill. kroner.</w:t>
      </w:r>
    </w:p>
    <w:p w14:paraId="20E99474" w14:textId="77777777" w:rsidR="00575AC3" w:rsidRPr="006D40F0" w:rsidRDefault="00575AC3" w:rsidP="006D40F0">
      <w:pPr>
        <w:pStyle w:val="avsnitt-undertittel"/>
      </w:pPr>
      <w:r w:rsidRPr="006D40F0">
        <w:t>CO</w:t>
      </w:r>
      <w:r w:rsidRPr="006D40F0">
        <w:rPr>
          <w:rStyle w:val="skrift-senket"/>
        </w:rPr>
        <w:t>2</w:t>
      </w:r>
      <w:r w:rsidRPr="006D40F0">
        <w:t xml:space="preserve">-fangstprosjektet til Hafslund Oslo </w:t>
      </w:r>
      <w:proofErr w:type="spellStart"/>
      <w:r w:rsidRPr="006D40F0">
        <w:t>Celsio</w:t>
      </w:r>
      <w:proofErr w:type="spellEnd"/>
    </w:p>
    <w:p w14:paraId="3BF0D7F8" w14:textId="77777777" w:rsidR="00575AC3" w:rsidRPr="006D40F0" w:rsidRDefault="00575AC3" w:rsidP="006D40F0">
      <w:r w:rsidRPr="006D40F0">
        <w:t xml:space="preserve">I Prop. 118 S (2022–2023) ble det redegjort for at Hafslund Oslo </w:t>
      </w:r>
      <w:proofErr w:type="spellStart"/>
      <w:r w:rsidRPr="006D40F0">
        <w:t>Celsio</w:t>
      </w:r>
      <w:proofErr w:type="spellEnd"/>
      <w:r w:rsidRPr="006D40F0">
        <w:t xml:space="preserve"> satte gjennomføringen av CO</w:t>
      </w:r>
      <w:r w:rsidRPr="00575AC3">
        <w:rPr>
          <w:rStyle w:val="skrift-senket"/>
        </w:rPr>
        <w:t>2</w:t>
      </w:r>
      <w:r w:rsidRPr="006D40F0">
        <w:t>-fangstprosjektet på Klemetsrud på vent for å vurdere løsninger som vil redusere kostnadene for prosjektet. Selskapets egne estimater viste våren 2023 at prosjektets forventede etableringskostnader var om lag 3 mrd. kroner høyere enn ved investeringsbeslutning.</w:t>
      </w:r>
    </w:p>
    <w:p w14:paraId="219A16EB" w14:textId="77777777" w:rsidR="00575AC3" w:rsidRPr="006D40F0" w:rsidRDefault="00575AC3" w:rsidP="006D40F0">
      <w:r w:rsidRPr="006D40F0">
        <w:t xml:space="preserve">Det er </w:t>
      </w:r>
      <w:proofErr w:type="spellStart"/>
      <w:r w:rsidRPr="006D40F0">
        <w:t>Celsio</w:t>
      </w:r>
      <w:proofErr w:type="spellEnd"/>
      <w:r w:rsidRPr="006D40F0">
        <w:t xml:space="preserve"> som er ansvarlig for gjennomføringen av prosjektet, og selskapet planlegger å legge frem et nytt prosjektgrunnlag sommeren 2024. Regjeringen vil ta stilling til støtte til prosjektet og eventuell endring av statsstøtteavtalen når det foreligger et tilstrekkelig modent og </w:t>
      </w:r>
      <w:r w:rsidRPr="006D40F0">
        <w:lastRenderedPageBreak/>
        <w:t>kvalitetssikret prosjektgrunnlag fra selskapet for prosjektet. Dette er i tråd med tilleggsavtale til statsstøtteavtalen inngått mellom selskapet og Energidepartementet. Regjeringen vil komme tilbake til Stortinget på egnet måte dersom regjeringen mener det er behov for eventuelle endringer i statsstøtteavtalen.</w:t>
      </w:r>
    </w:p>
    <w:p w14:paraId="2F6DF656" w14:textId="77777777" w:rsidR="00575AC3" w:rsidRPr="006D40F0" w:rsidRDefault="00575AC3" w:rsidP="006D40F0">
      <w:pPr>
        <w:pStyle w:val="b-budkaptit"/>
      </w:pPr>
      <w:r w:rsidRPr="006D40F0">
        <w:t>Kap. 5582 Sektoravgifter under Energidepartementet</w:t>
      </w:r>
    </w:p>
    <w:p w14:paraId="2890073A" w14:textId="77777777" w:rsidR="00575AC3" w:rsidRPr="006D40F0" w:rsidRDefault="00575AC3" w:rsidP="006D40F0">
      <w:pPr>
        <w:pStyle w:val="b-post"/>
      </w:pPr>
      <w:r w:rsidRPr="006D40F0">
        <w:t>Post 70 Bidrag til kulturminnevern i regulerte vassdrag</w:t>
      </w:r>
    </w:p>
    <w:p w14:paraId="38720893" w14:textId="77777777" w:rsidR="00575AC3" w:rsidRPr="006D40F0" w:rsidRDefault="00575AC3" w:rsidP="006D40F0">
      <w:r w:rsidRPr="006D40F0">
        <w:t xml:space="preserve">Det foreslås å øke bevilgningen med 4 mill. kroner. Økningen har sammenheng med at sektoravgifter fra revisjon av konsesjon for regulering av vassdragene </w:t>
      </w:r>
      <w:proofErr w:type="spellStart"/>
      <w:r w:rsidRPr="006D40F0">
        <w:t>Hjartdøla</w:t>
      </w:r>
      <w:proofErr w:type="spellEnd"/>
      <w:r w:rsidRPr="006D40F0">
        <w:t xml:space="preserve"> og </w:t>
      </w:r>
      <w:proofErr w:type="spellStart"/>
      <w:r w:rsidRPr="006D40F0">
        <w:t>Mjøsundvatn</w:t>
      </w:r>
      <w:proofErr w:type="spellEnd"/>
      <w:r w:rsidRPr="006D40F0">
        <w:t xml:space="preserve"> blir innbetalt i 2024 og ikke i 2023 som opprinnelig budsjettert, jf. Prop. 26 S (2023–2024) og </w:t>
      </w:r>
      <w:proofErr w:type="spellStart"/>
      <w:r w:rsidRPr="006D40F0">
        <w:t>Innst</w:t>
      </w:r>
      <w:proofErr w:type="spellEnd"/>
      <w:r w:rsidRPr="006D40F0">
        <w:t>. 158 S (2023–2024).</w:t>
      </w:r>
    </w:p>
    <w:p w14:paraId="09BFB457" w14:textId="77777777" w:rsidR="00575AC3" w:rsidRPr="006D40F0" w:rsidRDefault="00575AC3" w:rsidP="006D40F0">
      <w:pPr>
        <w:pStyle w:val="b-post"/>
      </w:pPr>
      <w:r w:rsidRPr="006D40F0">
        <w:t>Post 71 Konsesjonsavgifter fra vannkraftutbygging</w:t>
      </w:r>
    </w:p>
    <w:p w14:paraId="1A762548" w14:textId="77777777" w:rsidR="00575AC3" w:rsidRPr="006D40F0" w:rsidRDefault="00575AC3" w:rsidP="006D40F0">
      <w:r w:rsidRPr="006D40F0">
        <w:t>Det foreslås å øke bevilgningen med 9,4 mill. kroner. Økningen har sammenheng med justering av avgiftssatsene for konsesjonsavgift. Avgiftssatsene blir indeksjustert hvert femte år med utgangspunkt i konsesjonsdato.</w:t>
      </w:r>
    </w:p>
    <w:p w14:paraId="4180ED0F" w14:textId="77777777" w:rsidR="00575AC3" w:rsidRPr="006D40F0" w:rsidRDefault="00575AC3" w:rsidP="006D40F0">
      <w:pPr>
        <w:pStyle w:val="b-post"/>
      </w:pPr>
      <w:r w:rsidRPr="006D40F0">
        <w:t>Post 72 Sektoravgifter under Norges vassdrags- og energidirektorat</w:t>
      </w:r>
    </w:p>
    <w:p w14:paraId="0A13313E" w14:textId="77777777" w:rsidR="00575AC3" w:rsidRPr="006D40F0" w:rsidRDefault="00575AC3" w:rsidP="006D40F0">
      <w:r w:rsidRPr="006D40F0">
        <w:t>Det foreslås å øke bevilgningen med 1,5 mill. kroner, jf. omtale under kap. 4820, post 01.</w:t>
      </w:r>
    </w:p>
    <w:p w14:paraId="1D54D45E" w14:textId="77777777" w:rsidR="00575AC3" w:rsidRPr="006D40F0" w:rsidRDefault="00575AC3" w:rsidP="006D40F0">
      <w:pPr>
        <w:pStyle w:val="b-budkaptit"/>
      </w:pPr>
      <w:r w:rsidRPr="006D40F0">
        <w:t>Kap. 5680 Statnett SF</w:t>
      </w:r>
    </w:p>
    <w:p w14:paraId="5A63E081" w14:textId="77777777" w:rsidR="00575AC3" w:rsidRPr="006D40F0" w:rsidRDefault="00575AC3" w:rsidP="006D40F0">
      <w:pPr>
        <w:pStyle w:val="b-post"/>
      </w:pPr>
      <w:r w:rsidRPr="006D40F0">
        <w:t>Post 85 Utbytte</w:t>
      </w:r>
    </w:p>
    <w:p w14:paraId="44A8A435" w14:textId="77777777" w:rsidR="00575AC3" w:rsidRPr="006D40F0" w:rsidRDefault="00575AC3" w:rsidP="006D40F0">
      <w:r w:rsidRPr="006D40F0">
        <w:t>Konsernets overskudd etter skatt for 2023, justert for endring i saldo for mer- og mindreinntekt etter skatt, utgjør 1 586 mill. kroner. For regnskapsåret 2023 er utbyttet fastsatt til 50 prosent av konsernets årsresultat.</w:t>
      </w:r>
    </w:p>
    <w:p w14:paraId="14B05BF3" w14:textId="77777777" w:rsidR="00575AC3" w:rsidRPr="006D40F0" w:rsidRDefault="00575AC3" w:rsidP="006D40F0">
      <w:r w:rsidRPr="006D40F0">
        <w:t>Det foreslås å øke bevilgningen med 49 mill. kroner, til 793 mill. kroner. Økningen i konsernets overskudd skyldes i hovedsak at utviklingen i rentenivået har gitt en større økning i Statnetts tillatte inntekt enn i lånekostnadene.</w:t>
      </w:r>
    </w:p>
    <w:p w14:paraId="4CC432D2" w14:textId="77777777" w:rsidR="00575AC3" w:rsidRPr="006D40F0" w:rsidRDefault="00575AC3" w:rsidP="006D40F0">
      <w:pPr>
        <w:pStyle w:val="Undertittel"/>
      </w:pPr>
      <w:r w:rsidRPr="006D40F0">
        <w:t>Andre saker</w:t>
      </w:r>
    </w:p>
    <w:p w14:paraId="1DDE8F50" w14:textId="77777777" w:rsidR="00575AC3" w:rsidRPr="006D40F0" w:rsidRDefault="00575AC3" w:rsidP="006D40F0">
      <w:pPr>
        <w:pStyle w:val="avsnitt-tittel"/>
      </w:pPr>
      <w:r w:rsidRPr="006D40F0">
        <w:t>Oppfølging av anmodningsvedtak om havvind til offshoreinstallasjoner</w:t>
      </w:r>
    </w:p>
    <w:p w14:paraId="7E2CAE8D" w14:textId="77777777" w:rsidR="00575AC3" w:rsidRPr="006D40F0" w:rsidRDefault="00575AC3" w:rsidP="006D40F0">
      <w:r w:rsidRPr="006D40F0">
        <w:t>Stortinget fattet 16. juni 2023 følgende vedtak (anmodningsvedtak nr. 914):</w:t>
      </w:r>
    </w:p>
    <w:p w14:paraId="133143CC" w14:textId="77777777" w:rsidR="00575AC3" w:rsidRPr="006D40F0" w:rsidRDefault="00575AC3" w:rsidP="006D40F0">
      <w:pPr>
        <w:pStyle w:val="blokksit"/>
      </w:pPr>
      <w:r w:rsidRPr="006D40F0">
        <w:t>«Stortinget ber regjeringen i revidert nasjonalbudsjett for 2024 legge frem tiltak for å elektrifisere offshore-installasjoner ved hjelp av havvind for å kutte klimagassutslipp.»</w:t>
      </w:r>
    </w:p>
    <w:p w14:paraId="6402A43A" w14:textId="77777777" w:rsidR="00575AC3" w:rsidRPr="006D40F0" w:rsidRDefault="00575AC3" w:rsidP="006D40F0">
      <w:r w:rsidRPr="006D40F0">
        <w:t xml:space="preserve">Petroleumsvirksomheten på kontinentalsokkelen er gjennomregulert og står overfor sterke virkemidler for å redusere utslippene fra produksjonen. Myndighetene stiller krav om at selskapene </w:t>
      </w:r>
      <w:r w:rsidRPr="006D40F0">
        <w:lastRenderedPageBreak/>
        <w:t>i planleggingen av nye utbyggingsprosjekter skal vurdere alternative løsninger for energiforsyningen, for eksempel gassturbiner, kraft fra land, havvind eller gasskraft med CO</w:t>
      </w:r>
      <w:r w:rsidRPr="00575AC3">
        <w:rPr>
          <w:rStyle w:val="skrift-senket"/>
        </w:rPr>
        <w:t>2</w:t>
      </w:r>
      <w:r w:rsidRPr="006D40F0">
        <w:t xml:space="preserve">-håndtering. Direktekoblet havvind vurderes </w:t>
      </w:r>
      <w:proofErr w:type="gramStart"/>
      <w:r w:rsidRPr="006D40F0">
        <w:t>således</w:t>
      </w:r>
      <w:proofErr w:type="gramEnd"/>
      <w:r w:rsidRPr="006D40F0">
        <w:t xml:space="preserve"> allerede i dag som en mulig løsning ved nye utbygginger/større ombygginger.</w:t>
      </w:r>
    </w:p>
    <w:p w14:paraId="54632AF9" w14:textId="77777777" w:rsidR="00575AC3" w:rsidRPr="006D40F0" w:rsidRDefault="00575AC3" w:rsidP="006D40F0">
      <w:r w:rsidRPr="006D40F0">
        <w:t>Hovedvirkemidlene for å få ned utslippene fra produksjonen av olje og gass på kontinentalsokkelen er kvoter og CO</w:t>
      </w:r>
      <w:r w:rsidRPr="00575AC3">
        <w:rPr>
          <w:rStyle w:val="skrift-senket"/>
        </w:rPr>
        <w:t>2</w:t>
      </w:r>
      <w:r w:rsidRPr="006D40F0">
        <w:t xml:space="preserve">-avgift. Dobbelt virkemiddelbruk på norsk kontinentalsokkel stiller olje- og gassnæringen overfor en høy pris på utslipp, og gir næringen </w:t>
      </w:r>
      <w:proofErr w:type="spellStart"/>
      <w:r w:rsidRPr="006D40F0">
        <w:t>et særlig</w:t>
      </w:r>
      <w:proofErr w:type="spellEnd"/>
      <w:r w:rsidRPr="006D40F0">
        <w:t xml:space="preserve"> insentiv til å hente kraft fra nettet på land. Den høye utslippskostnaden gjør mange utslippsreduserende tiltak lønnsomme for rettighetshaverne.</w:t>
      </w:r>
    </w:p>
    <w:p w14:paraId="7B746D7E" w14:textId="77777777" w:rsidR="00575AC3" w:rsidRPr="006D40F0" w:rsidRDefault="00575AC3" w:rsidP="006D40F0">
      <w:r w:rsidRPr="006D40F0">
        <w:t>Utslippene fra petroleumsvirksomheten var i 2023 mer enn 20 pst. lavere enn i 2015. Hovedårsaken til reduksjonen er økt bruk av kraft fra land. Det forventes ytterligere nedgang mot 2030 blant annet som følge av allerede besluttede og godkjente prosjekter for omlegging til kraft fra land. Det arbeides i næringen med ytterligere prosjekter som medfører økt drift basert på kraft fra land der det planlegges for en eventuell driftsstart i 2030.</w:t>
      </w:r>
    </w:p>
    <w:p w14:paraId="3C996F36" w14:textId="77777777" w:rsidR="00575AC3" w:rsidRPr="006D40F0" w:rsidRDefault="00575AC3" w:rsidP="006D40F0">
      <w:r w:rsidRPr="006D40F0">
        <w:t>Selskapene mener omlegging til hel eller delvis drift med kraft fra land er det eneste tiltaket som kan kutte utslippene fra petroleumssektoren på norsk sokkel mye de neste årene og frem mot 2030. Regjeringen vil fortsatt behandle kraft fra land-søknader fra sak til sak, og anerkjenner behovet for forutsigbarhet og likebehandling av petroleumsnæringen med annet stort kraftforbruk. Generelt vil det være vanskeligere for rettighetshaverne å beslutte, og få myndighetsgodkjent, ombyggingsprosjekter til drift med kraft fra land fremover – blant annet fordi prosjektene kan ha uønskede følger for kraftsystemet.</w:t>
      </w:r>
    </w:p>
    <w:p w14:paraId="654C4EF2" w14:textId="77777777" w:rsidR="00575AC3" w:rsidRPr="006D40F0" w:rsidRDefault="00575AC3" w:rsidP="006D40F0">
      <w:r w:rsidRPr="006D40F0">
        <w:t>I årene fremover anslår NVE i sine langsiktige analyser at kraftforbruket vil øke mer enn økningen i kraftproduksjonen, og at kraftbalansen kan gå mot null i 2030. Behovet for omstillingen av eksisterende virksomheter innen transport, industri og næringsliv, så vel som nyetableringer av energiintensive virksomheter krever større tilgang på kraft og nett. Samtidig ligger det an til en begrenset vekst i ny produksjon frem til 2030. Regjeringen har derfor iverksatt en rekke tiltak som skal styrke tilgangen på kraft, sikre en raskere utvikling av nett og økt satsingen på energieffektivisering, jf. også omtale av anmodningsvedtak 923.</w:t>
      </w:r>
    </w:p>
    <w:p w14:paraId="3B7D7C12" w14:textId="77777777" w:rsidR="00575AC3" w:rsidRPr="006D40F0" w:rsidRDefault="00575AC3" w:rsidP="006D40F0">
      <w:r w:rsidRPr="006D40F0">
        <w:t xml:space="preserve">Regjeringen har en ambisiøs politikk for utvikling av havvind med mål om å tildele areal for 30 GW havvind innen 2040. Satsingen skal bidra til økt fornybar kraftproduksjon, legge til rette for innovasjon og teknologiutvikling og bidra til industriutvikling. NVE anslår i sin langsiktige kraftmarkedsanalyse fra 2023 at den norske kraftproduksjonen samlet sett kan øke med 47 </w:t>
      </w:r>
      <w:proofErr w:type="spellStart"/>
      <w:r w:rsidRPr="006D40F0">
        <w:t>TWh</w:t>
      </w:r>
      <w:proofErr w:type="spellEnd"/>
      <w:r w:rsidRPr="006D40F0">
        <w:t xml:space="preserve"> fra 2022 til 2040. I sin analyse har NVE antatt at den største andelen kan komme fra havvind med 29 </w:t>
      </w:r>
      <w:proofErr w:type="spellStart"/>
      <w:r w:rsidRPr="006D40F0">
        <w:t>TWh</w:t>
      </w:r>
      <w:proofErr w:type="spellEnd"/>
      <w:r w:rsidRPr="006D40F0">
        <w:t>. NVE viser i sin analyse til at utbygging av havvind i Norge i dag ikke er lønnsomt for utbygger uten statsstøtte og at det vil være behov for betydelig kostnadsreduksjoner for at havvind i Norge skal være lønnsomt uten subsidier.</w:t>
      </w:r>
    </w:p>
    <w:p w14:paraId="580D966E" w14:textId="77777777" w:rsidR="00575AC3" w:rsidRPr="006D40F0" w:rsidRDefault="00575AC3" w:rsidP="006D40F0">
      <w:r w:rsidRPr="006D40F0">
        <w:t xml:space="preserve">I regjeringens tiltak for å styrke kraftbalansen fremover står havvindsatsingen sentralt, sammen med politikken for å utvikle solkraft, vindkraft på land og vannkraft. Kraftbalansen bedres ytterligere gjennom en ambisiøs politikk for energieffektivisering og en styrket energidimensjon i ny styringsavtale med </w:t>
      </w:r>
      <w:proofErr w:type="spellStart"/>
      <w:r w:rsidRPr="006D40F0">
        <w:t>Enova</w:t>
      </w:r>
      <w:proofErr w:type="spellEnd"/>
      <w:r w:rsidRPr="006D40F0">
        <w:t>. Regjeringen vil legge frem en økonomisk ramme for et ambisiøst støtteprogram for flytende havvind i forbindelse med notifisering av statsstøtte til Utsira Nord og den planlagte 2025-utlysningen av nye områder for havvind.</w:t>
      </w:r>
    </w:p>
    <w:p w14:paraId="1C50D646" w14:textId="77777777" w:rsidR="00575AC3" w:rsidRPr="006D40F0" w:rsidRDefault="00575AC3" w:rsidP="006D40F0">
      <w:r w:rsidRPr="006D40F0">
        <w:lastRenderedPageBreak/>
        <w:t xml:space="preserve">For å sikre et </w:t>
      </w:r>
      <w:proofErr w:type="gramStart"/>
      <w:r w:rsidRPr="006D40F0">
        <w:t>robust</w:t>
      </w:r>
      <w:proofErr w:type="gramEnd"/>
      <w:r w:rsidRPr="006D40F0">
        <w:t xml:space="preserve"> kraftsystem som står seg også utover 2030-tallet, må tiltakene for en styrket kraftbalanse ses i sammenheng, og vurderes sammen med behovet for utviklingen av overføringsnettet både regionalt og nasjonalt og med utviklingen i effektbalansen.</w:t>
      </w:r>
    </w:p>
    <w:p w14:paraId="64390CE0" w14:textId="77777777" w:rsidR="00575AC3" w:rsidRPr="006D40F0" w:rsidRDefault="00575AC3" w:rsidP="006D40F0">
      <w:r w:rsidRPr="006D40F0">
        <w:t xml:space="preserve">Innretninger i petroleumsvirksomheten trenger en stabil og kontinuerlig energiforsyning. Havvind er </w:t>
      </w:r>
      <w:proofErr w:type="spellStart"/>
      <w:r w:rsidRPr="006D40F0">
        <w:t>uregulerbar</w:t>
      </w:r>
      <w:proofErr w:type="spellEnd"/>
      <w:r w:rsidRPr="006D40F0">
        <w:t xml:space="preserve"> kraftproduksjon, som produserer når det blåser. Dette gjør at petroleumsinnretninger ikke kan drives med havvind alene. Dersom en innretning skal drives med havvind må den også ha en annen fullverdig energiløsning på innretningen, for eksempel gassturbiner eller tilknytning til kraftnettet på land. En dobbel løsning med kraft fra land og havvind – eller gassturbiner og havvind, vil øke kostnadene ved tiltaket. Felt som legger om energiforsyningen til drift med kraft fra land, vil ikke ha behov for direktekoblet havvind. Med gassturbiner som alternativ når det ikke blåser blir utslippsreduksjonene i Norge begrenset.</w:t>
      </w:r>
    </w:p>
    <w:p w14:paraId="7BAFD838" w14:textId="77777777" w:rsidR="00575AC3" w:rsidRPr="006D40F0" w:rsidRDefault="00575AC3" w:rsidP="006D40F0">
      <w:r w:rsidRPr="006D40F0">
        <w:t xml:space="preserve">Flytende havvind er en umoden teknologi. </w:t>
      </w:r>
      <w:proofErr w:type="spellStart"/>
      <w:r w:rsidRPr="006D40F0">
        <w:t>Hywind</w:t>
      </w:r>
      <w:proofErr w:type="spellEnd"/>
      <w:r w:rsidRPr="006D40F0">
        <w:t xml:space="preserve"> Tampen – som kom i drift i 2023 og delvis forsyner feltene Gullfaks og Snorre med kraft, er i dag den største flytende havvindparken globalt. Bruk av havvind direkte koblet til petroleumsinnretninger har også vært vurdert av rettighetshaverne på andre felt, blant annet Brage og Ekofisk. Disse prosjektene har til nå ikke vært mulig å realisere økonomisk. Det er fortsatt behov for å utvikle, teste og oppskalere ny teknologi for havvind.</w:t>
      </w:r>
    </w:p>
    <w:p w14:paraId="2406DD4C" w14:textId="77777777" w:rsidR="00575AC3" w:rsidRPr="006D40F0" w:rsidRDefault="00575AC3" w:rsidP="006D40F0">
      <w:r w:rsidRPr="006D40F0">
        <w:t xml:space="preserve">Energidepartementet finansierer forskningsprosjekter på havvind gjennom programmene </w:t>
      </w:r>
      <w:proofErr w:type="spellStart"/>
      <w:r w:rsidRPr="006D40F0">
        <w:t>EnergiX</w:t>
      </w:r>
      <w:proofErr w:type="spellEnd"/>
      <w:r w:rsidRPr="006D40F0">
        <w:t xml:space="preserve"> og Forskningssentre for miljøvennlig energi (FME), forvaltet av Forskningsrådet. FME </w:t>
      </w:r>
      <w:proofErr w:type="spellStart"/>
      <w:r w:rsidRPr="006D40F0">
        <w:t>Northwind</w:t>
      </w:r>
      <w:proofErr w:type="spellEnd"/>
      <w:r w:rsidRPr="006D40F0">
        <w:t>, forskningssenteret på vindkraft, startet opp i 2021 med en bevilgning på 120 mill. kroner fordelt på åtte år.</w:t>
      </w:r>
    </w:p>
    <w:p w14:paraId="36647750" w14:textId="77777777" w:rsidR="00575AC3" w:rsidRPr="006D40F0" w:rsidRDefault="00575AC3" w:rsidP="006D40F0">
      <w:r w:rsidRPr="006D40F0">
        <w:t xml:space="preserve">Regjeringen bidrar til utviklingen av flytende havvind. </w:t>
      </w:r>
      <w:proofErr w:type="spellStart"/>
      <w:r w:rsidRPr="006D40F0">
        <w:t>Enova</w:t>
      </w:r>
      <w:proofErr w:type="spellEnd"/>
      <w:r w:rsidRPr="006D40F0">
        <w:t xml:space="preserve"> har lenge hatt en rolle innenfor vindkraft, og nå er oppmerksomheten rettet mot teknologiutvikling for havvind, særlig for flytende løsninger. Utbyggere av flytende havvind, herunder utbyggere som planlegger tilknytning av flytende havvind til petroleumsvirksomhet, kan søke </w:t>
      </w:r>
      <w:proofErr w:type="spellStart"/>
      <w:r w:rsidRPr="006D40F0">
        <w:t>Enova</w:t>
      </w:r>
      <w:proofErr w:type="spellEnd"/>
      <w:r w:rsidRPr="006D40F0">
        <w:t xml:space="preserve"> om støtte til teknologiutvikling. </w:t>
      </w:r>
      <w:proofErr w:type="spellStart"/>
      <w:r w:rsidRPr="006D40F0">
        <w:t>Hywind</w:t>
      </w:r>
      <w:proofErr w:type="spellEnd"/>
      <w:r w:rsidRPr="006D40F0">
        <w:t xml:space="preserve"> Tampen mottok 2,3 mrd. kroner i støtte fra </w:t>
      </w:r>
      <w:proofErr w:type="spellStart"/>
      <w:r w:rsidRPr="006D40F0">
        <w:t>Enova</w:t>
      </w:r>
      <w:proofErr w:type="spellEnd"/>
      <w:r w:rsidRPr="006D40F0">
        <w:t>.</w:t>
      </w:r>
    </w:p>
    <w:p w14:paraId="47421593" w14:textId="77777777" w:rsidR="00575AC3" w:rsidRPr="006D40F0" w:rsidRDefault="00575AC3" w:rsidP="006D40F0">
      <w:r w:rsidRPr="006D40F0">
        <w:t>Utbyggere av flytende havvind kan også søke om støtte fra NO</w:t>
      </w:r>
      <w:r w:rsidRPr="00575AC3">
        <w:rPr>
          <w:rStyle w:val="skrift-senket"/>
        </w:rPr>
        <w:t>X</w:t>
      </w:r>
      <w:r w:rsidRPr="006D40F0">
        <w:t xml:space="preserve">-fondet dersom utbygger er støtteberettiget. </w:t>
      </w:r>
      <w:proofErr w:type="spellStart"/>
      <w:r w:rsidRPr="006D40F0">
        <w:t>Hywind</w:t>
      </w:r>
      <w:proofErr w:type="spellEnd"/>
      <w:r w:rsidRPr="006D40F0">
        <w:t xml:space="preserve"> Tampen mottok eksempelvis støtte fra NO</w:t>
      </w:r>
      <w:r w:rsidRPr="00575AC3">
        <w:rPr>
          <w:rStyle w:val="skrift-senket"/>
        </w:rPr>
        <w:t>X</w:t>
      </w:r>
      <w:r w:rsidRPr="006D40F0">
        <w:t>-fondet.</w:t>
      </w:r>
    </w:p>
    <w:p w14:paraId="4D427641" w14:textId="77777777" w:rsidR="00575AC3" w:rsidRPr="006D40F0" w:rsidRDefault="00575AC3" w:rsidP="006D40F0">
      <w:r w:rsidRPr="006D40F0">
        <w:t xml:space="preserve">Prosjektet Goliat Vind har tidligere i år fått tilsagn om totalt 2 mrd. kroner i støtte fra </w:t>
      </w:r>
      <w:proofErr w:type="spellStart"/>
      <w:r w:rsidRPr="006D40F0">
        <w:t>Enova</w:t>
      </w:r>
      <w:proofErr w:type="spellEnd"/>
      <w:r w:rsidRPr="006D40F0">
        <w:t>. Denne typen satsinger er viktig for å redusere kostnadene ved flytende havvind, slik at teknologien kan bli økonomisk lønnsom over tid.</w:t>
      </w:r>
    </w:p>
    <w:p w14:paraId="09BF6AE4" w14:textId="77777777" w:rsidR="00575AC3" w:rsidRPr="006D40F0" w:rsidRDefault="00575AC3" w:rsidP="006D40F0">
      <w:r w:rsidRPr="006D40F0">
        <w:t xml:space="preserve">Energidepartementet har tildelt et prosjektområde for bunnfast havvind i Sørlige </w:t>
      </w:r>
      <w:proofErr w:type="spellStart"/>
      <w:r w:rsidRPr="006D40F0">
        <w:t>Nordsjø</w:t>
      </w:r>
      <w:proofErr w:type="spellEnd"/>
      <w:r w:rsidRPr="006D40F0">
        <w:t xml:space="preserve"> II til </w:t>
      </w:r>
      <w:proofErr w:type="spellStart"/>
      <w:r w:rsidRPr="006D40F0">
        <w:t>Ventyr</w:t>
      </w:r>
      <w:proofErr w:type="spellEnd"/>
      <w:r w:rsidRPr="006D40F0">
        <w:t xml:space="preserve"> SNII AS, samt inngått en differansekontrakt der de samlede statlige forpliktelsene ikke kan overstige en kostnadsramme på 23 mrd. 2023-kroner (kostnadsrammen vil prisjusteres frem til anlegget er i drift). I tildelingsvedtaket har Energidepartementet stilt krav om at </w:t>
      </w:r>
      <w:proofErr w:type="spellStart"/>
      <w:r w:rsidRPr="006D40F0">
        <w:t>Ventyr</w:t>
      </w:r>
      <w:proofErr w:type="spellEnd"/>
      <w:r w:rsidRPr="006D40F0">
        <w:t xml:space="preserve"> SNII AS har kontakt med ConocoPhillips Skandinavia AS som operatør for Ekofiskområdet om muligheter for elektrifisering av petroleumsinstallasjoner fra første fase av Sørlige </w:t>
      </w:r>
      <w:proofErr w:type="spellStart"/>
      <w:r w:rsidRPr="006D40F0">
        <w:t>Nordsjø</w:t>
      </w:r>
      <w:proofErr w:type="spellEnd"/>
      <w:r w:rsidRPr="006D40F0">
        <w:t xml:space="preserve"> II.</w:t>
      </w:r>
    </w:p>
    <w:p w14:paraId="0F74670D" w14:textId="77777777" w:rsidR="00575AC3" w:rsidRPr="006D40F0" w:rsidRDefault="00575AC3" w:rsidP="006D40F0">
      <w:r w:rsidRPr="006D40F0">
        <w:t xml:space="preserve">Havvindproduksjon kan være underlagt ulike lovverk. Havenergilova er den sentrale loven når det gjelder utvikling av havvind på kontinentalsokkelen. </w:t>
      </w:r>
      <w:proofErr w:type="gramStart"/>
      <w:r w:rsidRPr="006D40F0">
        <w:t>Anvendelse</w:t>
      </w:r>
      <w:proofErr w:type="gramEnd"/>
      <w:r w:rsidRPr="006D40F0">
        <w:t xml:space="preserve"> av havenergilova kan avgrenses når det gjelder innretninger, formål eller virksomheter til havs som er omfattet av annen lov, for eksempel energianlegg som utgjør en integrert del av petroleumsvirksomheten.</w:t>
      </w:r>
    </w:p>
    <w:p w14:paraId="7FA2165D" w14:textId="77777777" w:rsidR="00575AC3" w:rsidRPr="006D40F0" w:rsidRDefault="00575AC3" w:rsidP="006D40F0">
      <w:proofErr w:type="spellStart"/>
      <w:r w:rsidRPr="006D40F0">
        <w:lastRenderedPageBreak/>
        <w:t>Hywind</w:t>
      </w:r>
      <w:proofErr w:type="spellEnd"/>
      <w:r w:rsidRPr="006D40F0">
        <w:t xml:space="preserve"> Tampen forsyner plattformer med strøm og er ikke koblet til nettet på land. </w:t>
      </w:r>
      <w:proofErr w:type="spellStart"/>
      <w:r w:rsidRPr="006D40F0">
        <w:t>Hywind</w:t>
      </w:r>
      <w:proofErr w:type="spellEnd"/>
      <w:r w:rsidRPr="006D40F0">
        <w:t xml:space="preserve"> Tampen ble derfor behandlet under petroleumsloven. En ev. tilknytning av et fremtidig havvindanlegg til en eksisterende petroleumsinnretning, vil typisk medføre en så stor endring i godkjent utbyggingsplan for et felt at rettighetshaverne i feltet må ha godkjenning fra departementet under petroleumsregelverket, før en slik tilkobling kan skje.</w:t>
      </w:r>
    </w:p>
    <w:p w14:paraId="0840FA48" w14:textId="77777777" w:rsidR="00575AC3" w:rsidRPr="006D40F0" w:rsidRDefault="00575AC3" w:rsidP="006D40F0">
      <w:r w:rsidRPr="006D40F0">
        <w:t>Petroleumsloven § 4-8 og tilhørende forskrifter legger til rette for at en som driver petroleumsvirksomhet, og som har behov for å bruke andres petroleumsinnretninger, herunder kabler, kan oppnå slik bruk (tredjepartstilgang). Denne retten til tredjepartsadgang til petroleumsinnretninger omfatter ikke rettighetshavere til havvindanlegg som etableres under havenergilova.</w:t>
      </w:r>
    </w:p>
    <w:p w14:paraId="3FCE3F73" w14:textId="77777777" w:rsidR="00575AC3" w:rsidRPr="006D40F0" w:rsidRDefault="00575AC3" w:rsidP="006D40F0">
      <w:r w:rsidRPr="006D40F0">
        <w:t>Når det gjelder regulering av et fremtidig nett til havs, pågår det utredning og vurdering av dette. Utredningene vil danne et viktig grunnlag i det videre arbeidet med å utvikle nettløsninger og regulatoriske rammer for havvindutbygging på norsk kontinentalsokkel. Vurdering av behov for regelverksendringer knyttet til krav på tredjepartstilgang vil inngå i dette arbeidet.</w:t>
      </w:r>
    </w:p>
    <w:p w14:paraId="6664E775" w14:textId="77777777" w:rsidR="00575AC3" w:rsidRPr="006D40F0" w:rsidRDefault="00575AC3" w:rsidP="006D40F0">
      <w:r w:rsidRPr="006D40F0">
        <w:t>Regjeringen har en tydelig ambisjon om styrket kraftbalanse, der utbygging av havvind står sentralt, samt mål om et energipartnerskap mellom myndighetene og petroleumsnæringen for å løse kraft fra land-problematikken. Regjeringen vil derfor vurdere hvordan et energipartnerskap med petroleumsnæringen kan bidra både til å utløse tiltak som bedrer kraftbalansen, og gjennom det legge til rette for fortsatt klimaomstilling i petroleumssektoren. Rammene for et slik partnerskap er at 1) det skal klargjøre mulige tiltak som kan bidra til stryket kraftbalanse, herunder gjennom energieffektivisering og økt kraftproduksjon, 2) målet er å få på plass tiltak i tide til å sikre oss mot eventuelle negative konsekvenser for kraftsystemet ved elektrifiseringsprosjekter, 3) det skal ikke stå i veien for en utvikling av havvindnæringen der det er konkurranse mellom ulike aktører og prosjekter og 4) det skal være innenfor handlingsregelen og det finanspolitiske rammeverket.</w:t>
      </w:r>
    </w:p>
    <w:p w14:paraId="481054B0" w14:textId="77777777" w:rsidR="00575AC3" w:rsidRPr="006D40F0" w:rsidRDefault="00575AC3" w:rsidP="006D40F0">
      <w:r w:rsidRPr="006D40F0">
        <w:t>Regjeringen vil ha dialog med petroleumsnæringen om elementene i et slikt energipartnerskap.</w:t>
      </w:r>
    </w:p>
    <w:p w14:paraId="358DADF8" w14:textId="77777777" w:rsidR="00575AC3" w:rsidRPr="006D40F0" w:rsidRDefault="00575AC3" w:rsidP="006D40F0">
      <w:r w:rsidRPr="006D40F0">
        <w:t>Samlet sett er det etablert eller under vurdering en rekke tiltak og virkemidler med formål å bidra til at havvind over tid kan bli en lønnsom kraftproduksjon som kan bidra til styrket kraftbalanse og gi muligheter for nytt forbruk.</w:t>
      </w:r>
    </w:p>
    <w:p w14:paraId="1757C841" w14:textId="77777777" w:rsidR="00575AC3" w:rsidRPr="006D40F0" w:rsidRDefault="00575AC3" w:rsidP="006D40F0">
      <w:pPr>
        <w:pStyle w:val="avsnitt-tittel"/>
      </w:pPr>
      <w:r w:rsidRPr="006D40F0">
        <w:t>Oppfølging av anmodningsvedtak om solkraft og annen lokal energiproduksjon</w:t>
      </w:r>
    </w:p>
    <w:p w14:paraId="1DAA3231" w14:textId="77777777" w:rsidR="00575AC3" w:rsidRPr="006D40F0" w:rsidRDefault="00575AC3" w:rsidP="006D40F0">
      <w:r w:rsidRPr="006D40F0">
        <w:t>Solkraft i Norge har blitt mer aktuelt de siste årene, og Stortinget har fremmet flere anmodningsvedtak som omhandler dette.</w:t>
      </w:r>
    </w:p>
    <w:p w14:paraId="25544DB5" w14:textId="77777777" w:rsidR="00575AC3" w:rsidRPr="006D40F0" w:rsidRDefault="00575AC3" w:rsidP="006D40F0">
      <w:pPr>
        <w:pStyle w:val="avsnitt-undertittel"/>
      </w:pPr>
      <w:r w:rsidRPr="006D40F0">
        <w:t>Oppfølging av anmodningsvedtak om solkraft og annen lokal energiproduksjon</w:t>
      </w:r>
    </w:p>
    <w:p w14:paraId="2E35CC4E" w14:textId="77777777" w:rsidR="00575AC3" w:rsidRPr="006D40F0" w:rsidRDefault="00575AC3" w:rsidP="006D40F0">
      <w:r w:rsidRPr="006D40F0">
        <w:t>Anmodningsvedtak nr. 765, 5. juni 2023:</w:t>
      </w:r>
    </w:p>
    <w:p w14:paraId="60EBA4F9" w14:textId="77777777" w:rsidR="00575AC3" w:rsidRPr="006D40F0" w:rsidRDefault="00575AC3" w:rsidP="006D40F0">
      <w:pPr>
        <w:pStyle w:val="blokksit"/>
      </w:pPr>
      <w:r w:rsidRPr="006D40F0">
        <w:t>«Stortinget ber regjeringen legge frem forslag til endringer som tillater områdeløsninger og deling av lokalprodusert strøm og energilagring mellom bygg med ulike gårds- og bruksnummer, og komme tilbake til Stortinget på egnet måte i løpet av våren 2024.»</w:t>
      </w:r>
    </w:p>
    <w:p w14:paraId="4B24E017" w14:textId="77777777" w:rsidR="00575AC3" w:rsidRPr="006D40F0" w:rsidRDefault="00575AC3" w:rsidP="006D40F0">
      <w:r w:rsidRPr="006D40F0">
        <w:t>Anmodningsvedtak nr. 766, 5. juni 2023:</w:t>
      </w:r>
    </w:p>
    <w:p w14:paraId="60B5A0F4" w14:textId="77777777" w:rsidR="00575AC3" w:rsidRPr="006D40F0" w:rsidRDefault="00575AC3" w:rsidP="006D40F0">
      <w:pPr>
        <w:pStyle w:val="blokksit"/>
      </w:pPr>
      <w:r w:rsidRPr="006D40F0">
        <w:lastRenderedPageBreak/>
        <w:t xml:space="preserve">«Stortinget ber regjeringen, senest i forbindelse med statsbudsjettet for 2024, legge fram en plan med mål og virkemidler for å fremme utbygging av produksjon av fornybar kraft i næringsarealer, langs motorveier og i andre nedbygde arealer, med mål om minst 5 </w:t>
      </w:r>
      <w:proofErr w:type="spellStart"/>
      <w:r w:rsidRPr="006D40F0">
        <w:t>TWh</w:t>
      </w:r>
      <w:proofErr w:type="spellEnd"/>
      <w:r w:rsidRPr="006D40F0">
        <w:t xml:space="preserve"> produksjon innen 2030.»</w:t>
      </w:r>
    </w:p>
    <w:p w14:paraId="32EC9F3C" w14:textId="77777777" w:rsidR="00575AC3" w:rsidRPr="006D40F0" w:rsidRDefault="00575AC3" w:rsidP="006D40F0">
      <w:r w:rsidRPr="006D40F0">
        <w:t>Anmodningsvedtak nr. 923, 16. juni 2023:</w:t>
      </w:r>
    </w:p>
    <w:p w14:paraId="3AA59E88" w14:textId="77777777" w:rsidR="00575AC3" w:rsidRPr="006D40F0" w:rsidRDefault="00575AC3" w:rsidP="006D40F0">
      <w:pPr>
        <w:pStyle w:val="blokksit"/>
      </w:pPr>
      <w:r w:rsidRPr="006D40F0">
        <w:t xml:space="preserve">«Stortinget ber regjeringen sette et mål for ny solenergi på 8 </w:t>
      </w:r>
      <w:proofErr w:type="spellStart"/>
      <w:r w:rsidRPr="006D40F0">
        <w:t>TWh</w:t>
      </w:r>
      <w:proofErr w:type="spellEnd"/>
      <w:r w:rsidRPr="006D40F0">
        <w:t xml:space="preserve"> innen 2030 og utarbeide en konkret handlingsplan som gjør det mulig å realisere målet innen revidert nasjonalbudsjett i 2024. Tiltak og virkemidler skal ikke være til hinder for rasjonell nettutvikling.»</w:t>
      </w:r>
    </w:p>
    <w:p w14:paraId="7EBFAA29" w14:textId="77777777" w:rsidR="00575AC3" w:rsidRPr="006D40F0" w:rsidRDefault="00575AC3" w:rsidP="006D40F0">
      <w:r w:rsidRPr="006D40F0">
        <w:t>De siste års utvikling i kraftsituasjonen har vist tydelig hvilken uforutsigbarhet som kan ramme selv det norske kraftsystemet som har høy reguleringsgrad og et solid kraftoverskudd i normalår. Utviklingen i kraftproduksjon og -forbruk fremover er usikker og avhenger av en rekke forhold. I årene fremover anslår NVE at kraftforbruket vil øke mer enn økningen i kraftproduksjonen, og i 2030 kan kraftbalansen gå mot null. Regjeringen har siden den tiltrådte iverksatt en rekke tiltak som skal styrke tilgangen på kraft, sikre en raskere utvikling av nett og økt satsingen på energieffektivisering.</w:t>
      </w:r>
    </w:p>
    <w:p w14:paraId="19EFD02C" w14:textId="77777777" w:rsidR="00575AC3" w:rsidRPr="006D40F0" w:rsidRDefault="00575AC3" w:rsidP="006D40F0">
      <w:r w:rsidRPr="006D40F0">
        <w:t>Kraftproduksjon fra sol er en viktig del av løsningen av tre grunner: det bidrar til å øke kraftproduksjonen i Norge, det bidrar til fordeling av kraftproduksjonen på flere kilder og det gir sluttbrukere av kraft muligheten til å påvirke egen krafttilgang og -kostnader.</w:t>
      </w:r>
    </w:p>
    <w:p w14:paraId="2011E368" w14:textId="77777777" w:rsidR="00575AC3" w:rsidRPr="006D40F0" w:rsidRDefault="00575AC3" w:rsidP="006D40F0">
      <w:r w:rsidRPr="006D40F0">
        <w:t xml:space="preserve">Solkraft utgjør fortsatt en liten del av norsk kraftproduksjon, men vokser raskt. Siden 2021 har totalt installert effekt solkraft i Norge blitt doblet hvert år. I dag er det en samlet installert effekt på mer enn 600 MW med en estimert årlig energiproduksjon på om lag 0,5 </w:t>
      </w:r>
      <w:proofErr w:type="spellStart"/>
      <w:r w:rsidRPr="006D40F0">
        <w:t>TWh</w:t>
      </w:r>
      <w:proofErr w:type="spellEnd"/>
      <w:r w:rsidRPr="006D40F0">
        <w:t>, fordelt på nærmere 30 000 anlegg. Størstedelen av dette, om lag 42 prosent, er anlegg i husholdningene, etterfulgt av tjenesteytende næringer med en andel på om lag 32 prosent, og industri, jordbruk, skogbruk og fiske med en andel på om lag 15 prosent. 2023 ble et rekordår for installering av solkraft. Dette er en utvikling regjeringen ser positivt på.</w:t>
      </w:r>
    </w:p>
    <w:p w14:paraId="694DC1D4" w14:textId="77777777" w:rsidR="00575AC3" w:rsidRPr="006D40F0" w:rsidRDefault="00575AC3" w:rsidP="006D40F0">
      <w:r w:rsidRPr="006D40F0">
        <w:t xml:space="preserve">Regjeringen har de siste årene gjennomført flere tiltak for å legge til rette for solkraft og lokal energiproduksjon. Plusskundeordningen, investeringsstøtte fra </w:t>
      </w:r>
      <w:proofErr w:type="spellStart"/>
      <w:r w:rsidRPr="006D40F0">
        <w:t>Enova</w:t>
      </w:r>
      <w:proofErr w:type="spellEnd"/>
      <w:r w:rsidRPr="006D40F0">
        <w:t xml:space="preserve"> og Husbankens støtteordninger er viktige virkemidler som er videreført i 2024. Høsten 2023 utvidet regjeringen plusskundeordningen gjennom å innføre en delingsordning for fornybar energi slik at strømkunder på samme eiendom, for eksempel i et borettslag, kan slippe nettleie og avgifter for forbruk av strøm de selv produserer i et felles solcelleanlegg og på den måten reduserer sine strømutgifter. I årene fremover skal innføringen av ytterligere virkemidler bidra til en raskere utbygging av fornybar kraft og nett generelt, men også etablering av solkraft og lokal energiproduksjon spesielt.</w:t>
      </w:r>
    </w:p>
    <w:p w14:paraId="6711D2EE" w14:textId="77777777" w:rsidR="00575AC3" w:rsidRPr="006D40F0" w:rsidRDefault="00575AC3" w:rsidP="006D40F0">
      <w:r w:rsidRPr="006D40F0">
        <w:t xml:space="preserve">I statsbudsjettet for 2023 foreslo regjeringen en styrking av energimyndighetene. Dette ble videreført i statsbudsjettet for 2024. Styrkingen vil blant annet bidra til digitalisering og økt saksbehandlingskapasitet hos konsesjonsmyndighetene, slik at konsesjonsprosessene kan effektiviseres, samt at køen som har bygget seg opp kan reduseres. For solkraft har det gjennom 2023 vært en stor økning i antall konsesjonssøknader. Ved utgangen av første kvartal var det 11 saker hos NVE. Ved utgangen av året var antallet saker 34. Status våren 2024 er at NVE har mottatt om lag 50 søknader eller meldinger, og tildelt saksbehandler til om lag 40 pst. Tre solkraftanlegg (med en samlet anslått årsproduksjon på om lag 14,1 GWh) fikk tillatelse i 2023. Større solkraftanlegg er en ny teknologi i norsk sammenheng. Kunnskapsinnhenting og -opparbeiding hos energimyndighetene, samt forståelse av konsekvensene knyttet til konsesjonspliktige solkraftanlegg, </w:t>
      </w:r>
      <w:r w:rsidRPr="006D40F0">
        <w:lastRenderedPageBreak/>
        <w:t>vil være avgjørende for behandlingen av disse sakene, og det må skje over tid. Videre vil kunnskap om lokale forhold også være viktig for en helhetlig behandling av disse sakene.</w:t>
      </w:r>
    </w:p>
    <w:p w14:paraId="31D5EA66" w14:textId="77777777" w:rsidR="00575AC3" w:rsidRPr="006D40F0" w:rsidRDefault="00575AC3" w:rsidP="006D40F0">
      <w:r w:rsidRPr="006D40F0">
        <w:t>Regjeringen lanserte i april i fjor en handlingsplan for raskere nettutbygging og bedre utnyttelse av nettet, og er godt i gang med å følge opp denne. Handlingsplanen skal bidra til raskere konsesjonsbehandling av saker hos energimyndighetene, mer effektiv tilknytning til strømnettet og bedre utnyttelse av dagens nettkapasitet i regional- og transmisjonsnettet.</w:t>
      </w:r>
    </w:p>
    <w:p w14:paraId="768E2125" w14:textId="77777777" w:rsidR="00575AC3" w:rsidRPr="006D40F0" w:rsidRDefault="00575AC3" w:rsidP="006D40F0">
      <w:proofErr w:type="spellStart"/>
      <w:r w:rsidRPr="006D40F0">
        <w:t>Enova</w:t>
      </w:r>
      <w:proofErr w:type="spellEnd"/>
      <w:r w:rsidRPr="006D40F0">
        <w:t xml:space="preserve"> har i dag en rekke tilskuddsordninger knyttet til energitiltak, inkludert solenergi. </w:t>
      </w:r>
      <w:proofErr w:type="spellStart"/>
      <w:r w:rsidRPr="006D40F0">
        <w:t>Enova</w:t>
      </w:r>
      <w:proofErr w:type="spellEnd"/>
      <w:r w:rsidRPr="006D40F0">
        <w:t xml:space="preserve"> støtter installasjon av solcelleanlegg, i kombinasjon med andre tiltak i yrkesbygg og flerbolighus, og separat i eneboliger. Videre har </w:t>
      </w:r>
      <w:proofErr w:type="spellStart"/>
      <w:r w:rsidRPr="006D40F0">
        <w:t>Enova</w:t>
      </w:r>
      <w:proofErr w:type="spellEnd"/>
      <w:r w:rsidRPr="006D40F0">
        <w:t xml:space="preserve"> etablert tilskudd dersom kraftproduksjonen kombineres med andre energitiltak, som for eksempel solfangere. I tillegg støtter </w:t>
      </w:r>
      <w:proofErr w:type="spellStart"/>
      <w:r w:rsidRPr="006D40F0">
        <w:t>Enova</w:t>
      </w:r>
      <w:proofErr w:type="spellEnd"/>
      <w:r w:rsidRPr="006D40F0">
        <w:t xml:space="preserve"> solfangere til varmesentraler. Regjeringen lanserte videre i oktober i fjor en handlingsplan for energieffektivisering i alle deler av norsk økonomi.</w:t>
      </w:r>
    </w:p>
    <w:p w14:paraId="459A7D54" w14:textId="77777777" w:rsidR="00575AC3" w:rsidRPr="006D40F0" w:rsidRDefault="00575AC3" w:rsidP="006D40F0">
      <w:pPr>
        <w:pStyle w:val="avsnitt-undertittel"/>
      </w:pPr>
      <w:r w:rsidRPr="006D40F0">
        <w:t>Plan for tiltak for økt utbygging av solenergi og lokal energiproduksjon</w:t>
      </w:r>
    </w:p>
    <w:p w14:paraId="52C6E724" w14:textId="77777777" w:rsidR="00575AC3" w:rsidRPr="006D40F0" w:rsidRDefault="00575AC3" w:rsidP="006D40F0">
      <w:r w:rsidRPr="006D40F0">
        <w:t>Regjeringen vil legge til rette for en samfunnsmessig rasjonell innfasing av solenergi og lokal energiproduksjon, og arbeider med en rekke tiltak:</w:t>
      </w:r>
    </w:p>
    <w:p w14:paraId="339E31F0" w14:textId="77777777" w:rsidR="00575AC3" w:rsidRPr="006D40F0" w:rsidRDefault="00575AC3" w:rsidP="006D40F0">
      <w:pPr>
        <w:pStyle w:val="Listebombe"/>
      </w:pPr>
      <w:r w:rsidRPr="006D40F0">
        <w:t>Regjeringen ønsker å legge til rette for ny fornybar kraftproduksjon i tilknytning til næringsområder. RME har, på oppdrag fra Energidepartementet, utredet en løsning som legger til rette for deling av fornybar strøm i næringsområder. Energidepartementet og Finansdepartementet har gitt hhv. RME og Skattedirektoratet i oppdrag å utrede delingsordningen videre med frist 1. juni. Regjeringen er opptatt av rask fremdrift og vil komme tilbake til saken så snart som mulig.</w:t>
      </w:r>
    </w:p>
    <w:p w14:paraId="56EE8034" w14:textId="77777777" w:rsidR="00575AC3" w:rsidRPr="006D40F0" w:rsidRDefault="00575AC3" w:rsidP="006D40F0">
      <w:pPr>
        <w:pStyle w:val="Listebombe"/>
      </w:pPr>
      <w:r w:rsidRPr="006D40F0">
        <w:t>Energidepartementet, i samråd med Kommunal- og distriktsdepartementet, har hatt på høring et forslag om innlemming av solkraft i plan- og bygningsloven, og vurderer nå høringsinnspillene og hvordan forslaget skal følges opp.</w:t>
      </w:r>
    </w:p>
    <w:p w14:paraId="16B937B0" w14:textId="77777777" w:rsidR="00575AC3" w:rsidRPr="006D40F0" w:rsidRDefault="00575AC3" w:rsidP="006D40F0">
      <w:pPr>
        <w:pStyle w:val="Listebombe"/>
      </w:pPr>
      <w:r w:rsidRPr="006D40F0">
        <w:t>Klima- og miljødepartementet, i samråd med Kommunal- og distriktsdepartementet og Energidepartementet, har hatt på høring og tar sikte på å vedta forslag til endringer for å innlemme solkraftverk i forskrift om konsekvensutredninger. Forskriftsendringen inneholder også endringer i krav om meldeplikt for nye nettanlegg med spenning 132 kV eller høyere.</w:t>
      </w:r>
    </w:p>
    <w:p w14:paraId="5A9A2AE2" w14:textId="77777777" w:rsidR="00575AC3" w:rsidRPr="006D40F0" w:rsidRDefault="00575AC3" w:rsidP="006D40F0">
      <w:pPr>
        <w:pStyle w:val="Listebombe"/>
      </w:pPr>
      <w:r w:rsidRPr="006D40F0">
        <w:t>Energidepartementet tar sikte på å innføre en egen effektgrense for konsesjonsplikt for solkraftanlegg, og vil sende et forslag om endringer i energilovforskriften på høring. Innslagspunktet for konsesjonsplikt vil være høyere enn det som følger av gjeldende regulering.</w:t>
      </w:r>
    </w:p>
    <w:p w14:paraId="676C1909" w14:textId="77777777" w:rsidR="00575AC3" w:rsidRPr="006D40F0" w:rsidRDefault="00575AC3" w:rsidP="006D40F0">
      <w:pPr>
        <w:pStyle w:val="Listebombe"/>
      </w:pPr>
      <w:r w:rsidRPr="006D40F0">
        <w:t>Energidepartementet vurderer et forslag om endring i regelverk om tilknytningsplikt for områdekonsesjonærer når det gjelder produksjonsanlegg.</w:t>
      </w:r>
    </w:p>
    <w:p w14:paraId="39094E8E" w14:textId="77777777" w:rsidR="00575AC3" w:rsidRPr="006D40F0" w:rsidRDefault="00575AC3" w:rsidP="006D40F0">
      <w:pPr>
        <w:pStyle w:val="Listebombe"/>
      </w:pPr>
      <w:r w:rsidRPr="006D40F0">
        <w:t>Finansdepartementet vurderer skatteendringer for salg av overskuddsstrøm fra private boliger. Formålet med forslaget er å legge til rette for et praktikabelt regelverk for skattelegging av strøminntekter og mer forutsigbare rammebetingelser for investering i fornybare produksjonsanlegg tilknyttet privat boliger og fritidsboliger. Forslagene skal sendes på høring våren 2024, med sikte på å legge frem særregler i statsbudsjettet for 2025. Frem til nye regler er på plass, vil Skatteetaten unnlate å skattlegge inntekter ved salg av overskuddsstrøm fra solcelleanlegg i boliger, for 2023 og tidligere år.</w:t>
      </w:r>
    </w:p>
    <w:p w14:paraId="351760B9" w14:textId="77777777" w:rsidR="00575AC3" w:rsidRPr="006D40F0" w:rsidRDefault="00575AC3" w:rsidP="006D40F0">
      <w:pPr>
        <w:pStyle w:val="Listebombe"/>
      </w:pPr>
      <w:r w:rsidRPr="006D40F0">
        <w:t xml:space="preserve">Bevilgningen til </w:t>
      </w:r>
      <w:proofErr w:type="spellStart"/>
      <w:r w:rsidRPr="006D40F0">
        <w:t>Enovas</w:t>
      </w:r>
      <w:proofErr w:type="spellEnd"/>
      <w:r w:rsidRPr="006D40F0">
        <w:t xml:space="preserve"> satsing på energitiltak ble økt med 880 millioner kroner for 2024. Midlene skal i hovedsak styrke </w:t>
      </w:r>
      <w:proofErr w:type="spellStart"/>
      <w:r w:rsidRPr="006D40F0">
        <w:t>Enovas</w:t>
      </w:r>
      <w:proofErr w:type="spellEnd"/>
      <w:r w:rsidRPr="006D40F0">
        <w:t xml:space="preserve"> satsing på energitiltak i yrkesbygg og boliger, og solenergi inngår som et mulig energitiltak.</w:t>
      </w:r>
    </w:p>
    <w:p w14:paraId="5CE66974" w14:textId="77777777" w:rsidR="00575AC3" w:rsidRPr="006D40F0" w:rsidRDefault="00575AC3" w:rsidP="006D40F0">
      <w:pPr>
        <w:pStyle w:val="Listebombe"/>
      </w:pPr>
      <w:r w:rsidRPr="006D40F0">
        <w:lastRenderedPageBreak/>
        <w:t>Regjeringen har videreført og styrket Husbankens støtteordning til energitiltak i kommunalt eide utleieboliger, omsorgsboliger og sykehjem. Solvarmekollektor og solceller er blant tiltakene som kan motta støtte.</w:t>
      </w:r>
    </w:p>
    <w:p w14:paraId="0E687597" w14:textId="77777777" w:rsidR="00575AC3" w:rsidRPr="006D40F0" w:rsidRDefault="00575AC3" w:rsidP="006D40F0">
      <w:pPr>
        <w:pStyle w:val="Listebombe"/>
      </w:pPr>
      <w:r w:rsidRPr="006D40F0">
        <w:t>Kommunal- og distriktsdepartementet vurderer muligheten for unntak fra søknadsplikt etter plan- og bygningsloven for solenergianlegg på bygninger.</w:t>
      </w:r>
    </w:p>
    <w:p w14:paraId="5873CB4A" w14:textId="77777777" w:rsidR="00575AC3" w:rsidRPr="006D40F0" w:rsidRDefault="00575AC3" w:rsidP="006D40F0">
      <w:pPr>
        <w:pStyle w:val="Listebombe"/>
      </w:pPr>
      <w:r w:rsidRPr="006D40F0">
        <w:t>Kommunal- og distriktsdepartementet ser på muligheten til å sette krav om lokal energiproduksjon i forbindelse med større nye næringsbygg.</w:t>
      </w:r>
    </w:p>
    <w:p w14:paraId="6D4AC0E1" w14:textId="77777777" w:rsidR="00575AC3" w:rsidRPr="006D40F0" w:rsidRDefault="00575AC3" w:rsidP="006D40F0">
      <w:pPr>
        <w:pStyle w:val="Listebombe"/>
      </w:pPr>
      <w:r w:rsidRPr="006D40F0">
        <w:t xml:space="preserve">Det </w:t>
      </w:r>
      <w:proofErr w:type="gramStart"/>
      <w:r w:rsidRPr="006D40F0">
        <w:t>fremgår</w:t>
      </w:r>
      <w:proofErr w:type="gramEnd"/>
      <w:r w:rsidRPr="006D40F0">
        <w:t xml:space="preserve"> av handlingsplan for energieffektivisering at byggeprosjekter i statlig sivil sektor skal inkludere lokal fornybar energiproduksjon, inkludert fjernvarme og overskuddsvarme, når det er lønnsømt.</w:t>
      </w:r>
    </w:p>
    <w:p w14:paraId="67D66043" w14:textId="77777777" w:rsidR="00575AC3" w:rsidRPr="006D40F0" w:rsidRDefault="00575AC3" w:rsidP="006D40F0">
      <w:pPr>
        <w:pStyle w:val="Listebombe"/>
      </w:pPr>
      <w:r w:rsidRPr="006D40F0">
        <w:t>Statsbygg har over tid jobbet med energieffektivisering og -produksjon på statlige eiendommer. I 2023 satte Statsbygg i gang nye solcelleanlegg med estimert energiproduksjon 1–1,5 GWh.</w:t>
      </w:r>
    </w:p>
    <w:p w14:paraId="2637D32B" w14:textId="77777777" w:rsidR="00575AC3" w:rsidRPr="006D40F0" w:rsidRDefault="00575AC3" w:rsidP="006D40F0">
      <w:pPr>
        <w:pStyle w:val="Listebombe"/>
      </w:pPr>
      <w:r w:rsidRPr="006D40F0">
        <w:t>Digitaliserings- og forvaltningsdepartementet arbeider med å kartlegge potensialet for energieffektivisering og lokal fornybar energiproduksjon på fast eiendom i statlig sivil sektor.</w:t>
      </w:r>
    </w:p>
    <w:p w14:paraId="46ACD084" w14:textId="77777777" w:rsidR="00575AC3" w:rsidRPr="006D40F0" w:rsidRDefault="00575AC3" w:rsidP="006D40F0">
      <w:pPr>
        <w:pStyle w:val="Listebombe"/>
      </w:pPr>
      <w:r w:rsidRPr="006D40F0">
        <w:t>Nærings- og fiskeridepartementet arbeider med en strategi for solindustrien.</w:t>
      </w:r>
    </w:p>
    <w:p w14:paraId="6EC8451F" w14:textId="77777777" w:rsidR="00575AC3" w:rsidRPr="006D40F0" w:rsidRDefault="00575AC3" w:rsidP="006D40F0">
      <w:pPr>
        <w:pStyle w:val="Listebombe"/>
      </w:pPr>
      <w:r w:rsidRPr="006D40F0">
        <w:t>Energidepartementet vil gå i dialog med NVE om videre arbeid med å kartlegge potensialet for solkraft i Norge, herunder potensialet på nedbygde arealer.</w:t>
      </w:r>
    </w:p>
    <w:p w14:paraId="1410A90E" w14:textId="77777777" w:rsidR="00575AC3" w:rsidRPr="006D40F0" w:rsidRDefault="00575AC3" w:rsidP="006D40F0">
      <w:pPr>
        <w:pStyle w:val="Listebombe"/>
      </w:pPr>
      <w:r w:rsidRPr="006D40F0">
        <w:t>Energidepartementet vil gi Statnett i oppdrag å vurdere systemvirkninger og tiltak for å håndtere en økende innfasing av solkraft i det norske kraftsystemet.</w:t>
      </w:r>
    </w:p>
    <w:p w14:paraId="5E323C0D" w14:textId="77777777" w:rsidR="00575AC3" w:rsidRPr="006D40F0" w:rsidRDefault="00575AC3" w:rsidP="006D40F0">
      <w:pPr>
        <w:pStyle w:val="avsnitt-undertittel"/>
      </w:pPr>
      <w:r w:rsidRPr="006D40F0">
        <w:t>Fjerning av barrierer og økt kunnskap er viktig for å lykkes med en raskere innfasing av solkraft</w:t>
      </w:r>
    </w:p>
    <w:p w14:paraId="4836A0E1" w14:textId="77777777" w:rsidR="00575AC3" w:rsidRPr="006D40F0" w:rsidRDefault="00575AC3" w:rsidP="006D40F0">
      <w:r w:rsidRPr="006D40F0">
        <w:t>Et oppdatert kunnskapsgrunnlag om potensialet og egenskapene ved solkraft i ulike anvendelser, er avgjørende for å kunne identifisere muligheter og barrierer for økt produksjon av solkraft i Norge til 2030 og for å vurdere konsekvensen av økt utbygging på det norske kraftsystemet. Energidepartementet ba derfor NVE om å utarbeide et faglig underlag om solkraft og lokal energiproduksjon som inkluderte en kartlegging og vurdering av rammevilkår, og en vurdering av potensial, tiltak og virkemidler. NVE leverte sin vurdering til departementet 5. februar 2024.</w:t>
      </w:r>
    </w:p>
    <w:p w14:paraId="72C6AFA0" w14:textId="77777777" w:rsidR="00575AC3" w:rsidRPr="006D40F0" w:rsidRDefault="00575AC3" w:rsidP="006D40F0">
      <w:pPr>
        <w:pStyle w:val="avsnitt-under-undertittel"/>
      </w:pPr>
      <w:r w:rsidRPr="006D40F0">
        <w:t>Kartlegging av potensiale for solkraft i Norge</w:t>
      </w:r>
    </w:p>
    <w:p w14:paraId="4B4C8FCD" w14:textId="77777777" w:rsidR="00575AC3" w:rsidRPr="006D40F0" w:rsidRDefault="00575AC3" w:rsidP="006D40F0">
      <w:r w:rsidRPr="006D40F0">
        <w:t xml:space="preserve">NVE peker på at Norge har et betydelig potensial for solkraft, men har ikke selv kunnet utføre detaljerte potensialstudier innenfor tidsfristene som departementet har gitt. En fullstendig kartlegging av solkraftpotensialet på bygg og andre nedbygde arealer er krevende å gjennomføre, og NVE har i sine vurderinger basert seg på eksisterende potensialstudier samt uttalelser fra relevante etater om dette. NVE slår fast at det er et stort teoretisk potensial for bygningsmontert solkraft i Norge. NVE viser til at Multiconsult i 2021 anslo et teoretisk potensial for solkraft på tak og fasader på bygninger i Norge til å være om lag 66 </w:t>
      </w:r>
      <w:proofErr w:type="spellStart"/>
      <w:r w:rsidRPr="006D40F0">
        <w:t>TWh</w:t>
      </w:r>
      <w:proofErr w:type="spellEnd"/>
      <w:r w:rsidRPr="006D40F0">
        <w:t xml:space="preserve">/år, og at IFE i 2023 med andre forutsetninger har anslått et teoretisk potensial for solkraft på kun tak på bygninger i Norge til om lag 30 </w:t>
      </w:r>
      <w:proofErr w:type="spellStart"/>
      <w:r w:rsidRPr="006D40F0">
        <w:t>TWh</w:t>
      </w:r>
      <w:proofErr w:type="spellEnd"/>
      <w:r w:rsidRPr="006D40F0">
        <w:t>/år. NVE viser til at det er usikkerhet knyttet til disse anslagene, og at realistisk potensial når hensynet til kraftsystemet, økonomi og tekniske forhold som byggets bæreevne hensyntas sannsynligvis er betydelig lavere.</w:t>
      </w:r>
    </w:p>
    <w:p w14:paraId="53357CEB" w14:textId="77777777" w:rsidR="00575AC3" w:rsidRPr="006D40F0" w:rsidRDefault="00575AC3" w:rsidP="006D40F0">
      <w:r w:rsidRPr="006D40F0">
        <w:t xml:space="preserve">NVE har vurdert at det ikke er hensiktsmessig å fastslå et konkret teoretisk potensial for bakkemonterte anlegg generelt, da det er mange forhold og interesser å ivareta ved ulike arealer. NVE har basert på innsendte bakkemonterte solkraftprosjekt anslått at det per </w:t>
      </w:r>
      <w:proofErr w:type="spellStart"/>
      <w:r w:rsidRPr="006D40F0">
        <w:t>MWp</w:t>
      </w:r>
      <w:proofErr w:type="spellEnd"/>
      <w:r w:rsidRPr="006D40F0">
        <w:t xml:space="preserve"> krever et areal på </w:t>
      </w:r>
      <w:r w:rsidRPr="006D40F0">
        <w:lastRenderedPageBreak/>
        <w:t>10–15 dekar. NVE peker på at store kraftproduksjonsanlegg ofte medfører arealkonflikt, der graden av konflikt avhenger av hva slags arealer anleggene bygges på. Der utbyggingen fører til inngrep i områder som ikke er preget av inngrep i dag, vil bakkemonterte solkraftanlegg kunne gi store virkninger for natur og andre allmenne og private interesser. NVE vurderer generelt at solkraftverk i ut- og innmark vil innebære et større konfliktpotensial enn anlegg som legges på næringsareal og andre allerede nedbygde areal. Det er et potensial for solkraft i nærheten av eksisterende infrastruktur som vei og jernbane, og NVE har hatt dialog med Statens Vegvesen og Bane Nor Eiendom om dette. To tidligere studier har også sett nærmere på potensialet på enkelte nedbygde arealer og langs vei. Det er imidlertid flere forhold som må undersøkes nærmere for å avklare hva det reelle potensialet er. Statens Vegvesen understreker at det er ulike utfordringer knyttet til solparker langs vei, inkludert sikkerhetshensyn, driftsutfordringer og særnorske veiforhold som salting. Potensialet for solkraft langs jernbane er ikke vurdert. Bane Nor, som disponerer en betydelig mengde areal og bygningsmasse, har i innspill til NVE uttrykt at egenprodusert solenergi kan være aktuelt for å forsyne jernbanen.</w:t>
      </w:r>
    </w:p>
    <w:p w14:paraId="46062E38" w14:textId="77777777" w:rsidR="00575AC3" w:rsidRPr="006D40F0" w:rsidRDefault="00575AC3" w:rsidP="006D40F0">
      <w:r w:rsidRPr="006D40F0">
        <w:t>En videre vurdering av potensialet for solkraft, herunder på nedbygde arealer, tar tid og må skje i samarbeid med relevante etater. Samtidig er det avgjørende at energimyndighetene har nødvendig grunnlagsinformasjon, herunder informasjon om kostnader i arbeidet med å legge til rette for innfasing av mer solkraft, og at denne er sammenlignbar metodisk med potensialanslag som finnes for andre kraftkilder. Energidepartementet vil derfor gå i dialog med NVE om det videre arbeidet med å kartlegge potensialet for solkraft i Norge, herunder potensialet på nedbygde arealer.</w:t>
      </w:r>
    </w:p>
    <w:p w14:paraId="7627F4EE" w14:textId="77777777" w:rsidR="00575AC3" w:rsidRPr="006D40F0" w:rsidRDefault="00575AC3" w:rsidP="006D40F0">
      <w:pPr>
        <w:pStyle w:val="avsnitt-under-undertittel"/>
      </w:pPr>
      <w:r w:rsidRPr="006D40F0">
        <w:t>Muligheter og barrierer for etablering av solkraft</w:t>
      </w:r>
    </w:p>
    <w:p w14:paraId="75EC3F73" w14:textId="77777777" w:rsidR="00575AC3" w:rsidRPr="006D40F0" w:rsidRDefault="00575AC3" w:rsidP="006D40F0">
      <w:r w:rsidRPr="006D40F0">
        <w:t xml:space="preserve">De siste årene har takten i utbyggingen av nye solkraftanlegg økt betydelig, men veksten har siden slutten av 2023 avtatt noe. Et høyt prisnivå på kraft, en langsiktig synkende kostnadstrend for solkraft og økt oppmerksomhet om fordelene ved lokal energiproduksjon har bidratt til dette. I sin langsiktige kraftmarkedsanalyse fra 2023 legger NVE til grunn at denne utviklingen vil fortsette. I analysen anslås det at solkraft vil utgjøre over halvparten av all ny kraftproduksjon frem til 2030, med en utbygging til 4 </w:t>
      </w:r>
      <w:proofErr w:type="spellStart"/>
      <w:r w:rsidRPr="006D40F0">
        <w:t>TWh</w:t>
      </w:r>
      <w:proofErr w:type="spellEnd"/>
      <w:r w:rsidRPr="006D40F0">
        <w:t xml:space="preserve"> i årlig produksjon i 2030. Til 2040 anslår NVE at solkraft vil utgjøre 9 </w:t>
      </w:r>
      <w:proofErr w:type="spellStart"/>
      <w:r w:rsidRPr="006D40F0">
        <w:t>TWh</w:t>
      </w:r>
      <w:proofErr w:type="spellEnd"/>
      <w:r w:rsidRPr="006D40F0">
        <w:t>. NVE understreker at det er stor usikkerhet om denne utviklingen, og at utbyggingen kan bli både høyere og lavere. Særlig vil den videre utviklingen i kostnader og kraftpriser ha stor betydning. Selv om den økonomiske situasjonen den siste tiden har gitt opphav til økte kapital-, rente- og valutakostnader som også har fordyret solkraftanlegg, forventes det at kostnadene ved solkraft over tid fortsatt skal bli lavere og stadig mer konkurransedyktig med andre alternativer for kraftproduksjon. Dette vil bidra til å øke takten i solkraftutbyggingen. De fleste langsiktige kraftmarkedsanalyser for Norge har gjennom flere år gradvis oppdatert anslagene for hvor mye solkraft som vil realiseres til henholdsvis 2030 og 2040.</w:t>
      </w:r>
    </w:p>
    <w:p w14:paraId="034B1BB0" w14:textId="77777777" w:rsidR="00575AC3" w:rsidRPr="006D40F0" w:rsidRDefault="00575AC3" w:rsidP="006D40F0">
      <w:r w:rsidRPr="006D40F0">
        <w:t xml:space="preserve">Barrierene for å realisere betydelig større utbygging av solkraft til 2030 enn det som legges til grunn i NVEs analyser varierer avhengig av om det er solkraft montert på boligbygg, på næringsbygg eller bakkemonterte anlegg. Bakkemontert solkraft vil etter NVEs vurdering hovedsakelig kunne være relevant etter 2030. Det skyldes blant annet at det er mangel på nett på kort sikt. Videre viser NVE til lav lønnsomhet som en barriere. NVE har per april 2024 gitt konsesjon til tre anlegg, tilsvarende 14,2 </w:t>
      </w:r>
      <w:proofErr w:type="spellStart"/>
      <w:r w:rsidRPr="006D40F0">
        <w:t>MWp</w:t>
      </w:r>
      <w:proofErr w:type="spellEnd"/>
      <w:r w:rsidRPr="006D40F0">
        <w:t xml:space="preserve">. NVE har i dag til sammen mottatt rundt 50 meldinger og </w:t>
      </w:r>
      <w:r w:rsidRPr="006D40F0">
        <w:lastRenderedPageBreak/>
        <w:t>konsesjonssøknader for bakkemontert solkraftanlegg. Mesteparten av disse solkraftprosjektene er planlagt i skogsområder. De første prosjektene som behandles og realiseres nå gir energimyndighetene og aktører viktig kunnskap, blant annet om virkninger av bakkemonterte solkraftanlegg, avveininger som må gjøres i konsesjonsbehandlingen, erfaringer med optimering og drift av solkraftanlegg og om produksjonsmønster, kostnader og inntekter.</w:t>
      </w:r>
    </w:p>
    <w:p w14:paraId="7371DA9E" w14:textId="77777777" w:rsidR="00575AC3" w:rsidRPr="006D40F0" w:rsidRDefault="00575AC3" w:rsidP="006D40F0">
      <w:r w:rsidRPr="006D40F0">
        <w:t xml:space="preserve">Bygningsmontert solkraft utgjør den største andelen av NVEs anslag på 4 </w:t>
      </w:r>
      <w:proofErr w:type="spellStart"/>
      <w:r w:rsidRPr="006D40F0">
        <w:t>TWh</w:t>
      </w:r>
      <w:proofErr w:type="spellEnd"/>
      <w:r w:rsidRPr="006D40F0">
        <w:t xml:space="preserve"> solkraftproduksjon i 2030. Barrierene for en raskere etablering enn dette er også for slike anlegg i første rekke lav lønnsomhet. NVE anslår kostnadene uten mva. til 76 øre/kWh for solkraftanlegg på store flate tak og til 116 øre/kWh på små hustak (0–20 kW), men det er trolig variasjoner mellom de enkelte anleggene. Kraftprisen har stor betydning, både for lønnsomheten hos privatkunder og næringslivskunder. For bygningsmonterte anlegg avhenger lønnsomheten også av andelen selvkonsum, der verdien av den egenproduserte kraften må sees opp mot kostnaden ved å kjøpe kraft fra markedet, inkludert nettleie og avgifter. Solkraft produserer mest på en del av året hvor kraftprisene normalt er lave, og behovet for kraft er begrenset. Batteriløsninger og forbrukerfleksibilitet vil trolig spille en viktigere rolle fremover, og kan bidra til bedret lønnsomhet for solkraft. NVE viser til at innretningen på den eksisterende delingsordningen for fornybar energi kan oppfattes som en barriere for å dimensjonere solkraftanlegg </w:t>
      </w:r>
      <w:proofErr w:type="gramStart"/>
      <w:r w:rsidRPr="006D40F0">
        <w:t>optimalt</w:t>
      </w:r>
      <w:proofErr w:type="gramEnd"/>
      <w:r w:rsidRPr="006D40F0">
        <w:t xml:space="preserve">, særlig for borettslag. Andre barrierer som NVE vurderer som relevante for bygningsmontert solkraft er beslutningsstruktur for bygninger med flere eiere, ulike insentiver for energitiltak mellom eier og leier, samt uklarhet om søknadsplikt etter byggesaksreglene. Innmating av kraft fra solcelleanlegg fra husholdninger og næring kan gi utfordringer for distribusjonsnettet, og medføre behov for investeringer. Reguleringsmyndigheten for energi (RME) arbeider med denne problemstillingen, og når resultater fra </w:t>
      </w:r>
      <w:proofErr w:type="spellStart"/>
      <w:r w:rsidRPr="006D40F0">
        <w:t>RMEs</w:t>
      </w:r>
      <w:proofErr w:type="spellEnd"/>
      <w:r w:rsidRPr="006D40F0">
        <w:t xml:space="preserve"> arbeid foreligger vil departementet vurdere videre oppfølging.</w:t>
      </w:r>
    </w:p>
    <w:p w14:paraId="71DCDBA1" w14:textId="77777777" w:rsidR="00575AC3" w:rsidRPr="006D40F0" w:rsidRDefault="00575AC3" w:rsidP="006D40F0">
      <w:pPr>
        <w:pStyle w:val="avsnitt-undertittel"/>
      </w:pPr>
      <w:r w:rsidRPr="006D40F0">
        <w:t>Tiltak for å redusere barrierer og øke takten i solkraftutbygging til 2030</w:t>
      </w:r>
    </w:p>
    <w:p w14:paraId="40E2A68D" w14:textId="77777777" w:rsidR="00575AC3" w:rsidRPr="006D40F0" w:rsidRDefault="00575AC3" w:rsidP="006D40F0">
      <w:r w:rsidRPr="006D40F0">
        <w:t>En raskere realisering av solkraft i tråd med anmodningsvedtak 923 og 766, krever målrettede tiltak for å redusere barrierene for økt utbygging. Regjeringen følger opp dette gjennom flere konkrete tiltak, som NVE, men også som Energikommisjonen og bransjeforeninger for solkraft har pekt på.</w:t>
      </w:r>
    </w:p>
    <w:p w14:paraId="521C3AD3" w14:textId="77777777" w:rsidR="00575AC3" w:rsidRPr="006D40F0" w:rsidRDefault="00575AC3" w:rsidP="006D40F0">
      <w:r w:rsidRPr="006D40F0">
        <w:t>For bakkemonterte anlegg må det antas at tiltak som gjennomføres i dag i første rekke vil legge til rette for økt utbygging over tid. Viktige tiltak for mer effektiv nettilknytning er allerede presentert i regjeringens netthandlingsplan for raskere etablering av nett og den betydelige satsingen på mer ressurser til energimyndighetenes konsesjonsbehandling av både nett og produksjon. NVE har pekt på en mulig konsesjonspliktgrense for solkraft på 5 MW. For anlegg under 5 MW er transmisjonsnettet i mindre grad en begrensning, men kapasitet i underliggende nett kan likevel være en begrensning også for mindre anlegg.</w:t>
      </w:r>
    </w:p>
    <w:p w14:paraId="2009950F" w14:textId="77777777" w:rsidR="00575AC3" w:rsidRPr="006D40F0" w:rsidRDefault="00575AC3" w:rsidP="006D40F0">
      <w:r w:rsidRPr="006D40F0">
        <w:t xml:space="preserve">Innføringen av en egen effektgrense for konsesjonsplikt for solkraft tilsvarende et høyere innslagspunkt for konsesjonsplikt enn det som følger av gjeldende regulering, er ventet å redusere antallet solkraftanlegg som må søke konsesjon, og dermed forenkle etableringsprosessen for disse anleggene. Energidepartementet vurderer nå anbefaling fra NVE om endringer i energilovforskriften om å innføre en egen effektgrense for konsesjonsplikt for solkraftanlegg. I tillegg følger Energidepartementet opp høringsinnspillene til forslaget om innlemming av solkraft i </w:t>
      </w:r>
      <w:r w:rsidRPr="006D40F0">
        <w:lastRenderedPageBreak/>
        <w:t>plan- og bygningsloven og ser dette forslaget i sammenheng med andre foreslåtte regulatoriske endringer for solkraft. Videre arbeid med potensiale og kartlegging av areal sammen med andre etater vil også være et nødvendig kunnskapsgrunnlag for den videre utviklingen av solkraft i det norske kraftsystemet. Særlig er det viktig å legge til rette for gode prosesser og avveininger som reduserer konflikter ved arealbruk ved solkraft. Tiltakene presentert i regjeringens plan over, og arbeidet med å sikre mer lokal aksept er avgjørende for å få på plass mer fornybar kraftproduksjon som kommer lokalsamfunnene til gode.</w:t>
      </w:r>
    </w:p>
    <w:p w14:paraId="2AA82336" w14:textId="77777777" w:rsidR="00575AC3" w:rsidRPr="006D40F0" w:rsidRDefault="00575AC3" w:rsidP="006D40F0">
      <w:r w:rsidRPr="006D40F0">
        <w:t>Bygningsmontert solkraft kan i større grad påvirke krafttilgangen mot 2030, og regjeringen gjør flere tiltak for å fremme utviklingen. Egenprodusert solkraft kan også virke positivt på hver enkelt aktørs strømutgifter. Dette, sammen med den relativt korte utbyggingstiden, gjør det særlig viktig å legge til rette for mer bygningsmontert solkraft på kort sikt.</w:t>
      </w:r>
    </w:p>
    <w:p w14:paraId="0F5BA264" w14:textId="77777777" w:rsidR="00575AC3" w:rsidRPr="006D40F0" w:rsidRDefault="00575AC3" w:rsidP="006D40F0">
      <w:r w:rsidRPr="006D40F0">
        <w:t xml:space="preserve">Samtidig er det barrierer som kan bremse utviklingen også for bygningsmontert solkraft, hvor lønnsomheten er en av de viktigste. Viktige virkemidler som plusskundeordningen, investeringsstøtte fra </w:t>
      </w:r>
      <w:proofErr w:type="spellStart"/>
      <w:r w:rsidRPr="006D40F0">
        <w:t>Enova</w:t>
      </w:r>
      <w:proofErr w:type="spellEnd"/>
      <w:r w:rsidRPr="006D40F0">
        <w:t>, og Husbankens støtteordninger er videreført i 2024. Det er viktig at skattereglene ikke gjør det mer krevende enn nødvendig hvis husholdninger selger litt overskuddsvarme. Skattevilkårene for salg av overskuddsstrøm fra private boliger utredes nærmere. Med delingsordningen for fornybar energi som regjeringen innførte 1. oktober 2023 er plusskundeordningen også tilrettelagt for eiendommer med flere strømabonnenter. Stortinget har i anmodningsvedtak 765 bedt regjeringen legge frem forslag til endringer som tillater områdeløsninger og deling av lokalprodusert strøm og energilagring mellom bygg med ulike gårds- og bruksnummer. Energidepartementet har i oppfølgingen av vedtaket bestilt og fått et forslag fra RME om hvordan en delingsordning for fornybar strøm tilpasset næringsområder kan innrettes på en samfunnsmessig rasjonell måte. Regjeringen ønsker å legge til rette for ny fornybar kraftproduksjon i tilknytning til næringsområder. RME har, på oppdrag fra Energidepartementet, utredet en løsning som legger til rette for deling av fornybar strøm i næringsområder. Energidepartementet og Finansdepartementet har gitt hhv. RME og Skattedirektoratet i oppdrag å utrede delingsordningen videre med frist 1. juni. Regjeringen er opptatt av rask fremdrift og vil komme tilbake til saken så snart som mulig. Regjeringen arbeider i tillegg med flere andre tiltak som vil bidra til å fjerne barrierer, og gi insentiver for bygningsmontert solkraft, jamfør listen over.</w:t>
      </w:r>
    </w:p>
    <w:p w14:paraId="49718CA7" w14:textId="77777777" w:rsidR="00575AC3" w:rsidRPr="006D40F0" w:rsidRDefault="00575AC3" w:rsidP="006D40F0">
      <w:r w:rsidRPr="006D40F0">
        <w:t xml:space="preserve">Parallelt med dette må det arbeides videre med å øke kunnskapen om mulighetene og utfordringenene ved innfasing av mer solkraft i det norske kraftsystemet. NVEs kartlegging og forenklede analyse gjennomført i rapporten viser at det fortsatt er usikkerhet knyttet til hvordan større mengder solkraft vil kunne virke inn på kraftsystemet. Solkraft vil kunne gi bidrag til krafttilgangen på våren, i tiden før magasinene fylles opp. Solkraftens profil, med høy produksjon på sommeren når den </w:t>
      </w:r>
      <w:proofErr w:type="spellStart"/>
      <w:r w:rsidRPr="006D40F0">
        <w:t>uregulerbare</w:t>
      </w:r>
      <w:proofErr w:type="spellEnd"/>
      <w:r w:rsidRPr="006D40F0">
        <w:t xml:space="preserve"> vannkraftproduksjonen allerede er høy, innebærer imidlertid at produksjonen i stor grad skjer på en tid hvor behovet i utgangspunktet er lavt. Dette medfører også at store mengder solkraft isolert sett vil ha liten innvirkningen på kraftprisen over året, men også at lagringskapasitet og forbruksfleksibilitet kan bli avgjørende for å få en god utnyttelse av solkraft. Energidepartementet vil derfor gi Statnett i oppdrag å vurdere systemvirkninger og tiltak for å håndtere en økende innfasing av solkraft i det norske kraftsystemet.</w:t>
      </w:r>
    </w:p>
    <w:p w14:paraId="242DB098" w14:textId="77777777" w:rsidR="00575AC3" w:rsidRPr="006D40F0" w:rsidRDefault="00575AC3" w:rsidP="006D40F0">
      <w:pPr>
        <w:pStyle w:val="avsnitt-undertittel"/>
      </w:pPr>
      <w:r w:rsidRPr="006D40F0">
        <w:lastRenderedPageBreak/>
        <w:t>Videre arbeid</w:t>
      </w:r>
    </w:p>
    <w:p w14:paraId="07DC8D77" w14:textId="77777777" w:rsidR="00575AC3" w:rsidRPr="006D40F0" w:rsidRDefault="00575AC3" w:rsidP="006D40F0">
      <w:r w:rsidRPr="006D40F0">
        <w:t xml:space="preserve">Tiltakene for mer solenergi og lokal energiproduksjon skal bidra til å øke kraftproduksjonen i årene fremover. Utsiktene til en sterkere forbruksvekst gjør at det fortsatt må vurderes om det er flere tiltak som kan bidra til raskere innfasing av ny kraftproduksjon. Innføringen av flere teknologier og tiltak for en styrket kraftbalanse må ses i sammenheng for å sikre et sikkert og </w:t>
      </w:r>
      <w:proofErr w:type="gramStart"/>
      <w:r w:rsidRPr="006D40F0">
        <w:t>robust</w:t>
      </w:r>
      <w:proofErr w:type="gramEnd"/>
      <w:r w:rsidRPr="006D40F0">
        <w:t xml:space="preserve"> kraftsystem som står seg også utover 2030-tallet. Satsning på flere teknologier som kan bidra til å øke krafttilgangen, slik som solkraft, vil være del av dette. Regjeringen vil legge ambisjonen om 8 </w:t>
      </w:r>
      <w:proofErr w:type="spellStart"/>
      <w:r w:rsidRPr="006D40F0">
        <w:t>TWh</w:t>
      </w:r>
      <w:proofErr w:type="spellEnd"/>
      <w:r w:rsidRPr="006D40F0">
        <w:t xml:space="preserve"> til grunn for videre arbeid, men fordeler og ulemper ved tiltak og virkemidler som iverksettes må veies opp mot andre samfunnsmessige hensyn.</w:t>
      </w:r>
    </w:p>
    <w:p w14:paraId="332BC454" w14:textId="77777777" w:rsidR="00575AC3" w:rsidRPr="006D40F0" w:rsidRDefault="00575AC3" w:rsidP="006D40F0">
      <w:r w:rsidRPr="006D40F0">
        <w:t>Det er behov for å ytterligere vurdere konsekvenser, herunder kostnader og påvirkning på kraftsystemet, før et ev. mål for ny solkraft eller annen fornybar kraft i næringsarealer, langs motorveier og i andre nedbygde arealer kan stadfestes. Videre må det utredes nærmere hvilke virkemidler som eventuelt må innføres for å kunne oppnå et slikt mål.</w:t>
      </w:r>
    </w:p>
    <w:p w14:paraId="3117A9E7" w14:textId="77777777" w:rsidR="00575AC3" w:rsidRPr="006D40F0" w:rsidRDefault="00575AC3" w:rsidP="006D40F0">
      <w:r w:rsidRPr="006D40F0">
        <w:t>I forbindelse med Prop. 1 S (2024–2025) tar Energidepartementet sikte på å legge frem en samlet gjennomgang, og redegjøre for oppfølgingen av forslagene fra og høringen av Energikommisjonen og Strømprisutvalget.</w:t>
      </w:r>
    </w:p>
    <w:p w14:paraId="73DDBF28" w14:textId="77777777" w:rsidR="00575AC3" w:rsidRPr="006D40F0" w:rsidRDefault="00575AC3" w:rsidP="006D40F0">
      <w:pPr>
        <w:pStyle w:val="Overskrift1"/>
      </w:pPr>
      <w:r w:rsidRPr="006D40F0">
        <w:t>Andre saker</w:t>
      </w:r>
    </w:p>
    <w:p w14:paraId="1CFB633C" w14:textId="77777777" w:rsidR="00575AC3" w:rsidRPr="006D40F0" w:rsidRDefault="00575AC3" w:rsidP="006D40F0">
      <w:pPr>
        <w:pStyle w:val="Overskrift2"/>
      </w:pPr>
      <w:r w:rsidRPr="006D40F0">
        <w:t>Tilbakeføring av midler fra statens konto til Statens pensjonsfond og innføring av ny korreksjonsmekanisme</w:t>
      </w:r>
    </w:p>
    <w:p w14:paraId="731AB874" w14:textId="77777777" w:rsidR="00575AC3" w:rsidRPr="006D40F0" w:rsidRDefault="00575AC3" w:rsidP="006D40F0">
      <w:r w:rsidRPr="006D40F0">
        <w:t xml:space="preserve">De siste årene har det faktiske oljekorrigerte underskuddet, slik det </w:t>
      </w:r>
      <w:proofErr w:type="gramStart"/>
      <w:r w:rsidRPr="006D40F0">
        <w:t>fremkommer</w:t>
      </w:r>
      <w:proofErr w:type="gramEnd"/>
      <w:r w:rsidRPr="006D40F0">
        <w:t xml:space="preserve"> i statsregnskapet, i gjennomsnitt blitt mindre enn det som har vært anslått i budsjettene. Det har ført til at det er blitt overført mer midler fra Statens pensjonsfond utland (SPU) enn det som er nødvendig for å dekke oljekorrigert underskudd. Fordi det ikke er noen mekanisme som korrigerer for slike avvik, har disse midlene blitt stående på statens konto i Norges Bank. Det har ført til en økning i statens kontantbeholdning og en tilsvarende reduksjon i likviditeten i banksystemet. Siden 1996 har dette akkumulert seg til 82,1 mrd. kroner. Det er da tatt hensyn til at det i 2022 ble gjort en særskilt tilbakeføring av 70 mrd. kroner fra statens kontantbeholdning til SPU for å redusere kontantbeholdningen.</w:t>
      </w:r>
    </w:p>
    <w:p w14:paraId="63233B2A" w14:textId="77777777" w:rsidR="00575AC3" w:rsidRPr="006D40F0" w:rsidRDefault="00575AC3" w:rsidP="006D40F0">
      <w:r w:rsidRPr="006D40F0">
        <w:t>Etter departementets vurdering er det ikke hensiktsmessig at midler som skulle vært avsatt til SPU for sparing til fremtidige generasjoner bygger seg opp på statens konto. Videre er det uheldig om avvik fra likviditetsnøytralitet i statens transaksjoner bidrar til usikkerhet for bankene i deres likviditetsstyring. Regjeringen vil i statsbudsjettet for 2025 foreslå at disse midlene tilbakeføres fra statens konto til SPU. Videre vil regjeringen foreslå for Stortinget at det innføres en ny korreksjonsmekanisme som sikrer at det i fremtiden korrigeres for avvik mellom faktisk og anslått oljekorrigert budsjettunderskudd. Departements anbefaling vil være at dette gjøres ved en årlig korreksjon i forbindelse med revidert nasjonalbudsjett, med forslag til Stortinget om bevilgningsvedtak tilsvarende avviket på kap. 2800 Statens pensjonsfond utland, post 96 Finansposter overført til fondet. Det vil innebære at statsbudsjettet virker nøytralt på likviditeten i banksystemet over toårsperioden budsjettåret og påfølgende år.</w:t>
      </w:r>
    </w:p>
    <w:p w14:paraId="59A1B25E" w14:textId="77777777" w:rsidR="00575AC3" w:rsidRPr="006D40F0" w:rsidRDefault="00575AC3" w:rsidP="006D40F0">
      <w:pPr>
        <w:pStyle w:val="a-tilraar-dep"/>
      </w:pPr>
      <w:r w:rsidRPr="006D40F0">
        <w:lastRenderedPageBreak/>
        <w:t>Finansdepartementet</w:t>
      </w:r>
    </w:p>
    <w:p w14:paraId="2B44A082" w14:textId="77777777" w:rsidR="00575AC3" w:rsidRPr="006D40F0" w:rsidRDefault="00575AC3" w:rsidP="006D40F0">
      <w:pPr>
        <w:pStyle w:val="a-tilraar-tit"/>
      </w:pPr>
      <w:r w:rsidRPr="006D40F0">
        <w:t>tilrår:</w:t>
      </w:r>
    </w:p>
    <w:p w14:paraId="02CE6556" w14:textId="77777777" w:rsidR="00575AC3" w:rsidRPr="006D40F0" w:rsidRDefault="00575AC3" w:rsidP="006D40F0">
      <w:r w:rsidRPr="006D40F0">
        <w:t>At Deres Majestet godkjenner og skriver under et framlagt forslag til proposisjon til Stortinget om tilleggsbevilgninger og omprioriteringer i statsbudsjettet 2024.</w:t>
      </w:r>
    </w:p>
    <w:p w14:paraId="43123A02" w14:textId="77777777" w:rsidR="00575AC3" w:rsidRPr="006D40F0" w:rsidRDefault="00575AC3" w:rsidP="006D40F0">
      <w:pPr>
        <w:pStyle w:val="a-konge-tekst"/>
        <w:rPr>
          <w:rStyle w:val="halvfet0"/>
        </w:rPr>
      </w:pPr>
      <w:r w:rsidRPr="006D40F0">
        <w:rPr>
          <w:rStyle w:val="halvfet0"/>
        </w:rPr>
        <w:t>Vi HARALD</w:t>
      </w:r>
      <w:r w:rsidRPr="006D40F0">
        <w:t>, Norges Konge,</w:t>
      </w:r>
    </w:p>
    <w:p w14:paraId="2D482730" w14:textId="77777777" w:rsidR="00575AC3" w:rsidRPr="006D40F0" w:rsidRDefault="00575AC3" w:rsidP="006D40F0">
      <w:pPr>
        <w:pStyle w:val="a-konge-tit"/>
      </w:pPr>
      <w:r w:rsidRPr="006D40F0">
        <w:t>stadfester:</w:t>
      </w:r>
    </w:p>
    <w:p w14:paraId="4414195B" w14:textId="77777777" w:rsidR="00575AC3" w:rsidRPr="006D40F0" w:rsidRDefault="00575AC3" w:rsidP="006D40F0">
      <w:r w:rsidRPr="006D40F0">
        <w:t>Stortinget blir bedt om å gjøre vedtak om tilleggsbevilgninger og omprioriteringer i statsbudsjettet 2024 i samsvar med et vedlagt forslag.</w:t>
      </w:r>
    </w:p>
    <w:p w14:paraId="0C6DD4B9" w14:textId="6B7EA5DE" w:rsidR="00575AC3" w:rsidRPr="006D40F0" w:rsidRDefault="00575AC3" w:rsidP="006D40F0">
      <w:pPr>
        <w:pStyle w:val="a-vedtak-tit"/>
      </w:pPr>
      <w:r w:rsidRPr="006D40F0">
        <w:t>Forslag</w:t>
      </w:r>
      <w:r w:rsidR="006D17D6">
        <w:t xml:space="preserve"> </w:t>
      </w:r>
      <w:r w:rsidRPr="006D40F0">
        <w:t>til vedtak om tilleggsbevilgninger og omprioriteringer i statsbudsjettet 2024</w:t>
      </w:r>
    </w:p>
    <w:p w14:paraId="6C86733A" w14:textId="3C552751" w:rsidR="00575AC3" w:rsidRPr="006D40F0" w:rsidRDefault="004367C4" w:rsidP="006D40F0">
      <w:pPr>
        <w:pStyle w:val="a-vedtak-del"/>
      </w:pPr>
      <w:r>
        <w:t>I</w:t>
      </w:r>
    </w:p>
    <w:p w14:paraId="6F7F498E" w14:textId="77777777" w:rsidR="00575AC3" w:rsidRPr="006D40F0" w:rsidRDefault="00575AC3" w:rsidP="006D40F0">
      <w:r w:rsidRPr="006D40F0">
        <w:t>I statsbudsjettet for 2024 gjøres følgende endringer:</w:t>
      </w:r>
    </w:p>
    <w:p w14:paraId="0135CDFE" w14:textId="77777777" w:rsidR="00575AC3" w:rsidRPr="006D40F0" w:rsidRDefault="00575AC3" w:rsidP="006D40F0">
      <w:pPr>
        <w:pStyle w:val="a-vedtak-tekst"/>
      </w:pPr>
      <w:r w:rsidRPr="006D40F0">
        <w:t>Utgifter:</w:t>
      </w:r>
    </w:p>
    <w:p w14:paraId="082C3110"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6800"/>
        <w:gridCol w:w="1400"/>
      </w:tblGrid>
      <w:tr w:rsidR="00DD49A7" w:rsidRPr="006D40F0" w14:paraId="115D148B"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2F79A" w14:textId="77777777" w:rsidR="00575AC3" w:rsidRPr="006D40F0" w:rsidRDefault="00575AC3" w:rsidP="006D40F0">
            <w:r w:rsidRPr="006D40F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1842E" w14:textId="77777777" w:rsidR="00575AC3" w:rsidRPr="006D40F0" w:rsidRDefault="00575AC3" w:rsidP="006D40F0">
            <w:r w:rsidRPr="006D40F0">
              <w:t>Post</w:t>
            </w:r>
          </w:p>
        </w:tc>
        <w:tc>
          <w:tcPr>
            <w:tcW w:w="6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F8C7DF" w14:textId="77777777" w:rsidR="00575AC3" w:rsidRPr="006D40F0" w:rsidRDefault="00575AC3" w:rsidP="006D40F0">
            <w:r w:rsidRPr="006D40F0">
              <w:t>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186811" w14:textId="77777777" w:rsidR="00575AC3" w:rsidRPr="006D40F0" w:rsidRDefault="00575AC3" w:rsidP="006D40F0">
            <w:r w:rsidRPr="006D40F0">
              <w:t>Kroner</w:t>
            </w:r>
          </w:p>
        </w:tc>
      </w:tr>
      <w:tr w:rsidR="00DD49A7" w:rsidRPr="006D40F0" w14:paraId="0151A286"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AE9CD19" w14:textId="77777777" w:rsidR="00575AC3" w:rsidRPr="006D40F0" w:rsidRDefault="00575AC3" w:rsidP="006D40F0">
            <w:r w:rsidRPr="006D40F0">
              <w:t>21</w:t>
            </w:r>
          </w:p>
        </w:tc>
        <w:tc>
          <w:tcPr>
            <w:tcW w:w="680" w:type="dxa"/>
            <w:tcBorders>
              <w:top w:val="single" w:sz="4" w:space="0" w:color="000000"/>
              <w:left w:val="nil"/>
              <w:bottom w:val="nil"/>
              <w:right w:val="nil"/>
            </w:tcBorders>
            <w:tcMar>
              <w:top w:w="128" w:type="dxa"/>
              <w:left w:w="43" w:type="dxa"/>
              <w:bottom w:w="43" w:type="dxa"/>
              <w:right w:w="43" w:type="dxa"/>
            </w:tcMar>
          </w:tcPr>
          <w:p w14:paraId="366DFF31" w14:textId="77777777" w:rsidR="00575AC3" w:rsidRPr="006D40F0" w:rsidRDefault="00575AC3" w:rsidP="006D40F0"/>
        </w:tc>
        <w:tc>
          <w:tcPr>
            <w:tcW w:w="6800" w:type="dxa"/>
            <w:tcBorders>
              <w:top w:val="single" w:sz="4" w:space="0" w:color="000000"/>
              <w:left w:val="nil"/>
              <w:bottom w:val="nil"/>
              <w:right w:val="nil"/>
            </w:tcBorders>
            <w:tcMar>
              <w:top w:w="128" w:type="dxa"/>
              <w:left w:w="43" w:type="dxa"/>
              <w:bottom w:w="43" w:type="dxa"/>
              <w:right w:w="43" w:type="dxa"/>
            </w:tcMar>
          </w:tcPr>
          <w:p w14:paraId="34E3BCBD" w14:textId="77777777" w:rsidR="00575AC3" w:rsidRPr="006D40F0" w:rsidRDefault="00575AC3" w:rsidP="006D40F0">
            <w:r w:rsidRPr="006D40F0">
              <w:t>Statsrådet: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FCC7282" w14:textId="77777777" w:rsidR="00575AC3" w:rsidRPr="006D40F0" w:rsidRDefault="00575AC3" w:rsidP="006D40F0"/>
        </w:tc>
      </w:tr>
      <w:tr w:rsidR="00DD49A7" w:rsidRPr="006D40F0" w14:paraId="2BF38E6A" w14:textId="77777777">
        <w:trPr>
          <w:trHeight w:val="380"/>
        </w:trPr>
        <w:tc>
          <w:tcPr>
            <w:tcW w:w="680" w:type="dxa"/>
            <w:tcBorders>
              <w:top w:val="nil"/>
              <w:left w:val="nil"/>
              <w:bottom w:val="nil"/>
              <w:right w:val="nil"/>
            </w:tcBorders>
            <w:tcMar>
              <w:top w:w="128" w:type="dxa"/>
              <w:left w:w="43" w:type="dxa"/>
              <w:bottom w:w="43" w:type="dxa"/>
              <w:right w:w="43" w:type="dxa"/>
            </w:tcMar>
          </w:tcPr>
          <w:p w14:paraId="33D4921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F685E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87AED2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EE9D740" w14:textId="77777777" w:rsidR="00575AC3" w:rsidRPr="006D40F0" w:rsidRDefault="00575AC3" w:rsidP="006D40F0">
            <w:r w:rsidRPr="006D40F0">
              <w:t>12 000 000</w:t>
            </w:r>
          </w:p>
        </w:tc>
      </w:tr>
      <w:tr w:rsidR="00DD49A7" w:rsidRPr="006D40F0" w14:paraId="3BBC8445" w14:textId="77777777">
        <w:trPr>
          <w:trHeight w:val="380"/>
        </w:trPr>
        <w:tc>
          <w:tcPr>
            <w:tcW w:w="680" w:type="dxa"/>
            <w:tcBorders>
              <w:top w:val="nil"/>
              <w:left w:val="nil"/>
              <w:bottom w:val="nil"/>
              <w:right w:val="nil"/>
            </w:tcBorders>
            <w:tcMar>
              <w:top w:w="128" w:type="dxa"/>
              <w:left w:w="43" w:type="dxa"/>
              <w:bottom w:w="43" w:type="dxa"/>
              <w:right w:w="43" w:type="dxa"/>
            </w:tcMar>
          </w:tcPr>
          <w:p w14:paraId="39AB3C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2A588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93A655" w14:textId="77777777" w:rsidR="00575AC3" w:rsidRPr="006D40F0" w:rsidRDefault="00575AC3" w:rsidP="006D40F0">
            <w:r w:rsidRPr="006D40F0">
              <w:t>fra kr 180 299 000 til kr 192 299 000</w:t>
            </w:r>
          </w:p>
        </w:tc>
        <w:tc>
          <w:tcPr>
            <w:tcW w:w="1400" w:type="dxa"/>
            <w:tcBorders>
              <w:top w:val="nil"/>
              <w:left w:val="nil"/>
              <w:bottom w:val="nil"/>
              <w:right w:val="nil"/>
            </w:tcBorders>
            <w:tcMar>
              <w:top w:w="128" w:type="dxa"/>
              <w:left w:w="43" w:type="dxa"/>
              <w:bottom w:w="43" w:type="dxa"/>
              <w:right w:w="43" w:type="dxa"/>
            </w:tcMar>
            <w:vAlign w:val="bottom"/>
          </w:tcPr>
          <w:p w14:paraId="036102FE" w14:textId="77777777" w:rsidR="00575AC3" w:rsidRPr="006D40F0" w:rsidRDefault="00575AC3" w:rsidP="006D40F0"/>
        </w:tc>
      </w:tr>
      <w:tr w:rsidR="00DD49A7" w:rsidRPr="006D40F0" w14:paraId="6A78FC7C" w14:textId="77777777">
        <w:trPr>
          <w:trHeight w:val="380"/>
        </w:trPr>
        <w:tc>
          <w:tcPr>
            <w:tcW w:w="680" w:type="dxa"/>
            <w:tcBorders>
              <w:top w:val="nil"/>
              <w:left w:val="nil"/>
              <w:bottom w:val="nil"/>
              <w:right w:val="nil"/>
            </w:tcBorders>
            <w:tcMar>
              <w:top w:w="128" w:type="dxa"/>
              <w:left w:w="43" w:type="dxa"/>
              <w:bottom w:w="43" w:type="dxa"/>
              <w:right w:w="43" w:type="dxa"/>
            </w:tcMar>
          </w:tcPr>
          <w:p w14:paraId="4A2B152C" w14:textId="77777777" w:rsidR="00575AC3" w:rsidRPr="006D40F0" w:rsidRDefault="00575AC3" w:rsidP="006D40F0">
            <w:r w:rsidRPr="006D40F0">
              <w:t>24</w:t>
            </w:r>
          </w:p>
        </w:tc>
        <w:tc>
          <w:tcPr>
            <w:tcW w:w="680" w:type="dxa"/>
            <w:tcBorders>
              <w:top w:val="nil"/>
              <w:left w:val="nil"/>
              <w:bottom w:val="nil"/>
              <w:right w:val="nil"/>
            </w:tcBorders>
            <w:tcMar>
              <w:top w:w="128" w:type="dxa"/>
              <w:left w:w="43" w:type="dxa"/>
              <w:bottom w:w="43" w:type="dxa"/>
              <w:right w:w="43" w:type="dxa"/>
            </w:tcMar>
          </w:tcPr>
          <w:p w14:paraId="71D8051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48F1FF" w14:textId="77777777" w:rsidR="00575AC3" w:rsidRPr="006D40F0" w:rsidRDefault="00575AC3" w:rsidP="006D40F0">
            <w:r w:rsidRPr="006D40F0">
              <w:t>Regjeringsadvokaten:</w:t>
            </w:r>
          </w:p>
        </w:tc>
        <w:tc>
          <w:tcPr>
            <w:tcW w:w="1400" w:type="dxa"/>
            <w:tcBorders>
              <w:top w:val="nil"/>
              <w:left w:val="nil"/>
              <w:bottom w:val="nil"/>
              <w:right w:val="nil"/>
            </w:tcBorders>
            <w:tcMar>
              <w:top w:w="128" w:type="dxa"/>
              <w:left w:w="43" w:type="dxa"/>
              <w:bottom w:w="43" w:type="dxa"/>
              <w:right w:w="43" w:type="dxa"/>
            </w:tcMar>
            <w:vAlign w:val="bottom"/>
          </w:tcPr>
          <w:p w14:paraId="147869A1" w14:textId="77777777" w:rsidR="00575AC3" w:rsidRPr="006D40F0" w:rsidRDefault="00575AC3" w:rsidP="006D40F0"/>
        </w:tc>
      </w:tr>
      <w:tr w:rsidR="00DD49A7" w:rsidRPr="006D40F0" w14:paraId="7FD81E46" w14:textId="77777777">
        <w:trPr>
          <w:trHeight w:val="380"/>
        </w:trPr>
        <w:tc>
          <w:tcPr>
            <w:tcW w:w="680" w:type="dxa"/>
            <w:tcBorders>
              <w:top w:val="nil"/>
              <w:left w:val="nil"/>
              <w:bottom w:val="nil"/>
              <w:right w:val="nil"/>
            </w:tcBorders>
            <w:tcMar>
              <w:top w:w="128" w:type="dxa"/>
              <w:left w:w="43" w:type="dxa"/>
              <w:bottom w:w="43" w:type="dxa"/>
              <w:right w:w="43" w:type="dxa"/>
            </w:tcMar>
          </w:tcPr>
          <w:p w14:paraId="3E7B075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D4D2AC"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FA2C9F4"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32A7BB2" w14:textId="77777777" w:rsidR="00575AC3" w:rsidRPr="006D40F0" w:rsidRDefault="00575AC3" w:rsidP="006D40F0">
            <w:r w:rsidRPr="006D40F0">
              <w:t>3 800 000</w:t>
            </w:r>
          </w:p>
        </w:tc>
      </w:tr>
      <w:tr w:rsidR="00DD49A7" w:rsidRPr="006D40F0" w14:paraId="72A9346E" w14:textId="77777777">
        <w:trPr>
          <w:trHeight w:val="380"/>
        </w:trPr>
        <w:tc>
          <w:tcPr>
            <w:tcW w:w="680" w:type="dxa"/>
            <w:tcBorders>
              <w:top w:val="nil"/>
              <w:left w:val="nil"/>
              <w:bottom w:val="nil"/>
              <w:right w:val="nil"/>
            </w:tcBorders>
            <w:tcMar>
              <w:top w:w="128" w:type="dxa"/>
              <w:left w:w="43" w:type="dxa"/>
              <w:bottom w:w="43" w:type="dxa"/>
              <w:right w:w="43" w:type="dxa"/>
            </w:tcMar>
          </w:tcPr>
          <w:p w14:paraId="210E4F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1192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1CF043" w14:textId="77777777" w:rsidR="00575AC3" w:rsidRPr="006D40F0" w:rsidRDefault="00575AC3" w:rsidP="006D40F0">
            <w:r w:rsidRPr="006D40F0">
              <w:t>fra kr 119 438 000 til kr 123 238 000</w:t>
            </w:r>
          </w:p>
        </w:tc>
        <w:tc>
          <w:tcPr>
            <w:tcW w:w="1400" w:type="dxa"/>
            <w:tcBorders>
              <w:top w:val="nil"/>
              <w:left w:val="nil"/>
              <w:bottom w:val="nil"/>
              <w:right w:val="nil"/>
            </w:tcBorders>
            <w:tcMar>
              <w:top w:w="128" w:type="dxa"/>
              <w:left w:w="43" w:type="dxa"/>
              <w:bottom w:w="43" w:type="dxa"/>
              <w:right w:w="43" w:type="dxa"/>
            </w:tcMar>
            <w:vAlign w:val="bottom"/>
          </w:tcPr>
          <w:p w14:paraId="7F3A179F" w14:textId="77777777" w:rsidR="00575AC3" w:rsidRPr="006D40F0" w:rsidRDefault="00575AC3" w:rsidP="006D40F0"/>
        </w:tc>
      </w:tr>
      <w:tr w:rsidR="00DD49A7" w:rsidRPr="006D40F0" w14:paraId="0DD13820" w14:textId="77777777">
        <w:trPr>
          <w:trHeight w:val="380"/>
        </w:trPr>
        <w:tc>
          <w:tcPr>
            <w:tcW w:w="680" w:type="dxa"/>
            <w:tcBorders>
              <w:top w:val="nil"/>
              <w:left w:val="nil"/>
              <w:bottom w:val="nil"/>
              <w:right w:val="nil"/>
            </w:tcBorders>
            <w:tcMar>
              <w:top w:w="128" w:type="dxa"/>
              <w:left w:w="43" w:type="dxa"/>
              <w:bottom w:w="43" w:type="dxa"/>
              <w:right w:w="43" w:type="dxa"/>
            </w:tcMar>
          </w:tcPr>
          <w:p w14:paraId="604D61F6" w14:textId="77777777" w:rsidR="00575AC3" w:rsidRPr="006D40F0" w:rsidRDefault="00575AC3" w:rsidP="006D40F0">
            <w:r w:rsidRPr="006D40F0">
              <w:t>41</w:t>
            </w:r>
          </w:p>
        </w:tc>
        <w:tc>
          <w:tcPr>
            <w:tcW w:w="680" w:type="dxa"/>
            <w:tcBorders>
              <w:top w:val="nil"/>
              <w:left w:val="nil"/>
              <w:bottom w:val="nil"/>
              <w:right w:val="nil"/>
            </w:tcBorders>
            <w:tcMar>
              <w:top w:w="128" w:type="dxa"/>
              <w:left w:w="43" w:type="dxa"/>
              <w:bottom w:w="43" w:type="dxa"/>
              <w:right w:w="43" w:type="dxa"/>
            </w:tcMar>
          </w:tcPr>
          <w:p w14:paraId="13B3F9E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86DD18" w14:textId="77777777" w:rsidR="00575AC3" w:rsidRPr="006D40F0" w:rsidRDefault="00575AC3" w:rsidP="006D40F0">
            <w:r w:rsidRPr="006D40F0">
              <w:t>Stortinget:</w:t>
            </w:r>
          </w:p>
        </w:tc>
        <w:tc>
          <w:tcPr>
            <w:tcW w:w="1400" w:type="dxa"/>
            <w:tcBorders>
              <w:top w:val="nil"/>
              <w:left w:val="nil"/>
              <w:bottom w:val="nil"/>
              <w:right w:val="nil"/>
            </w:tcBorders>
            <w:tcMar>
              <w:top w:w="128" w:type="dxa"/>
              <w:left w:w="43" w:type="dxa"/>
              <w:bottom w:w="43" w:type="dxa"/>
              <w:right w:w="43" w:type="dxa"/>
            </w:tcMar>
            <w:vAlign w:val="bottom"/>
          </w:tcPr>
          <w:p w14:paraId="22DCDB2E" w14:textId="77777777" w:rsidR="00575AC3" w:rsidRPr="006D40F0" w:rsidRDefault="00575AC3" w:rsidP="006D40F0"/>
        </w:tc>
      </w:tr>
      <w:tr w:rsidR="00DD49A7" w:rsidRPr="006D40F0" w14:paraId="7DAB8D5F" w14:textId="77777777">
        <w:trPr>
          <w:trHeight w:val="380"/>
        </w:trPr>
        <w:tc>
          <w:tcPr>
            <w:tcW w:w="680" w:type="dxa"/>
            <w:tcBorders>
              <w:top w:val="nil"/>
              <w:left w:val="nil"/>
              <w:bottom w:val="nil"/>
              <w:right w:val="nil"/>
            </w:tcBorders>
            <w:tcMar>
              <w:top w:w="128" w:type="dxa"/>
              <w:left w:w="43" w:type="dxa"/>
              <w:bottom w:w="43" w:type="dxa"/>
              <w:right w:w="43" w:type="dxa"/>
            </w:tcMar>
          </w:tcPr>
          <w:p w14:paraId="2E62D0E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F43CDA"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7CF4D5C"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6D7BE47" w14:textId="77777777" w:rsidR="00575AC3" w:rsidRPr="006D40F0" w:rsidRDefault="00575AC3" w:rsidP="006D40F0">
            <w:r w:rsidRPr="006D40F0">
              <w:t>613 000</w:t>
            </w:r>
          </w:p>
        </w:tc>
      </w:tr>
      <w:tr w:rsidR="00DD49A7" w:rsidRPr="006D40F0" w14:paraId="07D9CF53" w14:textId="77777777">
        <w:trPr>
          <w:trHeight w:val="380"/>
        </w:trPr>
        <w:tc>
          <w:tcPr>
            <w:tcW w:w="680" w:type="dxa"/>
            <w:tcBorders>
              <w:top w:val="nil"/>
              <w:left w:val="nil"/>
              <w:bottom w:val="nil"/>
              <w:right w:val="nil"/>
            </w:tcBorders>
            <w:tcMar>
              <w:top w:w="128" w:type="dxa"/>
              <w:left w:w="43" w:type="dxa"/>
              <w:bottom w:w="43" w:type="dxa"/>
              <w:right w:w="43" w:type="dxa"/>
            </w:tcMar>
          </w:tcPr>
          <w:p w14:paraId="395B5E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4D46D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CA41821" w14:textId="77777777" w:rsidR="00575AC3" w:rsidRPr="006D40F0" w:rsidRDefault="00575AC3" w:rsidP="006D40F0">
            <w:r w:rsidRPr="006D40F0">
              <w:t>fra kr 800 000 til kr 1 413 000</w:t>
            </w:r>
          </w:p>
        </w:tc>
        <w:tc>
          <w:tcPr>
            <w:tcW w:w="1400" w:type="dxa"/>
            <w:tcBorders>
              <w:top w:val="nil"/>
              <w:left w:val="nil"/>
              <w:bottom w:val="nil"/>
              <w:right w:val="nil"/>
            </w:tcBorders>
            <w:tcMar>
              <w:top w:w="128" w:type="dxa"/>
              <w:left w:w="43" w:type="dxa"/>
              <w:bottom w:w="43" w:type="dxa"/>
              <w:right w:w="43" w:type="dxa"/>
            </w:tcMar>
            <w:vAlign w:val="bottom"/>
          </w:tcPr>
          <w:p w14:paraId="0E3E51EE" w14:textId="77777777" w:rsidR="00575AC3" w:rsidRPr="006D40F0" w:rsidRDefault="00575AC3" w:rsidP="006D40F0"/>
        </w:tc>
      </w:tr>
      <w:tr w:rsidR="00DD49A7" w:rsidRPr="006D40F0" w14:paraId="46602A46" w14:textId="77777777">
        <w:trPr>
          <w:trHeight w:val="380"/>
        </w:trPr>
        <w:tc>
          <w:tcPr>
            <w:tcW w:w="680" w:type="dxa"/>
            <w:tcBorders>
              <w:top w:val="nil"/>
              <w:left w:val="nil"/>
              <w:bottom w:val="nil"/>
              <w:right w:val="nil"/>
            </w:tcBorders>
            <w:tcMar>
              <w:top w:w="128" w:type="dxa"/>
              <w:left w:w="43" w:type="dxa"/>
              <w:bottom w:w="43" w:type="dxa"/>
              <w:right w:w="43" w:type="dxa"/>
            </w:tcMar>
          </w:tcPr>
          <w:p w14:paraId="49F3534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CF45EB"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28BA061D" w14:textId="77777777" w:rsidR="00575AC3" w:rsidRPr="006D40F0" w:rsidRDefault="00575AC3" w:rsidP="006D40F0">
            <w:r w:rsidRPr="006D40F0">
              <w:t>Reisetilskudd til skoler, forhøyes med</w:t>
            </w:r>
          </w:p>
        </w:tc>
        <w:tc>
          <w:tcPr>
            <w:tcW w:w="1400" w:type="dxa"/>
            <w:tcBorders>
              <w:top w:val="nil"/>
              <w:left w:val="nil"/>
              <w:bottom w:val="nil"/>
              <w:right w:val="nil"/>
            </w:tcBorders>
            <w:tcMar>
              <w:top w:w="128" w:type="dxa"/>
              <w:left w:w="43" w:type="dxa"/>
              <w:bottom w:w="43" w:type="dxa"/>
              <w:right w:w="43" w:type="dxa"/>
            </w:tcMar>
            <w:vAlign w:val="bottom"/>
          </w:tcPr>
          <w:p w14:paraId="038953CA" w14:textId="77777777" w:rsidR="00575AC3" w:rsidRPr="006D40F0" w:rsidRDefault="00575AC3" w:rsidP="006D40F0">
            <w:r w:rsidRPr="006D40F0">
              <w:t>500 000</w:t>
            </w:r>
          </w:p>
        </w:tc>
      </w:tr>
      <w:tr w:rsidR="00DD49A7" w:rsidRPr="006D40F0" w14:paraId="6ECD660E" w14:textId="77777777">
        <w:trPr>
          <w:trHeight w:val="380"/>
        </w:trPr>
        <w:tc>
          <w:tcPr>
            <w:tcW w:w="680" w:type="dxa"/>
            <w:tcBorders>
              <w:top w:val="nil"/>
              <w:left w:val="nil"/>
              <w:bottom w:val="nil"/>
              <w:right w:val="nil"/>
            </w:tcBorders>
            <w:tcMar>
              <w:top w:w="128" w:type="dxa"/>
              <w:left w:w="43" w:type="dxa"/>
              <w:bottom w:w="43" w:type="dxa"/>
              <w:right w:w="43" w:type="dxa"/>
            </w:tcMar>
          </w:tcPr>
          <w:p w14:paraId="72429A9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327B6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B54715" w14:textId="77777777" w:rsidR="00575AC3" w:rsidRPr="006D40F0" w:rsidRDefault="00575AC3" w:rsidP="006D40F0">
            <w:r w:rsidRPr="006D40F0">
              <w:t>fra kr 5 800 000 til kr 6 300 000</w:t>
            </w:r>
          </w:p>
        </w:tc>
        <w:tc>
          <w:tcPr>
            <w:tcW w:w="1400" w:type="dxa"/>
            <w:tcBorders>
              <w:top w:val="nil"/>
              <w:left w:val="nil"/>
              <w:bottom w:val="nil"/>
              <w:right w:val="nil"/>
            </w:tcBorders>
            <w:tcMar>
              <w:top w:w="128" w:type="dxa"/>
              <w:left w:w="43" w:type="dxa"/>
              <w:bottom w:w="43" w:type="dxa"/>
              <w:right w:w="43" w:type="dxa"/>
            </w:tcMar>
            <w:vAlign w:val="bottom"/>
          </w:tcPr>
          <w:p w14:paraId="6474C599" w14:textId="77777777" w:rsidR="00575AC3" w:rsidRPr="006D40F0" w:rsidRDefault="00575AC3" w:rsidP="006D40F0"/>
        </w:tc>
      </w:tr>
      <w:tr w:rsidR="00DD49A7" w:rsidRPr="006D40F0" w14:paraId="3C81B1F6" w14:textId="77777777">
        <w:trPr>
          <w:trHeight w:val="380"/>
        </w:trPr>
        <w:tc>
          <w:tcPr>
            <w:tcW w:w="680" w:type="dxa"/>
            <w:tcBorders>
              <w:top w:val="nil"/>
              <w:left w:val="nil"/>
              <w:bottom w:val="nil"/>
              <w:right w:val="nil"/>
            </w:tcBorders>
            <w:tcMar>
              <w:top w:w="128" w:type="dxa"/>
              <w:left w:w="43" w:type="dxa"/>
              <w:bottom w:w="43" w:type="dxa"/>
              <w:right w:w="43" w:type="dxa"/>
            </w:tcMar>
          </w:tcPr>
          <w:p w14:paraId="58D1215E" w14:textId="77777777" w:rsidR="00575AC3" w:rsidRPr="006D40F0" w:rsidRDefault="00575AC3" w:rsidP="006D40F0">
            <w:r w:rsidRPr="006D40F0">
              <w:t>45</w:t>
            </w:r>
          </w:p>
        </w:tc>
        <w:tc>
          <w:tcPr>
            <w:tcW w:w="680" w:type="dxa"/>
            <w:tcBorders>
              <w:top w:val="nil"/>
              <w:left w:val="nil"/>
              <w:bottom w:val="nil"/>
              <w:right w:val="nil"/>
            </w:tcBorders>
            <w:tcMar>
              <w:top w:w="128" w:type="dxa"/>
              <w:left w:w="43" w:type="dxa"/>
              <w:bottom w:w="43" w:type="dxa"/>
              <w:right w:w="43" w:type="dxa"/>
            </w:tcMar>
          </w:tcPr>
          <w:p w14:paraId="69F9FDC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895A9D" w14:textId="77777777" w:rsidR="00575AC3" w:rsidRPr="006D40F0" w:rsidRDefault="00575AC3" w:rsidP="006D40F0">
            <w:r w:rsidRPr="006D40F0">
              <w:t>Norges institusjon for menneskerettigheter:</w:t>
            </w:r>
          </w:p>
        </w:tc>
        <w:tc>
          <w:tcPr>
            <w:tcW w:w="1400" w:type="dxa"/>
            <w:tcBorders>
              <w:top w:val="nil"/>
              <w:left w:val="nil"/>
              <w:bottom w:val="nil"/>
              <w:right w:val="nil"/>
            </w:tcBorders>
            <w:tcMar>
              <w:top w:w="128" w:type="dxa"/>
              <w:left w:w="43" w:type="dxa"/>
              <w:bottom w:w="43" w:type="dxa"/>
              <w:right w:w="43" w:type="dxa"/>
            </w:tcMar>
            <w:vAlign w:val="bottom"/>
          </w:tcPr>
          <w:p w14:paraId="4E661007" w14:textId="77777777" w:rsidR="00575AC3" w:rsidRPr="006D40F0" w:rsidRDefault="00575AC3" w:rsidP="006D40F0"/>
        </w:tc>
      </w:tr>
      <w:tr w:rsidR="00DD49A7" w:rsidRPr="006D40F0" w14:paraId="4C6C5A40" w14:textId="77777777">
        <w:trPr>
          <w:trHeight w:val="380"/>
        </w:trPr>
        <w:tc>
          <w:tcPr>
            <w:tcW w:w="680" w:type="dxa"/>
            <w:tcBorders>
              <w:top w:val="nil"/>
              <w:left w:val="nil"/>
              <w:bottom w:val="nil"/>
              <w:right w:val="nil"/>
            </w:tcBorders>
            <w:tcMar>
              <w:top w:w="128" w:type="dxa"/>
              <w:left w:w="43" w:type="dxa"/>
              <w:bottom w:w="43" w:type="dxa"/>
              <w:right w:w="43" w:type="dxa"/>
            </w:tcMar>
          </w:tcPr>
          <w:p w14:paraId="569506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36B24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361DF8E"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CC9FFEF" w14:textId="77777777" w:rsidR="00575AC3" w:rsidRPr="006D40F0" w:rsidRDefault="00575AC3" w:rsidP="006D40F0">
            <w:r w:rsidRPr="006D40F0">
              <w:t>753 000</w:t>
            </w:r>
          </w:p>
        </w:tc>
      </w:tr>
      <w:tr w:rsidR="00DD49A7" w:rsidRPr="006D40F0" w14:paraId="0B99E56F" w14:textId="77777777">
        <w:trPr>
          <w:trHeight w:val="380"/>
        </w:trPr>
        <w:tc>
          <w:tcPr>
            <w:tcW w:w="680" w:type="dxa"/>
            <w:tcBorders>
              <w:top w:val="nil"/>
              <w:left w:val="nil"/>
              <w:bottom w:val="nil"/>
              <w:right w:val="nil"/>
            </w:tcBorders>
            <w:tcMar>
              <w:top w:w="128" w:type="dxa"/>
              <w:left w:w="43" w:type="dxa"/>
              <w:bottom w:w="43" w:type="dxa"/>
              <w:right w:w="43" w:type="dxa"/>
            </w:tcMar>
          </w:tcPr>
          <w:p w14:paraId="73CF2E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3F86F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2A3210" w14:textId="77777777" w:rsidR="00575AC3" w:rsidRPr="006D40F0" w:rsidRDefault="00575AC3" w:rsidP="006D40F0">
            <w:r w:rsidRPr="006D40F0">
              <w:t>fra kr 28 500 000 til kr 29 253 000</w:t>
            </w:r>
          </w:p>
        </w:tc>
        <w:tc>
          <w:tcPr>
            <w:tcW w:w="1400" w:type="dxa"/>
            <w:tcBorders>
              <w:top w:val="nil"/>
              <w:left w:val="nil"/>
              <w:bottom w:val="nil"/>
              <w:right w:val="nil"/>
            </w:tcBorders>
            <w:tcMar>
              <w:top w:w="128" w:type="dxa"/>
              <w:left w:w="43" w:type="dxa"/>
              <w:bottom w:w="43" w:type="dxa"/>
              <w:right w:w="43" w:type="dxa"/>
            </w:tcMar>
            <w:vAlign w:val="bottom"/>
          </w:tcPr>
          <w:p w14:paraId="6BCF526C" w14:textId="77777777" w:rsidR="00575AC3" w:rsidRPr="006D40F0" w:rsidRDefault="00575AC3" w:rsidP="006D40F0"/>
        </w:tc>
      </w:tr>
      <w:tr w:rsidR="00DD49A7" w:rsidRPr="006D40F0" w14:paraId="258E59AD" w14:textId="77777777">
        <w:trPr>
          <w:trHeight w:val="380"/>
        </w:trPr>
        <w:tc>
          <w:tcPr>
            <w:tcW w:w="680" w:type="dxa"/>
            <w:tcBorders>
              <w:top w:val="nil"/>
              <w:left w:val="nil"/>
              <w:bottom w:val="nil"/>
              <w:right w:val="nil"/>
            </w:tcBorders>
            <w:tcMar>
              <w:top w:w="128" w:type="dxa"/>
              <w:left w:w="43" w:type="dxa"/>
              <w:bottom w:w="43" w:type="dxa"/>
              <w:right w:w="43" w:type="dxa"/>
            </w:tcMar>
          </w:tcPr>
          <w:p w14:paraId="2A0391E4" w14:textId="77777777" w:rsidR="00575AC3" w:rsidRPr="006D40F0" w:rsidRDefault="00575AC3" w:rsidP="006D40F0">
            <w:r w:rsidRPr="006D40F0">
              <w:t>61</w:t>
            </w:r>
          </w:p>
        </w:tc>
        <w:tc>
          <w:tcPr>
            <w:tcW w:w="680" w:type="dxa"/>
            <w:tcBorders>
              <w:top w:val="nil"/>
              <w:left w:val="nil"/>
              <w:bottom w:val="nil"/>
              <w:right w:val="nil"/>
            </w:tcBorders>
            <w:tcMar>
              <w:top w:w="128" w:type="dxa"/>
              <w:left w:w="43" w:type="dxa"/>
              <w:bottom w:w="43" w:type="dxa"/>
              <w:right w:w="43" w:type="dxa"/>
            </w:tcMar>
          </w:tcPr>
          <w:p w14:paraId="6600A50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C6F4A6" w14:textId="77777777" w:rsidR="00575AC3" w:rsidRPr="006D40F0" w:rsidRDefault="00575AC3" w:rsidP="006D40F0">
            <w:r w:rsidRPr="006D40F0">
              <w:t>Høyesterett:</w:t>
            </w:r>
          </w:p>
        </w:tc>
        <w:tc>
          <w:tcPr>
            <w:tcW w:w="1400" w:type="dxa"/>
            <w:tcBorders>
              <w:top w:val="nil"/>
              <w:left w:val="nil"/>
              <w:bottom w:val="nil"/>
              <w:right w:val="nil"/>
            </w:tcBorders>
            <w:tcMar>
              <w:top w:w="128" w:type="dxa"/>
              <w:left w:w="43" w:type="dxa"/>
              <w:bottom w:w="43" w:type="dxa"/>
              <w:right w:w="43" w:type="dxa"/>
            </w:tcMar>
            <w:vAlign w:val="bottom"/>
          </w:tcPr>
          <w:p w14:paraId="08A4639E" w14:textId="77777777" w:rsidR="00575AC3" w:rsidRPr="006D40F0" w:rsidRDefault="00575AC3" w:rsidP="006D40F0"/>
        </w:tc>
      </w:tr>
      <w:tr w:rsidR="00DD49A7" w:rsidRPr="006D40F0" w14:paraId="0E821523" w14:textId="77777777">
        <w:trPr>
          <w:trHeight w:val="640"/>
        </w:trPr>
        <w:tc>
          <w:tcPr>
            <w:tcW w:w="680" w:type="dxa"/>
            <w:tcBorders>
              <w:top w:val="nil"/>
              <w:left w:val="nil"/>
              <w:bottom w:val="nil"/>
              <w:right w:val="nil"/>
            </w:tcBorders>
            <w:tcMar>
              <w:top w:w="128" w:type="dxa"/>
              <w:left w:w="43" w:type="dxa"/>
              <w:bottom w:w="43" w:type="dxa"/>
              <w:right w:w="43" w:type="dxa"/>
            </w:tcMar>
          </w:tcPr>
          <w:p w14:paraId="6112FAF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31D92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36377D8" w14:textId="77777777" w:rsidR="00575AC3" w:rsidRPr="006D40F0" w:rsidRDefault="00575AC3" w:rsidP="006D40F0">
            <w:r w:rsidRPr="006D40F0">
              <w:t xml:space="preserve">Driftsutgifter, </w:t>
            </w:r>
            <w:r w:rsidRPr="00575AC3">
              <w:rPr>
                <w:rStyle w:val="kursiv"/>
              </w:rPr>
              <w:t>kan nyttes under kap. 410, post 1 og kap. 411, post 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9F95D6E" w14:textId="77777777" w:rsidR="00575AC3" w:rsidRPr="006D40F0" w:rsidRDefault="00575AC3" w:rsidP="006D40F0">
            <w:r w:rsidRPr="006D40F0">
              <w:t>4 300 000</w:t>
            </w:r>
          </w:p>
        </w:tc>
      </w:tr>
      <w:tr w:rsidR="00DD49A7" w:rsidRPr="006D40F0" w14:paraId="5B3F4DDC" w14:textId="77777777">
        <w:trPr>
          <w:trHeight w:val="380"/>
        </w:trPr>
        <w:tc>
          <w:tcPr>
            <w:tcW w:w="680" w:type="dxa"/>
            <w:tcBorders>
              <w:top w:val="nil"/>
              <w:left w:val="nil"/>
              <w:bottom w:val="nil"/>
              <w:right w:val="nil"/>
            </w:tcBorders>
            <w:tcMar>
              <w:top w:w="128" w:type="dxa"/>
              <w:left w:w="43" w:type="dxa"/>
              <w:bottom w:w="43" w:type="dxa"/>
              <w:right w:w="43" w:type="dxa"/>
            </w:tcMar>
          </w:tcPr>
          <w:p w14:paraId="2F71A0D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33B8F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C4A9373" w14:textId="77777777" w:rsidR="00575AC3" w:rsidRPr="006D40F0" w:rsidRDefault="00575AC3" w:rsidP="006D40F0">
            <w:r w:rsidRPr="006D40F0">
              <w:t>fra kr 137 706 000 til kr 142 006 000</w:t>
            </w:r>
          </w:p>
        </w:tc>
        <w:tc>
          <w:tcPr>
            <w:tcW w:w="1400" w:type="dxa"/>
            <w:tcBorders>
              <w:top w:val="nil"/>
              <w:left w:val="nil"/>
              <w:bottom w:val="nil"/>
              <w:right w:val="nil"/>
            </w:tcBorders>
            <w:tcMar>
              <w:top w:w="128" w:type="dxa"/>
              <w:left w:w="43" w:type="dxa"/>
              <w:bottom w:w="43" w:type="dxa"/>
              <w:right w:w="43" w:type="dxa"/>
            </w:tcMar>
            <w:vAlign w:val="bottom"/>
          </w:tcPr>
          <w:p w14:paraId="74076875" w14:textId="77777777" w:rsidR="00575AC3" w:rsidRPr="006D40F0" w:rsidRDefault="00575AC3" w:rsidP="006D40F0"/>
        </w:tc>
      </w:tr>
      <w:tr w:rsidR="00DD49A7" w:rsidRPr="006D40F0" w14:paraId="6DB7817E" w14:textId="77777777">
        <w:trPr>
          <w:trHeight w:val="380"/>
        </w:trPr>
        <w:tc>
          <w:tcPr>
            <w:tcW w:w="680" w:type="dxa"/>
            <w:tcBorders>
              <w:top w:val="nil"/>
              <w:left w:val="nil"/>
              <w:bottom w:val="nil"/>
              <w:right w:val="nil"/>
            </w:tcBorders>
            <w:tcMar>
              <w:top w:w="128" w:type="dxa"/>
              <w:left w:w="43" w:type="dxa"/>
              <w:bottom w:w="43" w:type="dxa"/>
              <w:right w:w="43" w:type="dxa"/>
            </w:tcMar>
          </w:tcPr>
          <w:p w14:paraId="269AC66B" w14:textId="77777777" w:rsidR="00575AC3" w:rsidRPr="006D40F0" w:rsidRDefault="00575AC3" w:rsidP="006D40F0">
            <w:r w:rsidRPr="006D40F0">
              <w:t>100</w:t>
            </w:r>
          </w:p>
        </w:tc>
        <w:tc>
          <w:tcPr>
            <w:tcW w:w="680" w:type="dxa"/>
            <w:tcBorders>
              <w:top w:val="nil"/>
              <w:left w:val="nil"/>
              <w:bottom w:val="nil"/>
              <w:right w:val="nil"/>
            </w:tcBorders>
            <w:tcMar>
              <w:top w:w="128" w:type="dxa"/>
              <w:left w:w="43" w:type="dxa"/>
              <w:bottom w:w="43" w:type="dxa"/>
              <w:right w:w="43" w:type="dxa"/>
            </w:tcMar>
          </w:tcPr>
          <w:p w14:paraId="1ABAB4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98B953" w14:textId="77777777" w:rsidR="00575AC3" w:rsidRPr="006D40F0" w:rsidRDefault="00575AC3" w:rsidP="006D40F0">
            <w:r w:rsidRPr="006D40F0">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090A5DA7" w14:textId="77777777" w:rsidR="00575AC3" w:rsidRPr="006D40F0" w:rsidRDefault="00575AC3" w:rsidP="006D40F0"/>
        </w:tc>
      </w:tr>
      <w:tr w:rsidR="00DD49A7" w:rsidRPr="006D40F0" w14:paraId="03EBCA52" w14:textId="77777777">
        <w:trPr>
          <w:trHeight w:val="380"/>
        </w:trPr>
        <w:tc>
          <w:tcPr>
            <w:tcW w:w="680" w:type="dxa"/>
            <w:tcBorders>
              <w:top w:val="nil"/>
              <w:left w:val="nil"/>
              <w:bottom w:val="nil"/>
              <w:right w:val="nil"/>
            </w:tcBorders>
            <w:tcMar>
              <w:top w:w="128" w:type="dxa"/>
              <w:left w:w="43" w:type="dxa"/>
              <w:bottom w:w="43" w:type="dxa"/>
              <w:right w:w="43" w:type="dxa"/>
            </w:tcMar>
          </w:tcPr>
          <w:p w14:paraId="33EFB6F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4ABC5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427CEDC" w14:textId="77777777" w:rsidR="00575AC3" w:rsidRPr="006D40F0" w:rsidRDefault="00575AC3" w:rsidP="006D40F0">
            <w:r w:rsidRPr="006D40F0">
              <w:t xml:space="preserve">Driftsutgifter, </w:t>
            </w:r>
            <w:r w:rsidRPr="00575AC3">
              <w:rPr>
                <w:rStyle w:val="kursiv"/>
              </w:rPr>
              <w:t>kan nyttes under kap. 140, post 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637C0C9" w14:textId="77777777" w:rsidR="00575AC3" w:rsidRPr="006D40F0" w:rsidRDefault="00575AC3" w:rsidP="006D40F0">
            <w:r w:rsidRPr="006D40F0">
              <w:t>975 000</w:t>
            </w:r>
          </w:p>
        </w:tc>
      </w:tr>
      <w:tr w:rsidR="00DD49A7" w:rsidRPr="006D40F0" w14:paraId="00F28DE2" w14:textId="77777777">
        <w:trPr>
          <w:trHeight w:val="380"/>
        </w:trPr>
        <w:tc>
          <w:tcPr>
            <w:tcW w:w="680" w:type="dxa"/>
            <w:tcBorders>
              <w:top w:val="nil"/>
              <w:left w:val="nil"/>
              <w:bottom w:val="nil"/>
              <w:right w:val="nil"/>
            </w:tcBorders>
            <w:tcMar>
              <w:top w:w="128" w:type="dxa"/>
              <w:left w:w="43" w:type="dxa"/>
              <w:bottom w:w="43" w:type="dxa"/>
              <w:right w:w="43" w:type="dxa"/>
            </w:tcMar>
          </w:tcPr>
          <w:p w14:paraId="07BD637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9D7E2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FCB724" w14:textId="77777777" w:rsidR="00575AC3" w:rsidRPr="006D40F0" w:rsidRDefault="00575AC3" w:rsidP="006D40F0">
            <w:r w:rsidRPr="006D40F0">
              <w:t>fra kr 2 835 245 000 til kr 2 834 270 000</w:t>
            </w:r>
          </w:p>
        </w:tc>
        <w:tc>
          <w:tcPr>
            <w:tcW w:w="1400" w:type="dxa"/>
            <w:tcBorders>
              <w:top w:val="nil"/>
              <w:left w:val="nil"/>
              <w:bottom w:val="nil"/>
              <w:right w:val="nil"/>
            </w:tcBorders>
            <w:tcMar>
              <w:top w:w="128" w:type="dxa"/>
              <w:left w:w="43" w:type="dxa"/>
              <w:bottom w:w="43" w:type="dxa"/>
              <w:right w:w="43" w:type="dxa"/>
            </w:tcMar>
            <w:vAlign w:val="bottom"/>
          </w:tcPr>
          <w:p w14:paraId="5D0AC348" w14:textId="77777777" w:rsidR="00575AC3" w:rsidRPr="006D40F0" w:rsidRDefault="00575AC3" w:rsidP="006D40F0"/>
        </w:tc>
      </w:tr>
      <w:tr w:rsidR="00DD49A7" w:rsidRPr="006D40F0" w14:paraId="31C9108E" w14:textId="77777777">
        <w:trPr>
          <w:trHeight w:val="380"/>
        </w:trPr>
        <w:tc>
          <w:tcPr>
            <w:tcW w:w="680" w:type="dxa"/>
            <w:tcBorders>
              <w:top w:val="nil"/>
              <w:left w:val="nil"/>
              <w:bottom w:val="nil"/>
              <w:right w:val="nil"/>
            </w:tcBorders>
            <w:tcMar>
              <w:top w:w="128" w:type="dxa"/>
              <w:left w:w="43" w:type="dxa"/>
              <w:bottom w:w="43" w:type="dxa"/>
              <w:right w:w="43" w:type="dxa"/>
            </w:tcMar>
          </w:tcPr>
          <w:p w14:paraId="7439B9B7" w14:textId="77777777" w:rsidR="00575AC3" w:rsidRPr="006D40F0" w:rsidRDefault="00575AC3" w:rsidP="006D40F0">
            <w:r w:rsidRPr="006D40F0">
              <w:t>103</w:t>
            </w:r>
          </w:p>
        </w:tc>
        <w:tc>
          <w:tcPr>
            <w:tcW w:w="680" w:type="dxa"/>
            <w:tcBorders>
              <w:top w:val="nil"/>
              <w:left w:val="nil"/>
              <w:bottom w:val="nil"/>
              <w:right w:val="nil"/>
            </w:tcBorders>
            <w:tcMar>
              <w:top w:w="128" w:type="dxa"/>
              <w:left w:w="43" w:type="dxa"/>
              <w:bottom w:w="43" w:type="dxa"/>
              <w:right w:w="43" w:type="dxa"/>
            </w:tcMar>
          </w:tcPr>
          <w:p w14:paraId="65969E8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4CD94A" w14:textId="77777777" w:rsidR="00575AC3" w:rsidRPr="006D40F0" w:rsidRDefault="00575AC3" w:rsidP="006D40F0">
            <w:r w:rsidRPr="006D40F0">
              <w:t>Regjeringens representasjon:</w:t>
            </w:r>
          </w:p>
        </w:tc>
        <w:tc>
          <w:tcPr>
            <w:tcW w:w="1400" w:type="dxa"/>
            <w:tcBorders>
              <w:top w:val="nil"/>
              <w:left w:val="nil"/>
              <w:bottom w:val="nil"/>
              <w:right w:val="nil"/>
            </w:tcBorders>
            <w:tcMar>
              <w:top w:w="128" w:type="dxa"/>
              <w:left w:w="43" w:type="dxa"/>
              <w:bottom w:w="43" w:type="dxa"/>
              <w:right w:w="43" w:type="dxa"/>
            </w:tcMar>
            <w:vAlign w:val="bottom"/>
          </w:tcPr>
          <w:p w14:paraId="4538DED3" w14:textId="77777777" w:rsidR="00575AC3" w:rsidRPr="006D40F0" w:rsidRDefault="00575AC3" w:rsidP="006D40F0"/>
        </w:tc>
      </w:tr>
      <w:tr w:rsidR="00DD49A7" w:rsidRPr="006D40F0" w14:paraId="444EDACC" w14:textId="77777777">
        <w:trPr>
          <w:trHeight w:val="380"/>
        </w:trPr>
        <w:tc>
          <w:tcPr>
            <w:tcW w:w="680" w:type="dxa"/>
            <w:tcBorders>
              <w:top w:val="nil"/>
              <w:left w:val="nil"/>
              <w:bottom w:val="nil"/>
              <w:right w:val="nil"/>
            </w:tcBorders>
            <w:tcMar>
              <w:top w:w="128" w:type="dxa"/>
              <w:left w:w="43" w:type="dxa"/>
              <w:bottom w:w="43" w:type="dxa"/>
              <w:right w:w="43" w:type="dxa"/>
            </w:tcMar>
          </w:tcPr>
          <w:p w14:paraId="098CF18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F19942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354FE5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EAE6B15" w14:textId="77777777" w:rsidR="00575AC3" w:rsidRPr="006D40F0" w:rsidRDefault="00575AC3" w:rsidP="006D40F0">
            <w:r w:rsidRPr="006D40F0">
              <w:t>3 000 000</w:t>
            </w:r>
          </w:p>
        </w:tc>
      </w:tr>
      <w:tr w:rsidR="00DD49A7" w:rsidRPr="006D40F0" w14:paraId="57BD3BAF" w14:textId="77777777">
        <w:trPr>
          <w:trHeight w:val="380"/>
        </w:trPr>
        <w:tc>
          <w:tcPr>
            <w:tcW w:w="680" w:type="dxa"/>
            <w:tcBorders>
              <w:top w:val="nil"/>
              <w:left w:val="nil"/>
              <w:bottom w:val="nil"/>
              <w:right w:val="nil"/>
            </w:tcBorders>
            <w:tcMar>
              <w:top w:w="128" w:type="dxa"/>
              <w:left w:w="43" w:type="dxa"/>
              <w:bottom w:w="43" w:type="dxa"/>
              <w:right w:w="43" w:type="dxa"/>
            </w:tcMar>
          </w:tcPr>
          <w:p w14:paraId="202C999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0D8C7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4D1FA03" w14:textId="77777777" w:rsidR="00575AC3" w:rsidRPr="006D40F0" w:rsidRDefault="00575AC3" w:rsidP="006D40F0">
            <w:r w:rsidRPr="006D40F0">
              <w:t>fra kr 55 800 000 til kr 58 800 000</w:t>
            </w:r>
          </w:p>
        </w:tc>
        <w:tc>
          <w:tcPr>
            <w:tcW w:w="1400" w:type="dxa"/>
            <w:tcBorders>
              <w:top w:val="nil"/>
              <w:left w:val="nil"/>
              <w:bottom w:val="nil"/>
              <w:right w:val="nil"/>
            </w:tcBorders>
            <w:tcMar>
              <w:top w:w="128" w:type="dxa"/>
              <w:left w:w="43" w:type="dxa"/>
              <w:bottom w:w="43" w:type="dxa"/>
              <w:right w:w="43" w:type="dxa"/>
            </w:tcMar>
            <w:vAlign w:val="bottom"/>
          </w:tcPr>
          <w:p w14:paraId="2670FD96" w14:textId="77777777" w:rsidR="00575AC3" w:rsidRPr="006D40F0" w:rsidRDefault="00575AC3" w:rsidP="006D40F0"/>
        </w:tc>
      </w:tr>
      <w:tr w:rsidR="00DD49A7" w:rsidRPr="006D40F0" w14:paraId="1C9468C2" w14:textId="77777777">
        <w:trPr>
          <w:trHeight w:val="380"/>
        </w:trPr>
        <w:tc>
          <w:tcPr>
            <w:tcW w:w="680" w:type="dxa"/>
            <w:tcBorders>
              <w:top w:val="nil"/>
              <w:left w:val="nil"/>
              <w:bottom w:val="nil"/>
              <w:right w:val="nil"/>
            </w:tcBorders>
            <w:tcMar>
              <w:top w:w="128" w:type="dxa"/>
              <w:left w:w="43" w:type="dxa"/>
              <w:bottom w:w="43" w:type="dxa"/>
              <w:right w:w="43" w:type="dxa"/>
            </w:tcMar>
          </w:tcPr>
          <w:p w14:paraId="11A77A66" w14:textId="77777777" w:rsidR="00575AC3" w:rsidRPr="006D40F0" w:rsidRDefault="00575AC3" w:rsidP="006D40F0">
            <w:r w:rsidRPr="006D40F0">
              <w:t>104</w:t>
            </w:r>
          </w:p>
        </w:tc>
        <w:tc>
          <w:tcPr>
            <w:tcW w:w="680" w:type="dxa"/>
            <w:tcBorders>
              <w:top w:val="nil"/>
              <w:left w:val="nil"/>
              <w:bottom w:val="nil"/>
              <w:right w:val="nil"/>
            </w:tcBorders>
            <w:tcMar>
              <w:top w:w="128" w:type="dxa"/>
              <w:left w:w="43" w:type="dxa"/>
              <w:bottom w:w="43" w:type="dxa"/>
              <w:right w:w="43" w:type="dxa"/>
            </w:tcMar>
          </w:tcPr>
          <w:p w14:paraId="610F5C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49F1CD" w14:textId="77777777" w:rsidR="00575AC3" w:rsidRPr="006D40F0" w:rsidRDefault="00575AC3" w:rsidP="006D40F0">
            <w:r w:rsidRPr="006D40F0">
              <w:t>Kongefamiliens offisielle reiser til utlandet:</w:t>
            </w:r>
          </w:p>
        </w:tc>
        <w:tc>
          <w:tcPr>
            <w:tcW w:w="1400" w:type="dxa"/>
            <w:tcBorders>
              <w:top w:val="nil"/>
              <w:left w:val="nil"/>
              <w:bottom w:val="nil"/>
              <w:right w:val="nil"/>
            </w:tcBorders>
            <w:tcMar>
              <w:top w:w="128" w:type="dxa"/>
              <w:left w:w="43" w:type="dxa"/>
              <w:bottom w:w="43" w:type="dxa"/>
              <w:right w:w="43" w:type="dxa"/>
            </w:tcMar>
            <w:vAlign w:val="bottom"/>
          </w:tcPr>
          <w:p w14:paraId="20CE11FA" w14:textId="77777777" w:rsidR="00575AC3" w:rsidRPr="006D40F0" w:rsidRDefault="00575AC3" w:rsidP="006D40F0"/>
        </w:tc>
      </w:tr>
      <w:tr w:rsidR="00DD49A7" w:rsidRPr="006D40F0" w14:paraId="49877B90" w14:textId="77777777">
        <w:trPr>
          <w:trHeight w:val="380"/>
        </w:trPr>
        <w:tc>
          <w:tcPr>
            <w:tcW w:w="680" w:type="dxa"/>
            <w:tcBorders>
              <w:top w:val="nil"/>
              <w:left w:val="nil"/>
              <w:bottom w:val="nil"/>
              <w:right w:val="nil"/>
            </w:tcBorders>
            <w:tcMar>
              <w:top w:w="128" w:type="dxa"/>
              <w:left w:w="43" w:type="dxa"/>
              <w:bottom w:w="43" w:type="dxa"/>
              <w:right w:w="43" w:type="dxa"/>
            </w:tcMar>
          </w:tcPr>
          <w:p w14:paraId="048392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8A941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D5F4F54"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5C732CB8" w14:textId="77777777" w:rsidR="00575AC3" w:rsidRPr="006D40F0" w:rsidRDefault="00575AC3" w:rsidP="006D40F0">
            <w:r w:rsidRPr="006D40F0">
              <w:t>3 000 000</w:t>
            </w:r>
          </w:p>
        </w:tc>
      </w:tr>
      <w:tr w:rsidR="00DD49A7" w:rsidRPr="006D40F0" w14:paraId="297AA955" w14:textId="77777777">
        <w:trPr>
          <w:trHeight w:val="380"/>
        </w:trPr>
        <w:tc>
          <w:tcPr>
            <w:tcW w:w="680" w:type="dxa"/>
            <w:tcBorders>
              <w:top w:val="nil"/>
              <w:left w:val="nil"/>
              <w:bottom w:val="nil"/>
              <w:right w:val="nil"/>
            </w:tcBorders>
            <w:tcMar>
              <w:top w:w="128" w:type="dxa"/>
              <w:left w:w="43" w:type="dxa"/>
              <w:bottom w:w="43" w:type="dxa"/>
              <w:right w:w="43" w:type="dxa"/>
            </w:tcMar>
          </w:tcPr>
          <w:p w14:paraId="6D9C32A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502D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F6F231" w14:textId="77777777" w:rsidR="00575AC3" w:rsidRPr="006D40F0" w:rsidRDefault="00575AC3" w:rsidP="006D40F0">
            <w:r w:rsidRPr="006D40F0">
              <w:t>fra kr 11 255 000 til kr 8 255 000</w:t>
            </w:r>
          </w:p>
        </w:tc>
        <w:tc>
          <w:tcPr>
            <w:tcW w:w="1400" w:type="dxa"/>
            <w:tcBorders>
              <w:top w:val="nil"/>
              <w:left w:val="nil"/>
              <w:bottom w:val="nil"/>
              <w:right w:val="nil"/>
            </w:tcBorders>
            <w:tcMar>
              <w:top w:w="128" w:type="dxa"/>
              <w:left w:w="43" w:type="dxa"/>
              <w:bottom w:w="43" w:type="dxa"/>
              <w:right w:w="43" w:type="dxa"/>
            </w:tcMar>
            <w:vAlign w:val="bottom"/>
          </w:tcPr>
          <w:p w14:paraId="7EB60F6C" w14:textId="77777777" w:rsidR="00575AC3" w:rsidRPr="006D40F0" w:rsidRDefault="00575AC3" w:rsidP="006D40F0"/>
        </w:tc>
      </w:tr>
      <w:tr w:rsidR="00DD49A7" w:rsidRPr="006D40F0" w14:paraId="36B25953" w14:textId="77777777">
        <w:trPr>
          <w:trHeight w:val="380"/>
        </w:trPr>
        <w:tc>
          <w:tcPr>
            <w:tcW w:w="680" w:type="dxa"/>
            <w:tcBorders>
              <w:top w:val="nil"/>
              <w:left w:val="nil"/>
              <w:bottom w:val="nil"/>
              <w:right w:val="nil"/>
            </w:tcBorders>
            <w:tcMar>
              <w:top w:w="128" w:type="dxa"/>
              <w:left w:w="43" w:type="dxa"/>
              <w:bottom w:w="43" w:type="dxa"/>
              <w:right w:w="43" w:type="dxa"/>
            </w:tcMar>
          </w:tcPr>
          <w:p w14:paraId="61BEE889" w14:textId="77777777" w:rsidR="00575AC3" w:rsidRPr="006D40F0" w:rsidRDefault="00575AC3" w:rsidP="006D40F0">
            <w:r w:rsidRPr="006D40F0">
              <w:t>115</w:t>
            </w:r>
          </w:p>
        </w:tc>
        <w:tc>
          <w:tcPr>
            <w:tcW w:w="680" w:type="dxa"/>
            <w:tcBorders>
              <w:top w:val="nil"/>
              <w:left w:val="nil"/>
              <w:bottom w:val="nil"/>
              <w:right w:val="nil"/>
            </w:tcBorders>
            <w:tcMar>
              <w:top w:w="128" w:type="dxa"/>
              <w:left w:w="43" w:type="dxa"/>
              <w:bottom w:w="43" w:type="dxa"/>
              <w:right w:w="43" w:type="dxa"/>
            </w:tcMar>
          </w:tcPr>
          <w:p w14:paraId="73EBB49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7D2455" w14:textId="77777777" w:rsidR="00575AC3" w:rsidRPr="006D40F0" w:rsidRDefault="00575AC3" w:rsidP="006D40F0">
            <w:r w:rsidRPr="006D40F0">
              <w:t>Næringsfremme, kultur og informasjon:</w:t>
            </w:r>
          </w:p>
        </w:tc>
        <w:tc>
          <w:tcPr>
            <w:tcW w:w="1400" w:type="dxa"/>
            <w:tcBorders>
              <w:top w:val="nil"/>
              <w:left w:val="nil"/>
              <w:bottom w:val="nil"/>
              <w:right w:val="nil"/>
            </w:tcBorders>
            <w:tcMar>
              <w:top w:w="128" w:type="dxa"/>
              <w:left w:w="43" w:type="dxa"/>
              <w:bottom w:w="43" w:type="dxa"/>
              <w:right w:w="43" w:type="dxa"/>
            </w:tcMar>
            <w:vAlign w:val="bottom"/>
          </w:tcPr>
          <w:p w14:paraId="3FE7B25C" w14:textId="77777777" w:rsidR="00575AC3" w:rsidRPr="006D40F0" w:rsidRDefault="00575AC3" w:rsidP="006D40F0"/>
        </w:tc>
      </w:tr>
      <w:tr w:rsidR="00DD49A7" w:rsidRPr="006D40F0" w14:paraId="5C9197C0" w14:textId="77777777">
        <w:trPr>
          <w:trHeight w:val="640"/>
        </w:trPr>
        <w:tc>
          <w:tcPr>
            <w:tcW w:w="680" w:type="dxa"/>
            <w:tcBorders>
              <w:top w:val="nil"/>
              <w:left w:val="nil"/>
              <w:bottom w:val="nil"/>
              <w:right w:val="nil"/>
            </w:tcBorders>
            <w:tcMar>
              <w:top w:w="128" w:type="dxa"/>
              <w:left w:w="43" w:type="dxa"/>
              <w:bottom w:w="43" w:type="dxa"/>
              <w:right w:w="43" w:type="dxa"/>
            </w:tcMar>
          </w:tcPr>
          <w:p w14:paraId="7319A03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2345E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93C86B5" w14:textId="77777777" w:rsidR="00575AC3" w:rsidRPr="006D40F0" w:rsidRDefault="00575AC3" w:rsidP="006D40F0">
            <w:r w:rsidRPr="006D40F0">
              <w:t xml:space="preserve">Kultur- og informasjonsformål, </w:t>
            </w:r>
            <w:r w:rsidRPr="00575AC3">
              <w:rPr>
                <w:rStyle w:val="kursiv"/>
              </w:rPr>
              <w:t>kan overføres, kan nyttes under post 21,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208898C" w14:textId="77777777" w:rsidR="00575AC3" w:rsidRPr="006D40F0" w:rsidRDefault="00575AC3" w:rsidP="006D40F0">
            <w:r w:rsidRPr="006D40F0">
              <w:t>2 100 000</w:t>
            </w:r>
          </w:p>
        </w:tc>
      </w:tr>
      <w:tr w:rsidR="00DD49A7" w:rsidRPr="006D40F0" w14:paraId="0D53A7E6" w14:textId="77777777">
        <w:trPr>
          <w:trHeight w:val="380"/>
        </w:trPr>
        <w:tc>
          <w:tcPr>
            <w:tcW w:w="680" w:type="dxa"/>
            <w:tcBorders>
              <w:top w:val="nil"/>
              <w:left w:val="nil"/>
              <w:bottom w:val="nil"/>
              <w:right w:val="nil"/>
            </w:tcBorders>
            <w:tcMar>
              <w:top w:w="128" w:type="dxa"/>
              <w:left w:w="43" w:type="dxa"/>
              <w:bottom w:w="43" w:type="dxa"/>
              <w:right w:w="43" w:type="dxa"/>
            </w:tcMar>
          </w:tcPr>
          <w:p w14:paraId="58777D0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05A04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E1EED4" w14:textId="77777777" w:rsidR="00575AC3" w:rsidRPr="006D40F0" w:rsidRDefault="00575AC3" w:rsidP="006D40F0">
            <w:r w:rsidRPr="006D40F0">
              <w:t>fra kr 42 537 000 til kr 44 637 000</w:t>
            </w:r>
          </w:p>
        </w:tc>
        <w:tc>
          <w:tcPr>
            <w:tcW w:w="1400" w:type="dxa"/>
            <w:tcBorders>
              <w:top w:val="nil"/>
              <w:left w:val="nil"/>
              <w:bottom w:val="nil"/>
              <w:right w:val="nil"/>
            </w:tcBorders>
            <w:tcMar>
              <w:top w:w="128" w:type="dxa"/>
              <w:left w:w="43" w:type="dxa"/>
              <w:bottom w:w="43" w:type="dxa"/>
              <w:right w:w="43" w:type="dxa"/>
            </w:tcMar>
            <w:vAlign w:val="bottom"/>
          </w:tcPr>
          <w:p w14:paraId="7393EF63" w14:textId="77777777" w:rsidR="00575AC3" w:rsidRPr="006D40F0" w:rsidRDefault="00575AC3" w:rsidP="006D40F0"/>
        </w:tc>
      </w:tr>
      <w:tr w:rsidR="00DD49A7" w:rsidRPr="006D40F0" w14:paraId="48BC6324" w14:textId="77777777">
        <w:trPr>
          <w:trHeight w:val="380"/>
        </w:trPr>
        <w:tc>
          <w:tcPr>
            <w:tcW w:w="680" w:type="dxa"/>
            <w:tcBorders>
              <w:top w:val="nil"/>
              <w:left w:val="nil"/>
              <w:bottom w:val="nil"/>
              <w:right w:val="nil"/>
            </w:tcBorders>
            <w:tcMar>
              <w:top w:w="128" w:type="dxa"/>
              <w:left w:w="43" w:type="dxa"/>
              <w:bottom w:w="43" w:type="dxa"/>
              <w:right w:w="43" w:type="dxa"/>
            </w:tcMar>
          </w:tcPr>
          <w:p w14:paraId="5D5CCAA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D6D63C"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BE5A1C7" w14:textId="77777777" w:rsidR="00575AC3" w:rsidRPr="006D40F0" w:rsidRDefault="00575AC3" w:rsidP="006D40F0">
            <w:r w:rsidRPr="006D40F0">
              <w:t xml:space="preserve">Næringsfremme, </w:t>
            </w:r>
            <w:r w:rsidRPr="00575AC3">
              <w:rPr>
                <w:rStyle w:val="kursiv"/>
              </w:rPr>
              <w:t>kan overføres, kan nyttes under post 22,</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37C0AF1" w14:textId="77777777" w:rsidR="00575AC3" w:rsidRPr="006D40F0" w:rsidRDefault="00575AC3" w:rsidP="006D40F0">
            <w:r w:rsidRPr="006D40F0">
              <w:t>2 100 000</w:t>
            </w:r>
          </w:p>
        </w:tc>
      </w:tr>
      <w:tr w:rsidR="00DD49A7" w:rsidRPr="006D40F0" w14:paraId="07A49837" w14:textId="77777777">
        <w:trPr>
          <w:trHeight w:val="380"/>
        </w:trPr>
        <w:tc>
          <w:tcPr>
            <w:tcW w:w="680" w:type="dxa"/>
            <w:tcBorders>
              <w:top w:val="nil"/>
              <w:left w:val="nil"/>
              <w:bottom w:val="nil"/>
              <w:right w:val="nil"/>
            </w:tcBorders>
            <w:tcMar>
              <w:top w:w="128" w:type="dxa"/>
              <w:left w:w="43" w:type="dxa"/>
              <w:bottom w:w="43" w:type="dxa"/>
              <w:right w:w="43" w:type="dxa"/>
            </w:tcMar>
          </w:tcPr>
          <w:p w14:paraId="7E3440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A0578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4B87D3" w14:textId="77777777" w:rsidR="00575AC3" w:rsidRPr="006D40F0" w:rsidRDefault="00575AC3" w:rsidP="006D40F0">
            <w:r w:rsidRPr="006D40F0">
              <w:t>fra kr 15 382 000 til kr 13 282 000</w:t>
            </w:r>
          </w:p>
        </w:tc>
        <w:tc>
          <w:tcPr>
            <w:tcW w:w="1400" w:type="dxa"/>
            <w:tcBorders>
              <w:top w:val="nil"/>
              <w:left w:val="nil"/>
              <w:bottom w:val="nil"/>
              <w:right w:val="nil"/>
            </w:tcBorders>
            <w:tcMar>
              <w:top w:w="128" w:type="dxa"/>
              <w:left w:w="43" w:type="dxa"/>
              <w:bottom w:w="43" w:type="dxa"/>
              <w:right w:w="43" w:type="dxa"/>
            </w:tcMar>
            <w:vAlign w:val="bottom"/>
          </w:tcPr>
          <w:p w14:paraId="63A68E0E" w14:textId="77777777" w:rsidR="00575AC3" w:rsidRPr="006D40F0" w:rsidRDefault="00575AC3" w:rsidP="006D40F0"/>
        </w:tc>
      </w:tr>
      <w:tr w:rsidR="00DD49A7" w:rsidRPr="006D40F0" w14:paraId="34D01554" w14:textId="77777777">
        <w:trPr>
          <w:trHeight w:val="380"/>
        </w:trPr>
        <w:tc>
          <w:tcPr>
            <w:tcW w:w="680" w:type="dxa"/>
            <w:tcBorders>
              <w:top w:val="nil"/>
              <w:left w:val="nil"/>
              <w:bottom w:val="nil"/>
              <w:right w:val="nil"/>
            </w:tcBorders>
            <w:tcMar>
              <w:top w:w="128" w:type="dxa"/>
              <w:left w:w="43" w:type="dxa"/>
              <w:bottom w:w="43" w:type="dxa"/>
              <w:right w:w="43" w:type="dxa"/>
            </w:tcMar>
          </w:tcPr>
          <w:p w14:paraId="50702363" w14:textId="77777777" w:rsidR="00575AC3" w:rsidRPr="006D40F0" w:rsidRDefault="00575AC3" w:rsidP="006D40F0">
            <w:r w:rsidRPr="006D40F0">
              <w:lastRenderedPageBreak/>
              <w:t>116</w:t>
            </w:r>
          </w:p>
        </w:tc>
        <w:tc>
          <w:tcPr>
            <w:tcW w:w="680" w:type="dxa"/>
            <w:tcBorders>
              <w:top w:val="nil"/>
              <w:left w:val="nil"/>
              <w:bottom w:val="nil"/>
              <w:right w:val="nil"/>
            </w:tcBorders>
            <w:tcMar>
              <w:top w:w="128" w:type="dxa"/>
              <w:left w:w="43" w:type="dxa"/>
              <w:bottom w:w="43" w:type="dxa"/>
              <w:right w:w="43" w:type="dxa"/>
            </w:tcMar>
          </w:tcPr>
          <w:p w14:paraId="790A69A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83F998" w14:textId="77777777" w:rsidR="00575AC3" w:rsidRPr="006D40F0" w:rsidRDefault="00575AC3" w:rsidP="006D40F0">
            <w:r w:rsidRPr="006D40F0">
              <w:t>Internasjonale organisasjoner:</w:t>
            </w:r>
          </w:p>
        </w:tc>
        <w:tc>
          <w:tcPr>
            <w:tcW w:w="1400" w:type="dxa"/>
            <w:tcBorders>
              <w:top w:val="nil"/>
              <w:left w:val="nil"/>
              <w:bottom w:val="nil"/>
              <w:right w:val="nil"/>
            </w:tcBorders>
            <w:tcMar>
              <w:top w:w="128" w:type="dxa"/>
              <w:left w:w="43" w:type="dxa"/>
              <w:bottom w:w="43" w:type="dxa"/>
              <w:right w:w="43" w:type="dxa"/>
            </w:tcMar>
            <w:vAlign w:val="bottom"/>
          </w:tcPr>
          <w:p w14:paraId="250B1277" w14:textId="77777777" w:rsidR="00575AC3" w:rsidRPr="006D40F0" w:rsidRDefault="00575AC3" w:rsidP="006D40F0"/>
        </w:tc>
      </w:tr>
      <w:tr w:rsidR="00DD49A7" w:rsidRPr="006D40F0" w14:paraId="21BE382B" w14:textId="77777777">
        <w:trPr>
          <w:trHeight w:val="380"/>
        </w:trPr>
        <w:tc>
          <w:tcPr>
            <w:tcW w:w="680" w:type="dxa"/>
            <w:tcBorders>
              <w:top w:val="nil"/>
              <w:left w:val="nil"/>
              <w:bottom w:val="nil"/>
              <w:right w:val="nil"/>
            </w:tcBorders>
            <w:tcMar>
              <w:top w:w="128" w:type="dxa"/>
              <w:left w:w="43" w:type="dxa"/>
              <w:bottom w:w="43" w:type="dxa"/>
              <w:right w:w="43" w:type="dxa"/>
            </w:tcMar>
          </w:tcPr>
          <w:p w14:paraId="2DCF16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AE582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778F83B" w14:textId="77777777" w:rsidR="00575AC3" w:rsidRPr="006D40F0" w:rsidRDefault="00575AC3" w:rsidP="006D40F0">
            <w:r w:rsidRPr="006D40F0">
              <w:t>Pliktige bidrag, nedsettes med</w:t>
            </w:r>
          </w:p>
        </w:tc>
        <w:tc>
          <w:tcPr>
            <w:tcW w:w="1400" w:type="dxa"/>
            <w:tcBorders>
              <w:top w:val="nil"/>
              <w:left w:val="nil"/>
              <w:bottom w:val="nil"/>
              <w:right w:val="nil"/>
            </w:tcBorders>
            <w:tcMar>
              <w:top w:w="128" w:type="dxa"/>
              <w:left w:w="43" w:type="dxa"/>
              <w:bottom w:w="43" w:type="dxa"/>
              <w:right w:w="43" w:type="dxa"/>
            </w:tcMar>
            <w:vAlign w:val="bottom"/>
          </w:tcPr>
          <w:p w14:paraId="06D7D976" w14:textId="77777777" w:rsidR="00575AC3" w:rsidRPr="006D40F0" w:rsidRDefault="00575AC3" w:rsidP="006D40F0">
            <w:r w:rsidRPr="006D40F0">
              <w:t>20 350 000</w:t>
            </w:r>
          </w:p>
        </w:tc>
      </w:tr>
      <w:tr w:rsidR="00DD49A7" w:rsidRPr="006D40F0" w14:paraId="5D4EC885" w14:textId="77777777">
        <w:trPr>
          <w:trHeight w:val="380"/>
        </w:trPr>
        <w:tc>
          <w:tcPr>
            <w:tcW w:w="680" w:type="dxa"/>
            <w:tcBorders>
              <w:top w:val="nil"/>
              <w:left w:val="nil"/>
              <w:bottom w:val="nil"/>
              <w:right w:val="nil"/>
            </w:tcBorders>
            <w:tcMar>
              <w:top w:w="128" w:type="dxa"/>
              <w:left w:w="43" w:type="dxa"/>
              <w:bottom w:w="43" w:type="dxa"/>
              <w:right w:w="43" w:type="dxa"/>
            </w:tcMar>
          </w:tcPr>
          <w:p w14:paraId="197D9B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B885C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BF0828C" w14:textId="77777777" w:rsidR="00575AC3" w:rsidRPr="006D40F0" w:rsidRDefault="00575AC3" w:rsidP="006D40F0">
            <w:r w:rsidRPr="006D40F0">
              <w:t>fra kr 1 555 390 000 til kr 1 535 040 000</w:t>
            </w:r>
          </w:p>
        </w:tc>
        <w:tc>
          <w:tcPr>
            <w:tcW w:w="1400" w:type="dxa"/>
            <w:tcBorders>
              <w:top w:val="nil"/>
              <w:left w:val="nil"/>
              <w:bottom w:val="nil"/>
              <w:right w:val="nil"/>
            </w:tcBorders>
            <w:tcMar>
              <w:top w:w="128" w:type="dxa"/>
              <w:left w:w="43" w:type="dxa"/>
              <w:bottom w:w="43" w:type="dxa"/>
              <w:right w:w="43" w:type="dxa"/>
            </w:tcMar>
            <w:vAlign w:val="bottom"/>
          </w:tcPr>
          <w:p w14:paraId="54CD269A" w14:textId="77777777" w:rsidR="00575AC3" w:rsidRPr="006D40F0" w:rsidRDefault="00575AC3" w:rsidP="006D40F0"/>
        </w:tc>
      </w:tr>
      <w:tr w:rsidR="00DD49A7" w:rsidRPr="006D40F0" w14:paraId="50B397EC" w14:textId="77777777">
        <w:trPr>
          <w:trHeight w:val="380"/>
        </w:trPr>
        <w:tc>
          <w:tcPr>
            <w:tcW w:w="680" w:type="dxa"/>
            <w:tcBorders>
              <w:top w:val="nil"/>
              <w:left w:val="nil"/>
              <w:bottom w:val="nil"/>
              <w:right w:val="nil"/>
            </w:tcBorders>
            <w:tcMar>
              <w:top w:w="128" w:type="dxa"/>
              <w:left w:w="43" w:type="dxa"/>
              <w:bottom w:w="43" w:type="dxa"/>
              <w:right w:w="43" w:type="dxa"/>
            </w:tcMar>
          </w:tcPr>
          <w:p w14:paraId="326F89B5" w14:textId="77777777" w:rsidR="00575AC3" w:rsidRPr="006D40F0" w:rsidRDefault="00575AC3" w:rsidP="006D40F0">
            <w:r w:rsidRPr="006D40F0">
              <w:t>117</w:t>
            </w:r>
          </w:p>
        </w:tc>
        <w:tc>
          <w:tcPr>
            <w:tcW w:w="680" w:type="dxa"/>
            <w:tcBorders>
              <w:top w:val="nil"/>
              <w:left w:val="nil"/>
              <w:bottom w:val="nil"/>
              <w:right w:val="nil"/>
            </w:tcBorders>
            <w:tcMar>
              <w:top w:w="128" w:type="dxa"/>
              <w:left w:w="43" w:type="dxa"/>
              <w:bottom w:w="43" w:type="dxa"/>
              <w:right w:w="43" w:type="dxa"/>
            </w:tcMar>
          </w:tcPr>
          <w:p w14:paraId="7C02B41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C43100" w14:textId="77777777" w:rsidR="00575AC3" w:rsidRPr="006D40F0" w:rsidRDefault="00575AC3" w:rsidP="006D40F0">
            <w:r w:rsidRPr="006D40F0">
              <w:t>EØS-finansieringsordningene:</w:t>
            </w:r>
          </w:p>
        </w:tc>
        <w:tc>
          <w:tcPr>
            <w:tcW w:w="1400" w:type="dxa"/>
            <w:tcBorders>
              <w:top w:val="nil"/>
              <w:left w:val="nil"/>
              <w:bottom w:val="nil"/>
              <w:right w:val="nil"/>
            </w:tcBorders>
            <w:tcMar>
              <w:top w:w="128" w:type="dxa"/>
              <w:left w:w="43" w:type="dxa"/>
              <w:bottom w:w="43" w:type="dxa"/>
              <w:right w:w="43" w:type="dxa"/>
            </w:tcMar>
            <w:vAlign w:val="bottom"/>
          </w:tcPr>
          <w:p w14:paraId="179881AD" w14:textId="77777777" w:rsidR="00575AC3" w:rsidRPr="006D40F0" w:rsidRDefault="00575AC3" w:rsidP="006D40F0"/>
        </w:tc>
      </w:tr>
      <w:tr w:rsidR="00DD49A7" w:rsidRPr="006D40F0" w14:paraId="0AC8B6A2" w14:textId="77777777">
        <w:trPr>
          <w:trHeight w:val="380"/>
        </w:trPr>
        <w:tc>
          <w:tcPr>
            <w:tcW w:w="680" w:type="dxa"/>
            <w:tcBorders>
              <w:top w:val="nil"/>
              <w:left w:val="nil"/>
              <w:bottom w:val="nil"/>
              <w:right w:val="nil"/>
            </w:tcBorders>
            <w:tcMar>
              <w:top w:w="128" w:type="dxa"/>
              <w:left w:w="43" w:type="dxa"/>
              <w:bottom w:w="43" w:type="dxa"/>
              <w:right w:w="43" w:type="dxa"/>
            </w:tcMar>
          </w:tcPr>
          <w:p w14:paraId="14D81CE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DA113A" w14:textId="77777777" w:rsidR="00575AC3" w:rsidRPr="006D40F0" w:rsidRDefault="00575AC3" w:rsidP="006D40F0">
            <w:r w:rsidRPr="006D40F0">
              <w:t>77</w:t>
            </w:r>
          </w:p>
        </w:tc>
        <w:tc>
          <w:tcPr>
            <w:tcW w:w="6800" w:type="dxa"/>
            <w:tcBorders>
              <w:top w:val="nil"/>
              <w:left w:val="nil"/>
              <w:bottom w:val="nil"/>
              <w:right w:val="nil"/>
            </w:tcBorders>
            <w:tcMar>
              <w:top w:w="128" w:type="dxa"/>
              <w:left w:w="43" w:type="dxa"/>
              <w:bottom w:w="43" w:type="dxa"/>
              <w:right w:w="43" w:type="dxa"/>
            </w:tcMar>
          </w:tcPr>
          <w:p w14:paraId="65D3BE34" w14:textId="77777777" w:rsidR="00575AC3" w:rsidRPr="006D40F0" w:rsidRDefault="00575AC3" w:rsidP="006D40F0">
            <w:r w:rsidRPr="006D40F0">
              <w:t xml:space="preserve">EØS-finansieringsordningen 2014-2021,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734AC75" w14:textId="77777777" w:rsidR="00575AC3" w:rsidRPr="006D40F0" w:rsidRDefault="00575AC3" w:rsidP="006D40F0">
            <w:r w:rsidRPr="006D40F0">
              <w:t>562 500 000</w:t>
            </w:r>
          </w:p>
        </w:tc>
      </w:tr>
      <w:tr w:rsidR="00DD49A7" w:rsidRPr="006D40F0" w14:paraId="70B3E80F" w14:textId="77777777">
        <w:trPr>
          <w:trHeight w:val="380"/>
        </w:trPr>
        <w:tc>
          <w:tcPr>
            <w:tcW w:w="680" w:type="dxa"/>
            <w:tcBorders>
              <w:top w:val="nil"/>
              <w:left w:val="nil"/>
              <w:bottom w:val="nil"/>
              <w:right w:val="nil"/>
            </w:tcBorders>
            <w:tcMar>
              <w:top w:w="128" w:type="dxa"/>
              <w:left w:w="43" w:type="dxa"/>
              <w:bottom w:w="43" w:type="dxa"/>
              <w:right w:w="43" w:type="dxa"/>
            </w:tcMar>
          </w:tcPr>
          <w:p w14:paraId="51132C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92DDE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85847DB" w14:textId="77777777" w:rsidR="00575AC3" w:rsidRPr="006D40F0" w:rsidRDefault="00575AC3" w:rsidP="006D40F0">
            <w:r w:rsidRPr="006D40F0">
              <w:t>fra kr 644 000 000 til kr 1 206 500 000</w:t>
            </w:r>
          </w:p>
        </w:tc>
        <w:tc>
          <w:tcPr>
            <w:tcW w:w="1400" w:type="dxa"/>
            <w:tcBorders>
              <w:top w:val="nil"/>
              <w:left w:val="nil"/>
              <w:bottom w:val="nil"/>
              <w:right w:val="nil"/>
            </w:tcBorders>
            <w:tcMar>
              <w:top w:w="128" w:type="dxa"/>
              <w:left w:w="43" w:type="dxa"/>
              <w:bottom w:w="43" w:type="dxa"/>
              <w:right w:w="43" w:type="dxa"/>
            </w:tcMar>
            <w:vAlign w:val="bottom"/>
          </w:tcPr>
          <w:p w14:paraId="3DC95AF9" w14:textId="77777777" w:rsidR="00575AC3" w:rsidRPr="006D40F0" w:rsidRDefault="00575AC3" w:rsidP="006D40F0"/>
        </w:tc>
      </w:tr>
      <w:tr w:rsidR="00DD49A7" w:rsidRPr="006D40F0" w14:paraId="3B520FE1" w14:textId="77777777">
        <w:trPr>
          <w:trHeight w:val="640"/>
        </w:trPr>
        <w:tc>
          <w:tcPr>
            <w:tcW w:w="680" w:type="dxa"/>
            <w:tcBorders>
              <w:top w:val="nil"/>
              <w:left w:val="nil"/>
              <w:bottom w:val="nil"/>
              <w:right w:val="nil"/>
            </w:tcBorders>
            <w:tcMar>
              <w:top w:w="128" w:type="dxa"/>
              <w:left w:w="43" w:type="dxa"/>
              <w:bottom w:w="43" w:type="dxa"/>
              <w:right w:w="43" w:type="dxa"/>
            </w:tcMar>
          </w:tcPr>
          <w:p w14:paraId="40DA6CF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939175"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363FF8CA" w14:textId="77777777" w:rsidR="00575AC3" w:rsidRPr="006D40F0" w:rsidRDefault="00575AC3" w:rsidP="006D40F0">
            <w:r w:rsidRPr="006D40F0">
              <w:t xml:space="preserve">Den norske finansieringsordningen 2014-2021,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F383B91" w14:textId="77777777" w:rsidR="00575AC3" w:rsidRPr="006D40F0" w:rsidRDefault="00575AC3" w:rsidP="006D40F0">
            <w:r w:rsidRPr="006D40F0">
              <w:t>766 000 000</w:t>
            </w:r>
          </w:p>
        </w:tc>
      </w:tr>
      <w:tr w:rsidR="00DD49A7" w:rsidRPr="006D40F0" w14:paraId="147F45C6" w14:textId="77777777">
        <w:trPr>
          <w:trHeight w:val="380"/>
        </w:trPr>
        <w:tc>
          <w:tcPr>
            <w:tcW w:w="680" w:type="dxa"/>
            <w:tcBorders>
              <w:top w:val="nil"/>
              <w:left w:val="nil"/>
              <w:bottom w:val="nil"/>
              <w:right w:val="nil"/>
            </w:tcBorders>
            <w:tcMar>
              <w:top w:w="128" w:type="dxa"/>
              <w:left w:w="43" w:type="dxa"/>
              <w:bottom w:w="43" w:type="dxa"/>
              <w:right w:w="43" w:type="dxa"/>
            </w:tcMar>
          </w:tcPr>
          <w:p w14:paraId="5637FB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B0037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821EA2" w14:textId="77777777" w:rsidR="00575AC3" w:rsidRPr="006D40F0" w:rsidRDefault="00575AC3" w:rsidP="006D40F0">
            <w:r w:rsidRPr="006D40F0">
              <w:t>fra kr 747 000 000 til kr 1 513 000 000</w:t>
            </w:r>
          </w:p>
        </w:tc>
        <w:tc>
          <w:tcPr>
            <w:tcW w:w="1400" w:type="dxa"/>
            <w:tcBorders>
              <w:top w:val="nil"/>
              <w:left w:val="nil"/>
              <w:bottom w:val="nil"/>
              <w:right w:val="nil"/>
            </w:tcBorders>
            <w:tcMar>
              <w:top w:w="128" w:type="dxa"/>
              <w:left w:w="43" w:type="dxa"/>
              <w:bottom w:w="43" w:type="dxa"/>
              <w:right w:w="43" w:type="dxa"/>
            </w:tcMar>
            <w:vAlign w:val="bottom"/>
          </w:tcPr>
          <w:p w14:paraId="65DE1959" w14:textId="77777777" w:rsidR="00575AC3" w:rsidRPr="006D40F0" w:rsidRDefault="00575AC3" w:rsidP="006D40F0"/>
        </w:tc>
      </w:tr>
      <w:tr w:rsidR="00DD49A7" w:rsidRPr="006D40F0" w14:paraId="2F5BCFE2" w14:textId="77777777">
        <w:trPr>
          <w:trHeight w:val="380"/>
        </w:trPr>
        <w:tc>
          <w:tcPr>
            <w:tcW w:w="680" w:type="dxa"/>
            <w:tcBorders>
              <w:top w:val="nil"/>
              <w:left w:val="nil"/>
              <w:bottom w:val="nil"/>
              <w:right w:val="nil"/>
            </w:tcBorders>
            <w:tcMar>
              <w:top w:w="128" w:type="dxa"/>
              <w:left w:w="43" w:type="dxa"/>
              <w:bottom w:w="43" w:type="dxa"/>
              <w:right w:w="43" w:type="dxa"/>
            </w:tcMar>
          </w:tcPr>
          <w:p w14:paraId="71A4799E" w14:textId="77777777" w:rsidR="00575AC3" w:rsidRPr="006D40F0" w:rsidRDefault="00575AC3" w:rsidP="006D40F0">
            <w:r w:rsidRPr="006D40F0">
              <w:t>118</w:t>
            </w:r>
          </w:p>
        </w:tc>
        <w:tc>
          <w:tcPr>
            <w:tcW w:w="680" w:type="dxa"/>
            <w:tcBorders>
              <w:top w:val="nil"/>
              <w:left w:val="nil"/>
              <w:bottom w:val="nil"/>
              <w:right w:val="nil"/>
            </w:tcBorders>
            <w:tcMar>
              <w:top w:w="128" w:type="dxa"/>
              <w:left w:w="43" w:type="dxa"/>
              <w:bottom w:w="43" w:type="dxa"/>
              <w:right w:w="43" w:type="dxa"/>
            </w:tcMar>
          </w:tcPr>
          <w:p w14:paraId="4DDAA78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5A7728" w14:textId="77777777" w:rsidR="00575AC3" w:rsidRPr="006D40F0" w:rsidRDefault="00575AC3" w:rsidP="006D40F0">
            <w:r w:rsidRPr="006D40F0">
              <w:t>Utenrikspolitiske satsinger:</w:t>
            </w:r>
          </w:p>
        </w:tc>
        <w:tc>
          <w:tcPr>
            <w:tcW w:w="1400" w:type="dxa"/>
            <w:tcBorders>
              <w:top w:val="nil"/>
              <w:left w:val="nil"/>
              <w:bottom w:val="nil"/>
              <w:right w:val="nil"/>
            </w:tcBorders>
            <w:tcMar>
              <w:top w:w="128" w:type="dxa"/>
              <w:left w:w="43" w:type="dxa"/>
              <w:bottom w:w="43" w:type="dxa"/>
              <w:right w:w="43" w:type="dxa"/>
            </w:tcMar>
            <w:vAlign w:val="bottom"/>
          </w:tcPr>
          <w:p w14:paraId="219A1672" w14:textId="77777777" w:rsidR="00575AC3" w:rsidRPr="006D40F0" w:rsidRDefault="00575AC3" w:rsidP="006D40F0"/>
        </w:tc>
      </w:tr>
      <w:tr w:rsidR="00DD49A7" w:rsidRPr="006D40F0" w14:paraId="0C904CC0" w14:textId="77777777">
        <w:trPr>
          <w:trHeight w:val="640"/>
        </w:trPr>
        <w:tc>
          <w:tcPr>
            <w:tcW w:w="680" w:type="dxa"/>
            <w:tcBorders>
              <w:top w:val="nil"/>
              <w:left w:val="nil"/>
              <w:bottom w:val="nil"/>
              <w:right w:val="nil"/>
            </w:tcBorders>
            <w:tcMar>
              <w:top w:w="128" w:type="dxa"/>
              <w:left w:w="43" w:type="dxa"/>
              <w:bottom w:w="43" w:type="dxa"/>
              <w:right w:w="43" w:type="dxa"/>
            </w:tcMar>
          </w:tcPr>
          <w:p w14:paraId="7042DAF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D7ACC5"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00BD676" w14:textId="77777777" w:rsidR="00575AC3" w:rsidRPr="006D40F0" w:rsidRDefault="00575AC3" w:rsidP="006D40F0">
            <w:r w:rsidRPr="006D40F0">
              <w:t xml:space="preserve">Spesielle driftsutgifter, </w:t>
            </w:r>
            <w:r w:rsidRPr="00575AC3">
              <w:rPr>
                <w:rStyle w:val="kursiv"/>
              </w:rPr>
              <w:t>kan overføres, kan nyttes under post 70, 71, 72 og 73</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012F3EFE" w14:textId="77777777" w:rsidR="00575AC3" w:rsidRPr="006D40F0" w:rsidRDefault="00575AC3" w:rsidP="006D40F0">
            <w:r w:rsidRPr="006D40F0">
              <w:t>15 000 000</w:t>
            </w:r>
          </w:p>
        </w:tc>
      </w:tr>
      <w:tr w:rsidR="00DD49A7" w:rsidRPr="006D40F0" w14:paraId="5FD45733" w14:textId="77777777">
        <w:trPr>
          <w:trHeight w:val="380"/>
        </w:trPr>
        <w:tc>
          <w:tcPr>
            <w:tcW w:w="680" w:type="dxa"/>
            <w:tcBorders>
              <w:top w:val="nil"/>
              <w:left w:val="nil"/>
              <w:bottom w:val="nil"/>
              <w:right w:val="nil"/>
            </w:tcBorders>
            <w:tcMar>
              <w:top w:w="128" w:type="dxa"/>
              <w:left w:w="43" w:type="dxa"/>
              <w:bottom w:w="43" w:type="dxa"/>
              <w:right w:w="43" w:type="dxa"/>
            </w:tcMar>
          </w:tcPr>
          <w:p w14:paraId="16DD17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AD1CBC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D82709D" w14:textId="77777777" w:rsidR="00575AC3" w:rsidRPr="006D40F0" w:rsidRDefault="00575AC3" w:rsidP="006D40F0">
            <w:r w:rsidRPr="006D40F0">
              <w:t>fra kr 99 736 000 til kr 114 736 000</w:t>
            </w:r>
          </w:p>
        </w:tc>
        <w:tc>
          <w:tcPr>
            <w:tcW w:w="1400" w:type="dxa"/>
            <w:tcBorders>
              <w:top w:val="nil"/>
              <w:left w:val="nil"/>
              <w:bottom w:val="nil"/>
              <w:right w:val="nil"/>
            </w:tcBorders>
            <w:tcMar>
              <w:top w:w="128" w:type="dxa"/>
              <w:left w:w="43" w:type="dxa"/>
              <w:bottom w:w="43" w:type="dxa"/>
              <w:right w:w="43" w:type="dxa"/>
            </w:tcMar>
            <w:vAlign w:val="bottom"/>
          </w:tcPr>
          <w:p w14:paraId="3026E963" w14:textId="77777777" w:rsidR="00575AC3" w:rsidRPr="006D40F0" w:rsidRDefault="00575AC3" w:rsidP="006D40F0"/>
        </w:tc>
      </w:tr>
      <w:tr w:rsidR="00DD49A7" w:rsidRPr="006D40F0" w14:paraId="7048869C" w14:textId="77777777">
        <w:trPr>
          <w:trHeight w:val="640"/>
        </w:trPr>
        <w:tc>
          <w:tcPr>
            <w:tcW w:w="680" w:type="dxa"/>
            <w:tcBorders>
              <w:top w:val="nil"/>
              <w:left w:val="nil"/>
              <w:bottom w:val="nil"/>
              <w:right w:val="nil"/>
            </w:tcBorders>
            <w:tcMar>
              <w:top w:w="128" w:type="dxa"/>
              <w:left w:w="43" w:type="dxa"/>
              <w:bottom w:w="43" w:type="dxa"/>
              <w:right w:w="43" w:type="dxa"/>
            </w:tcMar>
          </w:tcPr>
          <w:p w14:paraId="7022305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A6751D"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EE7DA31" w14:textId="77777777" w:rsidR="00575AC3" w:rsidRPr="006D40F0" w:rsidRDefault="00575AC3" w:rsidP="006D40F0">
            <w:r w:rsidRPr="006D40F0">
              <w:t xml:space="preserve">Nordområdene, Russland og atomsikkerhet, </w:t>
            </w:r>
            <w:r w:rsidRPr="00575AC3">
              <w:rPr>
                <w:rStyle w:val="kursiv"/>
              </w:rPr>
              <w:t>kan overføres, kan nyttes under post 21</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6FAA388E" w14:textId="77777777" w:rsidR="00575AC3" w:rsidRPr="006D40F0" w:rsidRDefault="00575AC3" w:rsidP="006D40F0">
            <w:r w:rsidRPr="006D40F0">
              <w:t>20 000 000</w:t>
            </w:r>
          </w:p>
        </w:tc>
      </w:tr>
      <w:tr w:rsidR="00DD49A7" w:rsidRPr="006D40F0" w14:paraId="0EF19206" w14:textId="77777777">
        <w:trPr>
          <w:trHeight w:val="380"/>
        </w:trPr>
        <w:tc>
          <w:tcPr>
            <w:tcW w:w="680" w:type="dxa"/>
            <w:tcBorders>
              <w:top w:val="nil"/>
              <w:left w:val="nil"/>
              <w:bottom w:val="nil"/>
              <w:right w:val="nil"/>
            </w:tcBorders>
            <w:tcMar>
              <w:top w:w="128" w:type="dxa"/>
              <w:left w:w="43" w:type="dxa"/>
              <w:bottom w:w="43" w:type="dxa"/>
              <w:right w:w="43" w:type="dxa"/>
            </w:tcMar>
          </w:tcPr>
          <w:p w14:paraId="296105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20092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0C302E" w14:textId="77777777" w:rsidR="00575AC3" w:rsidRPr="006D40F0" w:rsidRDefault="00575AC3" w:rsidP="006D40F0">
            <w:r w:rsidRPr="006D40F0">
              <w:t>fra kr 94 634 000 til kr 74 634 000</w:t>
            </w:r>
          </w:p>
        </w:tc>
        <w:tc>
          <w:tcPr>
            <w:tcW w:w="1400" w:type="dxa"/>
            <w:tcBorders>
              <w:top w:val="nil"/>
              <w:left w:val="nil"/>
              <w:bottom w:val="nil"/>
              <w:right w:val="nil"/>
            </w:tcBorders>
            <w:tcMar>
              <w:top w:w="128" w:type="dxa"/>
              <w:left w:w="43" w:type="dxa"/>
              <w:bottom w:w="43" w:type="dxa"/>
              <w:right w:w="43" w:type="dxa"/>
            </w:tcMar>
            <w:vAlign w:val="bottom"/>
          </w:tcPr>
          <w:p w14:paraId="10A116BA" w14:textId="77777777" w:rsidR="00575AC3" w:rsidRPr="006D40F0" w:rsidRDefault="00575AC3" w:rsidP="006D40F0"/>
        </w:tc>
      </w:tr>
      <w:tr w:rsidR="00DD49A7" w:rsidRPr="006D40F0" w14:paraId="68E052C4" w14:textId="77777777">
        <w:trPr>
          <w:trHeight w:val="380"/>
        </w:trPr>
        <w:tc>
          <w:tcPr>
            <w:tcW w:w="680" w:type="dxa"/>
            <w:tcBorders>
              <w:top w:val="nil"/>
              <w:left w:val="nil"/>
              <w:bottom w:val="nil"/>
              <w:right w:val="nil"/>
            </w:tcBorders>
            <w:tcMar>
              <w:top w:w="128" w:type="dxa"/>
              <w:left w:w="43" w:type="dxa"/>
              <w:bottom w:w="43" w:type="dxa"/>
              <w:right w:w="43" w:type="dxa"/>
            </w:tcMar>
          </w:tcPr>
          <w:p w14:paraId="647BA959" w14:textId="77777777" w:rsidR="00575AC3" w:rsidRPr="006D40F0" w:rsidRDefault="00575AC3" w:rsidP="006D40F0">
            <w:r w:rsidRPr="006D40F0">
              <w:t>140</w:t>
            </w:r>
          </w:p>
        </w:tc>
        <w:tc>
          <w:tcPr>
            <w:tcW w:w="680" w:type="dxa"/>
            <w:tcBorders>
              <w:top w:val="nil"/>
              <w:left w:val="nil"/>
              <w:bottom w:val="nil"/>
              <w:right w:val="nil"/>
            </w:tcBorders>
            <w:tcMar>
              <w:top w:w="128" w:type="dxa"/>
              <w:left w:w="43" w:type="dxa"/>
              <w:bottom w:w="43" w:type="dxa"/>
              <w:right w:w="43" w:type="dxa"/>
            </w:tcMar>
          </w:tcPr>
          <w:p w14:paraId="771CABD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FA8379" w14:textId="77777777" w:rsidR="00575AC3" w:rsidRPr="006D40F0" w:rsidRDefault="00575AC3" w:rsidP="006D40F0">
            <w:r w:rsidRPr="006D40F0">
              <w:t>Utenriksdepartementet:</w:t>
            </w:r>
          </w:p>
        </w:tc>
        <w:tc>
          <w:tcPr>
            <w:tcW w:w="1400" w:type="dxa"/>
            <w:tcBorders>
              <w:top w:val="nil"/>
              <w:left w:val="nil"/>
              <w:bottom w:val="nil"/>
              <w:right w:val="nil"/>
            </w:tcBorders>
            <w:tcMar>
              <w:top w:w="128" w:type="dxa"/>
              <w:left w:w="43" w:type="dxa"/>
              <w:bottom w:w="43" w:type="dxa"/>
              <w:right w:w="43" w:type="dxa"/>
            </w:tcMar>
            <w:vAlign w:val="bottom"/>
          </w:tcPr>
          <w:p w14:paraId="22927D5E" w14:textId="77777777" w:rsidR="00575AC3" w:rsidRPr="006D40F0" w:rsidRDefault="00575AC3" w:rsidP="006D40F0"/>
        </w:tc>
      </w:tr>
      <w:tr w:rsidR="00DD49A7" w:rsidRPr="006D40F0" w14:paraId="77EE3E34" w14:textId="77777777">
        <w:trPr>
          <w:trHeight w:val="380"/>
        </w:trPr>
        <w:tc>
          <w:tcPr>
            <w:tcW w:w="680" w:type="dxa"/>
            <w:tcBorders>
              <w:top w:val="nil"/>
              <w:left w:val="nil"/>
              <w:bottom w:val="nil"/>
              <w:right w:val="nil"/>
            </w:tcBorders>
            <w:tcMar>
              <w:top w:w="128" w:type="dxa"/>
              <w:left w:w="43" w:type="dxa"/>
              <w:bottom w:w="43" w:type="dxa"/>
              <w:right w:w="43" w:type="dxa"/>
            </w:tcMar>
          </w:tcPr>
          <w:p w14:paraId="00D41E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9BDF9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ADD9FB6" w14:textId="77777777" w:rsidR="00575AC3" w:rsidRPr="006D40F0" w:rsidRDefault="00575AC3" w:rsidP="006D40F0">
            <w:r w:rsidRPr="006D40F0">
              <w:t xml:space="preserve">Driftsutgifter, </w:t>
            </w:r>
            <w:r w:rsidRPr="00575AC3">
              <w:rPr>
                <w:rStyle w:val="kursiv"/>
              </w:rPr>
              <w:t>kan nyttes under kap. 100, post 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344F816" w14:textId="77777777" w:rsidR="00575AC3" w:rsidRPr="006D40F0" w:rsidRDefault="00575AC3" w:rsidP="006D40F0">
            <w:r w:rsidRPr="006D40F0">
              <w:t>16 866 000</w:t>
            </w:r>
          </w:p>
        </w:tc>
      </w:tr>
      <w:tr w:rsidR="00DD49A7" w:rsidRPr="006D40F0" w14:paraId="63653DEE" w14:textId="77777777">
        <w:trPr>
          <w:trHeight w:val="380"/>
        </w:trPr>
        <w:tc>
          <w:tcPr>
            <w:tcW w:w="680" w:type="dxa"/>
            <w:tcBorders>
              <w:top w:val="nil"/>
              <w:left w:val="nil"/>
              <w:bottom w:val="nil"/>
              <w:right w:val="nil"/>
            </w:tcBorders>
            <w:tcMar>
              <w:top w:w="128" w:type="dxa"/>
              <w:left w:w="43" w:type="dxa"/>
              <w:bottom w:w="43" w:type="dxa"/>
              <w:right w:w="43" w:type="dxa"/>
            </w:tcMar>
          </w:tcPr>
          <w:p w14:paraId="09D5456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D46BA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3249A5" w14:textId="77777777" w:rsidR="00575AC3" w:rsidRPr="006D40F0" w:rsidRDefault="00575AC3" w:rsidP="006D40F0">
            <w:r w:rsidRPr="006D40F0">
              <w:t>fra kr 1 978 461 000 til kr 1 961 595 000</w:t>
            </w:r>
          </w:p>
        </w:tc>
        <w:tc>
          <w:tcPr>
            <w:tcW w:w="1400" w:type="dxa"/>
            <w:tcBorders>
              <w:top w:val="nil"/>
              <w:left w:val="nil"/>
              <w:bottom w:val="nil"/>
              <w:right w:val="nil"/>
            </w:tcBorders>
            <w:tcMar>
              <w:top w:w="128" w:type="dxa"/>
              <w:left w:w="43" w:type="dxa"/>
              <w:bottom w:w="43" w:type="dxa"/>
              <w:right w:w="43" w:type="dxa"/>
            </w:tcMar>
            <w:vAlign w:val="bottom"/>
          </w:tcPr>
          <w:p w14:paraId="11401B55" w14:textId="77777777" w:rsidR="00575AC3" w:rsidRPr="006D40F0" w:rsidRDefault="00575AC3" w:rsidP="006D40F0"/>
        </w:tc>
      </w:tr>
      <w:tr w:rsidR="00DD49A7" w:rsidRPr="006D40F0" w14:paraId="07E458E7" w14:textId="77777777">
        <w:trPr>
          <w:trHeight w:val="380"/>
        </w:trPr>
        <w:tc>
          <w:tcPr>
            <w:tcW w:w="680" w:type="dxa"/>
            <w:tcBorders>
              <w:top w:val="nil"/>
              <w:left w:val="nil"/>
              <w:bottom w:val="nil"/>
              <w:right w:val="nil"/>
            </w:tcBorders>
            <w:tcMar>
              <w:top w:w="128" w:type="dxa"/>
              <w:left w:w="43" w:type="dxa"/>
              <w:bottom w:w="43" w:type="dxa"/>
              <w:right w:w="43" w:type="dxa"/>
            </w:tcMar>
          </w:tcPr>
          <w:p w14:paraId="3E05BA3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C49E66"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1DFD9C87"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56AA90F" w14:textId="77777777" w:rsidR="00575AC3" w:rsidRPr="006D40F0" w:rsidRDefault="00575AC3" w:rsidP="006D40F0">
            <w:r w:rsidRPr="006D40F0">
              <w:t>40 046 000</w:t>
            </w:r>
          </w:p>
        </w:tc>
      </w:tr>
      <w:tr w:rsidR="00DD49A7" w:rsidRPr="006D40F0" w14:paraId="799DAD11" w14:textId="77777777">
        <w:trPr>
          <w:trHeight w:val="380"/>
        </w:trPr>
        <w:tc>
          <w:tcPr>
            <w:tcW w:w="680" w:type="dxa"/>
            <w:tcBorders>
              <w:top w:val="nil"/>
              <w:left w:val="nil"/>
              <w:bottom w:val="nil"/>
              <w:right w:val="nil"/>
            </w:tcBorders>
            <w:tcMar>
              <w:top w:w="128" w:type="dxa"/>
              <w:left w:w="43" w:type="dxa"/>
              <w:bottom w:w="43" w:type="dxa"/>
              <w:right w:w="43" w:type="dxa"/>
            </w:tcMar>
          </w:tcPr>
          <w:p w14:paraId="5E334F1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6DEF8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8B2DDE" w14:textId="77777777" w:rsidR="00575AC3" w:rsidRPr="006D40F0" w:rsidRDefault="00575AC3" w:rsidP="006D40F0">
            <w:r w:rsidRPr="006D40F0">
              <w:t>fra kr 115 494 000 til kr 75 448 000</w:t>
            </w:r>
          </w:p>
        </w:tc>
        <w:tc>
          <w:tcPr>
            <w:tcW w:w="1400" w:type="dxa"/>
            <w:tcBorders>
              <w:top w:val="nil"/>
              <w:left w:val="nil"/>
              <w:bottom w:val="nil"/>
              <w:right w:val="nil"/>
            </w:tcBorders>
            <w:tcMar>
              <w:top w:w="128" w:type="dxa"/>
              <w:left w:w="43" w:type="dxa"/>
              <w:bottom w:w="43" w:type="dxa"/>
              <w:right w:w="43" w:type="dxa"/>
            </w:tcMar>
            <w:vAlign w:val="bottom"/>
          </w:tcPr>
          <w:p w14:paraId="736B620E" w14:textId="77777777" w:rsidR="00575AC3" w:rsidRPr="006D40F0" w:rsidRDefault="00575AC3" w:rsidP="006D40F0"/>
        </w:tc>
      </w:tr>
      <w:tr w:rsidR="00DD49A7" w:rsidRPr="006D40F0" w14:paraId="7475E77A" w14:textId="77777777">
        <w:trPr>
          <w:trHeight w:val="380"/>
        </w:trPr>
        <w:tc>
          <w:tcPr>
            <w:tcW w:w="680" w:type="dxa"/>
            <w:tcBorders>
              <w:top w:val="nil"/>
              <w:left w:val="nil"/>
              <w:bottom w:val="nil"/>
              <w:right w:val="nil"/>
            </w:tcBorders>
            <w:tcMar>
              <w:top w:w="128" w:type="dxa"/>
              <w:left w:w="43" w:type="dxa"/>
              <w:bottom w:w="43" w:type="dxa"/>
              <w:right w:w="43" w:type="dxa"/>
            </w:tcMar>
          </w:tcPr>
          <w:p w14:paraId="31055A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659F20"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16966B17"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3970A61" w14:textId="77777777" w:rsidR="00575AC3" w:rsidRPr="006D40F0" w:rsidRDefault="00575AC3" w:rsidP="006D40F0">
            <w:r w:rsidRPr="006D40F0">
              <w:t>5 000 000</w:t>
            </w:r>
          </w:p>
        </w:tc>
      </w:tr>
      <w:tr w:rsidR="00DD49A7" w:rsidRPr="006D40F0" w14:paraId="2F7A2C6C" w14:textId="77777777">
        <w:trPr>
          <w:trHeight w:val="380"/>
        </w:trPr>
        <w:tc>
          <w:tcPr>
            <w:tcW w:w="680" w:type="dxa"/>
            <w:tcBorders>
              <w:top w:val="nil"/>
              <w:left w:val="nil"/>
              <w:bottom w:val="nil"/>
              <w:right w:val="nil"/>
            </w:tcBorders>
            <w:tcMar>
              <w:top w:w="128" w:type="dxa"/>
              <w:left w:w="43" w:type="dxa"/>
              <w:bottom w:w="43" w:type="dxa"/>
              <w:right w:w="43" w:type="dxa"/>
            </w:tcMar>
          </w:tcPr>
          <w:p w14:paraId="6A3E35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84EAD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3214C4" w14:textId="77777777" w:rsidR="00575AC3" w:rsidRPr="006D40F0" w:rsidRDefault="00575AC3" w:rsidP="006D40F0">
            <w:r w:rsidRPr="006D40F0">
              <w:t>fra kr 57 779 000 til kr 52 779 000</w:t>
            </w:r>
          </w:p>
        </w:tc>
        <w:tc>
          <w:tcPr>
            <w:tcW w:w="1400" w:type="dxa"/>
            <w:tcBorders>
              <w:top w:val="nil"/>
              <w:left w:val="nil"/>
              <w:bottom w:val="nil"/>
              <w:right w:val="nil"/>
            </w:tcBorders>
            <w:tcMar>
              <w:top w:w="128" w:type="dxa"/>
              <w:left w:w="43" w:type="dxa"/>
              <w:bottom w:w="43" w:type="dxa"/>
              <w:right w:w="43" w:type="dxa"/>
            </w:tcMar>
            <w:vAlign w:val="bottom"/>
          </w:tcPr>
          <w:p w14:paraId="71539B4F" w14:textId="77777777" w:rsidR="00575AC3" w:rsidRPr="006D40F0" w:rsidRDefault="00575AC3" w:rsidP="006D40F0"/>
        </w:tc>
      </w:tr>
      <w:tr w:rsidR="00DD49A7" w:rsidRPr="006D40F0" w14:paraId="73D7EF3D" w14:textId="77777777">
        <w:trPr>
          <w:trHeight w:val="380"/>
        </w:trPr>
        <w:tc>
          <w:tcPr>
            <w:tcW w:w="680" w:type="dxa"/>
            <w:tcBorders>
              <w:top w:val="nil"/>
              <w:left w:val="nil"/>
              <w:bottom w:val="nil"/>
              <w:right w:val="nil"/>
            </w:tcBorders>
            <w:tcMar>
              <w:top w:w="128" w:type="dxa"/>
              <w:left w:w="43" w:type="dxa"/>
              <w:bottom w:w="43" w:type="dxa"/>
              <w:right w:w="43" w:type="dxa"/>
            </w:tcMar>
          </w:tcPr>
          <w:p w14:paraId="7D06F57C" w14:textId="77777777" w:rsidR="00575AC3" w:rsidRPr="006D40F0" w:rsidRDefault="00575AC3" w:rsidP="006D40F0">
            <w:r w:rsidRPr="006D40F0">
              <w:lastRenderedPageBreak/>
              <w:t>141</w:t>
            </w:r>
          </w:p>
        </w:tc>
        <w:tc>
          <w:tcPr>
            <w:tcW w:w="680" w:type="dxa"/>
            <w:tcBorders>
              <w:top w:val="nil"/>
              <w:left w:val="nil"/>
              <w:bottom w:val="nil"/>
              <w:right w:val="nil"/>
            </w:tcBorders>
            <w:tcMar>
              <w:top w:w="128" w:type="dxa"/>
              <w:left w:w="43" w:type="dxa"/>
              <w:bottom w:w="43" w:type="dxa"/>
              <w:right w:w="43" w:type="dxa"/>
            </w:tcMar>
          </w:tcPr>
          <w:p w14:paraId="0F04967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0D86AF" w14:textId="77777777" w:rsidR="00575AC3" w:rsidRPr="006D40F0" w:rsidRDefault="00575AC3" w:rsidP="006D40F0">
            <w:r w:rsidRPr="006D40F0">
              <w:t>Direktoratet for utviklingssamarbeid (Norad):</w:t>
            </w:r>
          </w:p>
        </w:tc>
        <w:tc>
          <w:tcPr>
            <w:tcW w:w="1400" w:type="dxa"/>
            <w:tcBorders>
              <w:top w:val="nil"/>
              <w:left w:val="nil"/>
              <w:bottom w:val="nil"/>
              <w:right w:val="nil"/>
            </w:tcBorders>
            <w:tcMar>
              <w:top w:w="128" w:type="dxa"/>
              <w:left w:w="43" w:type="dxa"/>
              <w:bottom w:w="43" w:type="dxa"/>
              <w:right w:w="43" w:type="dxa"/>
            </w:tcMar>
            <w:vAlign w:val="bottom"/>
          </w:tcPr>
          <w:p w14:paraId="27F4C28A" w14:textId="77777777" w:rsidR="00575AC3" w:rsidRPr="006D40F0" w:rsidRDefault="00575AC3" w:rsidP="006D40F0"/>
        </w:tc>
      </w:tr>
      <w:tr w:rsidR="00DD49A7" w:rsidRPr="006D40F0" w14:paraId="1A294DFE" w14:textId="77777777">
        <w:trPr>
          <w:trHeight w:val="380"/>
        </w:trPr>
        <w:tc>
          <w:tcPr>
            <w:tcW w:w="680" w:type="dxa"/>
            <w:tcBorders>
              <w:top w:val="nil"/>
              <w:left w:val="nil"/>
              <w:bottom w:val="nil"/>
              <w:right w:val="nil"/>
            </w:tcBorders>
            <w:tcMar>
              <w:top w:w="128" w:type="dxa"/>
              <w:left w:w="43" w:type="dxa"/>
              <w:bottom w:w="43" w:type="dxa"/>
              <w:right w:w="43" w:type="dxa"/>
            </w:tcMar>
          </w:tcPr>
          <w:p w14:paraId="3E01DF7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E685B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EA47AC5"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706C7BC" w14:textId="77777777" w:rsidR="00575AC3" w:rsidRPr="006D40F0" w:rsidRDefault="00575AC3" w:rsidP="006D40F0">
            <w:r w:rsidRPr="006D40F0">
              <w:t>16 866 000</w:t>
            </w:r>
          </w:p>
        </w:tc>
      </w:tr>
      <w:tr w:rsidR="00DD49A7" w:rsidRPr="006D40F0" w14:paraId="1534E358" w14:textId="77777777">
        <w:trPr>
          <w:trHeight w:val="380"/>
        </w:trPr>
        <w:tc>
          <w:tcPr>
            <w:tcW w:w="680" w:type="dxa"/>
            <w:tcBorders>
              <w:top w:val="nil"/>
              <w:left w:val="nil"/>
              <w:bottom w:val="nil"/>
              <w:right w:val="nil"/>
            </w:tcBorders>
            <w:tcMar>
              <w:top w:w="128" w:type="dxa"/>
              <w:left w:w="43" w:type="dxa"/>
              <w:bottom w:w="43" w:type="dxa"/>
              <w:right w:w="43" w:type="dxa"/>
            </w:tcMar>
          </w:tcPr>
          <w:p w14:paraId="3DA1C2D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BBB8F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9B300C5" w14:textId="77777777" w:rsidR="00575AC3" w:rsidRPr="006D40F0" w:rsidRDefault="00575AC3" w:rsidP="006D40F0">
            <w:r w:rsidRPr="006D40F0">
              <w:t>fra kr 370 360 000 til kr 387 226 000</w:t>
            </w:r>
          </w:p>
        </w:tc>
        <w:tc>
          <w:tcPr>
            <w:tcW w:w="1400" w:type="dxa"/>
            <w:tcBorders>
              <w:top w:val="nil"/>
              <w:left w:val="nil"/>
              <w:bottom w:val="nil"/>
              <w:right w:val="nil"/>
            </w:tcBorders>
            <w:tcMar>
              <w:top w:w="128" w:type="dxa"/>
              <w:left w:w="43" w:type="dxa"/>
              <w:bottom w:w="43" w:type="dxa"/>
              <w:right w:w="43" w:type="dxa"/>
            </w:tcMar>
            <w:vAlign w:val="bottom"/>
          </w:tcPr>
          <w:p w14:paraId="03314BC8" w14:textId="77777777" w:rsidR="00575AC3" w:rsidRPr="006D40F0" w:rsidRDefault="00575AC3" w:rsidP="006D40F0"/>
        </w:tc>
      </w:tr>
      <w:tr w:rsidR="00DD49A7" w:rsidRPr="006D40F0" w14:paraId="5A1B9B76" w14:textId="77777777">
        <w:trPr>
          <w:trHeight w:val="380"/>
        </w:trPr>
        <w:tc>
          <w:tcPr>
            <w:tcW w:w="680" w:type="dxa"/>
            <w:tcBorders>
              <w:top w:val="nil"/>
              <w:left w:val="nil"/>
              <w:bottom w:val="nil"/>
              <w:right w:val="nil"/>
            </w:tcBorders>
            <w:tcMar>
              <w:top w:w="128" w:type="dxa"/>
              <w:left w:w="43" w:type="dxa"/>
              <w:bottom w:w="43" w:type="dxa"/>
              <w:right w:w="43" w:type="dxa"/>
            </w:tcMar>
          </w:tcPr>
          <w:p w14:paraId="2902567A" w14:textId="77777777" w:rsidR="00575AC3" w:rsidRPr="006D40F0" w:rsidRDefault="00575AC3" w:rsidP="006D40F0">
            <w:r w:rsidRPr="006D40F0">
              <w:t>150</w:t>
            </w:r>
          </w:p>
        </w:tc>
        <w:tc>
          <w:tcPr>
            <w:tcW w:w="680" w:type="dxa"/>
            <w:tcBorders>
              <w:top w:val="nil"/>
              <w:left w:val="nil"/>
              <w:bottom w:val="nil"/>
              <w:right w:val="nil"/>
            </w:tcBorders>
            <w:tcMar>
              <w:top w:w="128" w:type="dxa"/>
              <w:left w:w="43" w:type="dxa"/>
              <w:bottom w:w="43" w:type="dxa"/>
              <w:right w:w="43" w:type="dxa"/>
            </w:tcMar>
          </w:tcPr>
          <w:p w14:paraId="59BC56F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960467A" w14:textId="77777777" w:rsidR="00575AC3" w:rsidRPr="006D40F0" w:rsidRDefault="00575AC3" w:rsidP="006D40F0">
            <w:r w:rsidRPr="006D40F0">
              <w:t>Humanitær bistand:</w:t>
            </w:r>
          </w:p>
        </w:tc>
        <w:tc>
          <w:tcPr>
            <w:tcW w:w="1400" w:type="dxa"/>
            <w:tcBorders>
              <w:top w:val="nil"/>
              <w:left w:val="nil"/>
              <w:bottom w:val="nil"/>
              <w:right w:val="nil"/>
            </w:tcBorders>
            <w:tcMar>
              <w:top w:w="128" w:type="dxa"/>
              <w:left w:w="43" w:type="dxa"/>
              <w:bottom w:w="43" w:type="dxa"/>
              <w:right w:w="43" w:type="dxa"/>
            </w:tcMar>
            <w:vAlign w:val="bottom"/>
          </w:tcPr>
          <w:p w14:paraId="6D7C7183" w14:textId="77777777" w:rsidR="00575AC3" w:rsidRPr="006D40F0" w:rsidRDefault="00575AC3" w:rsidP="006D40F0"/>
        </w:tc>
      </w:tr>
      <w:tr w:rsidR="00DD49A7" w:rsidRPr="006D40F0" w14:paraId="05E54473" w14:textId="77777777">
        <w:trPr>
          <w:trHeight w:val="380"/>
        </w:trPr>
        <w:tc>
          <w:tcPr>
            <w:tcW w:w="680" w:type="dxa"/>
            <w:tcBorders>
              <w:top w:val="nil"/>
              <w:left w:val="nil"/>
              <w:bottom w:val="nil"/>
              <w:right w:val="nil"/>
            </w:tcBorders>
            <w:tcMar>
              <w:top w:w="128" w:type="dxa"/>
              <w:left w:w="43" w:type="dxa"/>
              <w:bottom w:w="43" w:type="dxa"/>
              <w:right w:w="43" w:type="dxa"/>
            </w:tcMar>
          </w:tcPr>
          <w:p w14:paraId="7027D4D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1DD157"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9F4D324" w14:textId="77777777" w:rsidR="00575AC3" w:rsidRPr="006D40F0" w:rsidRDefault="00575AC3" w:rsidP="006D40F0">
            <w:r w:rsidRPr="006D40F0">
              <w:t xml:space="preserve">Nødhjelp og humanitær bistand,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054F26D" w14:textId="77777777" w:rsidR="00575AC3" w:rsidRPr="006D40F0" w:rsidRDefault="00575AC3" w:rsidP="006D40F0">
            <w:r w:rsidRPr="006D40F0">
              <w:t>500 000 000</w:t>
            </w:r>
          </w:p>
        </w:tc>
      </w:tr>
      <w:tr w:rsidR="00DD49A7" w:rsidRPr="006D40F0" w14:paraId="272D9D83" w14:textId="77777777">
        <w:trPr>
          <w:trHeight w:val="380"/>
        </w:trPr>
        <w:tc>
          <w:tcPr>
            <w:tcW w:w="680" w:type="dxa"/>
            <w:tcBorders>
              <w:top w:val="nil"/>
              <w:left w:val="nil"/>
              <w:bottom w:val="nil"/>
              <w:right w:val="nil"/>
            </w:tcBorders>
            <w:tcMar>
              <w:top w:w="128" w:type="dxa"/>
              <w:left w:w="43" w:type="dxa"/>
              <w:bottom w:w="43" w:type="dxa"/>
              <w:right w:w="43" w:type="dxa"/>
            </w:tcMar>
          </w:tcPr>
          <w:p w14:paraId="477FA5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F182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387910" w14:textId="77777777" w:rsidR="00575AC3" w:rsidRPr="006D40F0" w:rsidRDefault="00575AC3" w:rsidP="006D40F0">
            <w:r w:rsidRPr="006D40F0">
              <w:t>fra kr 3 901 289 000 til kr 4 401 289 000</w:t>
            </w:r>
          </w:p>
        </w:tc>
        <w:tc>
          <w:tcPr>
            <w:tcW w:w="1400" w:type="dxa"/>
            <w:tcBorders>
              <w:top w:val="nil"/>
              <w:left w:val="nil"/>
              <w:bottom w:val="nil"/>
              <w:right w:val="nil"/>
            </w:tcBorders>
            <w:tcMar>
              <w:top w:w="128" w:type="dxa"/>
              <w:left w:w="43" w:type="dxa"/>
              <w:bottom w:w="43" w:type="dxa"/>
              <w:right w:w="43" w:type="dxa"/>
            </w:tcMar>
            <w:vAlign w:val="bottom"/>
          </w:tcPr>
          <w:p w14:paraId="63895924" w14:textId="77777777" w:rsidR="00575AC3" w:rsidRPr="006D40F0" w:rsidRDefault="00575AC3" w:rsidP="006D40F0"/>
        </w:tc>
      </w:tr>
      <w:tr w:rsidR="00DD49A7" w:rsidRPr="006D40F0" w14:paraId="0309ED97" w14:textId="77777777">
        <w:trPr>
          <w:trHeight w:val="380"/>
        </w:trPr>
        <w:tc>
          <w:tcPr>
            <w:tcW w:w="680" w:type="dxa"/>
            <w:tcBorders>
              <w:top w:val="nil"/>
              <w:left w:val="nil"/>
              <w:bottom w:val="nil"/>
              <w:right w:val="nil"/>
            </w:tcBorders>
            <w:tcMar>
              <w:top w:w="128" w:type="dxa"/>
              <w:left w:w="43" w:type="dxa"/>
              <w:bottom w:w="43" w:type="dxa"/>
              <w:right w:w="43" w:type="dxa"/>
            </w:tcMar>
          </w:tcPr>
          <w:p w14:paraId="1C005F7E" w14:textId="77777777" w:rsidR="00575AC3" w:rsidRPr="006D40F0" w:rsidRDefault="00575AC3" w:rsidP="006D40F0">
            <w:r w:rsidRPr="006D40F0">
              <w:t>151</w:t>
            </w:r>
          </w:p>
        </w:tc>
        <w:tc>
          <w:tcPr>
            <w:tcW w:w="680" w:type="dxa"/>
            <w:tcBorders>
              <w:top w:val="nil"/>
              <w:left w:val="nil"/>
              <w:bottom w:val="nil"/>
              <w:right w:val="nil"/>
            </w:tcBorders>
            <w:tcMar>
              <w:top w:w="128" w:type="dxa"/>
              <w:left w:w="43" w:type="dxa"/>
              <w:bottom w:w="43" w:type="dxa"/>
              <w:right w:w="43" w:type="dxa"/>
            </w:tcMar>
          </w:tcPr>
          <w:p w14:paraId="555C216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79D125" w14:textId="77777777" w:rsidR="00575AC3" w:rsidRPr="006D40F0" w:rsidRDefault="00575AC3" w:rsidP="006D40F0">
            <w:r w:rsidRPr="006D40F0">
              <w:t>Fred, sikkerhet og globalt samarbeid:</w:t>
            </w:r>
          </w:p>
        </w:tc>
        <w:tc>
          <w:tcPr>
            <w:tcW w:w="1400" w:type="dxa"/>
            <w:tcBorders>
              <w:top w:val="nil"/>
              <w:left w:val="nil"/>
              <w:bottom w:val="nil"/>
              <w:right w:val="nil"/>
            </w:tcBorders>
            <w:tcMar>
              <w:top w:w="128" w:type="dxa"/>
              <w:left w:w="43" w:type="dxa"/>
              <w:bottom w:w="43" w:type="dxa"/>
              <w:right w:w="43" w:type="dxa"/>
            </w:tcMar>
            <w:vAlign w:val="bottom"/>
          </w:tcPr>
          <w:p w14:paraId="3E594DC9" w14:textId="77777777" w:rsidR="00575AC3" w:rsidRPr="006D40F0" w:rsidRDefault="00575AC3" w:rsidP="006D40F0"/>
        </w:tc>
      </w:tr>
      <w:tr w:rsidR="00DD49A7" w:rsidRPr="006D40F0" w14:paraId="5A628471" w14:textId="77777777">
        <w:trPr>
          <w:trHeight w:val="380"/>
        </w:trPr>
        <w:tc>
          <w:tcPr>
            <w:tcW w:w="680" w:type="dxa"/>
            <w:tcBorders>
              <w:top w:val="nil"/>
              <w:left w:val="nil"/>
              <w:bottom w:val="nil"/>
              <w:right w:val="nil"/>
            </w:tcBorders>
            <w:tcMar>
              <w:top w:w="128" w:type="dxa"/>
              <w:left w:w="43" w:type="dxa"/>
              <w:bottom w:w="43" w:type="dxa"/>
              <w:right w:w="43" w:type="dxa"/>
            </w:tcMar>
          </w:tcPr>
          <w:p w14:paraId="2EEC7D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A94AD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6A91058" w14:textId="77777777" w:rsidR="00575AC3" w:rsidRPr="006D40F0" w:rsidRDefault="00575AC3" w:rsidP="006D40F0">
            <w:r w:rsidRPr="006D40F0">
              <w:t xml:space="preserve">Fred og forsoning,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EE4CB92" w14:textId="77777777" w:rsidR="00575AC3" w:rsidRPr="006D40F0" w:rsidRDefault="00575AC3" w:rsidP="006D40F0">
            <w:r w:rsidRPr="006D40F0">
              <w:t>20 000 000</w:t>
            </w:r>
          </w:p>
        </w:tc>
      </w:tr>
      <w:tr w:rsidR="00DD49A7" w:rsidRPr="006D40F0" w14:paraId="3448E01D" w14:textId="77777777">
        <w:trPr>
          <w:trHeight w:val="380"/>
        </w:trPr>
        <w:tc>
          <w:tcPr>
            <w:tcW w:w="680" w:type="dxa"/>
            <w:tcBorders>
              <w:top w:val="nil"/>
              <w:left w:val="nil"/>
              <w:bottom w:val="nil"/>
              <w:right w:val="nil"/>
            </w:tcBorders>
            <w:tcMar>
              <w:top w:w="128" w:type="dxa"/>
              <w:left w:w="43" w:type="dxa"/>
              <w:bottom w:w="43" w:type="dxa"/>
              <w:right w:w="43" w:type="dxa"/>
            </w:tcMar>
          </w:tcPr>
          <w:p w14:paraId="107FCC2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1C8AE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CC9195" w14:textId="77777777" w:rsidR="00575AC3" w:rsidRPr="006D40F0" w:rsidRDefault="00575AC3" w:rsidP="006D40F0">
            <w:r w:rsidRPr="006D40F0">
              <w:t>fra kr 415 260 000 til kr 395 260 000</w:t>
            </w:r>
          </w:p>
        </w:tc>
        <w:tc>
          <w:tcPr>
            <w:tcW w:w="1400" w:type="dxa"/>
            <w:tcBorders>
              <w:top w:val="nil"/>
              <w:left w:val="nil"/>
              <w:bottom w:val="nil"/>
              <w:right w:val="nil"/>
            </w:tcBorders>
            <w:tcMar>
              <w:top w:w="128" w:type="dxa"/>
              <w:left w:w="43" w:type="dxa"/>
              <w:bottom w:w="43" w:type="dxa"/>
              <w:right w:w="43" w:type="dxa"/>
            </w:tcMar>
            <w:vAlign w:val="bottom"/>
          </w:tcPr>
          <w:p w14:paraId="74F9F56A" w14:textId="77777777" w:rsidR="00575AC3" w:rsidRPr="006D40F0" w:rsidRDefault="00575AC3" w:rsidP="006D40F0"/>
        </w:tc>
      </w:tr>
      <w:tr w:rsidR="00DD49A7" w:rsidRPr="006D40F0" w14:paraId="17C86C03" w14:textId="77777777">
        <w:trPr>
          <w:trHeight w:val="640"/>
        </w:trPr>
        <w:tc>
          <w:tcPr>
            <w:tcW w:w="680" w:type="dxa"/>
            <w:tcBorders>
              <w:top w:val="nil"/>
              <w:left w:val="nil"/>
              <w:bottom w:val="nil"/>
              <w:right w:val="nil"/>
            </w:tcBorders>
            <w:tcMar>
              <w:top w:w="128" w:type="dxa"/>
              <w:left w:w="43" w:type="dxa"/>
              <w:bottom w:w="43" w:type="dxa"/>
              <w:right w:w="43" w:type="dxa"/>
            </w:tcMar>
          </w:tcPr>
          <w:p w14:paraId="6ACA951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C5B9E3"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4793E76" w14:textId="77777777" w:rsidR="00575AC3" w:rsidRPr="006D40F0" w:rsidRDefault="00575AC3" w:rsidP="006D40F0">
            <w:r w:rsidRPr="006D40F0">
              <w:t xml:space="preserve">Globale sikkerhetsspørsmål og nedrustning,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A5E1E97" w14:textId="77777777" w:rsidR="00575AC3" w:rsidRPr="006D40F0" w:rsidRDefault="00575AC3" w:rsidP="006D40F0">
            <w:r w:rsidRPr="006D40F0">
              <w:t>5 200 000</w:t>
            </w:r>
          </w:p>
        </w:tc>
      </w:tr>
      <w:tr w:rsidR="00DD49A7" w:rsidRPr="006D40F0" w14:paraId="282DA8AB" w14:textId="77777777">
        <w:trPr>
          <w:trHeight w:val="380"/>
        </w:trPr>
        <w:tc>
          <w:tcPr>
            <w:tcW w:w="680" w:type="dxa"/>
            <w:tcBorders>
              <w:top w:val="nil"/>
              <w:left w:val="nil"/>
              <w:bottom w:val="nil"/>
              <w:right w:val="nil"/>
            </w:tcBorders>
            <w:tcMar>
              <w:top w:w="128" w:type="dxa"/>
              <w:left w:w="43" w:type="dxa"/>
              <w:bottom w:w="43" w:type="dxa"/>
              <w:right w:w="43" w:type="dxa"/>
            </w:tcMar>
          </w:tcPr>
          <w:p w14:paraId="7EE46AC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BE2582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5B7DB2" w14:textId="77777777" w:rsidR="00575AC3" w:rsidRPr="006D40F0" w:rsidRDefault="00575AC3" w:rsidP="006D40F0">
            <w:r w:rsidRPr="006D40F0">
              <w:t>fra kr 144 060 000 til kr 138 860 000</w:t>
            </w:r>
          </w:p>
        </w:tc>
        <w:tc>
          <w:tcPr>
            <w:tcW w:w="1400" w:type="dxa"/>
            <w:tcBorders>
              <w:top w:val="nil"/>
              <w:left w:val="nil"/>
              <w:bottom w:val="nil"/>
              <w:right w:val="nil"/>
            </w:tcBorders>
            <w:tcMar>
              <w:top w:w="128" w:type="dxa"/>
              <w:left w:w="43" w:type="dxa"/>
              <w:bottom w:w="43" w:type="dxa"/>
              <w:right w:w="43" w:type="dxa"/>
            </w:tcMar>
            <w:vAlign w:val="bottom"/>
          </w:tcPr>
          <w:p w14:paraId="31F1E6BD" w14:textId="77777777" w:rsidR="00575AC3" w:rsidRPr="006D40F0" w:rsidRDefault="00575AC3" w:rsidP="006D40F0"/>
        </w:tc>
      </w:tr>
      <w:tr w:rsidR="00DD49A7" w:rsidRPr="006D40F0" w14:paraId="06DBD3D1" w14:textId="77777777">
        <w:trPr>
          <w:trHeight w:val="380"/>
        </w:trPr>
        <w:tc>
          <w:tcPr>
            <w:tcW w:w="680" w:type="dxa"/>
            <w:tcBorders>
              <w:top w:val="nil"/>
              <w:left w:val="nil"/>
              <w:bottom w:val="nil"/>
              <w:right w:val="nil"/>
            </w:tcBorders>
            <w:tcMar>
              <w:top w:w="128" w:type="dxa"/>
              <w:left w:w="43" w:type="dxa"/>
              <w:bottom w:w="43" w:type="dxa"/>
              <w:right w:w="43" w:type="dxa"/>
            </w:tcMar>
          </w:tcPr>
          <w:p w14:paraId="7AAC70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760965"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7F534FEA" w14:textId="77777777" w:rsidR="00575AC3" w:rsidRPr="006D40F0" w:rsidRDefault="00575AC3" w:rsidP="006D40F0">
            <w:r w:rsidRPr="006D40F0">
              <w:t xml:space="preserve">FN og globale utfordringer,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A2DB740" w14:textId="77777777" w:rsidR="00575AC3" w:rsidRPr="006D40F0" w:rsidRDefault="00575AC3" w:rsidP="006D40F0">
            <w:r w:rsidRPr="006D40F0">
              <w:t>20 000 000</w:t>
            </w:r>
          </w:p>
        </w:tc>
      </w:tr>
      <w:tr w:rsidR="00DD49A7" w:rsidRPr="006D40F0" w14:paraId="658BBC9C" w14:textId="77777777">
        <w:trPr>
          <w:trHeight w:val="380"/>
        </w:trPr>
        <w:tc>
          <w:tcPr>
            <w:tcW w:w="680" w:type="dxa"/>
            <w:tcBorders>
              <w:top w:val="nil"/>
              <w:left w:val="nil"/>
              <w:bottom w:val="nil"/>
              <w:right w:val="nil"/>
            </w:tcBorders>
            <w:tcMar>
              <w:top w:w="128" w:type="dxa"/>
              <w:left w:w="43" w:type="dxa"/>
              <w:bottom w:w="43" w:type="dxa"/>
              <w:right w:w="43" w:type="dxa"/>
            </w:tcMar>
          </w:tcPr>
          <w:p w14:paraId="3A59A9E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D8E15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4A4E5A" w14:textId="77777777" w:rsidR="00575AC3" w:rsidRPr="006D40F0" w:rsidRDefault="00575AC3" w:rsidP="006D40F0">
            <w:r w:rsidRPr="006D40F0">
              <w:t>fra kr 268 138 000 til kr 248 138 000</w:t>
            </w:r>
          </w:p>
        </w:tc>
        <w:tc>
          <w:tcPr>
            <w:tcW w:w="1400" w:type="dxa"/>
            <w:tcBorders>
              <w:top w:val="nil"/>
              <w:left w:val="nil"/>
              <w:bottom w:val="nil"/>
              <w:right w:val="nil"/>
            </w:tcBorders>
            <w:tcMar>
              <w:top w:w="128" w:type="dxa"/>
              <w:left w:w="43" w:type="dxa"/>
              <w:bottom w:w="43" w:type="dxa"/>
              <w:right w:w="43" w:type="dxa"/>
            </w:tcMar>
            <w:vAlign w:val="bottom"/>
          </w:tcPr>
          <w:p w14:paraId="08ACBAED" w14:textId="77777777" w:rsidR="00575AC3" w:rsidRPr="006D40F0" w:rsidRDefault="00575AC3" w:rsidP="006D40F0"/>
        </w:tc>
      </w:tr>
      <w:tr w:rsidR="00DD49A7" w:rsidRPr="006D40F0" w14:paraId="6F9C6648" w14:textId="77777777">
        <w:trPr>
          <w:trHeight w:val="380"/>
        </w:trPr>
        <w:tc>
          <w:tcPr>
            <w:tcW w:w="680" w:type="dxa"/>
            <w:tcBorders>
              <w:top w:val="nil"/>
              <w:left w:val="nil"/>
              <w:bottom w:val="nil"/>
              <w:right w:val="nil"/>
            </w:tcBorders>
            <w:tcMar>
              <w:top w:w="128" w:type="dxa"/>
              <w:left w:w="43" w:type="dxa"/>
              <w:bottom w:w="43" w:type="dxa"/>
              <w:right w:w="43" w:type="dxa"/>
            </w:tcMar>
          </w:tcPr>
          <w:p w14:paraId="3CCF94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7EC936"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54F9D064" w14:textId="77777777" w:rsidR="00575AC3" w:rsidRPr="006D40F0" w:rsidRDefault="00575AC3" w:rsidP="006D40F0">
            <w:r w:rsidRPr="006D40F0">
              <w:t xml:space="preserve">Pliktige bidrag til FN-organisasjoner mv.,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EBC79E1" w14:textId="77777777" w:rsidR="00575AC3" w:rsidRPr="006D40F0" w:rsidRDefault="00575AC3" w:rsidP="006D40F0">
            <w:r w:rsidRPr="006D40F0">
              <w:t>20 769 000</w:t>
            </w:r>
          </w:p>
        </w:tc>
      </w:tr>
      <w:tr w:rsidR="00DD49A7" w:rsidRPr="006D40F0" w14:paraId="4FD2E78C" w14:textId="77777777">
        <w:trPr>
          <w:trHeight w:val="380"/>
        </w:trPr>
        <w:tc>
          <w:tcPr>
            <w:tcW w:w="680" w:type="dxa"/>
            <w:tcBorders>
              <w:top w:val="nil"/>
              <w:left w:val="nil"/>
              <w:bottom w:val="nil"/>
              <w:right w:val="nil"/>
            </w:tcBorders>
            <w:tcMar>
              <w:top w:w="128" w:type="dxa"/>
              <w:left w:w="43" w:type="dxa"/>
              <w:bottom w:w="43" w:type="dxa"/>
              <w:right w:w="43" w:type="dxa"/>
            </w:tcMar>
          </w:tcPr>
          <w:p w14:paraId="5E0CC52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F5344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E354F9" w14:textId="77777777" w:rsidR="00575AC3" w:rsidRPr="006D40F0" w:rsidRDefault="00575AC3" w:rsidP="006D40F0">
            <w:r w:rsidRPr="006D40F0">
              <w:t>fra kr 423 819 000 til kr 403 050 000</w:t>
            </w:r>
          </w:p>
        </w:tc>
        <w:tc>
          <w:tcPr>
            <w:tcW w:w="1400" w:type="dxa"/>
            <w:tcBorders>
              <w:top w:val="nil"/>
              <w:left w:val="nil"/>
              <w:bottom w:val="nil"/>
              <w:right w:val="nil"/>
            </w:tcBorders>
            <w:tcMar>
              <w:top w:w="128" w:type="dxa"/>
              <w:left w:w="43" w:type="dxa"/>
              <w:bottom w:w="43" w:type="dxa"/>
              <w:right w:w="43" w:type="dxa"/>
            </w:tcMar>
            <w:vAlign w:val="bottom"/>
          </w:tcPr>
          <w:p w14:paraId="7B3F8B60" w14:textId="77777777" w:rsidR="00575AC3" w:rsidRPr="006D40F0" w:rsidRDefault="00575AC3" w:rsidP="006D40F0"/>
        </w:tc>
      </w:tr>
      <w:tr w:rsidR="00DD49A7" w:rsidRPr="006D40F0" w14:paraId="045F05B2" w14:textId="77777777">
        <w:trPr>
          <w:trHeight w:val="380"/>
        </w:trPr>
        <w:tc>
          <w:tcPr>
            <w:tcW w:w="680" w:type="dxa"/>
            <w:tcBorders>
              <w:top w:val="nil"/>
              <w:left w:val="nil"/>
              <w:bottom w:val="nil"/>
              <w:right w:val="nil"/>
            </w:tcBorders>
            <w:tcMar>
              <w:top w:w="128" w:type="dxa"/>
              <w:left w:w="43" w:type="dxa"/>
              <w:bottom w:w="43" w:type="dxa"/>
              <w:right w:w="43" w:type="dxa"/>
            </w:tcMar>
          </w:tcPr>
          <w:p w14:paraId="6909C17F" w14:textId="77777777" w:rsidR="00575AC3" w:rsidRPr="006D40F0" w:rsidRDefault="00575AC3" w:rsidP="006D40F0">
            <w:r w:rsidRPr="006D40F0">
              <w:t>152</w:t>
            </w:r>
          </w:p>
        </w:tc>
        <w:tc>
          <w:tcPr>
            <w:tcW w:w="680" w:type="dxa"/>
            <w:tcBorders>
              <w:top w:val="nil"/>
              <w:left w:val="nil"/>
              <w:bottom w:val="nil"/>
              <w:right w:val="nil"/>
            </w:tcBorders>
            <w:tcMar>
              <w:top w:w="128" w:type="dxa"/>
              <w:left w:w="43" w:type="dxa"/>
              <w:bottom w:w="43" w:type="dxa"/>
              <w:right w:w="43" w:type="dxa"/>
            </w:tcMar>
          </w:tcPr>
          <w:p w14:paraId="3651049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2A24CB" w14:textId="77777777" w:rsidR="00575AC3" w:rsidRPr="006D40F0" w:rsidRDefault="00575AC3" w:rsidP="006D40F0">
            <w:r w:rsidRPr="006D40F0">
              <w:t>Menneskerettigheter:</w:t>
            </w:r>
          </w:p>
        </w:tc>
        <w:tc>
          <w:tcPr>
            <w:tcW w:w="1400" w:type="dxa"/>
            <w:tcBorders>
              <w:top w:val="nil"/>
              <w:left w:val="nil"/>
              <w:bottom w:val="nil"/>
              <w:right w:val="nil"/>
            </w:tcBorders>
            <w:tcMar>
              <w:top w:w="128" w:type="dxa"/>
              <w:left w:w="43" w:type="dxa"/>
              <w:bottom w:w="43" w:type="dxa"/>
              <w:right w:w="43" w:type="dxa"/>
            </w:tcMar>
            <w:vAlign w:val="bottom"/>
          </w:tcPr>
          <w:p w14:paraId="34D256F7" w14:textId="77777777" w:rsidR="00575AC3" w:rsidRPr="006D40F0" w:rsidRDefault="00575AC3" w:rsidP="006D40F0"/>
        </w:tc>
      </w:tr>
      <w:tr w:rsidR="00DD49A7" w:rsidRPr="006D40F0" w14:paraId="7C3F627C" w14:textId="77777777">
        <w:trPr>
          <w:trHeight w:val="380"/>
        </w:trPr>
        <w:tc>
          <w:tcPr>
            <w:tcW w:w="680" w:type="dxa"/>
            <w:tcBorders>
              <w:top w:val="nil"/>
              <w:left w:val="nil"/>
              <w:bottom w:val="nil"/>
              <w:right w:val="nil"/>
            </w:tcBorders>
            <w:tcMar>
              <w:top w:w="128" w:type="dxa"/>
              <w:left w:w="43" w:type="dxa"/>
              <w:bottom w:w="43" w:type="dxa"/>
              <w:right w:w="43" w:type="dxa"/>
            </w:tcMar>
          </w:tcPr>
          <w:p w14:paraId="4C6A27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79346F"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7DD5A3F" w14:textId="77777777" w:rsidR="00575AC3" w:rsidRPr="006D40F0" w:rsidRDefault="00575AC3" w:rsidP="006D40F0">
            <w:r w:rsidRPr="006D40F0">
              <w:t xml:space="preserve">Menneskerettigheter,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1DBE725" w14:textId="77777777" w:rsidR="00575AC3" w:rsidRPr="006D40F0" w:rsidRDefault="00575AC3" w:rsidP="006D40F0">
            <w:r w:rsidRPr="006D40F0">
              <w:t>60 500 000</w:t>
            </w:r>
          </w:p>
        </w:tc>
      </w:tr>
      <w:tr w:rsidR="00DD49A7" w:rsidRPr="006D40F0" w14:paraId="783BFA20" w14:textId="77777777">
        <w:trPr>
          <w:trHeight w:val="380"/>
        </w:trPr>
        <w:tc>
          <w:tcPr>
            <w:tcW w:w="680" w:type="dxa"/>
            <w:tcBorders>
              <w:top w:val="nil"/>
              <w:left w:val="nil"/>
              <w:bottom w:val="nil"/>
              <w:right w:val="nil"/>
            </w:tcBorders>
            <w:tcMar>
              <w:top w:w="128" w:type="dxa"/>
              <w:left w:w="43" w:type="dxa"/>
              <w:bottom w:w="43" w:type="dxa"/>
              <w:right w:w="43" w:type="dxa"/>
            </w:tcMar>
          </w:tcPr>
          <w:p w14:paraId="26B22C6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5E40E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ED0E26" w14:textId="77777777" w:rsidR="00575AC3" w:rsidRPr="006D40F0" w:rsidRDefault="00575AC3" w:rsidP="006D40F0">
            <w:r w:rsidRPr="006D40F0">
              <w:t>fra kr 741 617 000 til kr 681 117 000</w:t>
            </w:r>
          </w:p>
        </w:tc>
        <w:tc>
          <w:tcPr>
            <w:tcW w:w="1400" w:type="dxa"/>
            <w:tcBorders>
              <w:top w:val="nil"/>
              <w:left w:val="nil"/>
              <w:bottom w:val="nil"/>
              <w:right w:val="nil"/>
            </w:tcBorders>
            <w:tcMar>
              <w:top w:w="128" w:type="dxa"/>
              <w:left w:w="43" w:type="dxa"/>
              <w:bottom w:w="43" w:type="dxa"/>
              <w:right w:w="43" w:type="dxa"/>
            </w:tcMar>
            <w:vAlign w:val="bottom"/>
          </w:tcPr>
          <w:p w14:paraId="2F44AA09" w14:textId="77777777" w:rsidR="00575AC3" w:rsidRPr="006D40F0" w:rsidRDefault="00575AC3" w:rsidP="006D40F0"/>
        </w:tc>
      </w:tr>
      <w:tr w:rsidR="00DD49A7" w:rsidRPr="006D40F0" w14:paraId="5FF642DC" w14:textId="77777777">
        <w:trPr>
          <w:trHeight w:val="380"/>
        </w:trPr>
        <w:tc>
          <w:tcPr>
            <w:tcW w:w="680" w:type="dxa"/>
            <w:tcBorders>
              <w:top w:val="nil"/>
              <w:left w:val="nil"/>
              <w:bottom w:val="nil"/>
              <w:right w:val="nil"/>
            </w:tcBorders>
            <w:tcMar>
              <w:top w:w="128" w:type="dxa"/>
              <w:left w:w="43" w:type="dxa"/>
              <w:bottom w:w="43" w:type="dxa"/>
              <w:right w:w="43" w:type="dxa"/>
            </w:tcMar>
          </w:tcPr>
          <w:p w14:paraId="2FF79C2E" w14:textId="77777777" w:rsidR="00575AC3" w:rsidRPr="006D40F0" w:rsidRDefault="00575AC3" w:rsidP="006D40F0">
            <w:r w:rsidRPr="006D40F0">
              <w:t>153</w:t>
            </w:r>
          </w:p>
        </w:tc>
        <w:tc>
          <w:tcPr>
            <w:tcW w:w="680" w:type="dxa"/>
            <w:tcBorders>
              <w:top w:val="nil"/>
              <w:left w:val="nil"/>
              <w:bottom w:val="nil"/>
              <w:right w:val="nil"/>
            </w:tcBorders>
            <w:tcMar>
              <w:top w:w="128" w:type="dxa"/>
              <w:left w:w="43" w:type="dxa"/>
              <w:bottom w:w="43" w:type="dxa"/>
              <w:right w:w="43" w:type="dxa"/>
            </w:tcMar>
          </w:tcPr>
          <w:p w14:paraId="492F629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9E6C29B" w14:textId="77777777" w:rsidR="00575AC3" w:rsidRPr="006D40F0" w:rsidRDefault="00575AC3" w:rsidP="006D40F0">
            <w:r w:rsidRPr="006D40F0">
              <w:t xml:space="preserve">Flyktninger, fordrevne og </w:t>
            </w:r>
            <w:proofErr w:type="spellStart"/>
            <w:r w:rsidRPr="006D40F0">
              <w:t>vertssamfunn</w:t>
            </w:r>
            <w:proofErr w:type="spellEnd"/>
            <w:r w:rsidRPr="006D40F0">
              <w:t>:</w:t>
            </w:r>
          </w:p>
        </w:tc>
        <w:tc>
          <w:tcPr>
            <w:tcW w:w="1400" w:type="dxa"/>
            <w:tcBorders>
              <w:top w:val="nil"/>
              <w:left w:val="nil"/>
              <w:bottom w:val="nil"/>
              <w:right w:val="nil"/>
            </w:tcBorders>
            <w:tcMar>
              <w:top w:w="128" w:type="dxa"/>
              <w:left w:w="43" w:type="dxa"/>
              <w:bottom w:w="43" w:type="dxa"/>
              <w:right w:w="43" w:type="dxa"/>
            </w:tcMar>
            <w:vAlign w:val="bottom"/>
          </w:tcPr>
          <w:p w14:paraId="64C4762B" w14:textId="77777777" w:rsidR="00575AC3" w:rsidRPr="006D40F0" w:rsidRDefault="00575AC3" w:rsidP="006D40F0"/>
        </w:tc>
      </w:tr>
      <w:tr w:rsidR="00DD49A7" w:rsidRPr="006D40F0" w14:paraId="7E519887" w14:textId="77777777">
        <w:trPr>
          <w:trHeight w:val="380"/>
        </w:trPr>
        <w:tc>
          <w:tcPr>
            <w:tcW w:w="680" w:type="dxa"/>
            <w:tcBorders>
              <w:top w:val="nil"/>
              <w:left w:val="nil"/>
              <w:bottom w:val="nil"/>
              <w:right w:val="nil"/>
            </w:tcBorders>
            <w:tcMar>
              <w:top w:w="128" w:type="dxa"/>
              <w:left w:w="43" w:type="dxa"/>
              <w:bottom w:w="43" w:type="dxa"/>
              <w:right w:w="43" w:type="dxa"/>
            </w:tcMar>
          </w:tcPr>
          <w:p w14:paraId="056FD9B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FF7175"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18B06FA5" w14:textId="77777777" w:rsidR="00575AC3" w:rsidRPr="006D40F0" w:rsidRDefault="00575AC3" w:rsidP="006D40F0">
            <w:r w:rsidRPr="006D40F0">
              <w:t xml:space="preserve">Bærekraftige løsninger og </w:t>
            </w:r>
            <w:proofErr w:type="spellStart"/>
            <w:r w:rsidRPr="006D40F0">
              <w:t>vertssamfunn</w:t>
            </w:r>
            <w:proofErr w:type="spellEnd"/>
            <w:r w:rsidRPr="006D40F0">
              <w:t xml:space="preserv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3B7D420" w14:textId="77777777" w:rsidR="00575AC3" w:rsidRPr="006D40F0" w:rsidRDefault="00575AC3" w:rsidP="006D40F0">
            <w:r w:rsidRPr="006D40F0">
              <w:t>85 000 000</w:t>
            </w:r>
          </w:p>
        </w:tc>
      </w:tr>
      <w:tr w:rsidR="00DD49A7" w:rsidRPr="006D40F0" w14:paraId="43042B64" w14:textId="77777777">
        <w:trPr>
          <w:trHeight w:val="380"/>
        </w:trPr>
        <w:tc>
          <w:tcPr>
            <w:tcW w:w="680" w:type="dxa"/>
            <w:tcBorders>
              <w:top w:val="nil"/>
              <w:left w:val="nil"/>
              <w:bottom w:val="nil"/>
              <w:right w:val="nil"/>
            </w:tcBorders>
            <w:tcMar>
              <w:top w:w="128" w:type="dxa"/>
              <w:left w:w="43" w:type="dxa"/>
              <w:bottom w:w="43" w:type="dxa"/>
              <w:right w:w="43" w:type="dxa"/>
            </w:tcMar>
          </w:tcPr>
          <w:p w14:paraId="1B5569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AEFB0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E0B519" w14:textId="77777777" w:rsidR="00575AC3" w:rsidRPr="006D40F0" w:rsidRDefault="00575AC3" w:rsidP="006D40F0">
            <w:r w:rsidRPr="006D40F0">
              <w:t>fra kr 719 504 000 til kr 634 504 000</w:t>
            </w:r>
          </w:p>
        </w:tc>
        <w:tc>
          <w:tcPr>
            <w:tcW w:w="1400" w:type="dxa"/>
            <w:tcBorders>
              <w:top w:val="nil"/>
              <w:left w:val="nil"/>
              <w:bottom w:val="nil"/>
              <w:right w:val="nil"/>
            </w:tcBorders>
            <w:tcMar>
              <w:top w:w="128" w:type="dxa"/>
              <w:left w:w="43" w:type="dxa"/>
              <w:bottom w:w="43" w:type="dxa"/>
              <w:right w:w="43" w:type="dxa"/>
            </w:tcMar>
            <w:vAlign w:val="bottom"/>
          </w:tcPr>
          <w:p w14:paraId="54906875" w14:textId="77777777" w:rsidR="00575AC3" w:rsidRPr="006D40F0" w:rsidRDefault="00575AC3" w:rsidP="006D40F0"/>
        </w:tc>
      </w:tr>
      <w:tr w:rsidR="00DD49A7" w:rsidRPr="006D40F0" w14:paraId="0CB7712B" w14:textId="77777777">
        <w:trPr>
          <w:trHeight w:val="380"/>
        </w:trPr>
        <w:tc>
          <w:tcPr>
            <w:tcW w:w="680" w:type="dxa"/>
            <w:tcBorders>
              <w:top w:val="nil"/>
              <w:left w:val="nil"/>
              <w:bottom w:val="nil"/>
              <w:right w:val="nil"/>
            </w:tcBorders>
            <w:tcMar>
              <w:top w:w="128" w:type="dxa"/>
              <w:left w:w="43" w:type="dxa"/>
              <w:bottom w:w="43" w:type="dxa"/>
              <w:right w:w="43" w:type="dxa"/>
            </w:tcMar>
          </w:tcPr>
          <w:p w14:paraId="120181D5" w14:textId="77777777" w:rsidR="00575AC3" w:rsidRPr="006D40F0" w:rsidRDefault="00575AC3" w:rsidP="006D40F0">
            <w:r w:rsidRPr="006D40F0">
              <w:lastRenderedPageBreak/>
              <w:t>159</w:t>
            </w:r>
          </w:p>
        </w:tc>
        <w:tc>
          <w:tcPr>
            <w:tcW w:w="680" w:type="dxa"/>
            <w:tcBorders>
              <w:top w:val="nil"/>
              <w:left w:val="nil"/>
              <w:bottom w:val="nil"/>
              <w:right w:val="nil"/>
            </w:tcBorders>
            <w:tcMar>
              <w:top w:w="128" w:type="dxa"/>
              <w:left w:w="43" w:type="dxa"/>
              <w:bottom w:w="43" w:type="dxa"/>
              <w:right w:w="43" w:type="dxa"/>
            </w:tcMar>
          </w:tcPr>
          <w:p w14:paraId="5EDE8E6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0B3229" w14:textId="77777777" w:rsidR="00575AC3" w:rsidRPr="006D40F0" w:rsidRDefault="00575AC3" w:rsidP="006D40F0">
            <w:r w:rsidRPr="006D40F0">
              <w:t>Regionbevilgninger:</w:t>
            </w:r>
          </w:p>
        </w:tc>
        <w:tc>
          <w:tcPr>
            <w:tcW w:w="1400" w:type="dxa"/>
            <w:tcBorders>
              <w:top w:val="nil"/>
              <w:left w:val="nil"/>
              <w:bottom w:val="nil"/>
              <w:right w:val="nil"/>
            </w:tcBorders>
            <w:tcMar>
              <w:top w:w="128" w:type="dxa"/>
              <w:left w:w="43" w:type="dxa"/>
              <w:bottom w:w="43" w:type="dxa"/>
              <w:right w:w="43" w:type="dxa"/>
            </w:tcMar>
            <w:vAlign w:val="bottom"/>
          </w:tcPr>
          <w:p w14:paraId="17900FB6" w14:textId="77777777" w:rsidR="00575AC3" w:rsidRPr="006D40F0" w:rsidRDefault="00575AC3" w:rsidP="006D40F0"/>
        </w:tc>
      </w:tr>
      <w:tr w:rsidR="00DD49A7" w:rsidRPr="006D40F0" w14:paraId="5B25EE43" w14:textId="77777777">
        <w:trPr>
          <w:trHeight w:val="380"/>
        </w:trPr>
        <w:tc>
          <w:tcPr>
            <w:tcW w:w="680" w:type="dxa"/>
            <w:tcBorders>
              <w:top w:val="nil"/>
              <w:left w:val="nil"/>
              <w:bottom w:val="nil"/>
              <w:right w:val="nil"/>
            </w:tcBorders>
            <w:tcMar>
              <w:top w:w="128" w:type="dxa"/>
              <w:left w:w="43" w:type="dxa"/>
              <w:bottom w:w="43" w:type="dxa"/>
              <w:right w:w="43" w:type="dxa"/>
            </w:tcMar>
          </w:tcPr>
          <w:p w14:paraId="747D2D0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34438D"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4D103716" w14:textId="77777777" w:rsidR="00575AC3" w:rsidRPr="006D40F0" w:rsidRDefault="00575AC3" w:rsidP="006D40F0">
            <w:r w:rsidRPr="006D40F0">
              <w:t xml:space="preserve">Europa og Sentral-Asia,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21E300C" w14:textId="77777777" w:rsidR="00575AC3" w:rsidRPr="006D40F0" w:rsidRDefault="00575AC3" w:rsidP="006D40F0">
            <w:r w:rsidRPr="006D40F0">
              <w:t>86 000 000</w:t>
            </w:r>
          </w:p>
        </w:tc>
      </w:tr>
      <w:tr w:rsidR="00DD49A7" w:rsidRPr="006D40F0" w14:paraId="79369713" w14:textId="77777777">
        <w:trPr>
          <w:trHeight w:val="380"/>
        </w:trPr>
        <w:tc>
          <w:tcPr>
            <w:tcW w:w="680" w:type="dxa"/>
            <w:tcBorders>
              <w:top w:val="nil"/>
              <w:left w:val="nil"/>
              <w:bottom w:val="nil"/>
              <w:right w:val="nil"/>
            </w:tcBorders>
            <w:tcMar>
              <w:top w:w="128" w:type="dxa"/>
              <w:left w:w="43" w:type="dxa"/>
              <w:bottom w:w="43" w:type="dxa"/>
              <w:right w:w="43" w:type="dxa"/>
            </w:tcMar>
          </w:tcPr>
          <w:p w14:paraId="593259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92413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DBFED2" w14:textId="77777777" w:rsidR="00575AC3" w:rsidRPr="006D40F0" w:rsidRDefault="00575AC3" w:rsidP="006D40F0">
            <w:r w:rsidRPr="006D40F0">
              <w:t>fra kr 467 634 000 til kr 381 634 000</w:t>
            </w:r>
          </w:p>
        </w:tc>
        <w:tc>
          <w:tcPr>
            <w:tcW w:w="1400" w:type="dxa"/>
            <w:tcBorders>
              <w:top w:val="nil"/>
              <w:left w:val="nil"/>
              <w:bottom w:val="nil"/>
              <w:right w:val="nil"/>
            </w:tcBorders>
            <w:tcMar>
              <w:top w:w="128" w:type="dxa"/>
              <w:left w:w="43" w:type="dxa"/>
              <w:bottom w:w="43" w:type="dxa"/>
              <w:right w:w="43" w:type="dxa"/>
            </w:tcMar>
            <w:vAlign w:val="bottom"/>
          </w:tcPr>
          <w:p w14:paraId="76CB883E" w14:textId="77777777" w:rsidR="00575AC3" w:rsidRPr="006D40F0" w:rsidRDefault="00575AC3" w:rsidP="006D40F0"/>
        </w:tc>
      </w:tr>
      <w:tr w:rsidR="00DD49A7" w:rsidRPr="006D40F0" w14:paraId="29D95168" w14:textId="77777777">
        <w:trPr>
          <w:trHeight w:val="380"/>
        </w:trPr>
        <w:tc>
          <w:tcPr>
            <w:tcW w:w="680" w:type="dxa"/>
            <w:tcBorders>
              <w:top w:val="nil"/>
              <w:left w:val="nil"/>
              <w:bottom w:val="nil"/>
              <w:right w:val="nil"/>
            </w:tcBorders>
            <w:tcMar>
              <w:top w:w="128" w:type="dxa"/>
              <w:left w:w="43" w:type="dxa"/>
              <w:bottom w:w="43" w:type="dxa"/>
              <w:right w:w="43" w:type="dxa"/>
            </w:tcMar>
          </w:tcPr>
          <w:p w14:paraId="3E4EAB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075112"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12BE2211" w14:textId="77777777" w:rsidR="00575AC3" w:rsidRPr="006D40F0" w:rsidRDefault="00575AC3" w:rsidP="006D40F0">
            <w:r w:rsidRPr="006D40F0">
              <w:t xml:space="preserve">Afghanistan,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32DA9D7" w14:textId="77777777" w:rsidR="00575AC3" w:rsidRPr="006D40F0" w:rsidRDefault="00575AC3" w:rsidP="006D40F0">
            <w:r w:rsidRPr="006D40F0">
              <w:t>50 000 000</w:t>
            </w:r>
          </w:p>
        </w:tc>
      </w:tr>
      <w:tr w:rsidR="00DD49A7" w:rsidRPr="006D40F0" w14:paraId="6963DB11" w14:textId="77777777">
        <w:trPr>
          <w:trHeight w:val="380"/>
        </w:trPr>
        <w:tc>
          <w:tcPr>
            <w:tcW w:w="680" w:type="dxa"/>
            <w:tcBorders>
              <w:top w:val="nil"/>
              <w:left w:val="nil"/>
              <w:bottom w:val="nil"/>
              <w:right w:val="nil"/>
            </w:tcBorders>
            <w:tcMar>
              <w:top w:w="128" w:type="dxa"/>
              <w:left w:w="43" w:type="dxa"/>
              <w:bottom w:w="43" w:type="dxa"/>
              <w:right w:w="43" w:type="dxa"/>
            </w:tcMar>
          </w:tcPr>
          <w:p w14:paraId="1114D4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245F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76A8BD" w14:textId="77777777" w:rsidR="00575AC3" w:rsidRPr="006D40F0" w:rsidRDefault="00575AC3" w:rsidP="006D40F0">
            <w:r w:rsidRPr="006D40F0">
              <w:t>fra kr 401 241 000 til kr 351 241 000</w:t>
            </w:r>
          </w:p>
        </w:tc>
        <w:tc>
          <w:tcPr>
            <w:tcW w:w="1400" w:type="dxa"/>
            <w:tcBorders>
              <w:top w:val="nil"/>
              <w:left w:val="nil"/>
              <w:bottom w:val="nil"/>
              <w:right w:val="nil"/>
            </w:tcBorders>
            <w:tcMar>
              <w:top w:w="128" w:type="dxa"/>
              <w:left w:w="43" w:type="dxa"/>
              <w:bottom w:w="43" w:type="dxa"/>
              <w:right w:w="43" w:type="dxa"/>
            </w:tcMar>
            <w:vAlign w:val="bottom"/>
          </w:tcPr>
          <w:p w14:paraId="58344C66" w14:textId="77777777" w:rsidR="00575AC3" w:rsidRPr="006D40F0" w:rsidRDefault="00575AC3" w:rsidP="006D40F0"/>
        </w:tc>
      </w:tr>
      <w:tr w:rsidR="00DD49A7" w:rsidRPr="006D40F0" w14:paraId="69BC1FD4" w14:textId="77777777">
        <w:trPr>
          <w:trHeight w:val="380"/>
        </w:trPr>
        <w:tc>
          <w:tcPr>
            <w:tcW w:w="680" w:type="dxa"/>
            <w:tcBorders>
              <w:top w:val="nil"/>
              <w:left w:val="nil"/>
              <w:bottom w:val="nil"/>
              <w:right w:val="nil"/>
            </w:tcBorders>
            <w:tcMar>
              <w:top w:w="128" w:type="dxa"/>
              <w:left w:w="43" w:type="dxa"/>
              <w:bottom w:w="43" w:type="dxa"/>
              <w:right w:w="43" w:type="dxa"/>
            </w:tcMar>
          </w:tcPr>
          <w:p w14:paraId="36D7F83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5B0691"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3D17AA50" w14:textId="77777777" w:rsidR="00575AC3" w:rsidRPr="006D40F0" w:rsidRDefault="00575AC3" w:rsidP="006D40F0">
            <w:r w:rsidRPr="006D40F0">
              <w:t xml:space="preserve">Ukraina og naboland,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FED9D66" w14:textId="77777777" w:rsidR="00575AC3" w:rsidRPr="006D40F0" w:rsidRDefault="00575AC3" w:rsidP="006D40F0">
            <w:r w:rsidRPr="006D40F0">
              <w:t>1 000 000 000</w:t>
            </w:r>
          </w:p>
        </w:tc>
      </w:tr>
      <w:tr w:rsidR="00DD49A7" w:rsidRPr="006D40F0" w14:paraId="6322B012" w14:textId="77777777">
        <w:trPr>
          <w:trHeight w:val="380"/>
        </w:trPr>
        <w:tc>
          <w:tcPr>
            <w:tcW w:w="680" w:type="dxa"/>
            <w:tcBorders>
              <w:top w:val="nil"/>
              <w:left w:val="nil"/>
              <w:bottom w:val="nil"/>
              <w:right w:val="nil"/>
            </w:tcBorders>
            <w:tcMar>
              <w:top w:w="128" w:type="dxa"/>
              <w:left w:w="43" w:type="dxa"/>
              <w:bottom w:w="43" w:type="dxa"/>
              <w:right w:w="43" w:type="dxa"/>
            </w:tcMar>
          </w:tcPr>
          <w:p w14:paraId="711DF6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8D7C4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E58E6D" w14:textId="77777777" w:rsidR="00575AC3" w:rsidRPr="006D40F0" w:rsidRDefault="00575AC3" w:rsidP="006D40F0">
            <w:r w:rsidRPr="006D40F0">
              <w:t>fra kr 7 448 200 000 til kr 8 448 200 000</w:t>
            </w:r>
          </w:p>
        </w:tc>
        <w:tc>
          <w:tcPr>
            <w:tcW w:w="1400" w:type="dxa"/>
            <w:tcBorders>
              <w:top w:val="nil"/>
              <w:left w:val="nil"/>
              <w:bottom w:val="nil"/>
              <w:right w:val="nil"/>
            </w:tcBorders>
            <w:tcMar>
              <w:top w:w="128" w:type="dxa"/>
              <w:left w:w="43" w:type="dxa"/>
              <w:bottom w:w="43" w:type="dxa"/>
              <w:right w:w="43" w:type="dxa"/>
            </w:tcMar>
            <w:vAlign w:val="bottom"/>
          </w:tcPr>
          <w:p w14:paraId="6495D53F" w14:textId="77777777" w:rsidR="00575AC3" w:rsidRPr="006D40F0" w:rsidRDefault="00575AC3" w:rsidP="006D40F0"/>
        </w:tc>
      </w:tr>
      <w:tr w:rsidR="00DD49A7" w:rsidRPr="006D40F0" w14:paraId="7428C7C6" w14:textId="77777777">
        <w:trPr>
          <w:trHeight w:val="380"/>
        </w:trPr>
        <w:tc>
          <w:tcPr>
            <w:tcW w:w="680" w:type="dxa"/>
            <w:tcBorders>
              <w:top w:val="nil"/>
              <w:left w:val="nil"/>
              <w:bottom w:val="nil"/>
              <w:right w:val="nil"/>
            </w:tcBorders>
            <w:tcMar>
              <w:top w:w="128" w:type="dxa"/>
              <w:left w:w="43" w:type="dxa"/>
              <w:bottom w:w="43" w:type="dxa"/>
              <w:right w:w="43" w:type="dxa"/>
            </w:tcMar>
          </w:tcPr>
          <w:p w14:paraId="44C988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8FB193"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5D9C11FE" w14:textId="77777777" w:rsidR="00575AC3" w:rsidRPr="006D40F0" w:rsidRDefault="00575AC3" w:rsidP="006D40F0">
            <w:r w:rsidRPr="006D40F0">
              <w:t xml:space="preserve">Afrika,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76B22F4" w14:textId="77777777" w:rsidR="00575AC3" w:rsidRPr="006D40F0" w:rsidRDefault="00575AC3" w:rsidP="006D40F0">
            <w:r w:rsidRPr="006D40F0">
              <w:t>80 000 000</w:t>
            </w:r>
          </w:p>
        </w:tc>
      </w:tr>
      <w:tr w:rsidR="00DD49A7" w:rsidRPr="006D40F0" w14:paraId="162A4F2B" w14:textId="77777777">
        <w:trPr>
          <w:trHeight w:val="380"/>
        </w:trPr>
        <w:tc>
          <w:tcPr>
            <w:tcW w:w="680" w:type="dxa"/>
            <w:tcBorders>
              <w:top w:val="nil"/>
              <w:left w:val="nil"/>
              <w:bottom w:val="nil"/>
              <w:right w:val="nil"/>
            </w:tcBorders>
            <w:tcMar>
              <w:top w:w="128" w:type="dxa"/>
              <w:left w:w="43" w:type="dxa"/>
              <w:bottom w:w="43" w:type="dxa"/>
              <w:right w:w="43" w:type="dxa"/>
            </w:tcMar>
          </w:tcPr>
          <w:p w14:paraId="5B84EEA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C4D3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FDB2AB" w14:textId="77777777" w:rsidR="00575AC3" w:rsidRPr="006D40F0" w:rsidRDefault="00575AC3" w:rsidP="006D40F0">
            <w:r w:rsidRPr="006D40F0">
              <w:t>fra kr 2 517 022 000 til kr 2 437 022 000</w:t>
            </w:r>
          </w:p>
        </w:tc>
        <w:tc>
          <w:tcPr>
            <w:tcW w:w="1400" w:type="dxa"/>
            <w:tcBorders>
              <w:top w:val="nil"/>
              <w:left w:val="nil"/>
              <w:bottom w:val="nil"/>
              <w:right w:val="nil"/>
            </w:tcBorders>
            <w:tcMar>
              <w:top w:w="128" w:type="dxa"/>
              <w:left w:w="43" w:type="dxa"/>
              <w:bottom w:w="43" w:type="dxa"/>
              <w:right w:w="43" w:type="dxa"/>
            </w:tcMar>
            <w:vAlign w:val="bottom"/>
          </w:tcPr>
          <w:p w14:paraId="31BC0C22" w14:textId="77777777" w:rsidR="00575AC3" w:rsidRPr="006D40F0" w:rsidRDefault="00575AC3" w:rsidP="006D40F0"/>
        </w:tc>
      </w:tr>
      <w:tr w:rsidR="00DD49A7" w:rsidRPr="006D40F0" w14:paraId="13FE8DF0" w14:textId="77777777">
        <w:trPr>
          <w:trHeight w:val="380"/>
        </w:trPr>
        <w:tc>
          <w:tcPr>
            <w:tcW w:w="680" w:type="dxa"/>
            <w:tcBorders>
              <w:top w:val="nil"/>
              <w:left w:val="nil"/>
              <w:bottom w:val="nil"/>
              <w:right w:val="nil"/>
            </w:tcBorders>
            <w:tcMar>
              <w:top w:w="128" w:type="dxa"/>
              <w:left w:w="43" w:type="dxa"/>
              <w:bottom w:w="43" w:type="dxa"/>
              <w:right w:w="43" w:type="dxa"/>
            </w:tcMar>
          </w:tcPr>
          <w:p w14:paraId="702BDDCA" w14:textId="77777777" w:rsidR="00575AC3" w:rsidRPr="006D40F0" w:rsidRDefault="00575AC3" w:rsidP="006D40F0">
            <w:r w:rsidRPr="006D40F0">
              <w:t>160</w:t>
            </w:r>
          </w:p>
        </w:tc>
        <w:tc>
          <w:tcPr>
            <w:tcW w:w="680" w:type="dxa"/>
            <w:tcBorders>
              <w:top w:val="nil"/>
              <w:left w:val="nil"/>
              <w:bottom w:val="nil"/>
              <w:right w:val="nil"/>
            </w:tcBorders>
            <w:tcMar>
              <w:top w:w="128" w:type="dxa"/>
              <w:left w:w="43" w:type="dxa"/>
              <w:bottom w:w="43" w:type="dxa"/>
              <w:right w:w="43" w:type="dxa"/>
            </w:tcMar>
          </w:tcPr>
          <w:p w14:paraId="5DE87EE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5A1D58" w14:textId="77777777" w:rsidR="00575AC3" w:rsidRPr="006D40F0" w:rsidRDefault="00575AC3" w:rsidP="006D40F0">
            <w:r w:rsidRPr="006D40F0">
              <w:t>Helse:</w:t>
            </w:r>
          </w:p>
        </w:tc>
        <w:tc>
          <w:tcPr>
            <w:tcW w:w="1400" w:type="dxa"/>
            <w:tcBorders>
              <w:top w:val="nil"/>
              <w:left w:val="nil"/>
              <w:bottom w:val="nil"/>
              <w:right w:val="nil"/>
            </w:tcBorders>
            <w:tcMar>
              <w:top w:w="128" w:type="dxa"/>
              <w:left w:w="43" w:type="dxa"/>
              <w:bottom w:w="43" w:type="dxa"/>
              <w:right w:w="43" w:type="dxa"/>
            </w:tcMar>
            <w:vAlign w:val="bottom"/>
          </w:tcPr>
          <w:p w14:paraId="0B248B3E" w14:textId="77777777" w:rsidR="00575AC3" w:rsidRPr="006D40F0" w:rsidRDefault="00575AC3" w:rsidP="006D40F0"/>
        </w:tc>
      </w:tr>
      <w:tr w:rsidR="00DD49A7" w:rsidRPr="006D40F0" w14:paraId="2408BEF0" w14:textId="77777777">
        <w:trPr>
          <w:trHeight w:val="380"/>
        </w:trPr>
        <w:tc>
          <w:tcPr>
            <w:tcW w:w="680" w:type="dxa"/>
            <w:tcBorders>
              <w:top w:val="nil"/>
              <w:left w:val="nil"/>
              <w:bottom w:val="nil"/>
              <w:right w:val="nil"/>
            </w:tcBorders>
            <w:tcMar>
              <w:top w:w="128" w:type="dxa"/>
              <w:left w:w="43" w:type="dxa"/>
              <w:bottom w:w="43" w:type="dxa"/>
              <w:right w:w="43" w:type="dxa"/>
            </w:tcMar>
          </w:tcPr>
          <w:p w14:paraId="2797DD7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172D2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C2C7A6C" w14:textId="77777777" w:rsidR="00575AC3" w:rsidRPr="006D40F0" w:rsidRDefault="00575AC3" w:rsidP="006D40F0">
            <w:r w:rsidRPr="006D40F0">
              <w:t xml:space="preserve">Helse,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1617D17" w14:textId="77777777" w:rsidR="00575AC3" w:rsidRPr="006D40F0" w:rsidRDefault="00575AC3" w:rsidP="006D40F0">
            <w:r w:rsidRPr="006D40F0">
              <w:t>125 000 000</w:t>
            </w:r>
          </w:p>
        </w:tc>
      </w:tr>
      <w:tr w:rsidR="00DD49A7" w:rsidRPr="006D40F0" w14:paraId="2AACD006" w14:textId="77777777">
        <w:trPr>
          <w:trHeight w:val="380"/>
        </w:trPr>
        <w:tc>
          <w:tcPr>
            <w:tcW w:w="680" w:type="dxa"/>
            <w:tcBorders>
              <w:top w:val="nil"/>
              <w:left w:val="nil"/>
              <w:bottom w:val="nil"/>
              <w:right w:val="nil"/>
            </w:tcBorders>
            <w:tcMar>
              <w:top w:w="128" w:type="dxa"/>
              <w:left w:w="43" w:type="dxa"/>
              <w:bottom w:w="43" w:type="dxa"/>
              <w:right w:w="43" w:type="dxa"/>
            </w:tcMar>
          </w:tcPr>
          <w:p w14:paraId="7E91C0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88080E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DE9003" w14:textId="77777777" w:rsidR="00575AC3" w:rsidRPr="006D40F0" w:rsidRDefault="00575AC3" w:rsidP="006D40F0">
            <w:r w:rsidRPr="006D40F0">
              <w:t>fra kr 3 720 797 000 til kr 3 595 797 000</w:t>
            </w:r>
          </w:p>
        </w:tc>
        <w:tc>
          <w:tcPr>
            <w:tcW w:w="1400" w:type="dxa"/>
            <w:tcBorders>
              <w:top w:val="nil"/>
              <w:left w:val="nil"/>
              <w:bottom w:val="nil"/>
              <w:right w:val="nil"/>
            </w:tcBorders>
            <w:tcMar>
              <w:top w:w="128" w:type="dxa"/>
              <w:left w:w="43" w:type="dxa"/>
              <w:bottom w:w="43" w:type="dxa"/>
              <w:right w:w="43" w:type="dxa"/>
            </w:tcMar>
            <w:vAlign w:val="bottom"/>
          </w:tcPr>
          <w:p w14:paraId="5947985B" w14:textId="77777777" w:rsidR="00575AC3" w:rsidRPr="006D40F0" w:rsidRDefault="00575AC3" w:rsidP="006D40F0"/>
        </w:tc>
      </w:tr>
      <w:tr w:rsidR="00DD49A7" w:rsidRPr="006D40F0" w14:paraId="6F06F210" w14:textId="77777777">
        <w:trPr>
          <w:trHeight w:val="380"/>
        </w:trPr>
        <w:tc>
          <w:tcPr>
            <w:tcW w:w="680" w:type="dxa"/>
            <w:tcBorders>
              <w:top w:val="nil"/>
              <w:left w:val="nil"/>
              <w:bottom w:val="nil"/>
              <w:right w:val="nil"/>
            </w:tcBorders>
            <w:tcMar>
              <w:top w:w="128" w:type="dxa"/>
              <w:left w:w="43" w:type="dxa"/>
              <w:bottom w:w="43" w:type="dxa"/>
              <w:right w:w="43" w:type="dxa"/>
            </w:tcMar>
          </w:tcPr>
          <w:p w14:paraId="42B53E69" w14:textId="77777777" w:rsidR="00575AC3" w:rsidRPr="006D40F0" w:rsidRDefault="00575AC3" w:rsidP="006D40F0">
            <w:r w:rsidRPr="006D40F0">
              <w:t>161</w:t>
            </w:r>
          </w:p>
        </w:tc>
        <w:tc>
          <w:tcPr>
            <w:tcW w:w="680" w:type="dxa"/>
            <w:tcBorders>
              <w:top w:val="nil"/>
              <w:left w:val="nil"/>
              <w:bottom w:val="nil"/>
              <w:right w:val="nil"/>
            </w:tcBorders>
            <w:tcMar>
              <w:top w:w="128" w:type="dxa"/>
              <w:left w:w="43" w:type="dxa"/>
              <w:bottom w:w="43" w:type="dxa"/>
              <w:right w:w="43" w:type="dxa"/>
            </w:tcMar>
          </w:tcPr>
          <w:p w14:paraId="3E281FE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45BDD7F" w14:textId="77777777" w:rsidR="00575AC3" w:rsidRPr="006D40F0" w:rsidRDefault="00575AC3" w:rsidP="006D40F0">
            <w:r w:rsidRPr="006D40F0">
              <w:t>Utdanning, forskning og offentlige institusjoner:</w:t>
            </w:r>
          </w:p>
        </w:tc>
        <w:tc>
          <w:tcPr>
            <w:tcW w:w="1400" w:type="dxa"/>
            <w:tcBorders>
              <w:top w:val="nil"/>
              <w:left w:val="nil"/>
              <w:bottom w:val="nil"/>
              <w:right w:val="nil"/>
            </w:tcBorders>
            <w:tcMar>
              <w:top w:w="128" w:type="dxa"/>
              <w:left w:w="43" w:type="dxa"/>
              <w:bottom w:w="43" w:type="dxa"/>
              <w:right w:w="43" w:type="dxa"/>
            </w:tcMar>
            <w:vAlign w:val="bottom"/>
          </w:tcPr>
          <w:p w14:paraId="734D140B" w14:textId="77777777" w:rsidR="00575AC3" w:rsidRPr="006D40F0" w:rsidRDefault="00575AC3" w:rsidP="006D40F0"/>
        </w:tc>
      </w:tr>
      <w:tr w:rsidR="00DD49A7" w:rsidRPr="006D40F0" w14:paraId="7FEE657C" w14:textId="77777777">
        <w:trPr>
          <w:trHeight w:val="380"/>
        </w:trPr>
        <w:tc>
          <w:tcPr>
            <w:tcW w:w="680" w:type="dxa"/>
            <w:tcBorders>
              <w:top w:val="nil"/>
              <w:left w:val="nil"/>
              <w:bottom w:val="nil"/>
              <w:right w:val="nil"/>
            </w:tcBorders>
            <w:tcMar>
              <w:top w:w="128" w:type="dxa"/>
              <w:left w:w="43" w:type="dxa"/>
              <w:bottom w:w="43" w:type="dxa"/>
              <w:right w:w="43" w:type="dxa"/>
            </w:tcMar>
          </w:tcPr>
          <w:p w14:paraId="78814A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188484"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2EA06BD5" w14:textId="77777777" w:rsidR="00575AC3" w:rsidRPr="006D40F0" w:rsidRDefault="00575AC3" w:rsidP="006D40F0">
            <w:r w:rsidRPr="006D40F0">
              <w:t xml:space="preserve">Utdanning,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B55A6D7" w14:textId="77777777" w:rsidR="00575AC3" w:rsidRPr="006D40F0" w:rsidRDefault="00575AC3" w:rsidP="006D40F0">
            <w:r w:rsidRPr="006D40F0">
              <w:t>75 000 000</w:t>
            </w:r>
          </w:p>
        </w:tc>
      </w:tr>
      <w:tr w:rsidR="00DD49A7" w:rsidRPr="006D40F0" w14:paraId="5FD520F4" w14:textId="77777777">
        <w:trPr>
          <w:trHeight w:val="380"/>
        </w:trPr>
        <w:tc>
          <w:tcPr>
            <w:tcW w:w="680" w:type="dxa"/>
            <w:tcBorders>
              <w:top w:val="nil"/>
              <w:left w:val="nil"/>
              <w:bottom w:val="nil"/>
              <w:right w:val="nil"/>
            </w:tcBorders>
            <w:tcMar>
              <w:top w:w="128" w:type="dxa"/>
              <w:left w:w="43" w:type="dxa"/>
              <w:bottom w:w="43" w:type="dxa"/>
              <w:right w:w="43" w:type="dxa"/>
            </w:tcMar>
          </w:tcPr>
          <w:p w14:paraId="77B84F0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BC27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4F5A67" w14:textId="77777777" w:rsidR="00575AC3" w:rsidRPr="006D40F0" w:rsidRDefault="00575AC3" w:rsidP="006D40F0">
            <w:r w:rsidRPr="006D40F0">
              <w:t>fra kr 996 798 000 til kr 921 798 000</w:t>
            </w:r>
          </w:p>
        </w:tc>
        <w:tc>
          <w:tcPr>
            <w:tcW w:w="1400" w:type="dxa"/>
            <w:tcBorders>
              <w:top w:val="nil"/>
              <w:left w:val="nil"/>
              <w:bottom w:val="nil"/>
              <w:right w:val="nil"/>
            </w:tcBorders>
            <w:tcMar>
              <w:top w:w="128" w:type="dxa"/>
              <w:left w:w="43" w:type="dxa"/>
              <w:bottom w:w="43" w:type="dxa"/>
              <w:right w:w="43" w:type="dxa"/>
            </w:tcMar>
            <w:vAlign w:val="bottom"/>
          </w:tcPr>
          <w:p w14:paraId="0C4C2286" w14:textId="77777777" w:rsidR="00575AC3" w:rsidRPr="006D40F0" w:rsidRDefault="00575AC3" w:rsidP="006D40F0"/>
        </w:tc>
      </w:tr>
      <w:tr w:rsidR="00DD49A7" w:rsidRPr="006D40F0" w14:paraId="738DC588" w14:textId="77777777">
        <w:trPr>
          <w:trHeight w:val="380"/>
        </w:trPr>
        <w:tc>
          <w:tcPr>
            <w:tcW w:w="680" w:type="dxa"/>
            <w:tcBorders>
              <w:top w:val="nil"/>
              <w:left w:val="nil"/>
              <w:bottom w:val="nil"/>
              <w:right w:val="nil"/>
            </w:tcBorders>
            <w:tcMar>
              <w:top w:w="128" w:type="dxa"/>
              <w:left w:w="43" w:type="dxa"/>
              <w:bottom w:w="43" w:type="dxa"/>
              <w:right w:w="43" w:type="dxa"/>
            </w:tcMar>
          </w:tcPr>
          <w:p w14:paraId="0E5E2C47" w14:textId="77777777" w:rsidR="00575AC3" w:rsidRPr="006D40F0" w:rsidRDefault="00575AC3" w:rsidP="006D40F0">
            <w:r w:rsidRPr="006D40F0">
              <w:t>162</w:t>
            </w:r>
          </w:p>
        </w:tc>
        <w:tc>
          <w:tcPr>
            <w:tcW w:w="680" w:type="dxa"/>
            <w:tcBorders>
              <w:top w:val="nil"/>
              <w:left w:val="nil"/>
              <w:bottom w:val="nil"/>
              <w:right w:val="nil"/>
            </w:tcBorders>
            <w:tcMar>
              <w:top w:w="128" w:type="dxa"/>
              <w:left w:w="43" w:type="dxa"/>
              <w:bottom w:w="43" w:type="dxa"/>
              <w:right w:w="43" w:type="dxa"/>
            </w:tcMar>
          </w:tcPr>
          <w:p w14:paraId="4DD5480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392324" w14:textId="77777777" w:rsidR="00575AC3" w:rsidRPr="006D40F0" w:rsidRDefault="00575AC3" w:rsidP="006D40F0">
            <w:r w:rsidRPr="006D40F0">
              <w:t>Næringsutvikling, landbruk og fornybar energi:</w:t>
            </w:r>
          </w:p>
        </w:tc>
        <w:tc>
          <w:tcPr>
            <w:tcW w:w="1400" w:type="dxa"/>
            <w:tcBorders>
              <w:top w:val="nil"/>
              <w:left w:val="nil"/>
              <w:bottom w:val="nil"/>
              <w:right w:val="nil"/>
            </w:tcBorders>
            <w:tcMar>
              <w:top w:w="128" w:type="dxa"/>
              <w:left w:w="43" w:type="dxa"/>
              <w:bottom w:w="43" w:type="dxa"/>
              <w:right w:w="43" w:type="dxa"/>
            </w:tcMar>
            <w:vAlign w:val="bottom"/>
          </w:tcPr>
          <w:p w14:paraId="4D05D373" w14:textId="77777777" w:rsidR="00575AC3" w:rsidRPr="006D40F0" w:rsidRDefault="00575AC3" w:rsidP="006D40F0"/>
        </w:tc>
      </w:tr>
      <w:tr w:rsidR="00DD49A7" w:rsidRPr="006D40F0" w14:paraId="6A510558" w14:textId="77777777">
        <w:trPr>
          <w:trHeight w:val="640"/>
        </w:trPr>
        <w:tc>
          <w:tcPr>
            <w:tcW w:w="680" w:type="dxa"/>
            <w:tcBorders>
              <w:top w:val="nil"/>
              <w:left w:val="nil"/>
              <w:bottom w:val="nil"/>
              <w:right w:val="nil"/>
            </w:tcBorders>
            <w:tcMar>
              <w:top w:w="128" w:type="dxa"/>
              <w:left w:w="43" w:type="dxa"/>
              <w:bottom w:w="43" w:type="dxa"/>
              <w:right w:w="43" w:type="dxa"/>
            </w:tcMar>
          </w:tcPr>
          <w:p w14:paraId="20DFDB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FB83FE"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3A0382B0" w14:textId="77777777" w:rsidR="00575AC3" w:rsidRPr="006D40F0" w:rsidRDefault="00575AC3" w:rsidP="006D40F0">
            <w:r w:rsidRPr="006D40F0">
              <w:t xml:space="preserve">Bærekraftig jobbskaping, næringsutvikling og handel,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3B9647E" w14:textId="77777777" w:rsidR="00575AC3" w:rsidRPr="006D40F0" w:rsidRDefault="00575AC3" w:rsidP="006D40F0">
            <w:r w:rsidRPr="006D40F0">
              <w:t>45 000 000</w:t>
            </w:r>
          </w:p>
        </w:tc>
      </w:tr>
      <w:tr w:rsidR="00DD49A7" w:rsidRPr="006D40F0" w14:paraId="0CDAE72C" w14:textId="77777777">
        <w:trPr>
          <w:trHeight w:val="380"/>
        </w:trPr>
        <w:tc>
          <w:tcPr>
            <w:tcW w:w="680" w:type="dxa"/>
            <w:tcBorders>
              <w:top w:val="nil"/>
              <w:left w:val="nil"/>
              <w:bottom w:val="nil"/>
              <w:right w:val="nil"/>
            </w:tcBorders>
            <w:tcMar>
              <w:top w:w="128" w:type="dxa"/>
              <w:left w:w="43" w:type="dxa"/>
              <w:bottom w:w="43" w:type="dxa"/>
              <w:right w:w="43" w:type="dxa"/>
            </w:tcMar>
          </w:tcPr>
          <w:p w14:paraId="4146FD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B750D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8545E3" w14:textId="77777777" w:rsidR="00575AC3" w:rsidRPr="006D40F0" w:rsidRDefault="00575AC3" w:rsidP="006D40F0">
            <w:r w:rsidRPr="006D40F0">
              <w:t>fra kr 234 536 000 til kr 189 536 000</w:t>
            </w:r>
          </w:p>
        </w:tc>
        <w:tc>
          <w:tcPr>
            <w:tcW w:w="1400" w:type="dxa"/>
            <w:tcBorders>
              <w:top w:val="nil"/>
              <w:left w:val="nil"/>
              <w:bottom w:val="nil"/>
              <w:right w:val="nil"/>
            </w:tcBorders>
            <w:tcMar>
              <w:top w:w="128" w:type="dxa"/>
              <w:left w:w="43" w:type="dxa"/>
              <w:bottom w:w="43" w:type="dxa"/>
              <w:right w:w="43" w:type="dxa"/>
            </w:tcMar>
            <w:vAlign w:val="bottom"/>
          </w:tcPr>
          <w:p w14:paraId="77D6F751" w14:textId="77777777" w:rsidR="00575AC3" w:rsidRPr="006D40F0" w:rsidRDefault="00575AC3" w:rsidP="006D40F0"/>
        </w:tc>
      </w:tr>
      <w:tr w:rsidR="00DD49A7" w:rsidRPr="006D40F0" w14:paraId="7612EEC1" w14:textId="77777777">
        <w:trPr>
          <w:trHeight w:val="380"/>
        </w:trPr>
        <w:tc>
          <w:tcPr>
            <w:tcW w:w="680" w:type="dxa"/>
            <w:tcBorders>
              <w:top w:val="nil"/>
              <w:left w:val="nil"/>
              <w:bottom w:val="nil"/>
              <w:right w:val="nil"/>
            </w:tcBorders>
            <w:tcMar>
              <w:top w:w="128" w:type="dxa"/>
              <w:left w:w="43" w:type="dxa"/>
              <w:bottom w:w="43" w:type="dxa"/>
              <w:right w:w="43" w:type="dxa"/>
            </w:tcMar>
          </w:tcPr>
          <w:p w14:paraId="44E3497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873DB0"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5567DC1" w14:textId="77777777" w:rsidR="00575AC3" w:rsidRPr="006D40F0" w:rsidRDefault="00575AC3" w:rsidP="006D40F0">
            <w:r w:rsidRPr="006D40F0">
              <w:t xml:space="preserve">Matsikkerhet, fisk og landbruk,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2230F68" w14:textId="77777777" w:rsidR="00575AC3" w:rsidRPr="006D40F0" w:rsidRDefault="00575AC3" w:rsidP="006D40F0">
            <w:r w:rsidRPr="006D40F0">
              <w:t>100 000 000</w:t>
            </w:r>
          </w:p>
        </w:tc>
      </w:tr>
      <w:tr w:rsidR="00DD49A7" w:rsidRPr="006D40F0" w14:paraId="43129CCA" w14:textId="77777777">
        <w:trPr>
          <w:trHeight w:val="380"/>
        </w:trPr>
        <w:tc>
          <w:tcPr>
            <w:tcW w:w="680" w:type="dxa"/>
            <w:tcBorders>
              <w:top w:val="nil"/>
              <w:left w:val="nil"/>
              <w:bottom w:val="nil"/>
              <w:right w:val="nil"/>
            </w:tcBorders>
            <w:tcMar>
              <w:top w:w="128" w:type="dxa"/>
              <w:left w:w="43" w:type="dxa"/>
              <w:bottom w:w="43" w:type="dxa"/>
              <w:right w:w="43" w:type="dxa"/>
            </w:tcMar>
          </w:tcPr>
          <w:p w14:paraId="4F5E6A7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27E1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8EFA18E" w14:textId="77777777" w:rsidR="00575AC3" w:rsidRPr="006D40F0" w:rsidRDefault="00575AC3" w:rsidP="006D40F0">
            <w:r w:rsidRPr="006D40F0">
              <w:t>fra kr 1 897 966 000 til kr 1 797 966 000</w:t>
            </w:r>
          </w:p>
        </w:tc>
        <w:tc>
          <w:tcPr>
            <w:tcW w:w="1400" w:type="dxa"/>
            <w:tcBorders>
              <w:top w:val="nil"/>
              <w:left w:val="nil"/>
              <w:bottom w:val="nil"/>
              <w:right w:val="nil"/>
            </w:tcBorders>
            <w:tcMar>
              <w:top w:w="128" w:type="dxa"/>
              <w:left w:w="43" w:type="dxa"/>
              <w:bottom w:w="43" w:type="dxa"/>
              <w:right w:w="43" w:type="dxa"/>
            </w:tcMar>
            <w:vAlign w:val="bottom"/>
          </w:tcPr>
          <w:p w14:paraId="5C15956F" w14:textId="77777777" w:rsidR="00575AC3" w:rsidRPr="006D40F0" w:rsidRDefault="00575AC3" w:rsidP="006D40F0"/>
        </w:tc>
      </w:tr>
      <w:tr w:rsidR="00DD49A7" w:rsidRPr="006D40F0" w14:paraId="338EFE5B" w14:textId="77777777">
        <w:trPr>
          <w:trHeight w:val="380"/>
        </w:trPr>
        <w:tc>
          <w:tcPr>
            <w:tcW w:w="680" w:type="dxa"/>
            <w:tcBorders>
              <w:top w:val="nil"/>
              <w:left w:val="nil"/>
              <w:bottom w:val="nil"/>
              <w:right w:val="nil"/>
            </w:tcBorders>
            <w:tcMar>
              <w:top w:w="128" w:type="dxa"/>
              <w:left w:w="43" w:type="dxa"/>
              <w:bottom w:w="43" w:type="dxa"/>
              <w:right w:w="43" w:type="dxa"/>
            </w:tcMar>
          </w:tcPr>
          <w:p w14:paraId="3C15C69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6FE366"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1738C69" w14:textId="77777777" w:rsidR="00575AC3" w:rsidRPr="006D40F0" w:rsidRDefault="00575AC3" w:rsidP="006D40F0">
            <w:r w:rsidRPr="006D40F0">
              <w:t xml:space="preserve">Fornybar energi,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8DE4F24" w14:textId="77777777" w:rsidR="00575AC3" w:rsidRPr="006D40F0" w:rsidRDefault="00575AC3" w:rsidP="006D40F0">
            <w:r w:rsidRPr="006D40F0">
              <w:t>375 000 000</w:t>
            </w:r>
          </w:p>
        </w:tc>
      </w:tr>
      <w:tr w:rsidR="00DD49A7" w:rsidRPr="006D40F0" w14:paraId="1D69A1C7" w14:textId="77777777">
        <w:trPr>
          <w:trHeight w:val="380"/>
        </w:trPr>
        <w:tc>
          <w:tcPr>
            <w:tcW w:w="680" w:type="dxa"/>
            <w:tcBorders>
              <w:top w:val="nil"/>
              <w:left w:val="nil"/>
              <w:bottom w:val="nil"/>
              <w:right w:val="nil"/>
            </w:tcBorders>
            <w:tcMar>
              <w:top w:w="128" w:type="dxa"/>
              <w:left w:w="43" w:type="dxa"/>
              <w:bottom w:w="43" w:type="dxa"/>
              <w:right w:w="43" w:type="dxa"/>
            </w:tcMar>
          </w:tcPr>
          <w:p w14:paraId="0FC0C09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A8A73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1248EDA" w14:textId="77777777" w:rsidR="00575AC3" w:rsidRPr="006D40F0" w:rsidRDefault="00575AC3" w:rsidP="006D40F0">
            <w:r w:rsidRPr="006D40F0">
              <w:t>fra kr 1 019 358 000 til kr 644 358 000</w:t>
            </w:r>
          </w:p>
        </w:tc>
        <w:tc>
          <w:tcPr>
            <w:tcW w:w="1400" w:type="dxa"/>
            <w:tcBorders>
              <w:top w:val="nil"/>
              <w:left w:val="nil"/>
              <w:bottom w:val="nil"/>
              <w:right w:val="nil"/>
            </w:tcBorders>
            <w:tcMar>
              <w:top w:w="128" w:type="dxa"/>
              <w:left w:w="43" w:type="dxa"/>
              <w:bottom w:w="43" w:type="dxa"/>
              <w:right w:w="43" w:type="dxa"/>
            </w:tcMar>
            <w:vAlign w:val="bottom"/>
          </w:tcPr>
          <w:p w14:paraId="428903F5" w14:textId="77777777" w:rsidR="00575AC3" w:rsidRPr="006D40F0" w:rsidRDefault="00575AC3" w:rsidP="006D40F0"/>
        </w:tc>
      </w:tr>
      <w:tr w:rsidR="00DD49A7" w:rsidRPr="006D40F0" w14:paraId="33E6AC6C" w14:textId="77777777">
        <w:trPr>
          <w:trHeight w:val="380"/>
        </w:trPr>
        <w:tc>
          <w:tcPr>
            <w:tcW w:w="680" w:type="dxa"/>
            <w:tcBorders>
              <w:top w:val="nil"/>
              <w:left w:val="nil"/>
              <w:bottom w:val="nil"/>
              <w:right w:val="nil"/>
            </w:tcBorders>
            <w:tcMar>
              <w:top w:w="128" w:type="dxa"/>
              <w:left w:w="43" w:type="dxa"/>
              <w:bottom w:w="43" w:type="dxa"/>
              <w:right w:w="43" w:type="dxa"/>
            </w:tcMar>
          </w:tcPr>
          <w:p w14:paraId="7870059D" w14:textId="77777777" w:rsidR="00575AC3" w:rsidRPr="006D40F0" w:rsidRDefault="00575AC3" w:rsidP="006D40F0">
            <w:r w:rsidRPr="006D40F0">
              <w:lastRenderedPageBreak/>
              <w:t>163</w:t>
            </w:r>
          </w:p>
        </w:tc>
        <w:tc>
          <w:tcPr>
            <w:tcW w:w="680" w:type="dxa"/>
            <w:tcBorders>
              <w:top w:val="nil"/>
              <w:left w:val="nil"/>
              <w:bottom w:val="nil"/>
              <w:right w:val="nil"/>
            </w:tcBorders>
            <w:tcMar>
              <w:top w:w="128" w:type="dxa"/>
              <w:left w:w="43" w:type="dxa"/>
              <w:bottom w:w="43" w:type="dxa"/>
              <w:right w:w="43" w:type="dxa"/>
            </w:tcMar>
          </w:tcPr>
          <w:p w14:paraId="7C944C5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040E265" w14:textId="77777777" w:rsidR="00575AC3" w:rsidRPr="006D40F0" w:rsidRDefault="00575AC3" w:rsidP="006D40F0">
            <w:r w:rsidRPr="006D40F0">
              <w:t>Klima, miljø og hav:</w:t>
            </w:r>
          </w:p>
        </w:tc>
        <w:tc>
          <w:tcPr>
            <w:tcW w:w="1400" w:type="dxa"/>
            <w:tcBorders>
              <w:top w:val="nil"/>
              <w:left w:val="nil"/>
              <w:bottom w:val="nil"/>
              <w:right w:val="nil"/>
            </w:tcBorders>
            <w:tcMar>
              <w:top w:w="128" w:type="dxa"/>
              <w:left w:w="43" w:type="dxa"/>
              <w:bottom w:w="43" w:type="dxa"/>
              <w:right w:w="43" w:type="dxa"/>
            </w:tcMar>
            <w:vAlign w:val="bottom"/>
          </w:tcPr>
          <w:p w14:paraId="343A193B" w14:textId="77777777" w:rsidR="00575AC3" w:rsidRPr="006D40F0" w:rsidRDefault="00575AC3" w:rsidP="006D40F0"/>
        </w:tc>
      </w:tr>
      <w:tr w:rsidR="00DD49A7" w:rsidRPr="006D40F0" w14:paraId="5B60C116" w14:textId="77777777">
        <w:trPr>
          <w:trHeight w:val="380"/>
        </w:trPr>
        <w:tc>
          <w:tcPr>
            <w:tcW w:w="680" w:type="dxa"/>
            <w:tcBorders>
              <w:top w:val="nil"/>
              <w:left w:val="nil"/>
              <w:bottom w:val="nil"/>
              <w:right w:val="nil"/>
            </w:tcBorders>
            <w:tcMar>
              <w:top w:w="128" w:type="dxa"/>
              <w:left w:w="43" w:type="dxa"/>
              <w:bottom w:w="43" w:type="dxa"/>
              <w:right w:w="43" w:type="dxa"/>
            </w:tcMar>
          </w:tcPr>
          <w:p w14:paraId="337189B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BD338F"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66FB503" w14:textId="77777777" w:rsidR="00575AC3" w:rsidRPr="006D40F0" w:rsidRDefault="00575AC3" w:rsidP="006D40F0">
            <w:r w:rsidRPr="006D40F0">
              <w:t xml:space="preserve">Miljø og klima,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680198A" w14:textId="77777777" w:rsidR="00575AC3" w:rsidRPr="006D40F0" w:rsidRDefault="00575AC3" w:rsidP="006D40F0">
            <w:r w:rsidRPr="006D40F0">
              <w:t>113 860 000</w:t>
            </w:r>
          </w:p>
        </w:tc>
      </w:tr>
      <w:tr w:rsidR="00DD49A7" w:rsidRPr="006D40F0" w14:paraId="23DC1C6E" w14:textId="77777777">
        <w:trPr>
          <w:trHeight w:val="380"/>
        </w:trPr>
        <w:tc>
          <w:tcPr>
            <w:tcW w:w="680" w:type="dxa"/>
            <w:tcBorders>
              <w:top w:val="nil"/>
              <w:left w:val="nil"/>
              <w:bottom w:val="nil"/>
              <w:right w:val="nil"/>
            </w:tcBorders>
            <w:tcMar>
              <w:top w:w="128" w:type="dxa"/>
              <w:left w:w="43" w:type="dxa"/>
              <w:bottom w:w="43" w:type="dxa"/>
              <w:right w:w="43" w:type="dxa"/>
            </w:tcMar>
          </w:tcPr>
          <w:p w14:paraId="29DC4F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EE00A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9CD632" w14:textId="77777777" w:rsidR="00575AC3" w:rsidRPr="006D40F0" w:rsidRDefault="00575AC3" w:rsidP="006D40F0">
            <w:r w:rsidRPr="006D40F0">
              <w:t>fra kr 1 744 431 000 til kr 1 630 571 000</w:t>
            </w:r>
          </w:p>
        </w:tc>
        <w:tc>
          <w:tcPr>
            <w:tcW w:w="1400" w:type="dxa"/>
            <w:tcBorders>
              <w:top w:val="nil"/>
              <w:left w:val="nil"/>
              <w:bottom w:val="nil"/>
              <w:right w:val="nil"/>
            </w:tcBorders>
            <w:tcMar>
              <w:top w:w="128" w:type="dxa"/>
              <w:left w:w="43" w:type="dxa"/>
              <w:bottom w:w="43" w:type="dxa"/>
              <w:right w:w="43" w:type="dxa"/>
            </w:tcMar>
            <w:vAlign w:val="bottom"/>
          </w:tcPr>
          <w:p w14:paraId="07D224D8" w14:textId="77777777" w:rsidR="00575AC3" w:rsidRPr="006D40F0" w:rsidRDefault="00575AC3" w:rsidP="006D40F0"/>
        </w:tc>
      </w:tr>
      <w:tr w:rsidR="00DD49A7" w:rsidRPr="006D40F0" w14:paraId="0DC99CEE" w14:textId="77777777">
        <w:trPr>
          <w:trHeight w:val="380"/>
        </w:trPr>
        <w:tc>
          <w:tcPr>
            <w:tcW w:w="680" w:type="dxa"/>
            <w:tcBorders>
              <w:top w:val="nil"/>
              <w:left w:val="nil"/>
              <w:bottom w:val="nil"/>
              <w:right w:val="nil"/>
            </w:tcBorders>
            <w:tcMar>
              <w:top w:w="128" w:type="dxa"/>
              <w:left w:w="43" w:type="dxa"/>
              <w:bottom w:w="43" w:type="dxa"/>
              <w:right w:w="43" w:type="dxa"/>
            </w:tcMar>
          </w:tcPr>
          <w:p w14:paraId="4E3B7702" w14:textId="77777777" w:rsidR="00575AC3" w:rsidRPr="006D40F0" w:rsidRDefault="00575AC3" w:rsidP="006D40F0">
            <w:r w:rsidRPr="006D40F0">
              <w:t>170</w:t>
            </w:r>
          </w:p>
        </w:tc>
        <w:tc>
          <w:tcPr>
            <w:tcW w:w="680" w:type="dxa"/>
            <w:tcBorders>
              <w:top w:val="nil"/>
              <w:left w:val="nil"/>
              <w:bottom w:val="nil"/>
              <w:right w:val="nil"/>
            </w:tcBorders>
            <w:tcMar>
              <w:top w:w="128" w:type="dxa"/>
              <w:left w:w="43" w:type="dxa"/>
              <w:bottom w:w="43" w:type="dxa"/>
              <w:right w:w="43" w:type="dxa"/>
            </w:tcMar>
          </w:tcPr>
          <w:p w14:paraId="5A5179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B93F94" w14:textId="77777777" w:rsidR="00575AC3" w:rsidRPr="006D40F0" w:rsidRDefault="00575AC3" w:rsidP="006D40F0">
            <w:r w:rsidRPr="006D40F0">
              <w:t>Sivilt samfunn:</w:t>
            </w:r>
          </w:p>
        </w:tc>
        <w:tc>
          <w:tcPr>
            <w:tcW w:w="1400" w:type="dxa"/>
            <w:tcBorders>
              <w:top w:val="nil"/>
              <w:left w:val="nil"/>
              <w:bottom w:val="nil"/>
              <w:right w:val="nil"/>
            </w:tcBorders>
            <w:tcMar>
              <w:top w:w="128" w:type="dxa"/>
              <w:left w:w="43" w:type="dxa"/>
              <w:bottom w:w="43" w:type="dxa"/>
              <w:right w:w="43" w:type="dxa"/>
            </w:tcMar>
            <w:vAlign w:val="bottom"/>
          </w:tcPr>
          <w:p w14:paraId="17C8CF69" w14:textId="77777777" w:rsidR="00575AC3" w:rsidRPr="006D40F0" w:rsidRDefault="00575AC3" w:rsidP="006D40F0"/>
        </w:tc>
      </w:tr>
      <w:tr w:rsidR="00DD49A7" w:rsidRPr="006D40F0" w14:paraId="100CAF99" w14:textId="77777777">
        <w:trPr>
          <w:trHeight w:val="380"/>
        </w:trPr>
        <w:tc>
          <w:tcPr>
            <w:tcW w:w="680" w:type="dxa"/>
            <w:tcBorders>
              <w:top w:val="nil"/>
              <w:left w:val="nil"/>
              <w:bottom w:val="nil"/>
              <w:right w:val="nil"/>
            </w:tcBorders>
            <w:tcMar>
              <w:top w:w="128" w:type="dxa"/>
              <w:left w:w="43" w:type="dxa"/>
              <w:bottom w:w="43" w:type="dxa"/>
              <w:right w:w="43" w:type="dxa"/>
            </w:tcMar>
          </w:tcPr>
          <w:p w14:paraId="0A96204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60A752"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2FFCDBA" w14:textId="77777777" w:rsidR="00575AC3" w:rsidRPr="006D40F0" w:rsidRDefault="00575AC3" w:rsidP="006D40F0">
            <w:r w:rsidRPr="006D40F0">
              <w:t xml:space="preserve">Sivilt samfunn,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A8449B7" w14:textId="77777777" w:rsidR="00575AC3" w:rsidRPr="006D40F0" w:rsidRDefault="00575AC3" w:rsidP="006D40F0">
            <w:r w:rsidRPr="006D40F0">
              <w:t>185 000 000</w:t>
            </w:r>
          </w:p>
        </w:tc>
      </w:tr>
      <w:tr w:rsidR="00DD49A7" w:rsidRPr="006D40F0" w14:paraId="7E73B488" w14:textId="77777777">
        <w:trPr>
          <w:trHeight w:val="380"/>
        </w:trPr>
        <w:tc>
          <w:tcPr>
            <w:tcW w:w="680" w:type="dxa"/>
            <w:tcBorders>
              <w:top w:val="nil"/>
              <w:left w:val="nil"/>
              <w:bottom w:val="nil"/>
              <w:right w:val="nil"/>
            </w:tcBorders>
            <w:tcMar>
              <w:top w:w="128" w:type="dxa"/>
              <w:left w:w="43" w:type="dxa"/>
              <w:bottom w:w="43" w:type="dxa"/>
              <w:right w:w="43" w:type="dxa"/>
            </w:tcMar>
          </w:tcPr>
          <w:p w14:paraId="51B94A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64AEB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D8F592D" w14:textId="77777777" w:rsidR="00575AC3" w:rsidRPr="006D40F0" w:rsidRDefault="00575AC3" w:rsidP="006D40F0">
            <w:r w:rsidRPr="006D40F0">
              <w:t>fra kr 2 570 665 000 til kr 2 385 665 000</w:t>
            </w:r>
          </w:p>
        </w:tc>
        <w:tc>
          <w:tcPr>
            <w:tcW w:w="1400" w:type="dxa"/>
            <w:tcBorders>
              <w:top w:val="nil"/>
              <w:left w:val="nil"/>
              <w:bottom w:val="nil"/>
              <w:right w:val="nil"/>
            </w:tcBorders>
            <w:tcMar>
              <w:top w:w="128" w:type="dxa"/>
              <w:left w:w="43" w:type="dxa"/>
              <w:bottom w:w="43" w:type="dxa"/>
              <w:right w:w="43" w:type="dxa"/>
            </w:tcMar>
            <w:vAlign w:val="bottom"/>
          </w:tcPr>
          <w:p w14:paraId="0F5D041E" w14:textId="77777777" w:rsidR="00575AC3" w:rsidRPr="006D40F0" w:rsidRDefault="00575AC3" w:rsidP="006D40F0"/>
        </w:tc>
      </w:tr>
      <w:tr w:rsidR="00DD49A7" w:rsidRPr="006D40F0" w14:paraId="48ACF124" w14:textId="77777777">
        <w:trPr>
          <w:trHeight w:val="380"/>
        </w:trPr>
        <w:tc>
          <w:tcPr>
            <w:tcW w:w="680" w:type="dxa"/>
            <w:tcBorders>
              <w:top w:val="nil"/>
              <w:left w:val="nil"/>
              <w:bottom w:val="nil"/>
              <w:right w:val="nil"/>
            </w:tcBorders>
            <w:tcMar>
              <w:top w:w="128" w:type="dxa"/>
              <w:left w:w="43" w:type="dxa"/>
              <w:bottom w:w="43" w:type="dxa"/>
              <w:right w:w="43" w:type="dxa"/>
            </w:tcMar>
          </w:tcPr>
          <w:p w14:paraId="37E1CA1B" w14:textId="77777777" w:rsidR="00575AC3" w:rsidRPr="006D40F0" w:rsidRDefault="00575AC3" w:rsidP="006D40F0">
            <w:r w:rsidRPr="006D40F0">
              <w:t>171</w:t>
            </w:r>
          </w:p>
        </w:tc>
        <w:tc>
          <w:tcPr>
            <w:tcW w:w="680" w:type="dxa"/>
            <w:tcBorders>
              <w:top w:val="nil"/>
              <w:left w:val="nil"/>
              <w:bottom w:val="nil"/>
              <w:right w:val="nil"/>
            </w:tcBorders>
            <w:tcMar>
              <w:top w:w="128" w:type="dxa"/>
              <w:left w:w="43" w:type="dxa"/>
              <w:bottom w:w="43" w:type="dxa"/>
              <w:right w:w="43" w:type="dxa"/>
            </w:tcMar>
          </w:tcPr>
          <w:p w14:paraId="6C133B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8E491AB" w14:textId="77777777" w:rsidR="00575AC3" w:rsidRPr="006D40F0" w:rsidRDefault="00575AC3" w:rsidP="006D40F0">
            <w:r w:rsidRPr="006D40F0">
              <w:t>FNs utviklingsarbeid:</w:t>
            </w:r>
          </w:p>
        </w:tc>
        <w:tc>
          <w:tcPr>
            <w:tcW w:w="1400" w:type="dxa"/>
            <w:tcBorders>
              <w:top w:val="nil"/>
              <w:left w:val="nil"/>
              <w:bottom w:val="nil"/>
              <w:right w:val="nil"/>
            </w:tcBorders>
            <w:tcMar>
              <w:top w:w="128" w:type="dxa"/>
              <w:left w:w="43" w:type="dxa"/>
              <w:bottom w:w="43" w:type="dxa"/>
              <w:right w:w="43" w:type="dxa"/>
            </w:tcMar>
            <w:vAlign w:val="bottom"/>
          </w:tcPr>
          <w:p w14:paraId="33B52DDB" w14:textId="77777777" w:rsidR="00575AC3" w:rsidRPr="006D40F0" w:rsidRDefault="00575AC3" w:rsidP="006D40F0"/>
        </w:tc>
      </w:tr>
      <w:tr w:rsidR="00DD49A7" w:rsidRPr="006D40F0" w14:paraId="696EC47A" w14:textId="77777777">
        <w:trPr>
          <w:trHeight w:val="380"/>
        </w:trPr>
        <w:tc>
          <w:tcPr>
            <w:tcW w:w="680" w:type="dxa"/>
            <w:tcBorders>
              <w:top w:val="nil"/>
              <w:left w:val="nil"/>
              <w:bottom w:val="nil"/>
              <w:right w:val="nil"/>
            </w:tcBorders>
            <w:tcMar>
              <w:top w:w="128" w:type="dxa"/>
              <w:left w:w="43" w:type="dxa"/>
              <w:bottom w:w="43" w:type="dxa"/>
              <w:right w:w="43" w:type="dxa"/>
            </w:tcMar>
          </w:tcPr>
          <w:p w14:paraId="2DABCF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56010F"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05737D7C" w14:textId="77777777" w:rsidR="00575AC3" w:rsidRPr="006D40F0" w:rsidRDefault="00575AC3" w:rsidP="006D40F0">
            <w:r w:rsidRPr="006D40F0">
              <w:t xml:space="preserve">FN og multilateralt samarbeid,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AA1BA24" w14:textId="77777777" w:rsidR="00575AC3" w:rsidRPr="006D40F0" w:rsidRDefault="00575AC3" w:rsidP="006D40F0">
            <w:r w:rsidRPr="006D40F0">
              <w:t>3 600 000</w:t>
            </w:r>
          </w:p>
        </w:tc>
      </w:tr>
      <w:tr w:rsidR="00DD49A7" w:rsidRPr="006D40F0" w14:paraId="12CA9019" w14:textId="77777777">
        <w:trPr>
          <w:trHeight w:val="380"/>
        </w:trPr>
        <w:tc>
          <w:tcPr>
            <w:tcW w:w="680" w:type="dxa"/>
            <w:tcBorders>
              <w:top w:val="nil"/>
              <w:left w:val="nil"/>
              <w:bottom w:val="nil"/>
              <w:right w:val="nil"/>
            </w:tcBorders>
            <w:tcMar>
              <w:top w:w="128" w:type="dxa"/>
              <w:left w:w="43" w:type="dxa"/>
              <w:bottom w:w="43" w:type="dxa"/>
              <w:right w:w="43" w:type="dxa"/>
            </w:tcMar>
          </w:tcPr>
          <w:p w14:paraId="59746E8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C06A8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C3E689" w14:textId="77777777" w:rsidR="00575AC3" w:rsidRPr="006D40F0" w:rsidRDefault="00575AC3" w:rsidP="006D40F0">
            <w:r w:rsidRPr="006D40F0">
              <w:t>fra kr 11 099 000 til kr 7 499 000</w:t>
            </w:r>
          </w:p>
        </w:tc>
        <w:tc>
          <w:tcPr>
            <w:tcW w:w="1400" w:type="dxa"/>
            <w:tcBorders>
              <w:top w:val="nil"/>
              <w:left w:val="nil"/>
              <w:bottom w:val="nil"/>
              <w:right w:val="nil"/>
            </w:tcBorders>
            <w:tcMar>
              <w:top w:w="128" w:type="dxa"/>
              <w:left w:w="43" w:type="dxa"/>
              <w:bottom w:w="43" w:type="dxa"/>
              <w:right w:w="43" w:type="dxa"/>
            </w:tcMar>
            <w:vAlign w:val="bottom"/>
          </w:tcPr>
          <w:p w14:paraId="186FC44E" w14:textId="77777777" w:rsidR="00575AC3" w:rsidRPr="006D40F0" w:rsidRDefault="00575AC3" w:rsidP="006D40F0"/>
        </w:tc>
      </w:tr>
      <w:tr w:rsidR="00DD49A7" w:rsidRPr="006D40F0" w14:paraId="6AAD7DAA" w14:textId="77777777">
        <w:trPr>
          <w:trHeight w:val="380"/>
        </w:trPr>
        <w:tc>
          <w:tcPr>
            <w:tcW w:w="680" w:type="dxa"/>
            <w:tcBorders>
              <w:top w:val="nil"/>
              <w:left w:val="nil"/>
              <w:bottom w:val="nil"/>
              <w:right w:val="nil"/>
            </w:tcBorders>
            <w:tcMar>
              <w:top w:w="128" w:type="dxa"/>
              <w:left w:w="43" w:type="dxa"/>
              <w:bottom w:w="43" w:type="dxa"/>
              <w:right w:w="43" w:type="dxa"/>
            </w:tcMar>
          </w:tcPr>
          <w:p w14:paraId="0006C58F" w14:textId="77777777" w:rsidR="00575AC3" w:rsidRPr="006D40F0" w:rsidRDefault="00575AC3" w:rsidP="006D40F0">
            <w:r w:rsidRPr="006D40F0">
              <w:t>172</w:t>
            </w:r>
          </w:p>
        </w:tc>
        <w:tc>
          <w:tcPr>
            <w:tcW w:w="680" w:type="dxa"/>
            <w:tcBorders>
              <w:top w:val="nil"/>
              <w:left w:val="nil"/>
              <w:bottom w:val="nil"/>
              <w:right w:val="nil"/>
            </w:tcBorders>
            <w:tcMar>
              <w:top w:w="128" w:type="dxa"/>
              <w:left w:w="43" w:type="dxa"/>
              <w:bottom w:w="43" w:type="dxa"/>
              <w:right w:w="43" w:type="dxa"/>
            </w:tcMar>
          </w:tcPr>
          <w:p w14:paraId="1ED5B47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786DC8" w14:textId="77777777" w:rsidR="00575AC3" w:rsidRPr="006D40F0" w:rsidRDefault="00575AC3" w:rsidP="006D40F0">
            <w:r w:rsidRPr="006D40F0">
              <w:t>Multilaterale finansinstitusjoner og gjeldslette:</w:t>
            </w:r>
          </w:p>
        </w:tc>
        <w:tc>
          <w:tcPr>
            <w:tcW w:w="1400" w:type="dxa"/>
            <w:tcBorders>
              <w:top w:val="nil"/>
              <w:left w:val="nil"/>
              <w:bottom w:val="nil"/>
              <w:right w:val="nil"/>
            </w:tcBorders>
            <w:tcMar>
              <w:top w:w="128" w:type="dxa"/>
              <w:left w:w="43" w:type="dxa"/>
              <w:bottom w:w="43" w:type="dxa"/>
              <w:right w:w="43" w:type="dxa"/>
            </w:tcMar>
            <w:vAlign w:val="bottom"/>
          </w:tcPr>
          <w:p w14:paraId="32185624" w14:textId="77777777" w:rsidR="00575AC3" w:rsidRPr="006D40F0" w:rsidRDefault="00575AC3" w:rsidP="006D40F0"/>
        </w:tc>
      </w:tr>
      <w:tr w:rsidR="00DD49A7" w:rsidRPr="006D40F0" w14:paraId="6E6DCBA0" w14:textId="77777777">
        <w:trPr>
          <w:trHeight w:val="380"/>
        </w:trPr>
        <w:tc>
          <w:tcPr>
            <w:tcW w:w="680" w:type="dxa"/>
            <w:tcBorders>
              <w:top w:val="nil"/>
              <w:left w:val="nil"/>
              <w:bottom w:val="nil"/>
              <w:right w:val="nil"/>
            </w:tcBorders>
            <w:tcMar>
              <w:top w:w="128" w:type="dxa"/>
              <w:left w:w="43" w:type="dxa"/>
              <w:bottom w:w="43" w:type="dxa"/>
              <w:right w:w="43" w:type="dxa"/>
            </w:tcMar>
          </w:tcPr>
          <w:p w14:paraId="1CBAD3C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5A434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FD46639" w14:textId="77777777" w:rsidR="00575AC3" w:rsidRPr="006D40F0" w:rsidRDefault="00575AC3" w:rsidP="006D40F0">
            <w:r w:rsidRPr="006D40F0">
              <w:t xml:space="preserve">Verdensbanken,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262413E" w14:textId="77777777" w:rsidR="00575AC3" w:rsidRPr="006D40F0" w:rsidRDefault="00575AC3" w:rsidP="006D40F0">
            <w:r w:rsidRPr="006D40F0">
              <w:t>2 900 000</w:t>
            </w:r>
          </w:p>
        </w:tc>
      </w:tr>
      <w:tr w:rsidR="00DD49A7" w:rsidRPr="006D40F0" w14:paraId="7F34627C" w14:textId="77777777">
        <w:trPr>
          <w:trHeight w:val="380"/>
        </w:trPr>
        <w:tc>
          <w:tcPr>
            <w:tcW w:w="680" w:type="dxa"/>
            <w:tcBorders>
              <w:top w:val="nil"/>
              <w:left w:val="nil"/>
              <w:bottom w:val="nil"/>
              <w:right w:val="nil"/>
            </w:tcBorders>
            <w:tcMar>
              <w:top w:w="128" w:type="dxa"/>
              <w:left w:w="43" w:type="dxa"/>
              <w:bottom w:w="43" w:type="dxa"/>
              <w:right w:w="43" w:type="dxa"/>
            </w:tcMar>
          </w:tcPr>
          <w:p w14:paraId="0529AC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D4B2F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E37611" w14:textId="77777777" w:rsidR="00575AC3" w:rsidRPr="006D40F0" w:rsidRDefault="00575AC3" w:rsidP="006D40F0">
            <w:r w:rsidRPr="006D40F0">
              <w:t>fra kr 1 169 600 000 til kr 1 166 700 000</w:t>
            </w:r>
          </w:p>
        </w:tc>
        <w:tc>
          <w:tcPr>
            <w:tcW w:w="1400" w:type="dxa"/>
            <w:tcBorders>
              <w:top w:val="nil"/>
              <w:left w:val="nil"/>
              <w:bottom w:val="nil"/>
              <w:right w:val="nil"/>
            </w:tcBorders>
            <w:tcMar>
              <w:top w:w="128" w:type="dxa"/>
              <w:left w:w="43" w:type="dxa"/>
              <w:bottom w:w="43" w:type="dxa"/>
              <w:right w:w="43" w:type="dxa"/>
            </w:tcMar>
            <w:vAlign w:val="bottom"/>
          </w:tcPr>
          <w:p w14:paraId="7D354210" w14:textId="77777777" w:rsidR="00575AC3" w:rsidRPr="006D40F0" w:rsidRDefault="00575AC3" w:rsidP="006D40F0"/>
        </w:tc>
      </w:tr>
      <w:tr w:rsidR="00DD49A7" w:rsidRPr="006D40F0" w14:paraId="368EB8E6" w14:textId="77777777">
        <w:trPr>
          <w:trHeight w:val="380"/>
        </w:trPr>
        <w:tc>
          <w:tcPr>
            <w:tcW w:w="680" w:type="dxa"/>
            <w:tcBorders>
              <w:top w:val="nil"/>
              <w:left w:val="nil"/>
              <w:bottom w:val="nil"/>
              <w:right w:val="nil"/>
            </w:tcBorders>
            <w:tcMar>
              <w:top w:w="128" w:type="dxa"/>
              <w:left w:w="43" w:type="dxa"/>
              <w:bottom w:w="43" w:type="dxa"/>
              <w:right w:w="43" w:type="dxa"/>
            </w:tcMar>
          </w:tcPr>
          <w:p w14:paraId="17B326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E68A7B"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7D5B723D" w14:textId="77777777" w:rsidR="00575AC3" w:rsidRPr="006D40F0" w:rsidRDefault="00575AC3" w:rsidP="006D40F0">
            <w:r w:rsidRPr="006D40F0">
              <w:t xml:space="preserve">Regionale banker og fond,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83A7B08" w14:textId="77777777" w:rsidR="00575AC3" w:rsidRPr="006D40F0" w:rsidRDefault="00575AC3" w:rsidP="006D40F0">
            <w:r w:rsidRPr="006D40F0">
              <w:t>12 885 000</w:t>
            </w:r>
          </w:p>
        </w:tc>
      </w:tr>
      <w:tr w:rsidR="00DD49A7" w:rsidRPr="006D40F0" w14:paraId="0D09DA21" w14:textId="77777777">
        <w:trPr>
          <w:trHeight w:val="380"/>
        </w:trPr>
        <w:tc>
          <w:tcPr>
            <w:tcW w:w="680" w:type="dxa"/>
            <w:tcBorders>
              <w:top w:val="nil"/>
              <w:left w:val="nil"/>
              <w:bottom w:val="nil"/>
              <w:right w:val="nil"/>
            </w:tcBorders>
            <w:tcMar>
              <w:top w:w="128" w:type="dxa"/>
              <w:left w:w="43" w:type="dxa"/>
              <w:bottom w:w="43" w:type="dxa"/>
              <w:right w:w="43" w:type="dxa"/>
            </w:tcMar>
          </w:tcPr>
          <w:p w14:paraId="1C5824F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8F40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BD36A1" w14:textId="77777777" w:rsidR="00575AC3" w:rsidRPr="006D40F0" w:rsidRDefault="00575AC3" w:rsidP="006D40F0">
            <w:r w:rsidRPr="006D40F0">
              <w:t>fra kr 1 021 400 000 til kr 1 008 515 000</w:t>
            </w:r>
          </w:p>
        </w:tc>
        <w:tc>
          <w:tcPr>
            <w:tcW w:w="1400" w:type="dxa"/>
            <w:tcBorders>
              <w:top w:val="nil"/>
              <w:left w:val="nil"/>
              <w:bottom w:val="nil"/>
              <w:right w:val="nil"/>
            </w:tcBorders>
            <w:tcMar>
              <w:top w:w="128" w:type="dxa"/>
              <w:left w:w="43" w:type="dxa"/>
              <w:bottom w:w="43" w:type="dxa"/>
              <w:right w:w="43" w:type="dxa"/>
            </w:tcMar>
            <w:vAlign w:val="bottom"/>
          </w:tcPr>
          <w:p w14:paraId="5BE576C2" w14:textId="77777777" w:rsidR="00575AC3" w:rsidRPr="006D40F0" w:rsidRDefault="00575AC3" w:rsidP="006D40F0"/>
        </w:tc>
      </w:tr>
      <w:tr w:rsidR="00DD49A7" w:rsidRPr="006D40F0" w14:paraId="6056E341" w14:textId="77777777">
        <w:trPr>
          <w:trHeight w:val="380"/>
        </w:trPr>
        <w:tc>
          <w:tcPr>
            <w:tcW w:w="680" w:type="dxa"/>
            <w:tcBorders>
              <w:top w:val="nil"/>
              <w:left w:val="nil"/>
              <w:bottom w:val="nil"/>
              <w:right w:val="nil"/>
            </w:tcBorders>
            <w:tcMar>
              <w:top w:w="128" w:type="dxa"/>
              <w:left w:w="43" w:type="dxa"/>
              <w:bottom w:w="43" w:type="dxa"/>
              <w:right w:w="43" w:type="dxa"/>
            </w:tcMar>
          </w:tcPr>
          <w:p w14:paraId="4E01DBCF" w14:textId="77777777" w:rsidR="00575AC3" w:rsidRPr="006D40F0" w:rsidRDefault="00575AC3" w:rsidP="006D40F0">
            <w:r w:rsidRPr="006D40F0">
              <w:t>179</w:t>
            </w:r>
          </w:p>
        </w:tc>
        <w:tc>
          <w:tcPr>
            <w:tcW w:w="680" w:type="dxa"/>
            <w:tcBorders>
              <w:top w:val="nil"/>
              <w:left w:val="nil"/>
              <w:bottom w:val="nil"/>
              <w:right w:val="nil"/>
            </w:tcBorders>
            <w:tcMar>
              <w:top w:w="128" w:type="dxa"/>
              <w:left w:w="43" w:type="dxa"/>
              <w:bottom w:w="43" w:type="dxa"/>
              <w:right w:w="43" w:type="dxa"/>
            </w:tcMar>
          </w:tcPr>
          <w:p w14:paraId="385A7A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1691F8" w14:textId="77777777" w:rsidR="00575AC3" w:rsidRPr="006D40F0" w:rsidRDefault="00575AC3" w:rsidP="006D40F0">
            <w:r w:rsidRPr="006D40F0">
              <w:t>Flyktningtiltak i Norge:</w:t>
            </w:r>
          </w:p>
        </w:tc>
        <w:tc>
          <w:tcPr>
            <w:tcW w:w="1400" w:type="dxa"/>
            <w:tcBorders>
              <w:top w:val="nil"/>
              <w:left w:val="nil"/>
              <w:bottom w:val="nil"/>
              <w:right w:val="nil"/>
            </w:tcBorders>
            <w:tcMar>
              <w:top w:w="128" w:type="dxa"/>
              <w:left w:w="43" w:type="dxa"/>
              <w:bottom w:w="43" w:type="dxa"/>
              <w:right w:w="43" w:type="dxa"/>
            </w:tcMar>
            <w:vAlign w:val="bottom"/>
          </w:tcPr>
          <w:p w14:paraId="36EA94B0" w14:textId="77777777" w:rsidR="00575AC3" w:rsidRPr="006D40F0" w:rsidRDefault="00575AC3" w:rsidP="006D40F0"/>
        </w:tc>
      </w:tr>
      <w:tr w:rsidR="00DD49A7" w:rsidRPr="006D40F0" w14:paraId="4C2992AD" w14:textId="77777777">
        <w:trPr>
          <w:trHeight w:val="380"/>
        </w:trPr>
        <w:tc>
          <w:tcPr>
            <w:tcW w:w="680" w:type="dxa"/>
            <w:tcBorders>
              <w:top w:val="nil"/>
              <w:left w:val="nil"/>
              <w:bottom w:val="nil"/>
              <w:right w:val="nil"/>
            </w:tcBorders>
            <w:tcMar>
              <w:top w:w="128" w:type="dxa"/>
              <w:left w:w="43" w:type="dxa"/>
              <w:bottom w:w="43" w:type="dxa"/>
              <w:right w:w="43" w:type="dxa"/>
            </w:tcMar>
          </w:tcPr>
          <w:p w14:paraId="005911C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0AC41F"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C12BD24" w14:textId="77777777" w:rsidR="00575AC3" w:rsidRPr="006D40F0" w:rsidRDefault="00575AC3" w:rsidP="006D40F0">
            <w:r w:rsidRPr="006D40F0">
              <w:t>Spesielle 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5EEFB3F" w14:textId="77777777" w:rsidR="00575AC3" w:rsidRPr="006D40F0" w:rsidRDefault="00575AC3" w:rsidP="006D40F0">
            <w:r w:rsidRPr="006D40F0">
              <w:t>1 170 360 000</w:t>
            </w:r>
          </w:p>
        </w:tc>
      </w:tr>
      <w:tr w:rsidR="00DD49A7" w:rsidRPr="006D40F0" w14:paraId="552419D3" w14:textId="77777777">
        <w:trPr>
          <w:trHeight w:val="380"/>
        </w:trPr>
        <w:tc>
          <w:tcPr>
            <w:tcW w:w="680" w:type="dxa"/>
            <w:tcBorders>
              <w:top w:val="nil"/>
              <w:left w:val="nil"/>
              <w:bottom w:val="nil"/>
              <w:right w:val="nil"/>
            </w:tcBorders>
            <w:tcMar>
              <w:top w:w="128" w:type="dxa"/>
              <w:left w:w="43" w:type="dxa"/>
              <w:bottom w:w="43" w:type="dxa"/>
              <w:right w:w="43" w:type="dxa"/>
            </w:tcMar>
          </w:tcPr>
          <w:p w14:paraId="71ECDB2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A12F8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0A83FE8" w14:textId="77777777" w:rsidR="00575AC3" w:rsidRPr="006D40F0" w:rsidRDefault="00575AC3" w:rsidP="006D40F0">
            <w:r w:rsidRPr="006D40F0">
              <w:t>fra kr 3 770 482 000 til kr 4 940 842 000</w:t>
            </w:r>
          </w:p>
        </w:tc>
        <w:tc>
          <w:tcPr>
            <w:tcW w:w="1400" w:type="dxa"/>
            <w:tcBorders>
              <w:top w:val="nil"/>
              <w:left w:val="nil"/>
              <w:bottom w:val="nil"/>
              <w:right w:val="nil"/>
            </w:tcBorders>
            <w:tcMar>
              <w:top w:w="128" w:type="dxa"/>
              <w:left w:w="43" w:type="dxa"/>
              <w:bottom w:w="43" w:type="dxa"/>
              <w:right w:w="43" w:type="dxa"/>
            </w:tcMar>
            <w:vAlign w:val="bottom"/>
          </w:tcPr>
          <w:p w14:paraId="21A86B2B" w14:textId="77777777" w:rsidR="00575AC3" w:rsidRPr="006D40F0" w:rsidRDefault="00575AC3" w:rsidP="006D40F0"/>
        </w:tc>
      </w:tr>
      <w:tr w:rsidR="00DD49A7" w:rsidRPr="006D40F0" w14:paraId="488BE717" w14:textId="77777777">
        <w:trPr>
          <w:trHeight w:val="380"/>
        </w:trPr>
        <w:tc>
          <w:tcPr>
            <w:tcW w:w="680" w:type="dxa"/>
            <w:tcBorders>
              <w:top w:val="nil"/>
              <w:left w:val="nil"/>
              <w:bottom w:val="nil"/>
              <w:right w:val="nil"/>
            </w:tcBorders>
            <w:tcMar>
              <w:top w:w="128" w:type="dxa"/>
              <w:left w:w="43" w:type="dxa"/>
              <w:bottom w:w="43" w:type="dxa"/>
              <w:right w:w="43" w:type="dxa"/>
            </w:tcMar>
          </w:tcPr>
          <w:p w14:paraId="64FF9F3F" w14:textId="77777777" w:rsidR="00575AC3" w:rsidRPr="006D40F0" w:rsidRDefault="00575AC3" w:rsidP="006D40F0">
            <w:r w:rsidRPr="006D40F0">
              <w:t>200</w:t>
            </w:r>
          </w:p>
        </w:tc>
        <w:tc>
          <w:tcPr>
            <w:tcW w:w="680" w:type="dxa"/>
            <w:tcBorders>
              <w:top w:val="nil"/>
              <w:left w:val="nil"/>
              <w:bottom w:val="nil"/>
              <w:right w:val="nil"/>
            </w:tcBorders>
            <w:tcMar>
              <w:top w:w="128" w:type="dxa"/>
              <w:left w:w="43" w:type="dxa"/>
              <w:bottom w:w="43" w:type="dxa"/>
              <w:right w:w="43" w:type="dxa"/>
            </w:tcMar>
          </w:tcPr>
          <w:p w14:paraId="3D8D2DC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22B2E3" w14:textId="77777777" w:rsidR="00575AC3" w:rsidRPr="006D40F0" w:rsidRDefault="00575AC3" w:rsidP="006D40F0">
            <w:r w:rsidRPr="006D40F0">
              <w:t>Kunnskapsdepartementet:</w:t>
            </w:r>
          </w:p>
        </w:tc>
        <w:tc>
          <w:tcPr>
            <w:tcW w:w="1400" w:type="dxa"/>
            <w:tcBorders>
              <w:top w:val="nil"/>
              <w:left w:val="nil"/>
              <w:bottom w:val="nil"/>
              <w:right w:val="nil"/>
            </w:tcBorders>
            <w:tcMar>
              <w:top w:w="128" w:type="dxa"/>
              <w:left w:w="43" w:type="dxa"/>
              <w:bottom w:w="43" w:type="dxa"/>
              <w:right w:w="43" w:type="dxa"/>
            </w:tcMar>
            <w:vAlign w:val="bottom"/>
          </w:tcPr>
          <w:p w14:paraId="0A35AF1F" w14:textId="77777777" w:rsidR="00575AC3" w:rsidRPr="006D40F0" w:rsidRDefault="00575AC3" w:rsidP="006D40F0"/>
        </w:tc>
      </w:tr>
      <w:tr w:rsidR="00DD49A7" w:rsidRPr="006D40F0" w14:paraId="76BB8A97" w14:textId="77777777">
        <w:trPr>
          <w:trHeight w:val="380"/>
        </w:trPr>
        <w:tc>
          <w:tcPr>
            <w:tcW w:w="680" w:type="dxa"/>
            <w:tcBorders>
              <w:top w:val="nil"/>
              <w:left w:val="nil"/>
              <w:bottom w:val="nil"/>
              <w:right w:val="nil"/>
            </w:tcBorders>
            <w:tcMar>
              <w:top w:w="128" w:type="dxa"/>
              <w:left w:w="43" w:type="dxa"/>
              <w:bottom w:w="43" w:type="dxa"/>
              <w:right w:w="43" w:type="dxa"/>
            </w:tcMar>
          </w:tcPr>
          <w:p w14:paraId="3A2D4B5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B0880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D6011B8"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1994A646" w14:textId="77777777" w:rsidR="00575AC3" w:rsidRPr="006D40F0" w:rsidRDefault="00575AC3" w:rsidP="006D40F0">
            <w:r w:rsidRPr="006D40F0">
              <w:t>8 500 000</w:t>
            </w:r>
          </w:p>
        </w:tc>
      </w:tr>
      <w:tr w:rsidR="00DD49A7" w:rsidRPr="006D40F0" w14:paraId="48BC3799" w14:textId="77777777">
        <w:trPr>
          <w:trHeight w:val="380"/>
        </w:trPr>
        <w:tc>
          <w:tcPr>
            <w:tcW w:w="680" w:type="dxa"/>
            <w:tcBorders>
              <w:top w:val="nil"/>
              <w:left w:val="nil"/>
              <w:bottom w:val="nil"/>
              <w:right w:val="nil"/>
            </w:tcBorders>
            <w:tcMar>
              <w:top w:w="128" w:type="dxa"/>
              <w:left w:w="43" w:type="dxa"/>
              <w:bottom w:w="43" w:type="dxa"/>
              <w:right w:w="43" w:type="dxa"/>
            </w:tcMar>
          </w:tcPr>
          <w:p w14:paraId="13C0C7C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BD00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BA9582" w14:textId="77777777" w:rsidR="00575AC3" w:rsidRPr="006D40F0" w:rsidRDefault="00575AC3" w:rsidP="006D40F0">
            <w:r w:rsidRPr="006D40F0">
              <w:t>fra kr 406 777 000 til kr 398 277 000</w:t>
            </w:r>
          </w:p>
        </w:tc>
        <w:tc>
          <w:tcPr>
            <w:tcW w:w="1400" w:type="dxa"/>
            <w:tcBorders>
              <w:top w:val="nil"/>
              <w:left w:val="nil"/>
              <w:bottom w:val="nil"/>
              <w:right w:val="nil"/>
            </w:tcBorders>
            <w:tcMar>
              <w:top w:w="128" w:type="dxa"/>
              <w:left w:w="43" w:type="dxa"/>
              <w:bottom w:w="43" w:type="dxa"/>
              <w:right w:w="43" w:type="dxa"/>
            </w:tcMar>
            <w:vAlign w:val="bottom"/>
          </w:tcPr>
          <w:p w14:paraId="77065372" w14:textId="77777777" w:rsidR="00575AC3" w:rsidRPr="006D40F0" w:rsidRDefault="00575AC3" w:rsidP="006D40F0"/>
        </w:tc>
      </w:tr>
      <w:tr w:rsidR="00DD49A7" w:rsidRPr="006D40F0" w14:paraId="2B516C54" w14:textId="77777777">
        <w:trPr>
          <w:trHeight w:val="380"/>
        </w:trPr>
        <w:tc>
          <w:tcPr>
            <w:tcW w:w="680" w:type="dxa"/>
            <w:tcBorders>
              <w:top w:val="nil"/>
              <w:left w:val="nil"/>
              <w:bottom w:val="nil"/>
              <w:right w:val="nil"/>
            </w:tcBorders>
            <w:tcMar>
              <w:top w:w="128" w:type="dxa"/>
              <w:left w:w="43" w:type="dxa"/>
              <w:bottom w:w="43" w:type="dxa"/>
              <w:right w:w="43" w:type="dxa"/>
            </w:tcMar>
          </w:tcPr>
          <w:p w14:paraId="77ADB3BB" w14:textId="77777777" w:rsidR="00575AC3" w:rsidRPr="006D40F0" w:rsidRDefault="00575AC3" w:rsidP="006D40F0">
            <w:r w:rsidRPr="006D40F0">
              <w:t>224</w:t>
            </w:r>
          </w:p>
        </w:tc>
        <w:tc>
          <w:tcPr>
            <w:tcW w:w="680" w:type="dxa"/>
            <w:tcBorders>
              <w:top w:val="nil"/>
              <w:left w:val="nil"/>
              <w:bottom w:val="nil"/>
              <w:right w:val="nil"/>
            </w:tcBorders>
            <w:tcMar>
              <w:top w:w="128" w:type="dxa"/>
              <w:left w:w="43" w:type="dxa"/>
              <w:bottom w:w="43" w:type="dxa"/>
              <w:right w:w="43" w:type="dxa"/>
            </w:tcMar>
          </w:tcPr>
          <w:p w14:paraId="5DD5144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76DD40" w14:textId="77777777" w:rsidR="00575AC3" w:rsidRPr="006D40F0" w:rsidRDefault="00575AC3" w:rsidP="006D40F0">
            <w:r w:rsidRPr="006D40F0">
              <w:t>Tilskudd til freds- og menneskerettighetssentre:</w:t>
            </w:r>
          </w:p>
        </w:tc>
        <w:tc>
          <w:tcPr>
            <w:tcW w:w="1400" w:type="dxa"/>
            <w:tcBorders>
              <w:top w:val="nil"/>
              <w:left w:val="nil"/>
              <w:bottom w:val="nil"/>
              <w:right w:val="nil"/>
            </w:tcBorders>
            <w:tcMar>
              <w:top w:w="128" w:type="dxa"/>
              <w:left w:w="43" w:type="dxa"/>
              <w:bottom w:w="43" w:type="dxa"/>
              <w:right w:w="43" w:type="dxa"/>
            </w:tcMar>
            <w:vAlign w:val="bottom"/>
          </w:tcPr>
          <w:p w14:paraId="3512BFB6" w14:textId="77777777" w:rsidR="00575AC3" w:rsidRPr="006D40F0" w:rsidRDefault="00575AC3" w:rsidP="006D40F0"/>
        </w:tc>
      </w:tr>
      <w:tr w:rsidR="00DD49A7" w:rsidRPr="006D40F0" w14:paraId="112A79D7" w14:textId="77777777">
        <w:trPr>
          <w:trHeight w:val="380"/>
        </w:trPr>
        <w:tc>
          <w:tcPr>
            <w:tcW w:w="680" w:type="dxa"/>
            <w:tcBorders>
              <w:top w:val="nil"/>
              <w:left w:val="nil"/>
              <w:bottom w:val="nil"/>
              <w:right w:val="nil"/>
            </w:tcBorders>
            <w:tcMar>
              <w:top w:w="128" w:type="dxa"/>
              <w:left w:w="43" w:type="dxa"/>
              <w:bottom w:w="43" w:type="dxa"/>
              <w:right w:w="43" w:type="dxa"/>
            </w:tcMar>
          </w:tcPr>
          <w:p w14:paraId="6DB5A9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3D5541"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4FC9539" w14:textId="77777777" w:rsidR="00575AC3" w:rsidRPr="006D40F0" w:rsidRDefault="00575AC3" w:rsidP="006D40F0">
            <w:r w:rsidRPr="006D40F0">
              <w:t>Freds- og menneskerettighetssentre, forhøyes med</w:t>
            </w:r>
          </w:p>
        </w:tc>
        <w:tc>
          <w:tcPr>
            <w:tcW w:w="1400" w:type="dxa"/>
            <w:tcBorders>
              <w:top w:val="nil"/>
              <w:left w:val="nil"/>
              <w:bottom w:val="nil"/>
              <w:right w:val="nil"/>
            </w:tcBorders>
            <w:tcMar>
              <w:top w:w="128" w:type="dxa"/>
              <w:left w:w="43" w:type="dxa"/>
              <w:bottom w:w="43" w:type="dxa"/>
              <w:right w:w="43" w:type="dxa"/>
            </w:tcMar>
            <w:vAlign w:val="bottom"/>
          </w:tcPr>
          <w:p w14:paraId="48F59A3A" w14:textId="77777777" w:rsidR="00575AC3" w:rsidRPr="006D40F0" w:rsidRDefault="00575AC3" w:rsidP="006D40F0">
            <w:r w:rsidRPr="006D40F0">
              <w:t>2 850 000</w:t>
            </w:r>
          </w:p>
        </w:tc>
      </w:tr>
      <w:tr w:rsidR="00DD49A7" w:rsidRPr="006D40F0" w14:paraId="6C69FD8C" w14:textId="77777777">
        <w:trPr>
          <w:trHeight w:val="380"/>
        </w:trPr>
        <w:tc>
          <w:tcPr>
            <w:tcW w:w="680" w:type="dxa"/>
            <w:tcBorders>
              <w:top w:val="nil"/>
              <w:left w:val="nil"/>
              <w:bottom w:val="nil"/>
              <w:right w:val="nil"/>
            </w:tcBorders>
            <w:tcMar>
              <w:top w:w="128" w:type="dxa"/>
              <w:left w:w="43" w:type="dxa"/>
              <w:bottom w:w="43" w:type="dxa"/>
              <w:right w:w="43" w:type="dxa"/>
            </w:tcMar>
          </w:tcPr>
          <w:p w14:paraId="2590ED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F8AF4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69DBD7" w14:textId="77777777" w:rsidR="00575AC3" w:rsidRPr="006D40F0" w:rsidRDefault="00575AC3" w:rsidP="006D40F0">
            <w:r w:rsidRPr="006D40F0">
              <w:t>fra kr 138 926 000 til kr 141 776 000</w:t>
            </w:r>
          </w:p>
        </w:tc>
        <w:tc>
          <w:tcPr>
            <w:tcW w:w="1400" w:type="dxa"/>
            <w:tcBorders>
              <w:top w:val="nil"/>
              <w:left w:val="nil"/>
              <w:bottom w:val="nil"/>
              <w:right w:val="nil"/>
            </w:tcBorders>
            <w:tcMar>
              <w:top w:w="128" w:type="dxa"/>
              <w:left w:w="43" w:type="dxa"/>
              <w:bottom w:w="43" w:type="dxa"/>
              <w:right w:w="43" w:type="dxa"/>
            </w:tcMar>
            <w:vAlign w:val="bottom"/>
          </w:tcPr>
          <w:p w14:paraId="162389CB" w14:textId="77777777" w:rsidR="00575AC3" w:rsidRPr="006D40F0" w:rsidRDefault="00575AC3" w:rsidP="006D40F0"/>
        </w:tc>
      </w:tr>
      <w:tr w:rsidR="00DD49A7" w:rsidRPr="006D40F0" w14:paraId="2DC07027" w14:textId="77777777">
        <w:trPr>
          <w:trHeight w:val="380"/>
        </w:trPr>
        <w:tc>
          <w:tcPr>
            <w:tcW w:w="680" w:type="dxa"/>
            <w:tcBorders>
              <w:top w:val="nil"/>
              <w:left w:val="nil"/>
              <w:bottom w:val="nil"/>
              <w:right w:val="nil"/>
            </w:tcBorders>
            <w:tcMar>
              <w:top w:w="128" w:type="dxa"/>
              <w:left w:w="43" w:type="dxa"/>
              <w:bottom w:w="43" w:type="dxa"/>
              <w:right w:w="43" w:type="dxa"/>
            </w:tcMar>
          </w:tcPr>
          <w:p w14:paraId="3930C4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F5A1AD"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0481D3F" w14:textId="77777777" w:rsidR="00575AC3" w:rsidRPr="006D40F0" w:rsidRDefault="00575AC3" w:rsidP="006D40F0">
            <w:r w:rsidRPr="006D40F0">
              <w:t xml:space="preserve">Det europeiske </w:t>
            </w:r>
            <w:proofErr w:type="spellStart"/>
            <w:r w:rsidRPr="006D40F0">
              <w:t>Wergelandsenteret</w:t>
            </w:r>
            <w:proofErr w:type="spellEnd"/>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7996EAF3" w14:textId="77777777" w:rsidR="00575AC3" w:rsidRPr="006D40F0" w:rsidRDefault="00575AC3" w:rsidP="006D40F0">
            <w:r w:rsidRPr="006D40F0">
              <w:t>475 000</w:t>
            </w:r>
          </w:p>
        </w:tc>
      </w:tr>
      <w:tr w:rsidR="00DD49A7" w:rsidRPr="006D40F0" w14:paraId="5A57854A" w14:textId="77777777">
        <w:trPr>
          <w:trHeight w:val="380"/>
        </w:trPr>
        <w:tc>
          <w:tcPr>
            <w:tcW w:w="680" w:type="dxa"/>
            <w:tcBorders>
              <w:top w:val="nil"/>
              <w:left w:val="nil"/>
              <w:bottom w:val="nil"/>
              <w:right w:val="nil"/>
            </w:tcBorders>
            <w:tcMar>
              <w:top w:w="128" w:type="dxa"/>
              <w:left w:w="43" w:type="dxa"/>
              <w:bottom w:w="43" w:type="dxa"/>
              <w:right w:w="43" w:type="dxa"/>
            </w:tcMar>
          </w:tcPr>
          <w:p w14:paraId="4A9B56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3FCD1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ABCBF0" w14:textId="77777777" w:rsidR="00575AC3" w:rsidRPr="006D40F0" w:rsidRDefault="00575AC3" w:rsidP="006D40F0">
            <w:r w:rsidRPr="006D40F0">
              <w:t>fra kr 12 772 000 til kr 13 247 000</w:t>
            </w:r>
          </w:p>
        </w:tc>
        <w:tc>
          <w:tcPr>
            <w:tcW w:w="1400" w:type="dxa"/>
            <w:tcBorders>
              <w:top w:val="nil"/>
              <w:left w:val="nil"/>
              <w:bottom w:val="nil"/>
              <w:right w:val="nil"/>
            </w:tcBorders>
            <w:tcMar>
              <w:top w:w="128" w:type="dxa"/>
              <w:left w:w="43" w:type="dxa"/>
              <w:bottom w:w="43" w:type="dxa"/>
              <w:right w:w="43" w:type="dxa"/>
            </w:tcMar>
            <w:vAlign w:val="bottom"/>
          </w:tcPr>
          <w:p w14:paraId="7FBB9531" w14:textId="77777777" w:rsidR="00575AC3" w:rsidRPr="006D40F0" w:rsidRDefault="00575AC3" w:rsidP="006D40F0"/>
        </w:tc>
      </w:tr>
      <w:tr w:rsidR="00DD49A7" w:rsidRPr="006D40F0" w14:paraId="25056AF5" w14:textId="77777777">
        <w:trPr>
          <w:trHeight w:val="380"/>
        </w:trPr>
        <w:tc>
          <w:tcPr>
            <w:tcW w:w="680" w:type="dxa"/>
            <w:tcBorders>
              <w:top w:val="nil"/>
              <w:left w:val="nil"/>
              <w:bottom w:val="nil"/>
              <w:right w:val="nil"/>
            </w:tcBorders>
            <w:tcMar>
              <w:top w:w="128" w:type="dxa"/>
              <w:left w:w="43" w:type="dxa"/>
              <w:bottom w:w="43" w:type="dxa"/>
              <w:right w:w="43" w:type="dxa"/>
            </w:tcMar>
          </w:tcPr>
          <w:p w14:paraId="6AA157E6" w14:textId="77777777" w:rsidR="00575AC3" w:rsidRPr="006D40F0" w:rsidRDefault="00575AC3" w:rsidP="006D40F0">
            <w:r w:rsidRPr="006D40F0">
              <w:t>225</w:t>
            </w:r>
          </w:p>
        </w:tc>
        <w:tc>
          <w:tcPr>
            <w:tcW w:w="680" w:type="dxa"/>
            <w:tcBorders>
              <w:top w:val="nil"/>
              <w:left w:val="nil"/>
              <w:bottom w:val="nil"/>
              <w:right w:val="nil"/>
            </w:tcBorders>
            <w:tcMar>
              <w:top w:w="128" w:type="dxa"/>
              <w:left w:w="43" w:type="dxa"/>
              <w:bottom w:w="43" w:type="dxa"/>
              <w:right w:w="43" w:type="dxa"/>
            </w:tcMar>
          </w:tcPr>
          <w:p w14:paraId="4AB6019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682BC4" w14:textId="77777777" w:rsidR="00575AC3" w:rsidRPr="006D40F0" w:rsidRDefault="00575AC3" w:rsidP="006D40F0">
            <w:r w:rsidRPr="006D40F0">
              <w:t>Tiltak i grunnopplæringen:</w:t>
            </w:r>
          </w:p>
        </w:tc>
        <w:tc>
          <w:tcPr>
            <w:tcW w:w="1400" w:type="dxa"/>
            <w:tcBorders>
              <w:top w:val="nil"/>
              <w:left w:val="nil"/>
              <w:bottom w:val="nil"/>
              <w:right w:val="nil"/>
            </w:tcBorders>
            <w:tcMar>
              <w:top w:w="128" w:type="dxa"/>
              <w:left w:w="43" w:type="dxa"/>
              <w:bottom w:w="43" w:type="dxa"/>
              <w:right w:w="43" w:type="dxa"/>
            </w:tcMar>
            <w:vAlign w:val="bottom"/>
          </w:tcPr>
          <w:p w14:paraId="0E63C83C" w14:textId="77777777" w:rsidR="00575AC3" w:rsidRPr="006D40F0" w:rsidRDefault="00575AC3" w:rsidP="006D40F0"/>
        </w:tc>
      </w:tr>
      <w:tr w:rsidR="00DD49A7" w:rsidRPr="006D40F0" w14:paraId="42B8B0BB" w14:textId="77777777">
        <w:trPr>
          <w:trHeight w:val="380"/>
        </w:trPr>
        <w:tc>
          <w:tcPr>
            <w:tcW w:w="680" w:type="dxa"/>
            <w:tcBorders>
              <w:top w:val="nil"/>
              <w:left w:val="nil"/>
              <w:bottom w:val="nil"/>
              <w:right w:val="nil"/>
            </w:tcBorders>
            <w:tcMar>
              <w:top w:w="128" w:type="dxa"/>
              <w:left w:w="43" w:type="dxa"/>
              <w:bottom w:w="43" w:type="dxa"/>
              <w:right w:w="43" w:type="dxa"/>
            </w:tcMar>
          </w:tcPr>
          <w:p w14:paraId="5BE5059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13F10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41299D2"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8A3E5ED" w14:textId="77777777" w:rsidR="00575AC3" w:rsidRPr="006D40F0" w:rsidRDefault="00575AC3" w:rsidP="006D40F0">
            <w:r w:rsidRPr="006D40F0">
              <w:t>5 000 000</w:t>
            </w:r>
          </w:p>
        </w:tc>
      </w:tr>
      <w:tr w:rsidR="00DD49A7" w:rsidRPr="006D40F0" w14:paraId="5BBA16BC" w14:textId="77777777">
        <w:trPr>
          <w:trHeight w:val="380"/>
        </w:trPr>
        <w:tc>
          <w:tcPr>
            <w:tcW w:w="680" w:type="dxa"/>
            <w:tcBorders>
              <w:top w:val="nil"/>
              <w:left w:val="nil"/>
              <w:bottom w:val="nil"/>
              <w:right w:val="nil"/>
            </w:tcBorders>
            <w:tcMar>
              <w:top w:w="128" w:type="dxa"/>
              <w:left w:w="43" w:type="dxa"/>
              <w:bottom w:w="43" w:type="dxa"/>
              <w:right w:w="43" w:type="dxa"/>
            </w:tcMar>
          </w:tcPr>
          <w:p w14:paraId="4260C4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6643B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F41A585" w14:textId="77777777" w:rsidR="00575AC3" w:rsidRPr="006D40F0" w:rsidRDefault="00575AC3" w:rsidP="006D40F0">
            <w:r w:rsidRPr="006D40F0">
              <w:t>fra kr 23 958 000 til kr 28 958 000</w:t>
            </w:r>
          </w:p>
        </w:tc>
        <w:tc>
          <w:tcPr>
            <w:tcW w:w="1400" w:type="dxa"/>
            <w:tcBorders>
              <w:top w:val="nil"/>
              <w:left w:val="nil"/>
              <w:bottom w:val="nil"/>
              <w:right w:val="nil"/>
            </w:tcBorders>
            <w:tcMar>
              <w:top w:w="128" w:type="dxa"/>
              <w:left w:w="43" w:type="dxa"/>
              <w:bottom w:w="43" w:type="dxa"/>
              <w:right w:w="43" w:type="dxa"/>
            </w:tcMar>
            <w:vAlign w:val="bottom"/>
          </w:tcPr>
          <w:p w14:paraId="64779C75" w14:textId="77777777" w:rsidR="00575AC3" w:rsidRPr="006D40F0" w:rsidRDefault="00575AC3" w:rsidP="006D40F0"/>
        </w:tc>
      </w:tr>
      <w:tr w:rsidR="00DD49A7" w:rsidRPr="006D40F0" w14:paraId="2FB121FF" w14:textId="77777777">
        <w:trPr>
          <w:trHeight w:val="640"/>
        </w:trPr>
        <w:tc>
          <w:tcPr>
            <w:tcW w:w="680" w:type="dxa"/>
            <w:tcBorders>
              <w:top w:val="nil"/>
              <w:left w:val="nil"/>
              <w:bottom w:val="nil"/>
              <w:right w:val="nil"/>
            </w:tcBorders>
            <w:tcMar>
              <w:top w:w="128" w:type="dxa"/>
              <w:left w:w="43" w:type="dxa"/>
              <w:bottom w:w="43" w:type="dxa"/>
              <w:right w:w="43" w:type="dxa"/>
            </w:tcMar>
          </w:tcPr>
          <w:p w14:paraId="0D0709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F71BB8"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5FEF5A07" w14:textId="77777777" w:rsidR="00575AC3" w:rsidRPr="006D40F0" w:rsidRDefault="00575AC3" w:rsidP="006D40F0">
            <w:r w:rsidRPr="006D40F0">
              <w:t>Rentekompensasjon for investeringer i læringsarenaer og større utstyr som bidrar til mer praktisk og variert opplæring, forhøyes med</w:t>
            </w:r>
          </w:p>
        </w:tc>
        <w:tc>
          <w:tcPr>
            <w:tcW w:w="1400" w:type="dxa"/>
            <w:tcBorders>
              <w:top w:val="nil"/>
              <w:left w:val="nil"/>
              <w:bottom w:val="nil"/>
              <w:right w:val="nil"/>
            </w:tcBorders>
            <w:tcMar>
              <w:top w:w="128" w:type="dxa"/>
              <w:left w:w="43" w:type="dxa"/>
              <w:bottom w:w="43" w:type="dxa"/>
              <w:right w:w="43" w:type="dxa"/>
            </w:tcMar>
            <w:vAlign w:val="bottom"/>
          </w:tcPr>
          <w:p w14:paraId="7C5DA5DE" w14:textId="77777777" w:rsidR="00575AC3" w:rsidRPr="006D40F0" w:rsidRDefault="00575AC3" w:rsidP="006D40F0">
            <w:r w:rsidRPr="006D40F0">
              <w:t>5 000 000</w:t>
            </w:r>
          </w:p>
        </w:tc>
      </w:tr>
      <w:tr w:rsidR="00DD49A7" w:rsidRPr="006D40F0" w14:paraId="3789545B" w14:textId="77777777">
        <w:trPr>
          <w:trHeight w:val="380"/>
        </w:trPr>
        <w:tc>
          <w:tcPr>
            <w:tcW w:w="680" w:type="dxa"/>
            <w:tcBorders>
              <w:top w:val="nil"/>
              <w:left w:val="nil"/>
              <w:bottom w:val="nil"/>
              <w:right w:val="nil"/>
            </w:tcBorders>
            <w:tcMar>
              <w:top w:w="128" w:type="dxa"/>
              <w:left w:w="43" w:type="dxa"/>
              <w:bottom w:w="43" w:type="dxa"/>
              <w:right w:w="43" w:type="dxa"/>
            </w:tcMar>
          </w:tcPr>
          <w:p w14:paraId="397200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81E9C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F166E8" w14:textId="77777777" w:rsidR="00575AC3" w:rsidRPr="006D40F0" w:rsidRDefault="00575AC3" w:rsidP="006D40F0">
            <w:r w:rsidRPr="006D40F0">
              <w:t>fra kr 15 000 000 til kr 20 000 000</w:t>
            </w:r>
          </w:p>
        </w:tc>
        <w:tc>
          <w:tcPr>
            <w:tcW w:w="1400" w:type="dxa"/>
            <w:tcBorders>
              <w:top w:val="nil"/>
              <w:left w:val="nil"/>
              <w:bottom w:val="nil"/>
              <w:right w:val="nil"/>
            </w:tcBorders>
            <w:tcMar>
              <w:top w:w="128" w:type="dxa"/>
              <w:left w:w="43" w:type="dxa"/>
              <w:bottom w:w="43" w:type="dxa"/>
              <w:right w:w="43" w:type="dxa"/>
            </w:tcMar>
            <w:vAlign w:val="bottom"/>
          </w:tcPr>
          <w:p w14:paraId="1F05AB4C" w14:textId="77777777" w:rsidR="00575AC3" w:rsidRPr="006D40F0" w:rsidRDefault="00575AC3" w:rsidP="006D40F0"/>
        </w:tc>
      </w:tr>
      <w:tr w:rsidR="00DD49A7" w:rsidRPr="006D40F0" w14:paraId="2570C5A7" w14:textId="77777777">
        <w:trPr>
          <w:trHeight w:val="380"/>
        </w:trPr>
        <w:tc>
          <w:tcPr>
            <w:tcW w:w="680" w:type="dxa"/>
            <w:tcBorders>
              <w:top w:val="nil"/>
              <w:left w:val="nil"/>
              <w:bottom w:val="nil"/>
              <w:right w:val="nil"/>
            </w:tcBorders>
            <w:tcMar>
              <w:top w:w="128" w:type="dxa"/>
              <w:left w:w="43" w:type="dxa"/>
              <w:bottom w:w="43" w:type="dxa"/>
              <w:right w:w="43" w:type="dxa"/>
            </w:tcMar>
          </w:tcPr>
          <w:p w14:paraId="2A76076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075DFB" w14:textId="77777777" w:rsidR="00575AC3" w:rsidRPr="006D40F0" w:rsidRDefault="00575AC3" w:rsidP="006D40F0">
            <w:r w:rsidRPr="006D40F0">
              <w:t>63</w:t>
            </w:r>
          </w:p>
        </w:tc>
        <w:tc>
          <w:tcPr>
            <w:tcW w:w="6800" w:type="dxa"/>
            <w:tcBorders>
              <w:top w:val="nil"/>
              <w:left w:val="nil"/>
              <w:bottom w:val="nil"/>
              <w:right w:val="nil"/>
            </w:tcBorders>
            <w:tcMar>
              <w:top w:w="128" w:type="dxa"/>
              <w:left w:w="43" w:type="dxa"/>
              <w:bottom w:w="43" w:type="dxa"/>
              <w:right w:w="43" w:type="dxa"/>
            </w:tcMar>
          </w:tcPr>
          <w:p w14:paraId="6EAD0BF2" w14:textId="77777777" w:rsidR="00575AC3" w:rsidRPr="006D40F0" w:rsidRDefault="00575AC3" w:rsidP="006D40F0">
            <w:r w:rsidRPr="006D40F0">
              <w:t xml:space="preserve">Tilskudd til samisk i grunnopplæringen,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FB031BB" w14:textId="77777777" w:rsidR="00575AC3" w:rsidRPr="006D40F0" w:rsidRDefault="00575AC3" w:rsidP="006D40F0">
            <w:r w:rsidRPr="006D40F0">
              <w:t>19 542 000</w:t>
            </w:r>
          </w:p>
        </w:tc>
      </w:tr>
      <w:tr w:rsidR="00DD49A7" w:rsidRPr="006D40F0" w14:paraId="41EDC08C" w14:textId="77777777">
        <w:trPr>
          <w:trHeight w:val="380"/>
        </w:trPr>
        <w:tc>
          <w:tcPr>
            <w:tcW w:w="680" w:type="dxa"/>
            <w:tcBorders>
              <w:top w:val="nil"/>
              <w:left w:val="nil"/>
              <w:bottom w:val="nil"/>
              <w:right w:val="nil"/>
            </w:tcBorders>
            <w:tcMar>
              <w:top w:w="128" w:type="dxa"/>
              <w:left w:w="43" w:type="dxa"/>
              <w:bottom w:w="43" w:type="dxa"/>
              <w:right w:w="43" w:type="dxa"/>
            </w:tcMar>
          </w:tcPr>
          <w:p w14:paraId="725B4E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E895E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CBB8D3" w14:textId="77777777" w:rsidR="00575AC3" w:rsidRPr="006D40F0" w:rsidRDefault="00575AC3" w:rsidP="006D40F0">
            <w:r w:rsidRPr="006D40F0">
              <w:t>fra kr 125 171 000 til kr 144 713 000</w:t>
            </w:r>
          </w:p>
        </w:tc>
        <w:tc>
          <w:tcPr>
            <w:tcW w:w="1400" w:type="dxa"/>
            <w:tcBorders>
              <w:top w:val="nil"/>
              <w:left w:val="nil"/>
              <w:bottom w:val="nil"/>
              <w:right w:val="nil"/>
            </w:tcBorders>
            <w:tcMar>
              <w:top w:w="128" w:type="dxa"/>
              <w:left w:w="43" w:type="dxa"/>
              <w:bottom w:w="43" w:type="dxa"/>
              <w:right w:w="43" w:type="dxa"/>
            </w:tcMar>
            <w:vAlign w:val="bottom"/>
          </w:tcPr>
          <w:p w14:paraId="2E7E64CC" w14:textId="77777777" w:rsidR="00575AC3" w:rsidRPr="006D40F0" w:rsidRDefault="00575AC3" w:rsidP="006D40F0"/>
        </w:tc>
      </w:tr>
      <w:tr w:rsidR="00DD49A7" w:rsidRPr="006D40F0" w14:paraId="6CC93438" w14:textId="77777777">
        <w:trPr>
          <w:trHeight w:val="640"/>
        </w:trPr>
        <w:tc>
          <w:tcPr>
            <w:tcW w:w="680" w:type="dxa"/>
            <w:tcBorders>
              <w:top w:val="nil"/>
              <w:left w:val="nil"/>
              <w:bottom w:val="nil"/>
              <w:right w:val="nil"/>
            </w:tcBorders>
            <w:tcMar>
              <w:top w:w="128" w:type="dxa"/>
              <w:left w:w="43" w:type="dxa"/>
              <w:bottom w:w="43" w:type="dxa"/>
              <w:right w:w="43" w:type="dxa"/>
            </w:tcMar>
          </w:tcPr>
          <w:p w14:paraId="59009D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B6F8CC" w14:textId="77777777" w:rsidR="00575AC3" w:rsidRPr="006D40F0" w:rsidRDefault="00575AC3" w:rsidP="006D40F0">
            <w:r w:rsidRPr="006D40F0">
              <w:t>64</w:t>
            </w:r>
          </w:p>
        </w:tc>
        <w:tc>
          <w:tcPr>
            <w:tcW w:w="6800" w:type="dxa"/>
            <w:tcBorders>
              <w:top w:val="nil"/>
              <w:left w:val="nil"/>
              <w:bottom w:val="nil"/>
              <w:right w:val="nil"/>
            </w:tcBorders>
            <w:tcMar>
              <w:top w:w="128" w:type="dxa"/>
              <w:left w:w="43" w:type="dxa"/>
              <w:bottom w:w="43" w:type="dxa"/>
              <w:right w:w="43" w:type="dxa"/>
            </w:tcMar>
          </w:tcPr>
          <w:p w14:paraId="117354F9" w14:textId="77777777" w:rsidR="00575AC3" w:rsidRPr="006D40F0" w:rsidRDefault="00575AC3" w:rsidP="006D40F0">
            <w:r w:rsidRPr="006D40F0">
              <w:t>Tilskudd til opplæring av barn og unge som søker opphold i Norge, forhøyes med</w:t>
            </w:r>
          </w:p>
        </w:tc>
        <w:tc>
          <w:tcPr>
            <w:tcW w:w="1400" w:type="dxa"/>
            <w:tcBorders>
              <w:top w:val="nil"/>
              <w:left w:val="nil"/>
              <w:bottom w:val="nil"/>
              <w:right w:val="nil"/>
            </w:tcBorders>
            <w:tcMar>
              <w:top w:w="128" w:type="dxa"/>
              <w:left w:w="43" w:type="dxa"/>
              <w:bottom w:w="43" w:type="dxa"/>
              <w:right w:w="43" w:type="dxa"/>
            </w:tcMar>
            <w:vAlign w:val="bottom"/>
          </w:tcPr>
          <w:p w14:paraId="108F840A" w14:textId="77777777" w:rsidR="00575AC3" w:rsidRPr="006D40F0" w:rsidRDefault="00575AC3" w:rsidP="006D40F0">
            <w:r w:rsidRPr="006D40F0">
              <w:t>11 995 000</w:t>
            </w:r>
          </w:p>
        </w:tc>
      </w:tr>
      <w:tr w:rsidR="00DD49A7" w:rsidRPr="006D40F0" w14:paraId="6CD030A5" w14:textId="77777777">
        <w:trPr>
          <w:trHeight w:val="380"/>
        </w:trPr>
        <w:tc>
          <w:tcPr>
            <w:tcW w:w="680" w:type="dxa"/>
            <w:tcBorders>
              <w:top w:val="nil"/>
              <w:left w:val="nil"/>
              <w:bottom w:val="nil"/>
              <w:right w:val="nil"/>
            </w:tcBorders>
            <w:tcMar>
              <w:top w:w="128" w:type="dxa"/>
              <w:left w:w="43" w:type="dxa"/>
              <w:bottom w:w="43" w:type="dxa"/>
              <w:right w:w="43" w:type="dxa"/>
            </w:tcMar>
          </w:tcPr>
          <w:p w14:paraId="7DE538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DAA50C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EA9293" w14:textId="77777777" w:rsidR="00575AC3" w:rsidRPr="006D40F0" w:rsidRDefault="00575AC3" w:rsidP="006D40F0">
            <w:r w:rsidRPr="006D40F0">
              <w:t>fra kr 368 482 000 til kr 380 477 000</w:t>
            </w:r>
          </w:p>
        </w:tc>
        <w:tc>
          <w:tcPr>
            <w:tcW w:w="1400" w:type="dxa"/>
            <w:tcBorders>
              <w:top w:val="nil"/>
              <w:left w:val="nil"/>
              <w:bottom w:val="nil"/>
              <w:right w:val="nil"/>
            </w:tcBorders>
            <w:tcMar>
              <w:top w:w="128" w:type="dxa"/>
              <w:left w:w="43" w:type="dxa"/>
              <w:bottom w:w="43" w:type="dxa"/>
              <w:right w:w="43" w:type="dxa"/>
            </w:tcMar>
            <w:vAlign w:val="bottom"/>
          </w:tcPr>
          <w:p w14:paraId="670603E4" w14:textId="77777777" w:rsidR="00575AC3" w:rsidRPr="006D40F0" w:rsidRDefault="00575AC3" w:rsidP="006D40F0"/>
        </w:tc>
      </w:tr>
      <w:tr w:rsidR="00DD49A7" w:rsidRPr="006D40F0" w14:paraId="5E030B86" w14:textId="77777777">
        <w:trPr>
          <w:trHeight w:val="640"/>
        </w:trPr>
        <w:tc>
          <w:tcPr>
            <w:tcW w:w="680" w:type="dxa"/>
            <w:tcBorders>
              <w:top w:val="nil"/>
              <w:left w:val="nil"/>
              <w:bottom w:val="nil"/>
              <w:right w:val="nil"/>
            </w:tcBorders>
            <w:tcMar>
              <w:top w:w="128" w:type="dxa"/>
              <w:left w:w="43" w:type="dxa"/>
              <w:bottom w:w="43" w:type="dxa"/>
              <w:right w:w="43" w:type="dxa"/>
            </w:tcMar>
          </w:tcPr>
          <w:p w14:paraId="09E71C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4056AD" w14:textId="77777777" w:rsidR="00575AC3" w:rsidRPr="006D40F0" w:rsidRDefault="00575AC3" w:rsidP="006D40F0">
            <w:r w:rsidRPr="006D40F0">
              <w:t>65</w:t>
            </w:r>
          </w:p>
        </w:tc>
        <w:tc>
          <w:tcPr>
            <w:tcW w:w="6800" w:type="dxa"/>
            <w:tcBorders>
              <w:top w:val="nil"/>
              <w:left w:val="nil"/>
              <w:bottom w:val="nil"/>
              <w:right w:val="nil"/>
            </w:tcBorders>
            <w:tcMar>
              <w:top w:w="128" w:type="dxa"/>
              <w:left w:w="43" w:type="dxa"/>
              <w:bottom w:w="43" w:type="dxa"/>
              <w:right w:w="43" w:type="dxa"/>
            </w:tcMar>
          </w:tcPr>
          <w:p w14:paraId="7949D674" w14:textId="77777777" w:rsidR="00575AC3" w:rsidRPr="006D40F0" w:rsidRDefault="00575AC3" w:rsidP="006D40F0">
            <w:r w:rsidRPr="006D40F0">
              <w:t xml:space="preserve">Rentekompensasjon for skole- og svømmeanlegg,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0B51568" w14:textId="77777777" w:rsidR="00575AC3" w:rsidRPr="006D40F0" w:rsidRDefault="00575AC3" w:rsidP="006D40F0">
            <w:r w:rsidRPr="006D40F0">
              <w:t>92 245 000</w:t>
            </w:r>
          </w:p>
        </w:tc>
      </w:tr>
      <w:tr w:rsidR="00DD49A7" w:rsidRPr="006D40F0" w14:paraId="164F5692" w14:textId="77777777">
        <w:trPr>
          <w:trHeight w:val="380"/>
        </w:trPr>
        <w:tc>
          <w:tcPr>
            <w:tcW w:w="680" w:type="dxa"/>
            <w:tcBorders>
              <w:top w:val="nil"/>
              <w:left w:val="nil"/>
              <w:bottom w:val="nil"/>
              <w:right w:val="nil"/>
            </w:tcBorders>
            <w:tcMar>
              <w:top w:w="128" w:type="dxa"/>
              <w:left w:w="43" w:type="dxa"/>
              <w:bottom w:w="43" w:type="dxa"/>
              <w:right w:w="43" w:type="dxa"/>
            </w:tcMar>
          </w:tcPr>
          <w:p w14:paraId="35DDFE3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6EDC2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0078EB" w14:textId="77777777" w:rsidR="00575AC3" w:rsidRPr="006D40F0" w:rsidRDefault="00575AC3" w:rsidP="006D40F0">
            <w:r w:rsidRPr="006D40F0">
              <w:t>fra kr 280 000 000 til kr 372 245 000</w:t>
            </w:r>
          </w:p>
        </w:tc>
        <w:tc>
          <w:tcPr>
            <w:tcW w:w="1400" w:type="dxa"/>
            <w:tcBorders>
              <w:top w:val="nil"/>
              <w:left w:val="nil"/>
              <w:bottom w:val="nil"/>
              <w:right w:val="nil"/>
            </w:tcBorders>
            <w:tcMar>
              <w:top w:w="128" w:type="dxa"/>
              <w:left w:w="43" w:type="dxa"/>
              <w:bottom w:w="43" w:type="dxa"/>
              <w:right w:w="43" w:type="dxa"/>
            </w:tcMar>
            <w:vAlign w:val="bottom"/>
          </w:tcPr>
          <w:p w14:paraId="252BA46B" w14:textId="77777777" w:rsidR="00575AC3" w:rsidRPr="006D40F0" w:rsidRDefault="00575AC3" w:rsidP="006D40F0"/>
        </w:tc>
      </w:tr>
      <w:tr w:rsidR="00DD49A7" w:rsidRPr="006D40F0" w14:paraId="727064A2" w14:textId="77777777">
        <w:trPr>
          <w:trHeight w:val="380"/>
        </w:trPr>
        <w:tc>
          <w:tcPr>
            <w:tcW w:w="680" w:type="dxa"/>
            <w:tcBorders>
              <w:top w:val="nil"/>
              <w:left w:val="nil"/>
              <w:bottom w:val="nil"/>
              <w:right w:val="nil"/>
            </w:tcBorders>
            <w:tcMar>
              <w:top w:w="128" w:type="dxa"/>
              <w:left w:w="43" w:type="dxa"/>
              <w:bottom w:w="43" w:type="dxa"/>
              <w:right w:w="43" w:type="dxa"/>
            </w:tcMar>
          </w:tcPr>
          <w:p w14:paraId="7CB8CD44" w14:textId="77777777" w:rsidR="00575AC3" w:rsidRPr="006D40F0" w:rsidRDefault="00575AC3" w:rsidP="006D40F0">
            <w:r w:rsidRPr="006D40F0">
              <w:t>226</w:t>
            </w:r>
          </w:p>
        </w:tc>
        <w:tc>
          <w:tcPr>
            <w:tcW w:w="680" w:type="dxa"/>
            <w:tcBorders>
              <w:top w:val="nil"/>
              <w:left w:val="nil"/>
              <w:bottom w:val="nil"/>
              <w:right w:val="nil"/>
            </w:tcBorders>
            <w:tcMar>
              <w:top w:w="128" w:type="dxa"/>
              <w:left w:w="43" w:type="dxa"/>
              <w:bottom w:w="43" w:type="dxa"/>
              <w:right w:w="43" w:type="dxa"/>
            </w:tcMar>
          </w:tcPr>
          <w:p w14:paraId="58A7ACA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398562B" w14:textId="77777777" w:rsidR="00575AC3" w:rsidRPr="006D40F0" w:rsidRDefault="00575AC3" w:rsidP="006D40F0">
            <w:r w:rsidRPr="006D40F0">
              <w:t>Kvalitetsutvikling i grunnopplæringen:</w:t>
            </w:r>
          </w:p>
        </w:tc>
        <w:tc>
          <w:tcPr>
            <w:tcW w:w="1400" w:type="dxa"/>
            <w:tcBorders>
              <w:top w:val="nil"/>
              <w:left w:val="nil"/>
              <w:bottom w:val="nil"/>
              <w:right w:val="nil"/>
            </w:tcBorders>
            <w:tcMar>
              <w:top w:w="128" w:type="dxa"/>
              <w:left w:w="43" w:type="dxa"/>
              <w:bottom w:w="43" w:type="dxa"/>
              <w:right w:w="43" w:type="dxa"/>
            </w:tcMar>
            <w:vAlign w:val="bottom"/>
          </w:tcPr>
          <w:p w14:paraId="762E89FB" w14:textId="77777777" w:rsidR="00575AC3" w:rsidRPr="006D40F0" w:rsidRDefault="00575AC3" w:rsidP="006D40F0"/>
        </w:tc>
      </w:tr>
      <w:tr w:rsidR="00DD49A7" w:rsidRPr="006D40F0" w14:paraId="5FDABD7F" w14:textId="77777777">
        <w:trPr>
          <w:trHeight w:val="380"/>
        </w:trPr>
        <w:tc>
          <w:tcPr>
            <w:tcW w:w="680" w:type="dxa"/>
            <w:tcBorders>
              <w:top w:val="nil"/>
              <w:left w:val="nil"/>
              <w:bottom w:val="nil"/>
              <w:right w:val="nil"/>
            </w:tcBorders>
            <w:tcMar>
              <w:top w:w="128" w:type="dxa"/>
              <w:left w:w="43" w:type="dxa"/>
              <w:bottom w:w="43" w:type="dxa"/>
              <w:right w:w="43" w:type="dxa"/>
            </w:tcMar>
          </w:tcPr>
          <w:p w14:paraId="5CD17D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D52C44"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C102F60"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3F66DAF" w14:textId="77777777" w:rsidR="00575AC3" w:rsidRPr="006D40F0" w:rsidRDefault="00575AC3" w:rsidP="006D40F0">
            <w:r w:rsidRPr="006D40F0">
              <w:t>321 200 000</w:t>
            </w:r>
          </w:p>
        </w:tc>
      </w:tr>
      <w:tr w:rsidR="00DD49A7" w:rsidRPr="006D40F0" w14:paraId="468B01CE" w14:textId="77777777">
        <w:trPr>
          <w:trHeight w:val="380"/>
        </w:trPr>
        <w:tc>
          <w:tcPr>
            <w:tcW w:w="680" w:type="dxa"/>
            <w:tcBorders>
              <w:top w:val="nil"/>
              <w:left w:val="nil"/>
              <w:bottom w:val="nil"/>
              <w:right w:val="nil"/>
            </w:tcBorders>
            <w:tcMar>
              <w:top w:w="128" w:type="dxa"/>
              <w:left w:w="43" w:type="dxa"/>
              <w:bottom w:w="43" w:type="dxa"/>
              <w:right w:w="43" w:type="dxa"/>
            </w:tcMar>
          </w:tcPr>
          <w:p w14:paraId="65A492B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9C7D2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F7AD7E8" w14:textId="77777777" w:rsidR="00575AC3" w:rsidRPr="006D40F0" w:rsidRDefault="00575AC3" w:rsidP="006D40F0">
            <w:r w:rsidRPr="006D40F0">
              <w:t>fra kr 1 313 639 000 til kr 1 634 839 000</w:t>
            </w:r>
          </w:p>
        </w:tc>
        <w:tc>
          <w:tcPr>
            <w:tcW w:w="1400" w:type="dxa"/>
            <w:tcBorders>
              <w:top w:val="nil"/>
              <w:left w:val="nil"/>
              <w:bottom w:val="nil"/>
              <w:right w:val="nil"/>
            </w:tcBorders>
            <w:tcMar>
              <w:top w:w="128" w:type="dxa"/>
              <w:left w:w="43" w:type="dxa"/>
              <w:bottom w:w="43" w:type="dxa"/>
              <w:right w:w="43" w:type="dxa"/>
            </w:tcMar>
            <w:vAlign w:val="bottom"/>
          </w:tcPr>
          <w:p w14:paraId="76B9875D" w14:textId="77777777" w:rsidR="00575AC3" w:rsidRPr="006D40F0" w:rsidRDefault="00575AC3" w:rsidP="006D40F0"/>
        </w:tc>
      </w:tr>
      <w:tr w:rsidR="00DD49A7" w:rsidRPr="006D40F0" w14:paraId="5AE99473" w14:textId="77777777">
        <w:trPr>
          <w:trHeight w:val="380"/>
        </w:trPr>
        <w:tc>
          <w:tcPr>
            <w:tcW w:w="680" w:type="dxa"/>
            <w:tcBorders>
              <w:top w:val="nil"/>
              <w:left w:val="nil"/>
              <w:bottom w:val="nil"/>
              <w:right w:val="nil"/>
            </w:tcBorders>
            <w:tcMar>
              <w:top w:w="128" w:type="dxa"/>
              <w:left w:w="43" w:type="dxa"/>
              <w:bottom w:w="43" w:type="dxa"/>
              <w:right w:w="43" w:type="dxa"/>
            </w:tcMar>
          </w:tcPr>
          <w:p w14:paraId="5DD121F6" w14:textId="77777777" w:rsidR="00575AC3" w:rsidRPr="006D40F0" w:rsidRDefault="00575AC3" w:rsidP="006D40F0">
            <w:r w:rsidRPr="006D40F0">
              <w:t>228</w:t>
            </w:r>
          </w:p>
        </w:tc>
        <w:tc>
          <w:tcPr>
            <w:tcW w:w="680" w:type="dxa"/>
            <w:tcBorders>
              <w:top w:val="nil"/>
              <w:left w:val="nil"/>
              <w:bottom w:val="nil"/>
              <w:right w:val="nil"/>
            </w:tcBorders>
            <w:tcMar>
              <w:top w:w="128" w:type="dxa"/>
              <w:left w:w="43" w:type="dxa"/>
              <w:bottom w:w="43" w:type="dxa"/>
              <w:right w:w="43" w:type="dxa"/>
            </w:tcMar>
          </w:tcPr>
          <w:p w14:paraId="3B10CA5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2E20C7" w14:textId="77777777" w:rsidR="00575AC3" w:rsidRPr="006D40F0" w:rsidRDefault="00575AC3" w:rsidP="006D40F0">
            <w:r w:rsidRPr="006D40F0">
              <w:t>Tilskudd til private skoler mv.:</w:t>
            </w:r>
          </w:p>
        </w:tc>
        <w:tc>
          <w:tcPr>
            <w:tcW w:w="1400" w:type="dxa"/>
            <w:tcBorders>
              <w:top w:val="nil"/>
              <w:left w:val="nil"/>
              <w:bottom w:val="nil"/>
              <w:right w:val="nil"/>
            </w:tcBorders>
            <w:tcMar>
              <w:top w:w="128" w:type="dxa"/>
              <w:left w:w="43" w:type="dxa"/>
              <w:bottom w:w="43" w:type="dxa"/>
              <w:right w:w="43" w:type="dxa"/>
            </w:tcMar>
            <w:vAlign w:val="bottom"/>
          </w:tcPr>
          <w:p w14:paraId="1AAC313C" w14:textId="77777777" w:rsidR="00575AC3" w:rsidRPr="006D40F0" w:rsidRDefault="00575AC3" w:rsidP="006D40F0"/>
        </w:tc>
      </w:tr>
      <w:tr w:rsidR="00DD49A7" w:rsidRPr="006D40F0" w14:paraId="5012A01D" w14:textId="77777777">
        <w:trPr>
          <w:trHeight w:val="380"/>
        </w:trPr>
        <w:tc>
          <w:tcPr>
            <w:tcW w:w="680" w:type="dxa"/>
            <w:tcBorders>
              <w:top w:val="nil"/>
              <w:left w:val="nil"/>
              <w:bottom w:val="nil"/>
              <w:right w:val="nil"/>
            </w:tcBorders>
            <w:tcMar>
              <w:top w:w="128" w:type="dxa"/>
              <w:left w:w="43" w:type="dxa"/>
              <w:bottom w:w="43" w:type="dxa"/>
              <w:right w:w="43" w:type="dxa"/>
            </w:tcMar>
          </w:tcPr>
          <w:p w14:paraId="4DF0EED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06CF7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33521EFD" w14:textId="77777777" w:rsidR="00575AC3" w:rsidRPr="006D40F0" w:rsidRDefault="00575AC3" w:rsidP="006D40F0">
            <w:r w:rsidRPr="006D40F0">
              <w:t xml:space="preserve">Private grunnskoler,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07B9511" w14:textId="77777777" w:rsidR="00575AC3" w:rsidRPr="006D40F0" w:rsidRDefault="00575AC3" w:rsidP="006D40F0">
            <w:r w:rsidRPr="006D40F0">
              <w:t>19 016 000</w:t>
            </w:r>
          </w:p>
        </w:tc>
      </w:tr>
      <w:tr w:rsidR="00DD49A7" w:rsidRPr="006D40F0" w14:paraId="0A020243" w14:textId="77777777">
        <w:trPr>
          <w:trHeight w:val="380"/>
        </w:trPr>
        <w:tc>
          <w:tcPr>
            <w:tcW w:w="680" w:type="dxa"/>
            <w:tcBorders>
              <w:top w:val="nil"/>
              <w:left w:val="nil"/>
              <w:bottom w:val="nil"/>
              <w:right w:val="nil"/>
            </w:tcBorders>
            <w:tcMar>
              <w:top w:w="128" w:type="dxa"/>
              <w:left w:w="43" w:type="dxa"/>
              <w:bottom w:w="43" w:type="dxa"/>
              <w:right w:w="43" w:type="dxa"/>
            </w:tcMar>
          </w:tcPr>
          <w:p w14:paraId="75956A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34D4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5BAC68A" w14:textId="77777777" w:rsidR="00575AC3" w:rsidRPr="006D40F0" w:rsidRDefault="00575AC3" w:rsidP="006D40F0">
            <w:r w:rsidRPr="006D40F0">
              <w:t>fra kr 3 818 469 000 til kr 3 837 485 000</w:t>
            </w:r>
          </w:p>
        </w:tc>
        <w:tc>
          <w:tcPr>
            <w:tcW w:w="1400" w:type="dxa"/>
            <w:tcBorders>
              <w:top w:val="nil"/>
              <w:left w:val="nil"/>
              <w:bottom w:val="nil"/>
              <w:right w:val="nil"/>
            </w:tcBorders>
            <w:tcMar>
              <w:top w:w="128" w:type="dxa"/>
              <w:left w:w="43" w:type="dxa"/>
              <w:bottom w:w="43" w:type="dxa"/>
              <w:right w:w="43" w:type="dxa"/>
            </w:tcMar>
            <w:vAlign w:val="bottom"/>
          </w:tcPr>
          <w:p w14:paraId="695F59B9" w14:textId="77777777" w:rsidR="00575AC3" w:rsidRPr="006D40F0" w:rsidRDefault="00575AC3" w:rsidP="006D40F0"/>
        </w:tc>
      </w:tr>
      <w:tr w:rsidR="00DD49A7" w:rsidRPr="006D40F0" w14:paraId="1CD3430D" w14:textId="77777777">
        <w:trPr>
          <w:trHeight w:val="380"/>
        </w:trPr>
        <w:tc>
          <w:tcPr>
            <w:tcW w:w="680" w:type="dxa"/>
            <w:tcBorders>
              <w:top w:val="nil"/>
              <w:left w:val="nil"/>
              <w:bottom w:val="nil"/>
              <w:right w:val="nil"/>
            </w:tcBorders>
            <w:tcMar>
              <w:top w:w="128" w:type="dxa"/>
              <w:left w:w="43" w:type="dxa"/>
              <w:bottom w:w="43" w:type="dxa"/>
              <w:right w:w="43" w:type="dxa"/>
            </w:tcMar>
          </w:tcPr>
          <w:p w14:paraId="0A1D6ED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316E1E"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15A4A17" w14:textId="77777777" w:rsidR="00575AC3" w:rsidRPr="006D40F0" w:rsidRDefault="00575AC3" w:rsidP="006D40F0">
            <w:r w:rsidRPr="006D40F0">
              <w:t xml:space="preserve">Private videregående skoler,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FD9425A" w14:textId="77777777" w:rsidR="00575AC3" w:rsidRPr="006D40F0" w:rsidRDefault="00575AC3" w:rsidP="006D40F0">
            <w:r w:rsidRPr="006D40F0">
              <w:t>5 100 000</w:t>
            </w:r>
          </w:p>
        </w:tc>
      </w:tr>
      <w:tr w:rsidR="00DD49A7" w:rsidRPr="006D40F0" w14:paraId="489F7E91" w14:textId="77777777">
        <w:trPr>
          <w:trHeight w:val="380"/>
        </w:trPr>
        <w:tc>
          <w:tcPr>
            <w:tcW w:w="680" w:type="dxa"/>
            <w:tcBorders>
              <w:top w:val="nil"/>
              <w:left w:val="nil"/>
              <w:bottom w:val="nil"/>
              <w:right w:val="nil"/>
            </w:tcBorders>
            <w:tcMar>
              <w:top w:w="128" w:type="dxa"/>
              <w:left w:w="43" w:type="dxa"/>
              <w:bottom w:w="43" w:type="dxa"/>
              <w:right w:w="43" w:type="dxa"/>
            </w:tcMar>
          </w:tcPr>
          <w:p w14:paraId="6FC000B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E879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7B71DA" w14:textId="77777777" w:rsidR="00575AC3" w:rsidRPr="006D40F0" w:rsidRDefault="00575AC3" w:rsidP="006D40F0">
            <w:r w:rsidRPr="006D40F0">
              <w:t>fra kr 2 122 517 000 til kr 2 127 617 000</w:t>
            </w:r>
          </w:p>
        </w:tc>
        <w:tc>
          <w:tcPr>
            <w:tcW w:w="1400" w:type="dxa"/>
            <w:tcBorders>
              <w:top w:val="nil"/>
              <w:left w:val="nil"/>
              <w:bottom w:val="nil"/>
              <w:right w:val="nil"/>
            </w:tcBorders>
            <w:tcMar>
              <w:top w:w="128" w:type="dxa"/>
              <w:left w:w="43" w:type="dxa"/>
              <w:bottom w:w="43" w:type="dxa"/>
              <w:right w:w="43" w:type="dxa"/>
            </w:tcMar>
            <w:vAlign w:val="bottom"/>
          </w:tcPr>
          <w:p w14:paraId="32CB9F00" w14:textId="77777777" w:rsidR="00575AC3" w:rsidRPr="006D40F0" w:rsidRDefault="00575AC3" w:rsidP="006D40F0"/>
        </w:tc>
      </w:tr>
      <w:tr w:rsidR="00DD49A7" w:rsidRPr="006D40F0" w14:paraId="400E75D9" w14:textId="77777777">
        <w:trPr>
          <w:trHeight w:val="380"/>
        </w:trPr>
        <w:tc>
          <w:tcPr>
            <w:tcW w:w="680" w:type="dxa"/>
            <w:tcBorders>
              <w:top w:val="nil"/>
              <w:left w:val="nil"/>
              <w:bottom w:val="nil"/>
              <w:right w:val="nil"/>
            </w:tcBorders>
            <w:tcMar>
              <w:top w:w="128" w:type="dxa"/>
              <w:left w:w="43" w:type="dxa"/>
              <w:bottom w:w="43" w:type="dxa"/>
              <w:right w:w="43" w:type="dxa"/>
            </w:tcMar>
          </w:tcPr>
          <w:p w14:paraId="29C76A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3B50DA"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1899B1E2" w14:textId="77777777" w:rsidR="00575AC3" w:rsidRPr="006D40F0" w:rsidRDefault="00575AC3" w:rsidP="006D40F0">
            <w:r w:rsidRPr="006D40F0">
              <w:t xml:space="preserve">Private grunnskoler i utlandet,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B49FA26" w14:textId="77777777" w:rsidR="00575AC3" w:rsidRPr="006D40F0" w:rsidRDefault="00575AC3" w:rsidP="006D40F0">
            <w:r w:rsidRPr="006D40F0">
              <w:t>724 000</w:t>
            </w:r>
          </w:p>
        </w:tc>
      </w:tr>
      <w:tr w:rsidR="00DD49A7" w:rsidRPr="006D40F0" w14:paraId="1B9D1D6A" w14:textId="77777777">
        <w:trPr>
          <w:trHeight w:val="380"/>
        </w:trPr>
        <w:tc>
          <w:tcPr>
            <w:tcW w:w="680" w:type="dxa"/>
            <w:tcBorders>
              <w:top w:val="nil"/>
              <w:left w:val="nil"/>
              <w:bottom w:val="nil"/>
              <w:right w:val="nil"/>
            </w:tcBorders>
            <w:tcMar>
              <w:top w:w="128" w:type="dxa"/>
              <w:left w:w="43" w:type="dxa"/>
              <w:bottom w:w="43" w:type="dxa"/>
              <w:right w:w="43" w:type="dxa"/>
            </w:tcMar>
          </w:tcPr>
          <w:p w14:paraId="05CBCAD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317F1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E62951" w14:textId="77777777" w:rsidR="00575AC3" w:rsidRPr="006D40F0" w:rsidRDefault="00575AC3" w:rsidP="006D40F0">
            <w:r w:rsidRPr="006D40F0">
              <w:t>fra kr 153 664 000 til kr 154 388 000</w:t>
            </w:r>
          </w:p>
        </w:tc>
        <w:tc>
          <w:tcPr>
            <w:tcW w:w="1400" w:type="dxa"/>
            <w:tcBorders>
              <w:top w:val="nil"/>
              <w:left w:val="nil"/>
              <w:bottom w:val="nil"/>
              <w:right w:val="nil"/>
            </w:tcBorders>
            <w:tcMar>
              <w:top w:w="128" w:type="dxa"/>
              <w:left w:w="43" w:type="dxa"/>
              <w:bottom w:w="43" w:type="dxa"/>
              <w:right w:w="43" w:type="dxa"/>
            </w:tcMar>
            <w:vAlign w:val="bottom"/>
          </w:tcPr>
          <w:p w14:paraId="0FCBE1AB" w14:textId="77777777" w:rsidR="00575AC3" w:rsidRPr="006D40F0" w:rsidRDefault="00575AC3" w:rsidP="006D40F0"/>
        </w:tc>
      </w:tr>
      <w:tr w:rsidR="00DD49A7" w:rsidRPr="006D40F0" w14:paraId="43416B27" w14:textId="77777777">
        <w:trPr>
          <w:trHeight w:val="380"/>
        </w:trPr>
        <w:tc>
          <w:tcPr>
            <w:tcW w:w="680" w:type="dxa"/>
            <w:tcBorders>
              <w:top w:val="nil"/>
              <w:left w:val="nil"/>
              <w:bottom w:val="nil"/>
              <w:right w:val="nil"/>
            </w:tcBorders>
            <w:tcMar>
              <w:top w:w="128" w:type="dxa"/>
              <w:left w:w="43" w:type="dxa"/>
              <w:bottom w:w="43" w:type="dxa"/>
              <w:right w:w="43" w:type="dxa"/>
            </w:tcMar>
          </w:tcPr>
          <w:p w14:paraId="757E192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97454F" w14:textId="77777777" w:rsidR="00575AC3" w:rsidRPr="006D40F0" w:rsidRDefault="00575AC3" w:rsidP="006D40F0">
            <w:r w:rsidRPr="006D40F0">
              <w:t>77</w:t>
            </w:r>
          </w:p>
        </w:tc>
        <w:tc>
          <w:tcPr>
            <w:tcW w:w="6800" w:type="dxa"/>
            <w:tcBorders>
              <w:top w:val="nil"/>
              <w:left w:val="nil"/>
              <w:bottom w:val="nil"/>
              <w:right w:val="nil"/>
            </w:tcBorders>
            <w:tcMar>
              <w:top w:w="128" w:type="dxa"/>
              <w:left w:w="43" w:type="dxa"/>
              <w:bottom w:w="43" w:type="dxa"/>
              <w:right w:w="43" w:type="dxa"/>
            </w:tcMar>
          </w:tcPr>
          <w:p w14:paraId="234AA943" w14:textId="77777777" w:rsidR="00575AC3" w:rsidRPr="006D40F0" w:rsidRDefault="00575AC3" w:rsidP="006D40F0">
            <w:r w:rsidRPr="006D40F0">
              <w:t xml:space="preserve">Den tysk-norske skolen i Oslo,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24C46B6" w14:textId="77777777" w:rsidR="00575AC3" w:rsidRPr="006D40F0" w:rsidRDefault="00575AC3" w:rsidP="006D40F0">
            <w:r w:rsidRPr="006D40F0">
              <w:t>796 000</w:t>
            </w:r>
          </w:p>
        </w:tc>
      </w:tr>
      <w:tr w:rsidR="00DD49A7" w:rsidRPr="006D40F0" w14:paraId="4C23ECED" w14:textId="77777777">
        <w:trPr>
          <w:trHeight w:val="380"/>
        </w:trPr>
        <w:tc>
          <w:tcPr>
            <w:tcW w:w="680" w:type="dxa"/>
            <w:tcBorders>
              <w:top w:val="nil"/>
              <w:left w:val="nil"/>
              <w:bottom w:val="nil"/>
              <w:right w:val="nil"/>
            </w:tcBorders>
            <w:tcMar>
              <w:top w:w="128" w:type="dxa"/>
              <w:left w:w="43" w:type="dxa"/>
              <w:bottom w:w="43" w:type="dxa"/>
              <w:right w:w="43" w:type="dxa"/>
            </w:tcMar>
          </w:tcPr>
          <w:p w14:paraId="3FB88DC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22D7F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C4EB90" w14:textId="77777777" w:rsidR="00575AC3" w:rsidRPr="006D40F0" w:rsidRDefault="00575AC3" w:rsidP="006D40F0">
            <w:r w:rsidRPr="006D40F0">
              <w:t>fra kr 34 586 000 til kr 35 382 000</w:t>
            </w:r>
          </w:p>
        </w:tc>
        <w:tc>
          <w:tcPr>
            <w:tcW w:w="1400" w:type="dxa"/>
            <w:tcBorders>
              <w:top w:val="nil"/>
              <w:left w:val="nil"/>
              <w:bottom w:val="nil"/>
              <w:right w:val="nil"/>
            </w:tcBorders>
            <w:tcMar>
              <w:top w:w="128" w:type="dxa"/>
              <w:left w:w="43" w:type="dxa"/>
              <w:bottom w:w="43" w:type="dxa"/>
              <w:right w:w="43" w:type="dxa"/>
            </w:tcMar>
            <w:vAlign w:val="bottom"/>
          </w:tcPr>
          <w:p w14:paraId="1A8DC74F" w14:textId="77777777" w:rsidR="00575AC3" w:rsidRPr="006D40F0" w:rsidRDefault="00575AC3" w:rsidP="006D40F0"/>
        </w:tc>
      </w:tr>
      <w:tr w:rsidR="00DD49A7" w:rsidRPr="006D40F0" w14:paraId="234C3502" w14:textId="77777777">
        <w:trPr>
          <w:trHeight w:val="380"/>
        </w:trPr>
        <w:tc>
          <w:tcPr>
            <w:tcW w:w="680" w:type="dxa"/>
            <w:tcBorders>
              <w:top w:val="nil"/>
              <w:left w:val="nil"/>
              <w:bottom w:val="nil"/>
              <w:right w:val="nil"/>
            </w:tcBorders>
            <w:tcMar>
              <w:top w:w="128" w:type="dxa"/>
              <w:left w:w="43" w:type="dxa"/>
              <w:bottom w:w="43" w:type="dxa"/>
              <w:right w:w="43" w:type="dxa"/>
            </w:tcMar>
          </w:tcPr>
          <w:p w14:paraId="19452807"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0D1D458D"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3701DDC2" w14:textId="77777777" w:rsidR="00575AC3" w:rsidRPr="006D40F0" w:rsidRDefault="00575AC3" w:rsidP="006D40F0">
            <w:r w:rsidRPr="006D40F0">
              <w:t>Særtilskudd til private kombinerte grunnskoler, bevilges med</w:t>
            </w:r>
          </w:p>
        </w:tc>
        <w:tc>
          <w:tcPr>
            <w:tcW w:w="1400" w:type="dxa"/>
            <w:tcBorders>
              <w:top w:val="nil"/>
              <w:left w:val="nil"/>
              <w:bottom w:val="nil"/>
              <w:right w:val="nil"/>
            </w:tcBorders>
            <w:tcMar>
              <w:top w:w="128" w:type="dxa"/>
              <w:left w:w="43" w:type="dxa"/>
              <w:bottom w:w="43" w:type="dxa"/>
              <w:right w:w="43" w:type="dxa"/>
            </w:tcMar>
            <w:vAlign w:val="bottom"/>
          </w:tcPr>
          <w:p w14:paraId="5DA52368" w14:textId="77777777" w:rsidR="00575AC3" w:rsidRPr="006D40F0" w:rsidRDefault="00575AC3" w:rsidP="006D40F0">
            <w:r w:rsidRPr="006D40F0">
              <w:t>30 000 000</w:t>
            </w:r>
          </w:p>
        </w:tc>
      </w:tr>
      <w:tr w:rsidR="00DD49A7" w:rsidRPr="006D40F0" w14:paraId="62FCA83D" w14:textId="77777777">
        <w:trPr>
          <w:trHeight w:val="380"/>
        </w:trPr>
        <w:tc>
          <w:tcPr>
            <w:tcW w:w="680" w:type="dxa"/>
            <w:tcBorders>
              <w:top w:val="nil"/>
              <w:left w:val="nil"/>
              <w:bottom w:val="nil"/>
              <w:right w:val="nil"/>
            </w:tcBorders>
            <w:tcMar>
              <w:top w:w="128" w:type="dxa"/>
              <w:left w:w="43" w:type="dxa"/>
              <w:bottom w:w="43" w:type="dxa"/>
              <w:right w:w="43" w:type="dxa"/>
            </w:tcMar>
          </w:tcPr>
          <w:p w14:paraId="3D9A5A9A" w14:textId="77777777" w:rsidR="00575AC3" w:rsidRPr="006D40F0" w:rsidRDefault="00575AC3" w:rsidP="006D40F0">
            <w:r w:rsidRPr="006D40F0">
              <w:t>229</w:t>
            </w:r>
          </w:p>
        </w:tc>
        <w:tc>
          <w:tcPr>
            <w:tcW w:w="680" w:type="dxa"/>
            <w:tcBorders>
              <w:top w:val="nil"/>
              <w:left w:val="nil"/>
              <w:bottom w:val="nil"/>
              <w:right w:val="nil"/>
            </w:tcBorders>
            <w:tcMar>
              <w:top w:w="128" w:type="dxa"/>
              <w:left w:w="43" w:type="dxa"/>
              <w:bottom w:w="43" w:type="dxa"/>
              <w:right w:w="43" w:type="dxa"/>
            </w:tcMar>
          </w:tcPr>
          <w:p w14:paraId="6592AD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1F5BA3" w14:textId="77777777" w:rsidR="00575AC3" w:rsidRPr="006D40F0" w:rsidRDefault="00575AC3" w:rsidP="006D40F0">
            <w:r w:rsidRPr="006D40F0">
              <w:t>22. juli-senteret:</w:t>
            </w:r>
          </w:p>
        </w:tc>
        <w:tc>
          <w:tcPr>
            <w:tcW w:w="1400" w:type="dxa"/>
            <w:tcBorders>
              <w:top w:val="nil"/>
              <w:left w:val="nil"/>
              <w:bottom w:val="nil"/>
              <w:right w:val="nil"/>
            </w:tcBorders>
            <w:tcMar>
              <w:top w:w="128" w:type="dxa"/>
              <w:left w:w="43" w:type="dxa"/>
              <w:bottom w:w="43" w:type="dxa"/>
              <w:right w:w="43" w:type="dxa"/>
            </w:tcMar>
            <w:vAlign w:val="bottom"/>
          </w:tcPr>
          <w:p w14:paraId="190B565B" w14:textId="77777777" w:rsidR="00575AC3" w:rsidRPr="006D40F0" w:rsidRDefault="00575AC3" w:rsidP="006D40F0"/>
        </w:tc>
      </w:tr>
      <w:tr w:rsidR="00DD49A7" w:rsidRPr="006D40F0" w14:paraId="1D72D03C" w14:textId="77777777">
        <w:trPr>
          <w:trHeight w:val="380"/>
        </w:trPr>
        <w:tc>
          <w:tcPr>
            <w:tcW w:w="680" w:type="dxa"/>
            <w:tcBorders>
              <w:top w:val="nil"/>
              <w:left w:val="nil"/>
              <w:bottom w:val="nil"/>
              <w:right w:val="nil"/>
            </w:tcBorders>
            <w:tcMar>
              <w:top w:w="128" w:type="dxa"/>
              <w:left w:w="43" w:type="dxa"/>
              <w:bottom w:w="43" w:type="dxa"/>
              <w:right w:w="43" w:type="dxa"/>
            </w:tcMar>
          </w:tcPr>
          <w:p w14:paraId="11CF1B6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5C1AA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5788F9A"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0D29F398" w14:textId="77777777" w:rsidR="00575AC3" w:rsidRPr="006D40F0" w:rsidRDefault="00575AC3" w:rsidP="006D40F0">
            <w:r w:rsidRPr="006D40F0">
              <w:t>475 000</w:t>
            </w:r>
          </w:p>
        </w:tc>
      </w:tr>
      <w:tr w:rsidR="00DD49A7" w:rsidRPr="006D40F0" w14:paraId="1D52B2A5" w14:textId="77777777">
        <w:trPr>
          <w:trHeight w:val="380"/>
        </w:trPr>
        <w:tc>
          <w:tcPr>
            <w:tcW w:w="680" w:type="dxa"/>
            <w:tcBorders>
              <w:top w:val="nil"/>
              <w:left w:val="nil"/>
              <w:bottom w:val="nil"/>
              <w:right w:val="nil"/>
            </w:tcBorders>
            <w:tcMar>
              <w:top w:w="128" w:type="dxa"/>
              <w:left w:w="43" w:type="dxa"/>
              <w:bottom w:w="43" w:type="dxa"/>
              <w:right w:w="43" w:type="dxa"/>
            </w:tcMar>
          </w:tcPr>
          <w:p w14:paraId="58AB423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194A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48DB6B" w14:textId="77777777" w:rsidR="00575AC3" w:rsidRPr="006D40F0" w:rsidRDefault="00575AC3" w:rsidP="006D40F0">
            <w:r w:rsidRPr="006D40F0">
              <w:t>fra kr 23 236 000 til kr 23 711 000</w:t>
            </w:r>
          </w:p>
        </w:tc>
        <w:tc>
          <w:tcPr>
            <w:tcW w:w="1400" w:type="dxa"/>
            <w:tcBorders>
              <w:top w:val="nil"/>
              <w:left w:val="nil"/>
              <w:bottom w:val="nil"/>
              <w:right w:val="nil"/>
            </w:tcBorders>
            <w:tcMar>
              <w:top w:w="128" w:type="dxa"/>
              <w:left w:w="43" w:type="dxa"/>
              <w:bottom w:w="43" w:type="dxa"/>
              <w:right w:w="43" w:type="dxa"/>
            </w:tcMar>
            <w:vAlign w:val="bottom"/>
          </w:tcPr>
          <w:p w14:paraId="1C16449B" w14:textId="77777777" w:rsidR="00575AC3" w:rsidRPr="006D40F0" w:rsidRDefault="00575AC3" w:rsidP="006D40F0"/>
        </w:tc>
      </w:tr>
      <w:tr w:rsidR="00DD49A7" w:rsidRPr="006D40F0" w14:paraId="532D05E8" w14:textId="77777777">
        <w:trPr>
          <w:trHeight w:val="380"/>
        </w:trPr>
        <w:tc>
          <w:tcPr>
            <w:tcW w:w="680" w:type="dxa"/>
            <w:tcBorders>
              <w:top w:val="nil"/>
              <w:left w:val="nil"/>
              <w:bottom w:val="nil"/>
              <w:right w:val="nil"/>
            </w:tcBorders>
            <w:tcMar>
              <w:top w:w="128" w:type="dxa"/>
              <w:left w:w="43" w:type="dxa"/>
              <w:bottom w:w="43" w:type="dxa"/>
              <w:right w:w="43" w:type="dxa"/>
            </w:tcMar>
          </w:tcPr>
          <w:p w14:paraId="089C3099" w14:textId="77777777" w:rsidR="00575AC3" w:rsidRPr="006D40F0" w:rsidRDefault="00575AC3" w:rsidP="006D40F0">
            <w:r w:rsidRPr="006D40F0">
              <w:t>240</w:t>
            </w:r>
          </w:p>
        </w:tc>
        <w:tc>
          <w:tcPr>
            <w:tcW w:w="680" w:type="dxa"/>
            <w:tcBorders>
              <w:top w:val="nil"/>
              <w:left w:val="nil"/>
              <w:bottom w:val="nil"/>
              <w:right w:val="nil"/>
            </w:tcBorders>
            <w:tcMar>
              <w:top w:w="128" w:type="dxa"/>
              <w:left w:w="43" w:type="dxa"/>
              <w:bottom w:w="43" w:type="dxa"/>
              <w:right w:w="43" w:type="dxa"/>
            </w:tcMar>
          </w:tcPr>
          <w:p w14:paraId="6B010A1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ECEA27" w14:textId="77777777" w:rsidR="00575AC3" w:rsidRPr="006D40F0" w:rsidRDefault="00575AC3" w:rsidP="006D40F0">
            <w:r w:rsidRPr="006D40F0">
              <w:t>Fagskoler:</w:t>
            </w:r>
          </w:p>
        </w:tc>
        <w:tc>
          <w:tcPr>
            <w:tcW w:w="1400" w:type="dxa"/>
            <w:tcBorders>
              <w:top w:val="nil"/>
              <w:left w:val="nil"/>
              <w:bottom w:val="nil"/>
              <w:right w:val="nil"/>
            </w:tcBorders>
            <w:tcMar>
              <w:top w:w="128" w:type="dxa"/>
              <w:left w:w="43" w:type="dxa"/>
              <w:bottom w:w="43" w:type="dxa"/>
              <w:right w:w="43" w:type="dxa"/>
            </w:tcMar>
            <w:vAlign w:val="bottom"/>
          </w:tcPr>
          <w:p w14:paraId="18DF8CE6" w14:textId="77777777" w:rsidR="00575AC3" w:rsidRPr="006D40F0" w:rsidRDefault="00575AC3" w:rsidP="006D40F0"/>
        </w:tc>
      </w:tr>
      <w:tr w:rsidR="00DD49A7" w:rsidRPr="006D40F0" w14:paraId="025F3808" w14:textId="77777777">
        <w:trPr>
          <w:trHeight w:val="380"/>
        </w:trPr>
        <w:tc>
          <w:tcPr>
            <w:tcW w:w="680" w:type="dxa"/>
            <w:tcBorders>
              <w:top w:val="nil"/>
              <w:left w:val="nil"/>
              <w:bottom w:val="nil"/>
              <w:right w:val="nil"/>
            </w:tcBorders>
            <w:tcMar>
              <w:top w:w="128" w:type="dxa"/>
              <w:left w:w="43" w:type="dxa"/>
              <w:bottom w:w="43" w:type="dxa"/>
              <w:right w:w="43" w:type="dxa"/>
            </w:tcMar>
          </w:tcPr>
          <w:p w14:paraId="014871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37C5CB"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1DABEBB8" w14:textId="77777777" w:rsidR="00575AC3" w:rsidRPr="006D40F0" w:rsidRDefault="00575AC3" w:rsidP="006D40F0">
            <w:r w:rsidRPr="006D40F0">
              <w:t xml:space="preserve">Utviklingsmidler til fagskoler,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77EB128" w14:textId="77777777" w:rsidR="00575AC3" w:rsidRPr="006D40F0" w:rsidRDefault="00575AC3" w:rsidP="006D40F0">
            <w:r w:rsidRPr="006D40F0">
              <w:t>10 000 000</w:t>
            </w:r>
          </w:p>
        </w:tc>
      </w:tr>
      <w:tr w:rsidR="00DD49A7" w:rsidRPr="006D40F0" w14:paraId="1E5D6218" w14:textId="77777777">
        <w:trPr>
          <w:trHeight w:val="380"/>
        </w:trPr>
        <w:tc>
          <w:tcPr>
            <w:tcW w:w="680" w:type="dxa"/>
            <w:tcBorders>
              <w:top w:val="nil"/>
              <w:left w:val="nil"/>
              <w:bottom w:val="nil"/>
              <w:right w:val="nil"/>
            </w:tcBorders>
            <w:tcMar>
              <w:top w:w="128" w:type="dxa"/>
              <w:left w:w="43" w:type="dxa"/>
              <w:bottom w:w="43" w:type="dxa"/>
              <w:right w:w="43" w:type="dxa"/>
            </w:tcMar>
          </w:tcPr>
          <w:p w14:paraId="19F53EF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7E063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C247F3" w14:textId="77777777" w:rsidR="00575AC3" w:rsidRPr="006D40F0" w:rsidRDefault="00575AC3" w:rsidP="006D40F0">
            <w:r w:rsidRPr="006D40F0">
              <w:t>fra kr 75 148 000 til kr 85 148 000</w:t>
            </w:r>
          </w:p>
        </w:tc>
        <w:tc>
          <w:tcPr>
            <w:tcW w:w="1400" w:type="dxa"/>
            <w:tcBorders>
              <w:top w:val="nil"/>
              <w:left w:val="nil"/>
              <w:bottom w:val="nil"/>
              <w:right w:val="nil"/>
            </w:tcBorders>
            <w:tcMar>
              <w:top w:w="128" w:type="dxa"/>
              <w:left w:w="43" w:type="dxa"/>
              <w:bottom w:w="43" w:type="dxa"/>
              <w:right w:w="43" w:type="dxa"/>
            </w:tcMar>
            <w:vAlign w:val="bottom"/>
          </w:tcPr>
          <w:p w14:paraId="114EFD70" w14:textId="77777777" w:rsidR="00575AC3" w:rsidRPr="006D40F0" w:rsidRDefault="00575AC3" w:rsidP="006D40F0"/>
        </w:tc>
      </w:tr>
      <w:tr w:rsidR="00DD49A7" w:rsidRPr="006D40F0" w14:paraId="6448BDB9" w14:textId="77777777">
        <w:trPr>
          <w:trHeight w:val="380"/>
        </w:trPr>
        <w:tc>
          <w:tcPr>
            <w:tcW w:w="680" w:type="dxa"/>
            <w:tcBorders>
              <w:top w:val="nil"/>
              <w:left w:val="nil"/>
              <w:bottom w:val="nil"/>
              <w:right w:val="nil"/>
            </w:tcBorders>
            <w:tcMar>
              <w:top w:w="128" w:type="dxa"/>
              <w:left w:w="43" w:type="dxa"/>
              <w:bottom w:w="43" w:type="dxa"/>
              <w:right w:w="43" w:type="dxa"/>
            </w:tcMar>
          </w:tcPr>
          <w:p w14:paraId="7F88F33A" w14:textId="77777777" w:rsidR="00575AC3" w:rsidRPr="006D40F0" w:rsidRDefault="00575AC3" w:rsidP="006D40F0">
            <w:r w:rsidRPr="006D40F0">
              <w:t>241</w:t>
            </w:r>
          </w:p>
        </w:tc>
        <w:tc>
          <w:tcPr>
            <w:tcW w:w="680" w:type="dxa"/>
            <w:tcBorders>
              <w:top w:val="nil"/>
              <w:left w:val="nil"/>
              <w:bottom w:val="nil"/>
              <w:right w:val="nil"/>
            </w:tcBorders>
            <w:tcMar>
              <w:top w:w="128" w:type="dxa"/>
              <w:left w:w="43" w:type="dxa"/>
              <w:bottom w:w="43" w:type="dxa"/>
              <w:right w:w="43" w:type="dxa"/>
            </w:tcMar>
          </w:tcPr>
          <w:p w14:paraId="43E8075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76E2D1C" w14:textId="77777777" w:rsidR="00575AC3" w:rsidRPr="006D40F0" w:rsidRDefault="00575AC3" w:rsidP="006D40F0">
            <w:r w:rsidRPr="006D40F0">
              <w:t>Tiltak for høyere yrkesfaglig utdanning:</w:t>
            </w:r>
          </w:p>
        </w:tc>
        <w:tc>
          <w:tcPr>
            <w:tcW w:w="1400" w:type="dxa"/>
            <w:tcBorders>
              <w:top w:val="nil"/>
              <w:left w:val="nil"/>
              <w:bottom w:val="nil"/>
              <w:right w:val="nil"/>
            </w:tcBorders>
            <w:tcMar>
              <w:top w:w="128" w:type="dxa"/>
              <w:left w:w="43" w:type="dxa"/>
              <w:bottom w:w="43" w:type="dxa"/>
              <w:right w:w="43" w:type="dxa"/>
            </w:tcMar>
            <w:vAlign w:val="bottom"/>
          </w:tcPr>
          <w:p w14:paraId="18C54DDC" w14:textId="77777777" w:rsidR="00575AC3" w:rsidRPr="006D40F0" w:rsidRDefault="00575AC3" w:rsidP="006D40F0"/>
        </w:tc>
      </w:tr>
      <w:tr w:rsidR="00DD49A7" w:rsidRPr="006D40F0" w14:paraId="47B5258D" w14:textId="77777777">
        <w:trPr>
          <w:trHeight w:val="380"/>
        </w:trPr>
        <w:tc>
          <w:tcPr>
            <w:tcW w:w="680" w:type="dxa"/>
            <w:tcBorders>
              <w:top w:val="nil"/>
              <w:left w:val="nil"/>
              <w:bottom w:val="nil"/>
              <w:right w:val="nil"/>
            </w:tcBorders>
            <w:tcMar>
              <w:top w:w="128" w:type="dxa"/>
              <w:left w:w="43" w:type="dxa"/>
              <w:bottom w:w="43" w:type="dxa"/>
              <w:right w:w="43" w:type="dxa"/>
            </w:tcMar>
          </w:tcPr>
          <w:p w14:paraId="55A3430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4EBE00"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EDC0621"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9E3EAD7" w14:textId="77777777" w:rsidR="00575AC3" w:rsidRPr="006D40F0" w:rsidRDefault="00575AC3" w:rsidP="006D40F0">
            <w:r w:rsidRPr="006D40F0">
              <w:t>1 500 000</w:t>
            </w:r>
          </w:p>
        </w:tc>
      </w:tr>
      <w:tr w:rsidR="00DD49A7" w:rsidRPr="006D40F0" w14:paraId="31008F0F" w14:textId="77777777">
        <w:trPr>
          <w:trHeight w:val="380"/>
        </w:trPr>
        <w:tc>
          <w:tcPr>
            <w:tcW w:w="680" w:type="dxa"/>
            <w:tcBorders>
              <w:top w:val="nil"/>
              <w:left w:val="nil"/>
              <w:bottom w:val="nil"/>
              <w:right w:val="nil"/>
            </w:tcBorders>
            <w:tcMar>
              <w:top w:w="128" w:type="dxa"/>
              <w:left w:w="43" w:type="dxa"/>
              <w:bottom w:w="43" w:type="dxa"/>
              <w:right w:w="43" w:type="dxa"/>
            </w:tcMar>
          </w:tcPr>
          <w:p w14:paraId="0B6E7E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EC14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CF4EFB" w14:textId="77777777" w:rsidR="00575AC3" w:rsidRPr="006D40F0" w:rsidRDefault="00575AC3" w:rsidP="006D40F0">
            <w:r w:rsidRPr="006D40F0">
              <w:t>fra kr 24 648 000 til kr 26 148 000</w:t>
            </w:r>
          </w:p>
        </w:tc>
        <w:tc>
          <w:tcPr>
            <w:tcW w:w="1400" w:type="dxa"/>
            <w:tcBorders>
              <w:top w:val="nil"/>
              <w:left w:val="nil"/>
              <w:bottom w:val="nil"/>
              <w:right w:val="nil"/>
            </w:tcBorders>
            <w:tcMar>
              <w:top w:w="128" w:type="dxa"/>
              <w:left w:w="43" w:type="dxa"/>
              <w:bottom w:w="43" w:type="dxa"/>
              <w:right w:w="43" w:type="dxa"/>
            </w:tcMar>
            <w:vAlign w:val="bottom"/>
          </w:tcPr>
          <w:p w14:paraId="4315A8FB" w14:textId="77777777" w:rsidR="00575AC3" w:rsidRPr="006D40F0" w:rsidRDefault="00575AC3" w:rsidP="006D40F0"/>
        </w:tc>
      </w:tr>
      <w:tr w:rsidR="00DD49A7" w:rsidRPr="006D40F0" w14:paraId="67F04D6D" w14:textId="77777777">
        <w:trPr>
          <w:trHeight w:val="380"/>
        </w:trPr>
        <w:tc>
          <w:tcPr>
            <w:tcW w:w="680" w:type="dxa"/>
            <w:tcBorders>
              <w:top w:val="nil"/>
              <w:left w:val="nil"/>
              <w:bottom w:val="nil"/>
              <w:right w:val="nil"/>
            </w:tcBorders>
            <w:tcMar>
              <w:top w:w="128" w:type="dxa"/>
              <w:left w:w="43" w:type="dxa"/>
              <w:bottom w:w="43" w:type="dxa"/>
              <w:right w:w="43" w:type="dxa"/>
            </w:tcMar>
          </w:tcPr>
          <w:p w14:paraId="7D7CFF2C" w14:textId="77777777" w:rsidR="00575AC3" w:rsidRPr="006D40F0" w:rsidRDefault="00575AC3" w:rsidP="006D40F0">
            <w:r w:rsidRPr="006D40F0">
              <w:t>256</w:t>
            </w:r>
          </w:p>
        </w:tc>
        <w:tc>
          <w:tcPr>
            <w:tcW w:w="680" w:type="dxa"/>
            <w:tcBorders>
              <w:top w:val="nil"/>
              <w:left w:val="nil"/>
              <w:bottom w:val="nil"/>
              <w:right w:val="nil"/>
            </w:tcBorders>
            <w:tcMar>
              <w:top w:w="128" w:type="dxa"/>
              <w:left w:w="43" w:type="dxa"/>
              <w:bottom w:w="43" w:type="dxa"/>
              <w:right w:w="43" w:type="dxa"/>
            </w:tcMar>
          </w:tcPr>
          <w:p w14:paraId="3F563B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29722F" w14:textId="77777777" w:rsidR="00575AC3" w:rsidRPr="006D40F0" w:rsidRDefault="00575AC3" w:rsidP="006D40F0">
            <w:r w:rsidRPr="006D40F0">
              <w:t>Direktoratet for høyere utdanning og kompetanse:</w:t>
            </w:r>
          </w:p>
        </w:tc>
        <w:tc>
          <w:tcPr>
            <w:tcW w:w="1400" w:type="dxa"/>
            <w:tcBorders>
              <w:top w:val="nil"/>
              <w:left w:val="nil"/>
              <w:bottom w:val="nil"/>
              <w:right w:val="nil"/>
            </w:tcBorders>
            <w:tcMar>
              <w:top w:w="128" w:type="dxa"/>
              <w:left w:w="43" w:type="dxa"/>
              <w:bottom w:w="43" w:type="dxa"/>
              <w:right w:w="43" w:type="dxa"/>
            </w:tcMar>
            <w:vAlign w:val="bottom"/>
          </w:tcPr>
          <w:p w14:paraId="530E556E" w14:textId="77777777" w:rsidR="00575AC3" w:rsidRPr="006D40F0" w:rsidRDefault="00575AC3" w:rsidP="006D40F0"/>
        </w:tc>
      </w:tr>
      <w:tr w:rsidR="00DD49A7" w:rsidRPr="006D40F0" w14:paraId="33F62A89" w14:textId="77777777">
        <w:trPr>
          <w:trHeight w:val="380"/>
        </w:trPr>
        <w:tc>
          <w:tcPr>
            <w:tcW w:w="680" w:type="dxa"/>
            <w:tcBorders>
              <w:top w:val="nil"/>
              <w:left w:val="nil"/>
              <w:bottom w:val="nil"/>
              <w:right w:val="nil"/>
            </w:tcBorders>
            <w:tcMar>
              <w:top w:w="128" w:type="dxa"/>
              <w:left w:w="43" w:type="dxa"/>
              <w:bottom w:w="43" w:type="dxa"/>
              <w:right w:w="43" w:type="dxa"/>
            </w:tcMar>
          </w:tcPr>
          <w:p w14:paraId="08D7411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E8D7D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3AC12D7"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B5B987F" w14:textId="77777777" w:rsidR="00575AC3" w:rsidRPr="006D40F0" w:rsidRDefault="00575AC3" w:rsidP="006D40F0">
            <w:r w:rsidRPr="006D40F0">
              <w:t>1 600 000</w:t>
            </w:r>
          </w:p>
        </w:tc>
      </w:tr>
      <w:tr w:rsidR="00DD49A7" w:rsidRPr="006D40F0" w14:paraId="55795BC6" w14:textId="77777777">
        <w:trPr>
          <w:trHeight w:val="380"/>
        </w:trPr>
        <w:tc>
          <w:tcPr>
            <w:tcW w:w="680" w:type="dxa"/>
            <w:tcBorders>
              <w:top w:val="nil"/>
              <w:left w:val="nil"/>
              <w:bottom w:val="nil"/>
              <w:right w:val="nil"/>
            </w:tcBorders>
            <w:tcMar>
              <w:top w:w="128" w:type="dxa"/>
              <w:left w:w="43" w:type="dxa"/>
              <w:bottom w:w="43" w:type="dxa"/>
              <w:right w:w="43" w:type="dxa"/>
            </w:tcMar>
          </w:tcPr>
          <w:p w14:paraId="05CAA0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8BEE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364A4C" w14:textId="77777777" w:rsidR="00575AC3" w:rsidRPr="006D40F0" w:rsidRDefault="00575AC3" w:rsidP="006D40F0">
            <w:r w:rsidRPr="006D40F0">
              <w:t>fra kr 452 817 000 til kr 454 417 000</w:t>
            </w:r>
          </w:p>
        </w:tc>
        <w:tc>
          <w:tcPr>
            <w:tcW w:w="1400" w:type="dxa"/>
            <w:tcBorders>
              <w:top w:val="nil"/>
              <w:left w:val="nil"/>
              <w:bottom w:val="nil"/>
              <w:right w:val="nil"/>
            </w:tcBorders>
            <w:tcMar>
              <w:top w:w="128" w:type="dxa"/>
              <w:left w:w="43" w:type="dxa"/>
              <w:bottom w:w="43" w:type="dxa"/>
              <w:right w:w="43" w:type="dxa"/>
            </w:tcMar>
            <w:vAlign w:val="bottom"/>
          </w:tcPr>
          <w:p w14:paraId="75CD0658" w14:textId="77777777" w:rsidR="00575AC3" w:rsidRPr="006D40F0" w:rsidRDefault="00575AC3" w:rsidP="006D40F0"/>
        </w:tc>
      </w:tr>
      <w:tr w:rsidR="00DD49A7" w:rsidRPr="006D40F0" w14:paraId="47A0EE1A" w14:textId="77777777">
        <w:trPr>
          <w:trHeight w:val="380"/>
        </w:trPr>
        <w:tc>
          <w:tcPr>
            <w:tcW w:w="680" w:type="dxa"/>
            <w:tcBorders>
              <w:top w:val="nil"/>
              <w:left w:val="nil"/>
              <w:bottom w:val="nil"/>
              <w:right w:val="nil"/>
            </w:tcBorders>
            <w:tcMar>
              <w:top w:w="128" w:type="dxa"/>
              <w:left w:w="43" w:type="dxa"/>
              <w:bottom w:w="43" w:type="dxa"/>
              <w:right w:w="43" w:type="dxa"/>
            </w:tcMar>
          </w:tcPr>
          <w:p w14:paraId="2BC293D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AF9CCA"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61ED5DE" w14:textId="77777777" w:rsidR="00575AC3" w:rsidRPr="006D40F0" w:rsidRDefault="00575AC3" w:rsidP="006D40F0">
            <w:r w:rsidRPr="006D40F0">
              <w:t>Spesielle 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67FF4903" w14:textId="77777777" w:rsidR="00575AC3" w:rsidRPr="006D40F0" w:rsidRDefault="00575AC3" w:rsidP="006D40F0">
            <w:r w:rsidRPr="006D40F0">
              <w:t>2 200 000</w:t>
            </w:r>
          </w:p>
        </w:tc>
      </w:tr>
      <w:tr w:rsidR="00DD49A7" w:rsidRPr="006D40F0" w14:paraId="3B5F5B2A" w14:textId="77777777">
        <w:trPr>
          <w:trHeight w:val="380"/>
        </w:trPr>
        <w:tc>
          <w:tcPr>
            <w:tcW w:w="680" w:type="dxa"/>
            <w:tcBorders>
              <w:top w:val="nil"/>
              <w:left w:val="nil"/>
              <w:bottom w:val="nil"/>
              <w:right w:val="nil"/>
            </w:tcBorders>
            <w:tcMar>
              <w:top w:w="128" w:type="dxa"/>
              <w:left w:w="43" w:type="dxa"/>
              <w:bottom w:w="43" w:type="dxa"/>
              <w:right w:w="43" w:type="dxa"/>
            </w:tcMar>
          </w:tcPr>
          <w:p w14:paraId="03DB388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139DA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93117D" w14:textId="77777777" w:rsidR="00575AC3" w:rsidRPr="006D40F0" w:rsidRDefault="00575AC3" w:rsidP="006D40F0">
            <w:r w:rsidRPr="006D40F0">
              <w:t>fra kr 14 022 000 til kr 11 822 000</w:t>
            </w:r>
          </w:p>
        </w:tc>
        <w:tc>
          <w:tcPr>
            <w:tcW w:w="1400" w:type="dxa"/>
            <w:tcBorders>
              <w:top w:val="nil"/>
              <w:left w:val="nil"/>
              <w:bottom w:val="nil"/>
              <w:right w:val="nil"/>
            </w:tcBorders>
            <w:tcMar>
              <w:top w:w="128" w:type="dxa"/>
              <w:left w:w="43" w:type="dxa"/>
              <w:bottom w:w="43" w:type="dxa"/>
              <w:right w:w="43" w:type="dxa"/>
            </w:tcMar>
            <w:vAlign w:val="bottom"/>
          </w:tcPr>
          <w:p w14:paraId="1012C6C0" w14:textId="77777777" w:rsidR="00575AC3" w:rsidRPr="006D40F0" w:rsidRDefault="00575AC3" w:rsidP="006D40F0"/>
        </w:tc>
      </w:tr>
      <w:tr w:rsidR="00DD49A7" w:rsidRPr="006D40F0" w14:paraId="3F9909C3" w14:textId="77777777">
        <w:trPr>
          <w:trHeight w:val="380"/>
        </w:trPr>
        <w:tc>
          <w:tcPr>
            <w:tcW w:w="680" w:type="dxa"/>
            <w:tcBorders>
              <w:top w:val="nil"/>
              <w:left w:val="nil"/>
              <w:bottom w:val="nil"/>
              <w:right w:val="nil"/>
            </w:tcBorders>
            <w:tcMar>
              <w:top w:w="128" w:type="dxa"/>
              <w:left w:w="43" w:type="dxa"/>
              <w:bottom w:w="43" w:type="dxa"/>
              <w:right w:w="43" w:type="dxa"/>
            </w:tcMar>
          </w:tcPr>
          <w:p w14:paraId="54392290" w14:textId="77777777" w:rsidR="00575AC3" w:rsidRPr="006D40F0" w:rsidRDefault="00575AC3" w:rsidP="006D40F0">
            <w:r w:rsidRPr="006D40F0">
              <w:t>257</w:t>
            </w:r>
          </w:p>
        </w:tc>
        <w:tc>
          <w:tcPr>
            <w:tcW w:w="680" w:type="dxa"/>
            <w:tcBorders>
              <w:top w:val="nil"/>
              <w:left w:val="nil"/>
              <w:bottom w:val="nil"/>
              <w:right w:val="nil"/>
            </w:tcBorders>
            <w:tcMar>
              <w:top w:w="128" w:type="dxa"/>
              <w:left w:w="43" w:type="dxa"/>
              <w:bottom w:w="43" w:type="dxa"/>
              <w:right w:w="43" w:type="dxa"/>
            </w:tcMar>
          </w:tcPr>
          <w:p w14:paraId="2EEFD3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7F1F16" w14:textId="77777777" w:rsidR="00575AC3" w:rsidRPr="006D40F0" w:rsidRDefault="00575AC3" w:rsidP="006D40F0">
            <w:r w:rsidRPr="006D40F0">
              <w:t>Kompetanseprogrammet:</w:t>
            </w:r>
          </w:p>
        </w:tc>
        <w:tc>
          <w:tcPr>
            <w:tcW w:w="1400" w:type="dxa"/>
            <w:tcBorders>
              <w:top w:val="nil"/>
              <w:left w:val="nil"/>
              <w:bottom w:val="nil"/>
              <w:right w:val="nil"/>
            </w:tcBorders>
            <w:tcMar>
              <w:top w:w="128" w:type="dxa"/>
              <w:left w:w="43" w:type="dxa"/>
              <w:bottom w:w="43" w:type="dxa"/>
              <w:right w:w="43" w:type="dxa"/>
            </w:tcMar>
            <w:vAlign w:val="bottom"/>
          </w:tcPr>
          <w:p w14:paraId="44D878A4" w14:textId="77777777" w:rsidR="00575AC3" w:rsidRPr="006D40F0" w:rsidRDefault="00575AC3" w:rsidP="006D40F0"/>
        </w:tc>
      </w:tr>
      <w:tr w:rsidR="00DD49A7" w:rsidRPr="006D40F0" w14:paraId="4D2C1F87" w14:textId="77777777">
        <w:trPr>
          <w:trHeight w:val="380"/>
        </w:trPr>
        <w:tc>
          <w:tcPr>
            <w:tcW w:w="680" w:type="dxa"/>
            <w:tcBorders>
              <w:top w:val="nil"/>
              <w:left w:val="nil"/>
              <w:bottom w:val="nil"/>
              <w:right w:val="nil"/>
            </w:tcBorders>
            <w:tcMar>
              <w:top w:w="128" w:type="dxa"/>
              <w:left w:w="43" w:type="dxa"/>
              <w:bottom w:w="43" w:type="dxa"/>
              <w:right w:w="43" w:type="dxa"/>
            </w:tcMar>
          </w:tcPr>
          <w:p w14:paraId="6D18640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BC2CA8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AE11A86" w14:textId="77777777" w:rsidR="00575AC3" w:rsidRPr="006D40F0" w:rsidRDefault="00575AC3" w:rsidP="006D40F0">
            <w:r w:rsidRPr="006D40F0">
              <w:t xml:space="preserve">Tilskudd,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8C37354" w14:textId="77777777" w:rsidR="00575AC3" w:rsidRPr="006D40F0" w:rsidRDefault="00575AC3" w:rsidP="006D40F0">
            <w:r w:rsidRPr="006D40F0">
              <w:t>25 000 000</w:t>
            </w:r>
          </w:p>
        </w:tc>
      </w:tr>
      <w:tr w:rsidR="00DD49A7" w:rsidRPr="006D40F0" w14:paraId="13C4EC01" w14:textId="77777777">
        <w:trPr>
          <w:trHeight w:val="380"/>
        </w:trPr>
        <w:tc>
          <w:tcPr>
            <w:tcW w:w="680" w:type="dxa"/>
            <w:tcBorders>
              <w:top w:val="nil"/>
              <w:left w:val="nil"/>
              <w:bottom w:val="nil"/>
              <w:right w:val="nil"/>
            </w:tcBorders>
            <w:tcMar>
              <w:top w:w="128" w:type="dxa"/>
              <w:left w:w="43" w:type="dxa"/>
              <w:bottom w:w="43" w:type="dxa"/>
              <w:right w:w="43" w:type="dxa"/>
            </w:tcMar>
          </w:tcPr>
          <w:p w14:paraId="30C258D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D7A9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7EC7E6" w14:textId="77777777" w:rsidR="00575AC3" w:rsidRPr="006D40F0" w:rsidRDefault="00575AC3" w:rsidP="006D40F0">
            <w:r w:rsidRPr="006D40F0">
              <w:t>fra kr 202 910 000 til kr 177 910 000</w:t>
            </w:r>
          </w:p>
        </w:tc>
        <w:tc>
          <w:tcPr>
            <w:tcW w:w="1400" w:type="dxa"/>
            <w:tcBorders>
              <w:top w:val="nil"/>
              <w:left w:val="nil"/>
              <w:bottom w:val="nil"/>
              <w:right w:val="nil"/>
            </w:tcBorders>
            <w:tcMar>
              <w:top w:w="128" w:type="dxa"/>
              <w:left w:w="43" w:type="dxa"/>
              <w:bottom w:w="43" w:type="dxa"/>
              <w:right w:w="43" w:type="dxa"/>
            </w:tcMar>
            <w:vAlign w:val="bottom"/>
          </w:tcPr>
          <w:p w14:paraId="50C795A6" w14:textId="77777777" w:rsidR="00575AC3" w:rsidRPr="006D40F0" w:rsidRDefault="00575AC3" w:rsidP="006D40F0"/>
        </w:tc>
      </w:tr>
      <w:tr w:rsidR="00DD49A7" w:rsidRPr="006D40F0" w14:paraId="3590D035" w14:textId="77777777">
        <w:trPr>
          <w:trHeight w:val="380"/>
        </w:trPr>
        <w:tc>
          <w:tcPr>
            <w:tcW w:w="680" w:type="dxa"/>
            <w:tcBorders>
              <w:top w:val="nil"/>
              <w:left w:val="nil"/>
              <w:bottom w:val="nil"/>
              <w:right w:val="nil"/>
            </w:tcBorders>
            <w:tcMar>
              <w:top w:w="128" w:type="dxa"/>
              <w:left w:w="43" w:type="dxa"/>
              <w:bottom w:w="43" w:type="dxa"/>
              <w:right w:w="43" w:type="dxa"/>
            </w:tcMar>
          </w:tcPr>
          <w:p w14:paraId="049EAF05" w14:textId="77777777" w:rsidR="00575AC3" w:rsidRPr="006D40F0" w:rsidRDefault="00575AC3" w:rsidP="006D40F0">
            <w:r w:rsidRPr="006D40F0">
              <w:lastRenderedPageBreak/>
              <w:t>258</w:t>
            </w:r>
          </w:p>
        </w:tc>
        <w:tc>
          <w:tcPr>
            <w:tcW w:w="680" w:type="dxa"/>
            <w:tcBorders>
              <w:top w:val="nil"/>
              <w:left w:val="nil"/>
              <w:bottom w:val="nil"/>
              <w:right w:val="nil"/>
            </w:tcBorders>
            <w:tcMar>
              <w:top w:w="128" w:type="dxa"/>
              <w:left w:w="43" w:type="dxa"/>
              <w:bottom w:w="43" w:type="dxa"/>
              <w:right w:w="43" w:type="dxa"/>
            </w:tcMar>
          </w:tcPr>
          <w:p w14:paraId="56ACFF5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CBE8F2" w14:textId="77777777" w:rsidR="00575AC3" w:rsidRPr="006D40F0" w:rsidRDefault="00575AC3" w:rsidP="006D40F0">
            <w:r w:rsidRPr="006D40F0">
              <w:t>Tiltak for livslang læring:</w:t>
            </w:r>
          </w:p>
        </w:tc>
        <w:tc>
          <w:tcPr>
            <w:tcW w:w="1400" w:type="dxa"/>
            <w:tcBorders>
              <w:top w:val="nil"/>
              <w:left w:val="nil"/>
              <w:bottom w:val="nil"/>
              <w:right w:val="nil"/>
            </w:tcBorders>
            <w:tcMar>
              <w:top w:w="128" w:type="dxa"/>
              <w:left w:w="43" w:type="dxa"/>
              <w:bottom w:w="43" w:type="dxa"/>
              <w:right w:w="43" w:type="dxa"/>
            </w:tcMar>
            <w:vAlign w:val="bottom"/>
          </w:tcPr>
          <w:p w14:paraId="3AB464EE" w14:textId="77777777" w:rsidR="00575AC3" w:rsidRPr="006D40F0" w:rsidRDefault="00575AC3" w:rsidP="006D40F0"/>
        </w:tc>
      </w:tr>
      <w:tr w:rsidR="00DD49A7" w:rsidRPr="006D40F0" w14:paraId="597E8665" w14:textId="77777777">
        <w:trPr>
          <w:trHeight w:val="380"/>
        </w:trPr>
        <w:tc>
          <w:tcPr>
            <w:tcW w:w="680" w:type="dxa"/>
            <w:tcBorders>
              <w:top w:val="nil"/>
              <w:left w:val="nil"/>
              <w:bottom w:val="nil"/>
              <w:right w:val="nil"/>
            </w:tcBorders>
            <w:tcMar>
              <w:top w:w="128" w:type="dxa"/>
              <w:left w:w="43" w:type="dxa"/>
              <w:bottom w:w="43" w:type="dxa"/>
              <w:right w:w="43" w:type="dxa"/>
            </w:tcMar>
          </w:tcPr>
          <w:p w14:paraId="0F90619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FD8E24"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A42C735"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EE104B6" w14:textId="77777777" w:rsidR="00575AC3" w:rsidRPr="006D40F0" w:rsidRDefault="00575AC3" w:rsidP="006D40F0">
            <w:r w:rsidRPr="006D40F0">
              <w:t>25 502 000</w:t>
            </w:r>
          </w:p>
        </w:tc>
      </w:tr>
      <w:tr w:rsidR="00DD49A7" w:rsidRPr="006D40F0" w14:paraId="416B8CC1" w14:textId="77777777">
        <w:trPr>
          <w:trHeight w:val="380"/>
        </w:trPr>
        <w:tc>
          <w:tcPr>
            <w:tcW w:w="680" w:type="dxa"/>
            <w:tcBorders>
              <w:top w:val="nil"/>
              <w:left w:val="nil"/>
              <w:bottom w:val="nil"/>
              <w:right w:val="nil"/>
            </w:tcBorders>
            <w:tcMar>
              <w:top w:w="128" w:type="dxa"/>
              <w:left w:w="43" w:type="dxa"/>
              <w:bottom w:w="43" w:type="dxa"/>
              <w:right w:w="43" w:type="dxa"/>
            </w:tcMar>
          </w:tcPr>
          <w:p w14:paraId="65F6A71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74BB0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337D2B0" w14:textId="77777777" w:rsidR="00575AC3" w:rsidRPr="006D40F0" w:rsidRDefault="00575AC3" w:rsidP="006D40F0">
            <w:r w:rsidRPr="006D40F0">
              <w:t>fra kr 112 836 000 til kr 87 334 000</w:t>
            </w:r>
          </w:p>
        </w:tc>
        <w:tc>
          <w:tcPr>
            <w:tcW w:w="1400" w:type="dxa"/>
            <w:tcBorders>
              <w:top w:val="nil"/>
              <w:left w:val="nil"/>
              <w:bottom w:val="nil"/>
              <w:right w:val="nil"/>
            </w:tcBorders>
            <w:tcMar>
              <w:top w:w="128" w:type="dxa"/>
              <w:left w:w="43" w:type="dxa"/>
              <w:bottom w:w="43" w:type="dxa"/>
              <w:right w:w="43" w:type="dxa"/>
            </w:tcMar>
            <w:vAlign w:val="bottom"/>
          </w:tcPr>
          <w:p w14:paraId="5F9A66ED" w14:textId="77777777" w:rsidR="00575AC3" w:rsidRPr="006D40F0" w:rsidRDefault="00575AC3" w:rsidP="006D40F0"/>
        </w:tc>
      </w:tr>
      <w:tr w:rsidR="00DD49A7" w:rsidRPr="006D40F0" w14:paraId="7D299B36" w14:textId="77777777">
        <w:trPr>
          <w:trHeight w:val="380"/>
        </w:trPr>
        <w:tc>
          <w:tcPr>
            <w:tcW w:w="680" w:type="dxa"/>
            <w:tcBorders>
              <w:top w:val="nil"/>
              <w:left w:val="nil"/>
              <w:bottom w:val="nil"/>
              <w:right w:val="nil"/>
            </w:tcBorders>
            <w:tcMar>
              <w:top w:w="128" w:type="dxa"/>
              <w:left w:w="43" w:type="dxa"/>
              <w:bottom w:w="43" w:type="dxa"/>
              <w:right w:w="43" w:type="dxa"/>
            </w:tcMar>
          </w:tcPr>
          <w:p w14:paraId="5603AF37" w14:textId="77777777" w:rsidR="00575AC3" w:rsidRPr="006D40F0" w:rsidRDefault="00575AC3" w:rsidP="006D40F0">
            <w:r w:rsidRPr="006D40F0">
              <w:t>260</w:t>
            </w:r>
          </w:p>
        </w:tc>
        <w:tc>
          <w:tcPr>
            <w:tcW w:w="680" w:type="dxa"/>
            <w:tcBorders>
              <w:top w:val="nil"/>
              <w:left w:val="nil"/>
              <w:bottom w:val="nil"/>
              <w:right w:val="nil"/>
            </w:tcBorders>
            <w:tcMar>
              <w:top w:w="128" w:type="dxa"/>
              <w:left w:w="43" w:type="dxa"/>
              <w:bottom w:w="43" w:type="dxa"/>
              <w:right w:w="43" w:type="dxa"/>
            </w:tcMar>
          </w:tcPr>
          <w:p w14:paraId="6665A86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4FB1019" w14:textId="77777777" w:rsidR="00575AC3" w:rsidRPr="006D40F0" w:rsidRDefault="00575AC3" w:rsidP="006D40F0">
            <w:r w:rsidRPr="006D40F0">
              <w:t>Universiteter og høyskoler:</w:t>
            </w:r>
          </w:p>
        </w:tc>
        <w:tc>
          <w:tcPr>
            <w:tcW w:w="1400" w:type="dxa"/>
            <w:tcBorders>
              <w:top w:val="nil"/>
              <w:left w:val="nil"/>
              <w:bottom w:val="nil"/>
              <w:right w:val="nil"/>
            </w:tcBorders>
            <w:tcMar>
              <w:top w:w="128" w:type="dxa"/>
              <w:left w:w="43" w:type="dxa"/>
              <w:bottom w:w="43" w:type="dxa"/>
              <w:right w:w="43" w:type="dxa"/>
            </w:tcMar>
            <w:vAlign w:val="bottom"/>
          </w:tcPr>
          <w:p w14:paraId="0EA57942" w14:textId="77777777" w:rsidR="00575AC3" w:rsidRPr="006D40F0" w:rsidRDefault="00575AC3" w:rsidP="006D40F0"/>
        </w:tc>
      </w:tr>
      <w:tr w:rsidR="00DD49A7" w:rsidRPr="006D40F0" w14:paraId="64CDF93D" w14:textId="77777777">
        <w:trPr>
          <w:trHeight w:val="640"/>
        </w:trPr>
        <w:tc>
          <w:tcPr>
            <w:tcW w:w="680" w:type="dxa"/>
            <w:tcBorders>
              <w:top w:val="nil"/>
              <w:left w:val="nil"/>
              <w:bottom w:val="nil"/>
              <w:right w:val="nil"/>
            </w:tcBorders>
            <w:tcMar>
              <w:top w:w="128" w:type="dxa"/>
              <w:left w:w="43" w:type="dxa"/>
              <w:bottom w:w="43" w:type="dxa"/>
              <w:right w:w="43" w:type="dxa"/>
            </w:tcMar>
          </w:tcPr>
          <w:p w14:paraId="4034565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E0F47D"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B1031AE" w14:textId="77777777" w:rsidR="00575AC3" w:rsidRPr="006D40F0" w:rsidRDefault="00575AC3" w:rsidP="006D40F0">
            <w:r w:rsidRPr="006D40F0">
              <w:t xml:space="preserve">Statlige universiteter og høyskoler, </w:t>
            </w:r>
            <w:r w:rsidRPr="00575AC3">
              <w:rPr>
                <w:rStyle w:val="kursiv"/>
              </w:rPr>
              <w:t>kan nyttes under post 70,</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74ECAFC" w14:textId="77777777" w:rsidR="00575AC3" w:rsidRPr="006D40F0" w:rsidRDefault="00575AC3" w:rsidP="006D40F0">
            <w:r w:rsidRPr="006D40F0">
              <w:t>29 134 000</w:t>
            </w:r>
          </w:p>
        </w:tc>
      </w:tr>
      <w:tr w:rsidR="00DD49A7" w:rsidRPr="006D40F0" w14:paraId="7F26A953" w14:textId="77777777">
        <w:trPr>
          <w:trHeight w:val="380"/>
        </w:trPr>
        <w:tc>
          <w:tcPr>
            <w:tcW w:w="680" w:type="dxa"/>
            <w:tcBorders>
              <w:top w:val="nil"/>
              <w:left w:val="nil"/>
              <w:bottom w:val="nil"/>
              <w:right w:val="nil"/>
            </w:tcBorders>
            <w:tcMar>
              <w:top w:w="128" w:type="dxa"/>
              <w:left w:w="43" w:type="dxa"/>
              <w:bottom w:w="43" w:type="dxa"/>
              <w:right w:w="43" w:type="dxa"/>
            </w:tcMar>
          </w:tcPr>
          <w:p w14:paraId="4CDF953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86D3D9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DFDFE8" w14:textId="77777777" w:rsidR="00575AC3" w:rsidRPr="006D40F0" w:rsidRDefault="00575AC3" w:rsidP="006D40F0">
            <w:r w:rsidRPr="006D40F0">
              <w:t>fra kr 43 042 156 000 til kr 43 071 290 000</w:t>
            </w:r>
          </w:p>
        </w:tc>
        <w:tc>
          <w:tcPr>
            <w:tcW w:w="1400" w:type="dxa"/>
            <w:tcBorders>
              <w:top w:val="nil"/>
              <w:left w:val="nil"/>
              <w:bottom w:val="nil"/>
              <w:right w:val="nil"/>
            </w:tcBorders>
            <w:tcMar>
              <w:top w:w="128" w:type="dxa"/>
              <w:left w:w="43" w:type="dxa"/>
              <w:bottom w:w="43" w:type="dxa"/>
              <w:right w:w="43" w:type="dxa"/>
            </w:tcMar>
            <w:vAlign w:val="bottom"/>
          </w:tcPr>
          <w:p w14:paraId="149DA744" w14:textId="77777777" w:rsidR="00575AC3" w:rsidRPr="006D40F0" w:rsidRDefault="00575AC3" w:rsidP="006D40F0"/>
        </w:tc>
      </w:tr>
      <w:tr w:rsidR="00DD49A7" w:rsidRPr="006D40F0" w14:paraId="1B2DD125" w14:textId="77777777">
        <w:trPr>
          <w:trHeight w:val="380"/>
        </w:trPr>
        <w:tc>
          <w:tcPr>
            <w:tcW w:w="680" w:type="dxa"/>
            <w:tcBorders>
              <w:top w:val="nil"/>
              <w:left w:val="nil"/>
              <w:bottom w:val="nil"/>
              <w:right w:val="nil"/>
            </w:tcBorders>
            <w:tcMar>
              <w:top w:w="128" w:type="dxa"/>
              <w:left w:w="43" w:type="dxa"/>
              <w:bottom w:w="43" w:type="dxa"/>
              <w:right w:w="43" w:type="dxa"/>
            </w:tcMar>
          </w:tcPr>
          <w:p w14:paraId="093ADC4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2049E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BC02E23" w14:textId="77777777" w:rsidR="00575AC3" w:rsidRPr="006D40F0" w:rsidRDefault="00575AC3" w:rsidP="006D40F0">
            <w:r w:rsidRPr="006D40F0">
              <w:t xml:space="preserve">Private høyskoler, </w:t>
            </w:r>
            <w:r w:rsidRPr="00575AC3">
              <w:rPr>
                <w:rStyle w:val="kursiv"/>
              </w:rPr>
              <w:t>kan nyttes under post 50,</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6B6BAEC" w14:textId="77777777" w:rsidR="00575AC3" w:rsidRPr="006D40F0" w:rsidRDefault="00575AC3" w:rsidP="006D40F0">
            <w:r w:rsidRPr="006D40F0">
              <w:t>5 090 000</w:t>
            </w:r>
          </w:p>
        </w:tc>
      </w:tr>
      <w:tr w:rsidR="00DD49A7" w:rsidRPr="006D40F0" w14:paraId="0C09EBA6" w14:textId="77777777">
        <w:trPr>
          <w:trHeight w:val="380"/>
        </w:trPr>
        <w:tc>
          <w:tcPr>
            <w:tcW w:w="680" w:type="dxa"/>
            <w:tcBorders>
              <w:top w:val="nil"/>
              <w:left w:val="nil"/>
              <w:bottom w:val="nil"/>
              <w:right w:val="nil"/>
            </w:tcBorders>
            <w:tcMar>
              <w:top w:w="128" w:type="dxa"/>
              <w:left w:w="43" w:type="dxa"/>
              <w:bottom w:w="43" w:type="dxa"/>
              <w:right w:w="43" w:type="dxa"/>
            </w:tcMar>
          </w:tcPr>
          <w:p w14:paraId="47BD310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0E1F4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D1A7F3" w14:textId="77777777" w:rsidR="00575AC3" w:rsidRPr="006D40F0" w:rsidRDefault="00575AC3" w:rsidP="006D40F0">
            <w:r w:rsidRPr="006D40F0">
              <w:t>fra kr 2 312 516 000 til kr 2 307 426 000</w:t>
            </w:r>
          </w:p>
        </w:tc>
        <w:tc>
          <w:tcPr>
            <w:tcW w:w="1400" w:type="dxa"/>
            <w:tcBorders>
              <w:top w:val="nil"/>
              <w:left w:val="nil"/>
              <w:bottom w:val="nil"/>
              <w:right w:val="nil"/>
            </w:tcBorders>
            <w:tcMar>
              <w:top w:w="128" w:type="dxa"/>
              <w:left w:w="43" w:type="dxa"/>
              <w:bottom w:w="43" w:type="dxa"/>
              <w:right w:w="43" w:type="dxa"/>
            </w:tcMar>
            <w:vAlign w:val="bottom"/>
          </w:tcPr>
          <w:p w14:paraId="1E24FCFB" w14:textId="77777777" w:rsidR="00575AC3" w:rsidRPr="006D40F0" w:rsidRDefault="00575AC3" w:rsidP="006D40F0"/>
        </w:tc>
      </w:tr>
      <w:tr w:rsidR="00DD49A7" w:rsidRPr="006D40F0" w14:paraId="229208A5" w14:textId="77777777">
        <w:trPr>
          <w:trHeight w:val="380"/>
        </w:trPr>
        <w:tc>
          <w:tcPr>
            <w:tcW w:w="680" w:type="dxa"/>
            <w:tcBorders>
              <w:top w:val="nil"/>
              <w:left w:val="nil"/>
              <w:bottom w:val="nil"/>
              <w:right w:val="nil"/>
            </w:tcBorders>
            <w:tcMar>
              <w:top w:w="128" w:type="dxa"/>
              <w:left w:w="43" w:type="dxa"/>
              <w:bottom w:w="43" w:type="dxa"/>
              <w:right w:w="43" w:type="dxa"/>
            </w:tcMar>
          </w:tcPr>
          <w:p w14:paraId="73A1F733" w14:textId="77777777" w:rsidR="00575AC3" w:rsidRPr="006D40F0" w:rsidRDefault="00575AC3" w:rsidP="006D40F0">
            <w:r w:rsidRPr="006D40F0">
              <w:t>270</w:t>
            </w:r>
          </w:p>
        </w:tc>
        <w:tc>
          <w:tcPr>
            <w:tcW w:w="680" w:type="dxa"/>
            <w:tcBorders>
              <w:top w:val="nil"/>
              <w:left w:val="nil"/>
              <w:bottom w:val="nil"/>
              <w:right w:val="nil"/>
            </w:tcBorders>
            <w:tcMar>
              <w:top w:w="128" w:type="dxa"/>
              <w:left w:w="43" w:type="dxa"/>
              <w:bottom w:w="43" w:type="dxa"/>
              <w:right w:w="43" w:type="dxa"/>
            </w:tcMar>
          </w:tcPr>
          <w:p w14:paraId="27954CB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AC3B88" w14:textId="77777777" w:rsidR="00575AC3" w:rsidRPr="006D40F0" w:rsidRDefault="00575AC3" w:rsidP="006D40F0">
            <w:r w:rsidRPr="006D40F0">
              <w:t>Studentvelferd:</w:t>
            </w:r>
          </w:p>
        </w:tc>
        <w:tc>
          <w:tcPr>
            <w:tcW w:w="1400" w:type="dxa"/>
            <w:tcBorders>
              <w:top w:val="nil"/>
              <w:left w:val="nil"/>
              <w:bottom w:val="nil"/>
              <w:right w:val="nil"/>
            </w:tcBorders>
            <w:tcMar>
              <w:top w:w="128" w:type="dxa"/>
              <w:left w:w="43" w:type="dxa"/>
              <w:bottom w:w="43" w:type="dxa"/>
              <w:right w:w="43" w:type="dxa"/>
            </w:tcMar>
            <w:vAlign w:val="bottom"/>
          </w:tcPr>
          <w:p w14:paraId="5B749557" w14:textId="77777777" w:rsidR="00575AC3" w:rsidRPr="006D40F0" w:rsidRDefault="00575AC3" w:rsidP="006D40F0"/>
        </w:tc>
      </w:tr>
      <w:tr w:rsidR="00DD49A7" w:rsidRPr="006D40F0" w14:paraId="67A86D4D" w14:textId="77777777">
        <w:trPr>
          <w:trHeight w:val="380"/>
        </w:trPr>
        <w:tc>
          <w:tcPr>
            <w:tcW w:w="680" w:type="dxa"/>
            <w:tcBorders>
              <w:top w:val="nil"/>
              <w:left w:val="nil"/>
              <w:bottom w:val="nil"/>
              <w:right w:val="nil"/>
            </w:tcBorders>
            <w:tcMar>
              <w:top w:w="128" w:type="dxa"/>
              <w:left w:w="43" w:type="dxa"/>
              <w:bottom w:w="43" w:type="dxa"/>
              <w:right w:w="43" w:type="dxa"/>
            </w:tcMar>
          </w:tcPr>
          <w:p w14:paraId="576253D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2375E42"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5127ED2E" w14:textId="77777777" w:rsidR="00575AC3" w:rsidRPr="006D40F0" w:rsidRDefault="00575AC3" w:rsidP="006D40F0">
            <w:r w:rsidRPr="006D40F0">
              <w:t>Tilskudd til velferdsarbeid mv., forhøyes med</w:t>
            </w:r>
          </w:p>
        </w:tc>
        <w:tc>
          <w:tcPr>
            <w:tcW w:w="1400" w:type="dxa"/>
            <w:tcBorders>
              <w:top w:val="nil"/>
              <w:left w:val="nil"/>
              <w:bottom w:val="nil"/>
              <w:right w:val="nil"/>
            </w:tcBorders>
            <w:tcMar>
              <w:top w:w="128" w:type="dxa"/>
              <w:left w:w="43" w:type="dxa"/>
              <w:bottom w:w="43" w:type="dxa"/>
              <w:right w:w="43" w:type="dxa"/>
            </w:tcMar>
            <w:vAlign w:val="bottom"/>
          </w:tcPr>
          <w:p w14:paraId="03C2EA70" w14:textId="77777777" w:rsidR="00575AC3" w:rsidRPr="006D40F0" w:rsidRDefault="00575AC3" w:rsidP="006D40F0">
            <w:r w:rsidRPr="006D40F0">
              <w:t>2 000 000</w:t>
            </w:r>
          </w:p>
        </w:tc>
      </w:tr>
      <w:tr w:rsidR="00DD49A7" w:rsidRPr="006D40F0" w14:paraId="59AACBF0" w14:textId="77777777">
        <w:trPr>
          <w:trHeight w:val="380"/>
        </w:trPr>
        <w:tc>
          <w:tcPr>
            <w:tcW w:w="680" w:type="dxa"/>
            <w:tcBorders>
              <w:top w:val="nil"/>
              <w:left w:val="nil"/>
              <w:bottom w:val="nil"/>
              <w:right w:val="nil"/>
            </w:tcBorders>
            <w:tcMar>
              <w:top w:w="128" w:type="dxa"/>
              <w:left w:w="43" w:type="dxa"/>
              <w:bottom w:w="43" w:type="dxa"/>
              <w:right w:w="43" w:type="dxa"/>
            </w:tcMar>
          </w:tcPr>
          <w:p w14:paraId="437620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B78C7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9404CD" w14:textId="77777777" w:rsidR="00575AC3" w:rsidRPr="006D40F0" w:rsidRDefault="00575AC3" w:rsidP="006D40F0">
            <w:r w:rsidRPr="006D40F0">
              <w:t>fra kr 87 305 000 til kr 89 305 000</w:t>
            </w:r>
          </w:p>
        </w:tc>
        <w:tc>
          <w:tcPr>
            <w:tcW w:w="1400" w:type="dxa"/>
            <w:tcBorders>
              <w:top w:val="nil"/>
              <w:left w:val="nil"/>
              <w:bottom w:val="nil"/>
              <w:right w:val="nil"/>
            </w:tcBorders>
            <w:tcMar>
              <w:top w:w="128" w:type="dxa"/>
              <w:left w:w="43" w:type="dxa"/>
              <w:bottom w:w="43" w:type="dxa"/>
              <w:right w:w="43" w:type="dxa"/>
            </w:tcMar>
            <w:vAlign w:val="bottom"/>
          </w:tcPr>
          <w:p w14:paraId="0288EAF8" w14:textId="77777777" w:rsidR="00575AC3" w:rsidRPr="006D40F0" w:rsidRDefault="00575AC3" w:rsidP="006D40F0"/>
        </w:tc>
      </w:tr>
      <w:tr w:rsidR="00DD49A7" w:rsidRPr="006D40F0" w14:paraId="3FD3DBEE" w14:textId="77777777">
        <w:trPr>
          <w:trHeight w:val="380"/>
        </w:trPr>
        <w:tc>
          <w:tcPr>
            <w:tcW w:w="680" w:type="dxa"/>
            <w:tcBorders>
              <w:top w:val="nil"/>
              <w:left w:val="nil"/>
              <w:bottom w:val="nil"/>
              <w:right w:val="nil"/>
            </w:tcBorders>
            <w:tcMar>
              <w:top w:w="128" w:type="dxa"/>
              <w:left w:w="43" w:type="dxa"/>
              <w:bottom w:w="43" w:type="dxa"/>
              <w:right w:w="43" w:type="dxa"/>
            </w:tcMar>
          </w:tcPr>
          <w:p w14:paraId="085E979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EA9828"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55DC0C9F" w14:textId="77777777" w:rsidR="00575AC3" w:rsidRPr="006D40F0" w:rsidRDefault="00575AC3" w:rsidP="006D40F0">
            <w:r w:rsidRPr="006D40F0">
              <w:t xml:space="preserve">Tilskudd til bygging av studentboliger,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5DD24A6" w14:textId="77777777" w:rsidR="00575AC3" w:rsidRPr="006D40F0" w:rsidRDefault="00575AC3" w:rsidP="006D40F0">
            <w:r w:rsidRPr="006D40F0">
              <w:t>239 539 000</w:t>
            </w:r>
          </w:p>
        </w:tc>
      </w:tr>
      <w:tr w:rsidR="00DD49A7" w:rsidRPr="006D40F0" w14:paraId="121BE76A" w14:textId="77777777">
        <w:trPr>
          <w:trHeight w:val="380"/>
        </w:trPr>
        <w:tc>
          <w:tcPr>
            <w:tcW w:w="680" w:type="dxa"/>
            <w:tcBorders>
              <w:top w:val="nil"/>
              <w:left w:val="nil"/>
              <w:bottom w:val="nil"/>
              <w:right w:val="nil"/>
            </w:tcBorders>
            <w:tcMar>
              <w:top w:w="128" w:type="dxa"/>
              <w:left w:w="43" w:type="dxa"/>
              <w:bottom w:w="43" w:type="dxa"/>
              <w:right w:w="43" w:type="dxa"/>
            </w:tcMar>
          </w:tcPr>
          <w:p w14:paraId="3DA91B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B8CB4A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FC3985" w14:textId="77777777" w:rsidR="00575AC3" w:rsidRPr="006D40F0" w:rsidRDefault="00575AC3" w:rsidP="006D40F0">
            <w:r w:rsidRPr="006D40F0">
              <w:t>fra kr 633 604 000 til kr 873 143 000</w:t>
            </w:r>
          </w:p>
        </w:tc>
        <w:tc>
          <w:tcPr>
            <w:tcW w:w="1400" w:type="dxa"/>
            <w:tcBorders>
              <w:top w:val="nil"/>
              <w:left w:val="nil"/>
              <w:bottom w:val="nil"/>
              <w:right w:val="nil"/>
            </w:tcBorders>
            <w:tcMar>
              <w:top w:w="128" w:type="dxa"/>
              <w:left w:w="43" w:type="dxa"/>
              <w:bottom w:w="43" w:type="dxa"/>
              <w:right w:w="43" w:type="dxa"/>
            </w:tcMar>
            <w:vAlign w:val="bottom"/>
          </w:tcPr>
          <w:p w14:paraId="0A379A02" w14:textId="77777777" w:rsidR="00575AC3" w:rsidRPr="006D40F0" w:rsidRDefault="00575AC3" w:rsidP="006D40F0"/>
        </w:tc>
      </w:tr>
      <w:tr w:rsidR="00DD49A7" w:rsidRPr="006D40F0" w14:paraId="40EBBC9E" w14:textId="77777777">
        <w:trPr>
          <w:trHeight w:val="380"/>
        </w:trPr>
        <w:tc>
          <w:tcPr>
            <w:tcW w:w="680" w:type="dxa"/>
            <w:tcBorders>
              <w:top w:val="nil"/>
              <w:left w:val="nil"/>
              <w:bottom w:val="nil"/>
              <w:right w:val="nil"/>
            </w:tcBorders>
            <w:tcMar>
              <w:top w:w="128" w:type="dxa"/>
              <w:left w:w="43" w:type="dxa"/>
              <w:bottom w:w="43" w:type="dxa"/>
              <w:right w:w="43" w:type="dxa"/>
            </w:tcMar>
          </w:tcPr>
          <w:p w14:paraId="5389992F" w14:textId="77777777" w:rsidR="00575AC3" w:rsidRPr="006D40F0" w:rsidRDefault="00575AC3" w:rsidP="006D40F0">
            <w:r w:rsidRPr="006D40F0">
              <w:t>272</w:t>
            </w:r>
          </w:p>
        </w:tc>
        <w:tc>
          <w:tcPr>
            <w:tcW w:w="680" w:type="dxa"/>
            <w:tcBorders>
              <w:top w:val="nil"/>
              <w:left w:val="nil"/>
              <w:bottom w:val="nil"/>
              <w:right w:val="nil"/>
            </w:tcBorders>
            <w:tcMar>
              <w:top w:w="128" w:type="dxa"/>
              <w:left w:w="43" w:type="dxa"/>
              <w:bottom w:w="43" w:type="dxa"/>
              <w:right w:w="43" w:type="dxa"/>
            </w:tcMar>
          </w:tcPr>
          <w:p w14:paraId="60C68B7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E0796B" w14:textId="77777777" w:rsidR="00575AC3" w:rsidRPr="006D40F0" w:rsidRDefault="00575AC3" w:rsidP="006D40F0">
            <w:r w:rsidRPr="006D40F0">
              <w:t>Tiltak for internasjonalisering og høyere utdanning:</w:t>
            </w:r>
          </w:p>
        </w:tc>
        <w:tc>
          <w:tcPr>
            <w:tcW w:w="1400" w:type="dxa"/>
            <w:tcBorders>
              <w:top w:val="nil"/>
              <w:left w:val="nil"/>
              <w:bottom w:val="nil"/>
              <w:right w:val="nil"/>
            </w:tcBorders>
            <w:tcMar>
              <w:top w:w="128" w:type="dxa"/>
              <w:left w:w="43" w:type="dxa"/>
              <w:bottom w:w="43" w:type="dxa"/>
              <w:right w:w="43" w:type="dxa"/>
            </w:tcMar>
            <w:vAlign w:val="bottom"/>
          </w:tcPr>
          <w:p w14:paraId="2D9ED204" w14:textId="77777777" w:rsidR="00575AC3" w:rsidRPr="006D40F0" w:rsidRDefault="00575AC3" w:rsidP="006D40F0"/>
        </w:tc>
      </w:tr>
      <w:tr w:rsidR="00DD49A7" w:rsidRPr="006D40F0" w14:paraId="3EFEED48" w14:textId="77777777">
        <w:trPr>
          <w:trHeight w:val="640"/>
        </w:trPr>
        <w:tc>
          <w:tcPr>
            <w:tcW w:w="680" w:type="dxa"/>
            <w:tcBorders>
              <w:top w:val="nil"/>
              <w:left w:val="nil"/>
              <w:bottom w:val="nil"/>
              <w:right w:val="nil"/>
            </w:tcBorders>
            <w:tcMar>
              <w:top w:w="128" w:type="dxa"/>
              <w:left w:w="43" w:type="dxa"/>
              <w:bottom w:w="43" w:type="dxa"/>
              <w:right w:w="43" w:type="dxa"/>
            </w:tcMar>
          </w:tcPr>
          <w:p w14:paraId="2EAFD91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27D2BF" w14:textId="77777777" w:rsidR="00575AC3" w:rsidRPr="006D40F0" w:rsidRDefault="00575AC3" w:rsidP="006D40F0">
            <w:r w:rsidRPr="006D40F0">
              <w:t>51</w:t>
            </w:r>
          </w:p>
        </w:tc>
        <w:tc>
          <w:tcPr>
            <w:tcW w:w="6800" w:type="dxa"/>
            <w:tcBorders>
              <w:top w:val="nil"/>
              <w:left w:val="nil"/>
              <w:bottom w:val="nil"/>
              <w:right w:val="nil"/>
            </w:tcBorders>
            <w:tcMar>
              <w:top w:w="128" w:type="dxa"/>
              <w:left w:w="43" w:type="dxa"/>
              <w:bottom w:w="43" w:type="dxa"/>
              <w:right w:w="43" w:type="dxa"/>
            </w:tcMar>
          </w:tcPr>
          <w:p w14:paraId="31CCB43E" w14:textId="77777777" w:rsidR="00575AC3" w:rsidRPr="006D40F0" w:rsidRDefault="00575AC3" w:rsidP="006D40F0">
            <w:r w:rsidRPr="006D40F0">
              <w:t xml:space="preserve">Tiltak for internasjonalisering, </w:t>
            </w:r>
            <w:r w:rsidRPr="00575AC3">
              <w:rPr>
                <w:rStyle w:val="kursiv"/>
              </w:rPr>
              <w:t>kan overføres, kan nyttes under post 71</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152B739C" w14:textId="77777777" w:rsidR="00575AC3" w:rsidRPr="006D40F0" w:rsidRDefault="00575AC3" w:rsidP="006D40F0">
            <w:r w:rsidRPr="006D40F0">
              <w:t>2 600 000</w:t>
            </w:r>
          </w:p>
        </w:tc>
      </w:tr>
      <w:tr w:rsidR="00DD49A7" w:rsidRPr="006D40F0" w14:paraId="62C1BE48" w14:textId="77777777">
        <w:trPr>
          <w:trHeight w:val="380"/>
        </w:trPr>
        <w:tc>
          <w:tcPr>
            <w:tcW w:w="680" w:type="dxa"/>
            <w:tcBorders>
              <w:top w:val="nil"/>
              <w:left w:val="nil"/>
              <w:bottom w:val="nil"/>
              <w:right w:val="nil"/>
            </w:tcBorders>
            <w:tcMar>
              <w:top w:w="128" w:type="dxa"/>
              <w:left w:w="43" w:type="dxa"/>
              <w:bottom w:w="43" w:type="dxa"/>
              <w:right w:w="43" w:type="dxa"/>
            </w:tcMar>
          </w:tcPr>
          <w:p w14:paraId="54E1B32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A3C53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D3046A" w14:textId="77777777" w:rsidR="00575AC3" w:rsidRPr="006D40F0" w:rsidRDefault="00575AC3" w:rsidP="006D40F0">
            <w:r w:rsidRPr="006D40F0">
              <w:t>fra kr 106 025 000 til kr 103 425 000</w:t>
            </w:r>
          </w:p>
        </w:tc>
        <w:tc>
          <w:tcPr>
            <w:tcW w:w="1400" w:type="dxa"/>
            <w:tcBorders>
              <w:top w:val="nil"/>
              <w:left w:val="nil"/>
              <w:bottom w:val="nil"/>
              <w:right w:val="nil"/>
            </w:tcBorders>
            <w:tcMar>
              <w:top w:w="128" w:type="dxa"/>
              <w:left w:w="43" w:type="dxa"/>
              <w:bottom w:w="43" w:type="dxa"/>
              <w:right w:w="43" w:type="dxa"/>
            </w:tcMar>
            <w:vAlign w:val="bottom"/>
          </w:tcPr>
          <w:p w14:paraId="645D1A2B" w14:textId="77777777" w:rsidR="00575AC3" w:rsidRPr="006D40F0" w:rsidRDefault="00575AC3" w:rsidP="006D40F0"/>
        </w:tc>
      </w:tr>
      <w:tr w:rsidR="00DD49A7" w:rsidRPr="006D40F0" w14:paraId="6A73E35E" w14:textId="77777777">
        <w:trPr>
          <w:trHeight w:val="640"/>
        </w:trPr>
        <w:tc>
          <w:tcPr>
            <w:tcW w:w="680" w:type="dxa"/>
            <w:tcBorders>
              <w:top w:val="nil"/>
              <w:left w:val="nil"/>
              <w:bottom w:val="nil"/>
              <w:right w:val="nil"/>
            </w:tcBorders>
            <w:tcMar>
              <w:top w:w="128" w:type="dxa"/>
              <w:left w:w="43" w:type="dxa"/>
              <w:bottom w:w="43" w:type="dxa"/>
              <w:right w:w="43" w:type="dxa"/>
            </w:tcMar>
          </w:tcPr>
          <w:p w14:paraId="3DADC81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E2F952" w14:textId="77777777" w:rsidR="00575AC3" w:rsidRPr="006D40F0" w:rsidRDefault="00575AC3" w:rsidP="006D40F0">
            <w:r w:rsidRPr="006D40F0">
              <w:t>52</w:t>
            </w:r>
          </w:p>
        </w:tc>
        <w:tc>
          <w:tcPr>
            <w:tcW w:w="6800" w:type="dxa"/>
            <w:tcBorders>
              <w:top w:val="nil"/>
              <w:left w:val="nil"/>
              <w:bottom w:val="nil"/>
              <w:right w:val="nil"/>
            </w:tcBorders>
            <w:tcMar>
              <w:top w:w="128" w:type="dxa"/>
              <w:left w:w="43" w:type="dxa"/>
              <w:bottom w:w="43" w:type="dxa"/>
              <w:right w:w="43" w:type="dxa"/>
            </w:tcMar>
          </w:tcPr>
          <w:p w14:paraId="74839122" w14:textId="77777777" w:rsidR="00575AC3" w:rsidRPr="006D40F0" w:rsidRDefault="00575AC3" w:rsidP="006D40F0">
            <w:r w:rsidRPr="006D40F0">
              <w:t xml:space="preserve">Tiltak for høyere utdanning, </w:t>
            </w:r>
            <w:r w:rsidRPr="00575AC3">
              <w:rPr>
                <w:rStyle w:val="kursiv"/>
              </w:rPr>
              <w:t>kan overføres, kan nyttes under post 72,</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663B717" w14:textId="77777777" w:rsidR="00575AC3" w:rsidRPr="006D40F0" w:rsidRDefault="00575AC3" w:rsidP="006D40F0">
            <w:r w:rsidRPr="006D40F0">
              <w:t>16 000 000</w:t>
            </w:r>
          </w:p>
        </w:tc>
      </w:tr>
      <w:tr w:rsidR="00DD49A7" w:rsidRPr="006D40F0" w14:paraId="4032E623" w14:textId="77777777">
        <w:trPr>
          <w:trHeight w:val="380"/>
        </w:trPr>
        <w:tc>
          <w:tcPr>
            <w:tcW w:w="680" w:type="dxa"/>
            <w:tcBorders>
              <w:top w:val="nil"/>
              <w:left w:val="nil"/>
              <w:bottom w:val="nil"/>
              <w:right w:val="nil"/>
            </w:tcBorders>
            <w:tcMar>
              <w:top w:w="128" w:type="dxa"/>
              <w:left w:w="43" w:type="dxa"/>
              <w:bottom w:w="43" w:type="dxa"/>
              <w:right w:w="43" w:type="dxa"/>
            </w:tcMar>
          </w:tcPr>
          <w:p w14:paraId="7AE66A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8843E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A165DC" w14:textId="77777777" w:rsidR="00575AC3" w:rsidRPr="006D40F0" w:rsidRDefault="00575AC3" w:rsidP="006D40F0">
            <w:r w:rsidRPr="006D40F0">
              <w:t>fra kr 147 276 000 til kr 163 276 000</w:t>
            </w:r>
          </w:p>
        </w:tc>
        <w:tc>
          <w:tcPr>
            <w:tcW w:w="1400" w:type="dxa"/>
            <w:tcBorders>
              <w:top w:val="nil"/>
              <w:left w:val="nil"/>
              <w:bottom w:val="nil"/>
              <w:right w:val="nil"/>
            </w:tcBorders>
            <w:tcMar>
              <w:top w:w="128" w:type="dxa"/>
              <w:left w:w="43" w:type="dxa"/>
              <w:bottom w:w="43" w:type="dxa"/>
              <w:right w:w="43" w:type="dxa"/>
            </w:tcMar>
            <w:vAlign w:val="bottom"/>
          </w:tcPr>
          <w:p w14:paraId="0CCD6F48" w14:textId="77777777" w:rsidR="00575AC3" w:rsidRPr="006D40F0" w:rsidRDefault="00575AC3" w:rsidP="006D40F0"/>
        </w:tc>
      </w:tr>
      <w:tr w:rsidR="00DD49A7" w:rsidRPr="006D40F0" w14:paraId="385F1521" w14:textId="77777777">
        <w:trPr>
          <w:trHeight w:val="640"/>
        </w:trPr>
        <w:tc>
          <w:tcPr>
            <w:tcW w:w="680" w:type="dxa"/>
            <w:tcBorders>
              <w:top w:val="nil"/>
              <w:left w:val="nil"/>
              <w:bottom w:val="nil"/>
              <w:right w:val="nil"/>
            </w:tcBorders>
            <w:tcMar>
              <w:top w:w="128" w:type="dxa"/>
              <w:left w:w="43" w:type="dxa"/>
              <w:bottom w:w="43" w:type="dxa"/>
              <w:right w:w="43" w:type="dxa"/>
            </w:tcMar>
          </w:tcPr>
          <w:p w14:paraId="7BB3A36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90ACB1"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A3DC8F6" w14:textId="77777777" w:rsidR="00575AC3" w:rsidRPr="006D40F0" w:rsidRDefault="00575AC3" w:rsidP="006D40F0">
            <w:r w:rsidRPr="006D40F0">
              <w:t xml:space="preserve">Tilskudd til tiltak for internasjonalisering, </w:t>
            </w:r>
            <w:r w:rsidRPr="00575AC3">
              <w:rPr>
                <w:rStyle w:val="kursiv"/>
              </w:rPr>
              <w:t>kan overføres, kan nyttes under post 51</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7F5343DB" w14:textId="77777777" w:rsidR="00575AC3" w:rsidRPr="006D40F0" w:rsidRDefault="00575AC3" w:rsidP="006D40F0">
            <w:r w:rsidRPr="006D40F0">
              <w:t>19 745 000</w:t>
            </w:r>
          </w:p>
        </w:tc>
      </w:tr>
      <w:tr w:rsidR="00DD49A7" w:rsidRPr="006D40F0" w14:paraId="14E6436B" w14:textId="77777777">
        <w:trPr>
          <w:trHeight w:val="380"/>
        </w:trPr>
        <w:tc>
          <w:tcPr>
            <w:tcW w:w="680" w:type="dxa"/>
            <w:tcBorders>
              <w:top w:val="nil"/>
              <w:left w:val="nil"/>
              <w:bottom w:val="nil"/>
              <w:right w:val="nil"/>
            </w:tcBorders>
            <w:tcMar>
              <w:top w:w="128" w:type="dxa"/>
              <w:left w:w="43" w:type="dxa"/>
              <w:bottom w:w="43" w:type="dxa"/>
              <w:right w:w="43" w:type="dxa"/>
            </w:tcMar>
          </w:tcPr>
          <w:p w14:paraId="32BA74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13057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C6B42D" w14:textId="77777777" w:rsidR="00575AC3" w:rsidRPr="006D40F0" w:rsidRDefault="00575AC3" w:rsidP="006D40F0">
            <w:r w:rsidRPr="006D40F0">
              <w:t>fra kr 100 111 000 til kr 80 366 000</w:t>
            </w:r>
          </w:p>
        </w:tc>
        <w:tc>
          <w:tcPr>
            <w:tcW w:w="1400" w:type="dxa"/>
            <w:tcBorders>
              <w:top w:val="nil"/>
              <w:left w:val="nil"/>
              <w:bottom w:val="nil"/>
              <w:right w:val="nil"/>
            </w:tcBorders>
            <w:tcMar>
              <w:top w:w="128" w:type="dxa"/>
              <w:left w:w="43" w:type="dxa"/>
              <w:bottom w:w="43" w:type="dxa"/>
              <w:right w:w="43" w:type="dxa"/>
            </w:tcMar>
            <w:vAlign w:val="bottom"/>
          </w:tcPr>
          <w:p w14:paraId="6BFAF06C" w14:textId="77777777" w:rsidR="00575AC3" w:rsidRPr="006D40F0" w:rsidRDefault="00575AC3" w:rsidP="006D40F0"/>
        </w:tc>
      </w:tr>
      <w:tr w:rsidR="00DD49A7" w:rsidRPr="006D40F0" w14:paraId="7413A80D" w14:textId="77777777">
        <w:trPr>
          <w:trHeight w:val="380"/>
        </w:trPr>
        <w:tc>
          <w:tcPr>
            <w:tcW w:w="680" w:type="dxa"/>
            <w:tcBorders>
              <w:top w:val="nil"/>
              <w:left w:val="nil"/>
              <w:bottom w:val="nil"/>
              <w:right w:val="nil"/>
            </w:tcBorders>
            <w:tcMar>
              <w:top w:w="128" w:type="dxa"/>
              <w:left w:w="43" w:type="dxa"/>
              <w:bottom w:w="43" w:type="dxa"/>
              <w:right w:w="43" w:type="dxa"/>
            </w:tcMar>
          </w:tcPr>
          <w:p w14:paraId="60B50DCD" w14:textId="77777777" w:rsidR="00575AC3" w:rsidRPr="006D40F0" w:rsidRDefault="00575AC3" w:rsidP="006D40F0">
            <w:r w:rsidRPr="006D40F0">
              <w:t>274</w:t>
            </w:r>
          </w:p>
        </w:tc>
        <w:tc>
          <w:tcPr>
            <w:tcW w:w="680" w:type="dxa"/>
            <w:tcBorders>
              <w:top w:val="nil"/>
              <w:left w:val="nil"/>
              <w:bottom w:val="nil"/>
              <w:right w:val="nil"/>
            </w:tcBorders>
            <w:tcMar>
              <w:top w:w="128" w:type="dxa"/>
              <w:left w:w="43" w:type="dxa"/>
              <w:bottom w:w="43" w:type="dxa"/>
              <w:right w:w="43" w:type="dxa"/>
            </w:tcMar>
          </w:tcPr>
          <w:p w14:paraId="1CDF589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55D6D8" w14:textId="77777777" w:rsidR="00575AC3" w:rsidRPr="006D40F0" w:rsidRDefault="00575AC3" w:rsidP="006D40F0">
            <w:r w:rsidRPr="006D40F0">
              <w:t>Universitetssenteret på Svalbard:</w:t>
            </w:r>
          </w:p>
        </w:tc>
        <w:tc>
          <w:tcPr>
            <w:tcW w:w="1400" w:type="dxa"/>
            <w:tcBorders>
              <w:top w:val="nil"/>
              <w:left w:val="nil"/>
              <w:bottom w:val="nil"/>
              <w:right w:val="nil"/>
            </w:tcBorders>
            <w:tcMar>
              <w:top w:w="128" w:type="dxa"/>
              <w:left w:w="43" w:type="dxa"/>
              <w:bottom w:w="43" w:type="dxa"/>
              <w:right w:w="43" w:type="dxa"/>
            </w:tcMar>
            <w:vAlign w:val="bottom"/>
          </w:tcPr>
          <w:p w14:paraId="5B1FF555" w14:textId="77777777" w:rsidR="00575AC3" w:rsidRPr="006D40F0" w:rsidRDefault="00575AC3" w:rsidP="006D40F0"/>
        </w:tc>
      </w:tr>
      <w:tr w:rsidR="00DD49A7" w:rsidRPr="006D40F0" w14:paraId="350F83F4" w14:textId="77777777">
        <w:trPr>
          <w:trHeight w:val="380"/>
        </w:trPr>
        <w:tc>
          <w:tcPr>
            <w:tcW w:w="680" w:type="dxa"/>
            <w:tcBorders>
              <w:top w:val="nil"/>
              <w:left w:val="nil"/>
              <w:bottom w:val="nil"/>
              <w:right w:val="nil"/>
            </w:tcBorders>
            <w:tcMar>
              <w:top w:w="128" w:type="dxa"/>
              <w:left w:w="43" w:type="dxa"/>
              <w:bottom w:w="43" w:type="dxa"/>
              <w:right w:w="43" w:type="dxa"/>
            </w:tcMar>
          </w:tcPr>
          <w:p w14:paraId="3122E35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277B082"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4BB3E65" w14:textId="77777777" w:rsidR="00575AC3" w:rsidRPr="006D40F0" w:rsidRDefault="00575AC3" w:rsidP="006D40F0">
            <w:r w:rsidRPr="006D40F0">
              <w:t>Tilskudd til Universitetssenteret på Svalbard, forhøyes med</w:t>
            </w:r>
          </w:p>
        </w:tc>
        <w:tc>
          <w:tcPr>
            <w:tcW w:w="1400" w:type="dxa"/>
            <w:tcBorders>
              <w:top w:val="nil"/>
              <w:left w:val="nil"/>
              <w:bottom w:val="nil"/>
              <w:right w:val="nil"/>
            </w:tcBorders>
            <w:tcMar>
              <w:top w:w="128" w:type="dxa"/>
              <w:left w:w="43" w:type="dxa"/>
              <w:bottom w:w="43" w:type="dxa"/>
              <w:right w:w="43" w:type="dxa"/>
            </w:tcMar>
            <w:vAlign w:val="bottom"/>
          </w:tcPr>
          <w:p w14:paraId="7E559A5B" w14:textId="77777777" w:rsidR="00575AC3" w:rsidRPr="006D40F0" w:rsidRDefault="00575AC3" w:rsidP="006D40F0">
            <w:r w:rsidRPr="006D40F0">
              <w:t>10 000 000</w:t>
            </w:r>
          </w:p>
        </w:tc>
      </w:tr>
      <w:tr w:rsidR="00DD49A7" w:rsidRPr="006D40F0" w14:paraId="10A9F8A6" w14:textId="77777777">
        <w:trPr>
          <w:trHeight w:val="380"/>
        </w:trPr>
        <w:tc>
          <w:tcPr>
            <w:tcW w:w="680" w:type="dxa"/>
            <w:tcBorders>
              <w:top w:val="nil"/>
              <w:left w:val="nil"/>
              <w:bottom w:val="nil"/>
              <w:right w:val="nil"/>
            </w:tcBorders>
            <w:tcMar>
              <w:top w:w="128" w:type="dxa"/>
              <w:left w:w="43" w:type="dxa"/>
              <w:bottom w:w="43" w:type="dxa"/>
              <w:right w:w="43" w:type="dxa"/>
            </w:tcMar>
          </w:tcPr>
          <w:p w14:paraId="2F45FAE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B6A8B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741F12" w14:textId="77777777" w:rsidR="00575AC3" w:rsidRPr="006D40F0" w:rsidRDefault="00575AC3" w:rsidP="006D40F0">
            <w:r w:rsidRPr="006D40F0">
              <w:t>fra kr 168 386 000 til kr 178 386 000</w:t>
            </w:r>
          </w:p>
        </w:tc>
        <w:tc>
          <w:tcPr>
            <w:tcW w:w="1400" w:type="dxa"/>
            <w:tcBorders>
              <w:top w:val="nil"/>
              <w:left w:val="nil"/>
              <w:bottom w:val="nil"/>
              <w:right w:val="nil"/>
            </w:tcBorders>
            <w:tcMar>
              <w:top w:w="128" w:type="dxa"/>
              <w:left w:w="43" w:type="dxa"/>
              <w:bottom w:w="43" w:type="dxa"/>
              <w:right w:w="43" w:type="dxa"/>
            </w:tcMar>
            <w:vAlign w:val="bottom"/>
          </w:tcPr>
          <w:p w14:paraId="4DD8C929" w14:textId="77777777" w:rsidR="00575AC3" w:rsidRPr="006D40F0" w:rsidRDefault="00575AC3" w:rsidP="006D40F0"/>
        </w:tc>
      </w:tr>
      <w:tr w:rsidR="00DD49A7" w:rsidRPr="006D40F0" w14:paraId="1028CBFA" w14:textId="77777777">
        <w:trPr>
          <w:trHeight w:val="380"/>
        </w:trPr>
        <w:tc>
          <w:tcPr>
            <w:tcW w:w="680" w:type="dxa"/>
            <w:tcBorders>
              <w:top w:val="nil"/>
              <w:left w:val="nil"/>
              <w:bottom w:val="nil"/>
              <w:right w:val="nil"/>
            </w:tcBorders>
            <w:tcMar>
              <w:top w:w="128" w:type="dxa"/>
              <w:left w:w="43" w:type="dxa"/>
              <w:bottom w:w="43" w:type="dxa"/>
              <w:right w:w="43" w:type="dxa"/>
            </w:tcMar>
          </w:tcPr>
          <w:p w14:paraId="63B4A81B" w14:textId="77777777" w:rsidR="00575AC3" w:rsidRPr="006D40F0" w:rsidRDefault="00575AC3" w:rsidP="006D40F0">
            <w:r w:rsidRPr="006D40F0">
              <w:t>275</w:t>
            </w:r>
          </w:p>
        </w:tc>
        <w:tc>
          <w:tcPr>
            <w:tcW w:w="680" w:type="dxa"/>
            <w:tcBorders>
              <w:top w:val="nil"/>
              <w:left w:val="nil"/>
              <w:bottom w:val="nil"/>
              <w:right w:val="nil"/>
            </w:tcBorders>
            <w:tcMar>
              <w:top w:w="128" w:type="dxa"/>
              <w:left w:w="43" w:type="dxa"/>
              <w:bottom w:w="43" w:type="dxa"/>
              <w:right w:w="43" w:type="dxa"/>
            </w:tcMar>
          </w:tcPr>
          <w:p w14:paraId="24A20FA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3FD042" w14:textId="77777777" w:rsidR="00575AC3" w:rsidRPr="006D40F0" w:rsidRDefault="00575AC3" w:rsidP="006D40F0">
            <w:r w:rsidRPr="006D40F0">
              <w:t>Tiltak for høyere utdanning og forskning:</w:t>
            </w:r>
          </w:p>
        </w:tc>
        <w:tc>
          <w:tcPr>
            <w:tcW w:w="1400" w:type="dxa"/>
            <w:tcBorders>
              <w:top w:val="nil"/>
              <w:left w:val="nil"/>
              <w:bottom w:val="nil"/>
              <w:right w:val="nil"/>
            </w:tcBorders>
            <w:tcMar>
              <w:top w:w="128" w:type="dxa"/>
              <w:left w:w="43" w:type="dxa"/>
              <w:bottom w:w="43" w:type="dxa"/>
              <w:right w:w="43" w:type="dxa"/>
            </w:tcMar>
            <w:vAlign w:val="bottom"/>
          </w:tcPr>
          <w:p w14:paraId="43257C92" w14:textId="77777777" w:rsidR="00575AC3" w:rsidRPr="006D40F0" w:rsidRDefault="00575AC3" w:rsidP="006D40F0"/>
        </w:tc>
      </w:tr>
      <w:tr w:rsidR="00DD49A7" w:rsidRPr="006D40F0" w14:paraId="4E4114F1" w14:textId="77777777">
        <w:trPr>
          <w:trHeight w:val="640"/>
        </w:trPr>
        <w:tc>
          <w:tcPr>
            <w:tcW w:w="680" w:type="dxa"/>
            <w:tcBorders>
              <w:top w:val="nil"/>
              <w:left w:val="nil"/>
              <w:bottom w:val="nil"/>
              <w:right w:val="nil"/>
            </w:tcBorders>
            <w:tcMar>
              <w:top w:w="128" w:type="dxa"/>
              <w:left w:w="43" w:type="dxa"/>
              <w:bottom w:w="43" w:type="dxa"/>
              <w:right w:w="43" w:type="dxa"/>
            </w:tcMar>
          </w:tcPr>
          <w:p w14:paraId="0825EE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3FF11A"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A1133C8" w14:textId="77777777" w:rsidR="00575AC3" w:rsidRPr="006D40F0" w:rsidRDefault="00575AC3" w:rsidP="006D40F0">
            <w:r w:rsidRPr="006D40F0">
              <w:t xml:space="preserve">Spesielle driftsutgifter, </w:t>
            </w:r>
            <w:r w:rsidRPr="00575AC3">
              <w:rPr>
                <w:rStyle w:val="kursiv"/>
              </w:rPr>
              <w:t>kan overføres, kan nyttes under post 70,</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0FC687B" w14:textId="77777777" w:rsidR="00575AC3" w:rsidRPr="006D40F0" w:rsidRDefault="00575AC3" w:rsidP="006D40F0">
            <w:r w:rsidRPr="006D40F0">
              <w:t>12 867 000</w:t>
            </w:r>
          </w:p>
        </w:tc>
      </w:tr>
      <w:tr w:rsidR="00DD49A7" w:rsidRPr="006D40F0" w14:paraId="0860148B" w14:textId="77777777">
        <w:trPr>
          <w:trHeight w:val="380"/>
        </w:trPr>
        <w:tc>
          <w:tcPr>
            <w:tcW w:w="680" w:type="dxa"/>
            <w:tcBorders>
              <w:top w:val="nil"/>
              <w:left w:val="nil"/>
              <w:bottom w:val="nil"/>
              <w:right w:val="nil"/>
            </w:tcBorders>
            <w:tcMar>
              <w:top w:w="128" w:type="dxa"/>
              <w:left w:w="43" w:type="dxa"/>
              <w:bottom w:w="43" w:type="dxa"/>
              <w:right w:w="43" w:type="dxa"/>
            </w:tcMar>
          </w:tcPr>
          <w:p w14:paraId="31CD4EB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51DBA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63BA2E" w14:textId="77777777" w:rsidR="00575AC3" w:rsidRPr="006D40F0" w:rsidRDefault="00575AC3" w:rsidP="006D40F0">
            <w:r w:rsidRPr="006D40F0">
              <w:t>fra kr 71 062 000 til kr 58 195 000</w:t>
            </w:r>
          </w:p>
        </w:tc>
        <w:tc>
          <w:tcPr>
            <w:tcW w:w="1400" w:type="dxa"/>
            <w:tcBorders>
              <w:top w:val="nil"/>
              <w:left w:val="nil"/>
              <w:bottom w:val="nil"/>
              <w:right w:val="nil"/>
            </w:tcBorders>
            <w:tcMar>
              <w:top w:w="128" w:type="dxa"/>
              <w:left w:w="43" w:type="dxa"/>
              <w:bottom w:w="43" w:type="dxa"/>
              <w:right w:w="43" w:type="dxa"/>
            </w:tcMar>
            <w:vAlign w:val="bottom"/>
          </w:tcPr>
          <w:p w14:paraId="1BEA58DF" w14:textId="77777777" w:rsidR="00575AC3" w:rsidRPr="006D40F0" w:rsidRDefault="00575AC3" w:rsidP="006D40F0"/>
        </w:tc>
      </w:tr>
      <w:tr w:rsidR="00DD49A7" w:rsidRPr="006D40F0" w14:paraId="5A67C729" w14:textId="77777777">
        <w:trPr>
          <w:trHeight w:val="380"/>
        </w:trPr>
        <w:tc>
          <w:tcPr>
            <w:tcW w:w="680" w:type="dxa"/>
            <w:tcBorders>
              <w:top w:val="nil"/>
              <w:left w:val="nil"/>
              <w:bottom w:val="nil"/>
              <w:right w:val="nil"/>
            </w:tcBorders>
            <w:tcMar>
              <w:top w:w="128" w:type="dxa"/>
              <w:left w:w="43" w:type="dxa"/>
              <w:bottom w:w="43" w:type="dxa"/>
              <w:right w:w="43" w:type="dxa"/>
            </w:tcMar>
          </w:tcPr>
          <w:p w14:paraId="6900CE71"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5EFCBCDC" w14:textId="77777777" w:rsidR="00575AC3" w:rsidRPr="006D40F0" w:rsidRDefault="00575AC3" w:rsidP="006D40F0">
            <w:r w:rsidRPr="006D40F0">
              <w:t>96</w:t>
            </w:r>
          </w:p>
        </w:tc>
        <w:tc>
          <w:tcPr>
            <w:tcW w:w="6800" w:type="dxa"/>
            <w:tcBorders>
              <w:top w:val="nil"/>
              <w:left w:val="nil"/>
              <w:bottom w:val="nil"/>
              <w:right w:val="nil"/>
            </w:tcBorders>
            <w:tcMar>
              <w:top w:w="128" w:type="dxa"/>
              <w:left w:w="43" w:type="dxa"/>
              <w:bottom w:w="43" w:type="dxa"/>
              <w:right w:w="43" w:type="dxa"/>
            </w:tcMar>
          </w:tcPr>
          <w:p w14:paraId="20E62EC6" w14:textId="77777777" w:rsidR="00575AC3" w:rsidRPr="006D40F0" w:rsidRDefault="00575AC3" w:rsidP="006D40F0">
            <w:r w:rsidRPr="006D40F0">
              <w:t>Aksjekapital, bevilges med</w:t>
            </w:r>
          </w:p>
        </w:tc>
        <w:tc>
          <w:tcPr>
            <w:tcW w:w="1400" w:type="dxa"/>
            <w:tcBorders>
              <w:top w:val="nil"/>
              <w:left w:val="nil"/>
              <w:bottom w:val="nil"/>
              <w:right w:val="nil"/>
            </w:tcBorders>
            <w:tcMar>
              <w:top w:w="128" w:type="dxa"/>
              <w:left w:w="43" w:type="dxa"/>
              <w:bottom w:w="43" w:type="dxa"/>
              <w:right w:w="43" w:type="dxa"/>
            </w:tcMar>
            <w:vAlign w:val="bottom"/>
          </w:tcPr>
          <w:p w14:paraId="399D1628" w14:textId="77777777" w:rsidR="00575AC3" w:rsidRPr="006D40F0" w:rsidRDefault="00575AC3" w:rsidP="006D40F0">
            <w:r w:rsidRPr="006D40F0">
              <w:t>3 067 000</w:t>
            </w:r>
          </w:p>
        </w:tc>
      </w:tr>
      <w:tr w:rsidR="00DD49A7" w:rsidRPr="006D40F0" w14:paraId="3B6620F2" w14:textId="77777777">
        <w:trPr>
          <w:trHeight w:val="380"/>
        </w:trPr>
        <w:tc>
          <w:tcPr>
            <w:tcW w:w="680" w:type="dxa"/>
            <w:tcBorders>
              <w:top w:val="nil"/>
              <w:left w:val="nil"/>
              <w:bottom w:val="nil"/>
              <w:right w:val="nil"/>
            </w:tcBorders>
            <w:tcMar>
              <w:top w:w="128" w:type="dxa"/>
              <w:left w:w="43" w:type="dxa"/>
              <w:bottom w:w="43" w:type="dxa"/>
              <w:right w:w="43" w:type="dxa"/>
            </w:tcMar>
          </w:tcPr>
          <w:p w14:paraId="5A50466F" w14:textId="77777777" w:rsidR="00575AC3" w:rsidRPr="006D40F0" w:rsidRDefault="00575AC3" w:rsidP="006D40F0">
            <w:r w:rsidRPr="006D40F0">
              <w:t>285</w:t>
            </w:r>
          </w:p>
        </w:tc>
        <w:tc>
          <w:tcPr>
            <w:tcW w:w="680" w:type="dxa"/>
            <w:tcBorders>
              <w:top w:val="nil"/>
              <w:left w:val="nil"/>
              <w:bottom w:val="nil"/>
              <w:right w:val="nil"/>
            </w:tcBorders>
            <w:tcMar>
              <w:top w:w="128" w:type="dxa"/>
              <w:left w:w="43" w:type="dxa"/>
              <w:bottom w:w="43" w:type="dxa"/>
              <w:right w:w="43" w:type="dxa"/>
            </w:tcMar>
          </w:tcPr>
          <w:p w14:paraId="54AB08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780A4B" w14:textId="77777777" w:rsidR="00575AC3" w:rsidRPr="006D40F0" w:rsidRDefault="00575AC3" w:rsidP="006D40F0">
            <w:r w:rsidRPr="006D40F0">
              <w:t>Norges forskningsråd:</w:t>
            </w:r>
          </w:p>
        </w:tc>
        <w:tc>
          <w:tcPr>
            <w:tcW w:w="1400" w:type="dxa"/>
            <w:tcBorders>
              <w:top w:val="nil"/>
              <w:left w:val="nil"/>
              <w:bottom w:val="nil"/>
              <w:right w:val="nil"/>
            </w:tcBorders>
            <w:tcMar>
              <w:top w:w="128" w:type="dxa"/>
              <w:left w:w="43" w:type="dxa"/>
              <w:bottom w:w="43" w:type="dxa"/>
              <w:right w:w="43" w:type="dxa"/>
            </w:tcMar>
            <w:vAlign w:val="bottom"/>
          </w:tcPr>
          <w:p w14:paraId="582FC359" w14:textId="77777777" w:rsidR="00575AC3" w:rsidRPr="006D40F0" w:rsidRDefault="00575AC3" w:rsidP="006D40F0"/>
        </w:tc>
      </w:tr>
      <w:tr w:rsidR="00DD49A7" w:rsidRPr="006D40F0" w14:paraId="1D66D08F" w14:textId="77777777">
        <w:trPr>
          <w:trHeight w:val="380"/>
        </w:trPr>
        <w:tc>
          <w:tcPr>
            <w:tcW w:w="680" w:type="dxa"/>
            <w:tcBorders>
              <w:top w:val="nil"/>
              <w:left w:val="nil"/>
              <w:bottom w:val="nil"/>
              <w:right w:val="nil"/>
            </w:tcBorders>
            <w:tcMar>
              <w:top w:w="128" w:type="dxa"/>
              <w:left w:w="43" w:type="dxa"/>
              <w:bottom w:w="43" w:type="dxa"/>
              <w:right w:w="43" w:type="dxa"/>
            </w:tcMar>
          </w:tcPr>
          <w:p w14:paraId="580AC82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ADF4CF" w14:textId="77777777" w:rsidR="00575AC3" w:rsidRPr="006D40F0" w:rsidRDefault="00575AC3" w:rsidP="006D40F0">
            <w:r w:rsidRPr="006D40F0">
              <w:t>55</w:t>
            </w:r>
          </w:p>
        </w:tc>
        <w:tc>
          <w:tcPr>
            <w:tcW w:w="6800" w:type="dxa"/>
            <w:tcBorders>
              <w:top w:val="nil"/>
              <w:left w:val="nil"/>
              <w:bottom w:val="nil"/>
              <w:right w:val="nil"/>
            </w:tcBorders>
            <w:tcMar>
              <w:top w:w="128" w:type="dxa"/>
              <w:left w:w="43" w:type="dxa"/>
              <w:bottom w:w="43" w:type="dxa"/>
              <w:right w:w="43" w:type="dxa"/>
            </w:tcMar>
          </w:tcPr>
          <w:p w14:paraId="1C958537" w14:textId="77777777" w:rsidR="00575AC3" w:rsidRPr="006D40F0" w:rsidRDefault="00575AC3" w:rsidP="006D40F0">
            <w:r w:rsidRPr="006D40F0">
              <w:t>Virksomhetskostnader, forhøyes med</w:t>
            </w:r>
          </w:p>
        </w:tc>
        <w:tc>
          <w:tcPr>
            <w:tcW w:w="1400" w:type="dxa"/>
            <w:tcBorders>
              <w:top w:val="nil"/>
              <w:left w:val="nil"/>
              <w:bottom w:val="nil"/>
              <w:right w:val="nil"/>
            </w:tcBorders>
            <w:tcMar>
              <w:top w:w="128" w:type="dxa"/>
              <w:left w:w="43" w:type="dxa"/>
              <w:bottom w:w="43" w:type="dxa"/>
              <w:right w:w="43" w:type="dxa"/>
            </w:tcMar>
            <w:vAlign w:val="bottom"/>
          </w:tcPr>
          <w:p w14:paraId="2F24448E" w14:textId="77777777" w:rsidR="00575AC3" w:rsidRPr="006D40F0" w:rsidRDefault="00575AC3" w:rsidP="006D40F0">
            <w:r w:rsidRPr="006D40F0">
              <w:t>13 400 000</w:t>
            </w:r>
          </w:p>
        </w:tc>
      </w:tr>
      <w:tr w:rsidR="00DD49A7" w:rsidRPr="006D40F0" w14:paraId="756A9A25" w14:textId="77777777">
        <w:trPr>
          <w:trHeight w:val="380"/>
        </w:trPr>
        <w:tc>
          <w:tcPr>
            <w:tcW w:w="680" w:type="dxa"/>
            <w:tcBorders>
              <w:top w:val="nil"/>
              <w:left w:val="nil"/>
              <w:bottom w:val="nil"/>
              <w:right w:val="nil"/>
            </w:tcBorders>
            <w:tcMar>
              <w:top w:w="128" w:type="dxa"/>
              <w:left w:w="43" w:type="dxa"/>
              <w:bottom w:w="43" w:type="dxa"/>
              <w:right w:w="43" w:type="dxa"/>
            </w:tcMar>
          </w:tcPr>
          <w:p w14:paraId="0C5BB0A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95B59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63318C" w14:textId="77777777" w:rsidR="00575AC3" w:rsidRPr="006D40F0" w:rsidRDefault="00575AC3" w:rsidP="006D40F0">
            <w:r w:rsidRPr="006D40F0">
              <w:t>fra kr 766 873 000 til kr 780 273 000</w:t>
            </w:r>
          </w:p>
        </w:tc>
        <w:tc>
          <w:tcPr>
            <w:tcW w:w="1400" w:type="dxa"/>
            <w:tcBorders>
              <w:top w:val="nil"/>
              <w:left w:val="nil"/>
              <w:bottom w:val="nil"/>
              <w:right w:val="nil"/>
            </w:tcBorders>
            <w:tcMar>
              <w:top w:w="128" w:type="dxa"/>
              <w:left w:w="43" w:type="dxa"/>
              <w:bottom w:w="43" w:type="dxa"/>
              <w:right w:w="43" w:type="dxa"/>
            </w:tcMar>
            <w:vAlign w:val="bottom"/>
          </w:tcPr>
          <w:p w14:paraId="6E70B8B3" w14:textId="77777777" w:rsidR="00575AC3" w:rsidRPr="006D40F0" w:rsidRDefault="00575AC3" w:rsidP="006D40F0"/>
        </w:tc>
      </w:tr>
      <w:tr w:rsidR="00DD49A7" w:rsidRPr="006D40F0" w14:paraId="52D51F45" w14:textId="77777777">
        <w:trPr>
          <w:trHeight w:val="380"/>
        </w:trPr>
        <w:tc>
          <w:tcPr>
            <w:tcW w:w="680" w:type="dxa"/>
            <w:tcBorders>
              <w:top w:val="nil"/>
              <w:left w:val="nil"/>
              <w:bottom w:val="nil"/>
              <w:right w:val="nil"/>
            </w:tcBorders>
            <w:tcMar>
              <w:top w:w="128" w:type="dxa"/>
              <w:left w:w="43" w:type="dxa"/>
              <w:bottom w:w="43" w:type="dxa"/>
              <w:right w:w="43" w:type="dxa"/>
            </w:tcMar>
          </w:tcPr>
          <w:p w14:paraId="15A865AB" w14:textId="77777777" w:rsidR="00575AC3" w:rsidRPr="006D40F0" w:rsidRDefault="00575AC3" w:rsidP="006D40F0">
            <w:r w:rsidRPr="006D40F0">
              <w:t>288</w:t>
            </w:r>
          </w:p>
        </w:tc>
        <w:tc>
          <w:tcPr>
            <w:tcW w:w="680" w:type="dxa"/>
            <w:tcBorders>
              <w:top w:val="nil"/>
              <w:left w:val="nil"/>
              <w:bottom w:val="nil"/>
              <w:right w:val="nil"/>
            </w:tcBorders>
            <w:tcMar>
              <w:top w:w="128" w:type="dxa"/>
              <w:left w:w="43" w:type="dxa"/>
              <w:bottom w:w="43" w:type="dxa"/>
              <w:right w:w="43" w:type="dxa"/>
            </w:tcMar>
          </w:tcPr>
          <w:p w14:paraId="78511E1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FB8748" w14:textId="77777777" w:rsidR="00575AC3" w:rsidRPr="006D40F0" w:rsidRDefault="00575AC3" w:rsidP="006D40F0">
            <w:r w:rsidRPr="006D40F0">
              <w:t>Internasjonale samarbeidstiltak:</w:t>
            </w:r>
          </w:p>
        </w:tc>
        <w:tc>
          <w:tcPr>
            <w:tcW w:w="1400" w:type="dxa"/>
            <w:tcBorders>
              <w:top w:val="nil"/>
              <w:left w:val="nil"/>
              <w:bottom w:val="nil"/>
              <w:right w:val="nil"/>
            </w:tcBorders>
            <w:tcMar>
              <w:top w:w="128" w:type="dxa"/>
              <w:left w:w="43" w:type="dxa"/>
              <w:bottom w:w="43" w:type="dxa"/>
              <w:right w:w="43" w:type="dxa"/>
            </w:tcMar>
            <w:vAlign w:val="bottom"/>
          </w:tcPr>
          <w:p w14:paraId="7E81C0F9" w14:textId="77777777" w:rsidR="00575AC3" w:rsidRPr="006D40F0" w:rsidRDefault="00575AC3" w:rsidP="006D40F0"/>
        </w:tc>
      </w:tr>
      <w:tr w:rsidR="00DD49A7" w:rsidRPr="006D40F0" w14:paraId="73DD22F4" w14:textId="77777777">
        <w:trPr>
          <w:trHeight w:val="380"/>
        </w:trPr>
        <w:tc>
          <w:tcPr>
            <w:tcW w:w="680" w:type="dxa"/>
            <w:tcBorders>
              <w:top w:val="nil"/>
              <w:left w:val="nil"/>
              <w:bottom w:val="nil"/>
              <w:right w:val="nil"/>
            </w:tcBorders>
            <w:tcMar>
              <w:top w:w="128" w:type="dxa"/>
              <w:left w:w="43" w:type="dxa"/>
              <w:bottom w:w="43" w:type="dxa"/>
              <w:right w:w="43" w:type="dxa"/>
            </w:tcMar>
          </w:tcPr>
          <w:p w14:paraId="551D7BF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2ACEFC"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70538238" w14:textId="77777777" w:rsidR="00575AC3" w:rsidRPr="006D40F0" w:rsidRDefault="00575AC3" w:rsidP="006D40F0">
            <w:r w:rsidRPr="006D40F0">
              <w:t>Internasjonale grunnforskningsorganisasjoner, nedsettes med</w:t>
            </w:r>
          </w:p>
        </w:tc>
        <w:tc>
          <w:tcPr>
            <w:tcW w:w="1400" w:type="dxa"/>
            <w:tcBorders>
              <w:top w:val="nil"/>
              <w:left w:val="nil"/>
              <w:bottom w:val="nil"/>
              <w:right w:val="nil"/>
            </w:tcBorders>
            <w:tcMar>
              <w:top w:w="128" w:type="dxa"/>
              <w:left w:w="43" w:type="dxa"/>
              <w:bottom w:w="43" w:type="dxa"/>
              <w:right w:w="43" w:type="dxa"/>
            </w:tcMar>
            <w:vAlign w:val="bottom"/>
          </w:tcPr>
          <w:p w14:paraId="4EB79508" w14:textId="77777777" w:rsidR="00575AC3" w:rsidRPr="006D40F0" w:rsidRDefault="00575AC3" w:rsidP="006D40F0">
            <w:r w:rsidRPr="006D40F0">
              <w:t>5 170 000</w:t>
            </w:r>
          </w:p>
        </w:tc>
      </w:tr>
      <w:tr w:rsidR="00DD49A7" w:rsidRPr="006D40F0" w14:paraId="72A25072" w14:textId="77777777">
        <w:trPr>
          <w:trHeight w:val="380"/>
        </w:trPr>
        <w:tc>
          <w:tcPr>
            <w:tcW w:w="680" w:type="dxa"/>
            <w:tcBorders>
              <w:top w:val="nil"/>
              <w:left w:val="nil"/>
              <w:bottom w:val="nil"/>
              <w:right w:val="nil"/>
            </w:tcBorders>
            <w:tcMar>
              <w:top w:w="128" w:type="dxa"/>
              <w:left w:w="43" w:type="dxa"/>
              <w:bottom w:w="43" w:type="dxa"/>
              <w:right w:w="43" w:type="dxa"/>
            </w:tcMar>
          </w:tcPr>
          <w:p w14:paraId="0592DC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28EAB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C1FAE0" w14:textId="77777777" w:rsidR="00575AC3" w:rsidRPr="006D40F0" w:rsidRDefault="00575AC3" w:rsidP="006D40F0">
            <w:r w:rsidRPr="006D40F0">
              <w:t>fra kr 391 034 000 til kr 385 864 000</w:t>
            </w:r>
          </w:p>
        </w:tc>
        <w:tc>
          <w:tcPr>
            <w:tcW w:w="1400" w:type="dxa"/>
            <w:tcBorders>
              <w:top w:val="nil"/>
              <w:left w:val="nil"/>
              <w:bottom w:val="nil"/>
              <w:right w:val="nil"/>
            </w:tcBorders>
            <w:tcMar>
              <w:top w:w="128" w:type="dxa"/>
              <w:left w:w="43" w:type="dxa"/>
              <w:bottom w:w="43" w:type="dxa"/>
              <w:right w:w="43" w:type="dxa"/>
            </w:tcMar>
            <w:vAlign w:val="bottom"/>
          </w:tcPr>
          <w:p w14:paraId="56C22F6D" w14:textId="77777777" w:rsidR="00575AC3" w:rsidRPr="006D40F0" w:rsidRDefault="00575AC3" w:rsidP="006D40F0"/>
        </w:tc>
      </w:tr>
      <w:tr w:rsidR="00DD49A7" w:rsidRPr="006D40F0" w14:paraId="247CE667" w14:textId="77777777">
        <w:trPr>
          <w:trHeight w:val="380"/>
        </w:trPr>
        <w:tc>
          <w:tcPr>
            <w:tcW w:w="680" w:type="dxa"/>
            <w:tcBorders>
              <w:top w:val="nil"/>
              <w:left w:val="nil"/>
              <w:bottom w:val="nil"/>
              <w:right w:val="nil"/>
            </w:tcBorders>
            <w:tcMar>
              <w:top w:w="128" w:type="dxa"/>
              <w:left w:w="43" w:type="dxa"/>
              <w:bottom w:w="43" w:type="dxa"/>
              <w:right w:w="43" w:type="dxa"/>
            </w:tcMar>
          </w:tcPr>
          <w:p w14:paraId="57F51C2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46C070"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42517D93" w14:textId="77777777" w:rsidR="00575AC3" w:rsidRPr="006D40F0" w:rsidRDefault="00575AC3" w:rsidP="006D40F0">
            <w:r w:rsidRPr="006D40F0">
              <w:t>EUs rammeprogram for forskning og innovasjon, forhøyes med</w:t>
            </w:r>
          </w:p>
        </w:tc>
        <w:tc>
          <w:tcPr>
            <w:tcW w:w="1400" w:type="dxa"/>
            <w:tcBorders>
              <w:top w:val="nil"/>
              <w:left w:val="nil"/>
              <w:bottom w:val="nil"/>
              <w:right w:val="nil"/>
            </w:tcBorders>
            <w:tcMar>
              <w:top w:w="128" w:type="dxa"/>
              <w:left w:w="43" w:type="dxa"/>
              <w:bottom w:w="43" w:type="dxa"/>
              <w:right w:w="43" w:type="dxa"/>
            </w:tcMar>
            <w:vAlign w:val="bottom"/>
          </w:tcPr>
          <w:p w14:paraId="4B4B5807" w14:textId="77777777" w:rsidR="00575AC3" w:rsidRPr="006D40F0" w:rsidRDefault="00575AC3" w:rsidP="006D40F0">
            <w:r w:rsidRPr="006D40F0">
              <w:t>90 746 000</w:t>
            </w:r>
          </w:p>
        </w:tc>
      </w:tr>
      <w:tr w:rsidR="00DD49A7" w:rsidRPr="006D40F0" w14:paraId="239FC4B9" w14:textId="77777777">
        <w:trPr>
          <w:trHeight w:val="380"/>
        </w:trPr>
        <w:tc>
          <w:tcPr>
            <w:tcW w:w="680" w:type="dxa"/>
            <w:tcBorders>
              <w:top w:val="nil"/>
              <w:left w:val="nil"/>
              <w:bottom w:val="nil"/>
              <w:right w:val="nil"/>
            </w:tcBorders>
            <w:tcMar>
              <w:top w:w="128" w:type="dxa"/>
              <w:left w:w="43" w:type="dxa"/>
              <w:bottom w:w="43" w:type="dxa"/>
              <w:right w:w="43" w:type="dxa"/>
            </w:tcMar>
          </w:tcPr>
          <w:p w14:paraId="669FB96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899C4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05A935" w14:textId="77777777" w:rsidR="00575AC3" w:rsidRPr="006D40F0" w:rsidRDefault="00575AC3" w:rsidP="006D40F0">
            <w:r w:rsidRPr="006D40F0">
              <w:t>fra kr 5 046 781 000 til kr 5 137 527 000</w:t>
            </w:r>
          </w:p>
        </w:tc>
        <w:tc>
          <w:tcPr>
            <w:tcW w:w="1400" w:type="dxa"/>
            <w:tcBorders>
              <w:top w:val="nil"/>
              <w:left w:val="nil"/>
              <w:bottom w:val="nil"/>
              <w:right w:val="nil"/>
            </w:tcBorders>
            <w:tcMar>
              <w:top w:w="128" w:type="dxa"/>
              <w:left w:w="43" w:type="dxa"/>
              <w:bottom w:w="43" w:type="dxa"/>
              <w:right w:w="43" w:type="dxa"/>
            </w:tcMar>
            <w:vAlign w:val="bottom"/>
          </w:tcPr>
          <w:p w14:paraId="1A394F31" w14:textId="77777777" w:rsidR="00575AC3" w:rsidRPr="006D40F0" w:rsidRDefault="00575AC3" w:rsidP="006D40F0"/>
        </w:tc>
      </w:tr>
      <w:tr w:rsidR="00DD49A7" w:rsidRPr="006D40F0" w14:paraId="5597BAB0" w14:textId="77777777">
        <w:trPr>
          <w:trHeight w:val="380"/>
        </w:trPr>
        <w:tc>
          <w:tcPr>
            <w:tcW w:w="680" w:type="dxa"/>
            <w:tcBorders>
              <w:top w:val="nil"/>
              <w:left w:val="nil"/>
              <w:bottom w:val="nil"/>
              <w:right w:val="nil"/>
            </w:tcBorders>
            <w:tcMar>
              <w:top w:w="128" w:type="dxa"/>
              <w:left w:w="43" w:type="dxa"/>
              <w:bottom w:w="43" w:type="dxa"/>
              <w:right w:w="43" w:type="dxa"/>
            </w:tcMar>
          </w:tcPr>
          <w:p w14:paraId="434AB0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5BF038"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191B5C6D" w14:textId="77777777" w:rsidR="00575AC3" w:rsidRPr="006D40F0" w:rsidRDefault="00575AC3" w:rsidP="006D40F0">
            <w:r w:rsidRPr="006D40F0">
              <w:t>EUs program for utdanning, opplæring, ungdom og idrett, nedsettes med</w:t>
            </w:r>
          </w:p>
        </w:tc>
        <w:tc>
          <w:tcPr>
            <w:tcW w:w="1400" w:type="dxa"/>
            <w:tcBorders>
              <w:top w:val="nil"/>
              <w:left w:val="nil"/>
              <w:bottom w:val="nil"/>
              <w:right w:val="nil"/>
            </w:tcBorders>
            <w:tcMar>
              <w:top w:w="128" w:type="dxa"/>
              <w:left w:w="43" w:type="dxa"/>
              <w:bottom w:w="43" w:type="dxa"/>
              <w:right w:w="43" w:type="dxa"/>
            </w:tcMar>
            <w:vAlign w:val="bottom"/>
          </w:tcPr>
          <w:p w14:paraId="49B59165" w14:textId="77777777" w:rsidR="00575AC3" w:rsidRPr="006D40F0" w:rsidRDefault="00575AC3" w:rsidP="006D40F0">
            <w:r w:rsidRPr="006D40F0">
              <w:t>69 526 000</w:t>
            </w:r>
          </w:p>
        </w:tc>
      </w:tr>
      <w:tr w:rsidR="00DD49A7" w:rsidRPr="006D40F0" w14:paraId="012DA17D" w14:textId="77777777">
        <w:trPr>
          <w:trHeight w:val="380"/>
        </w:trPr>
        <w:tc>
          <w:tcPr>
            <w:tcW w:w="680" w:type="dxa"/>
            <w:tcBorders>
              <w:top w:val="nil"/>
              <w:left w:val="nil"/>
              <w:bottom w:val="nil"/>
              <w:right w:val="nil"/>
            </w:tcBorders>
            <w:tcMar>
              <w:top w:w="128" w:type="dxa"/>
              <w:left w:w="43" w:type="dxa"/>
              <w:bottom w:w="43" w:type="dxa"/>
              <w:right w:w="43" w:type="dxa"/>
            </w:tcMar>
          </w:tcPr>
          <w:p w14:paraId="38E1DA7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86C99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CF189B1" w14:textId="77777777" w:rsidR="00575AC3" w:rsidRPr="006D40F0" w:rsidRDefault="00575AC3" w:rsidP="006D40F0">
            <w:r w:rsidRPr="006D40F0">
              <w:t>fra kr 1 564 078 000 til kr 1 494 552 000</w:t>
            </w:r>
          </w:p>
        </w:tc>
        <w:tc>
          <w:tcPr>
            <w:tcW w:w="1400" w:type="dxa"/>
            <w:tcBorders>
              <w:top w:val="nil"/>
              <w:left w:val="nil"/>
              <w:bottom w:val="nil"/>
              <w:right w:val="nil"/>
            </w:tcBorders>
            <w:tcMar>
              <w:top w:w="128" w:type="dxa"/>
              <w:left w:w="43" w:type="dxa"/>
              <w:bottom w:w="43" w:type="dxa"/>
              <w:right w:w="43" w:type="dxa"/>
            </w:tcMar>
            <w:vAlign w:val="bottom"/>
          </w:tcPr>
          <w:p w14:paraId="293C163B" w14:textId="77777777" w:rsidR="00575AC3" w:rsidRPr="006D40F0" w:rsidRDefault="00575AC3" w:rsidP="006D40F0"/>
        </w:tc>
      </w:tr>
      <w:tr w:rsidR="00DD49A7" w:rsidRPr="006D40F0" w14:paraId="4787D34C" w14:textId="77777777">
        <w:trPr>
          <w:trHeight w:val="380"/>
        </w:trPr>
        <w:tc>
          <w:tcPr>
            <w:tcW w:w="680" w:type="dxa"/>
            <w:tcBorders>
              <w:top w:val="nil"/>
              <w:left w:val="nil"/>
              <w:bottom w:val="nil"/>
              <w:right w:val="nil"/>
            </w:tcBorders>
            <w:tcMar>
              <w:top w:w="128" w:type="dxa"/>
              <w:left w:w="43" w:type="dxa"/>
              <w:bottom w:w="43" w:type="dxa"/>
              <w:right w:w="43" w:type="dxa"/>
            </w:tcMar>
          </w:tcPr>
          <w:p w14:paraId="4E98F9E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DB7BCF4"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6CD8BE1F" w14:textId="77777777" w:rsidR="00575AC3" w:rsidRPr="006D40F0" w:rsidRDefault="00575AC3" w:rsidP="006D40F0">
            <w:r w:rsidRPr="006D40F0">
              <w:t>UNESCO-kontingent, nedsettes med</w:t>
            </w:r>
          </w:p>
        </w:tc>
        <w:tc>
          <w:tcPr>
            <w:tcW w:w="1400" w:type="dxa"/>
            <w:tcBorders>
              <w:top w:val="nil"/>
              <w:left w:val="nil"/>
              <w:bottom w:val="nil"/>
              <w:right w:val="nil"/>
            </w:tcBorders>
            <w:tcMar>
              <w:top w:w="128" w:type="dxa"/>
              <w:left w:w="43" w:type="dxa"/>
              <w:bottom w:w="43" w:type="dxa"/>
              <w:right w:w="43" w:type="dxa"/>
            </w:tcMar>
            <w:vAlign w:val="bottom"/>
          </w:tcPr>
          <w:p w14:paraId="5202912A" w14:textId="77777777" w:rsidR="00575AC3" w:rsidRPr="006D40F0" w:rsidRDefault="00575AC3" w:rsidP="006D40F0">
            <w:r w:rsidRPr="006D40F0">
              <w:t>2 072 000</w:t>
            </w:r>
          </w:p>
        </w:tc>
      </w:tr>
      <w:tr w:rsidR="00DD49A7" w:rsidRPr="006D40F0" w14:paraId="00C600A8" w14:textId="77777777">
        <w:trPr>
          <w:trHeight w:val="380"/>
        </w:trPr>
        <w:tc>
          <w:tcPr>
            <w:tcW w:w="680" w:type="dxa"/>
            <w:tcBorders>
              <w:top w:val="nil"/>
              <w:left w:val="nil"/>
              <w:bottom w:val="nil"/>
              <w:right w:val="nil"/>
            </w:tcBorders>
            <w:tcMar>
              <w:top w:w="128" w:type="dxa"/>
              <w:left w:w="43" w:type="dxa"/>
              <w:bottom w:w="43" w:type="dxa"/>
              <w:right w:w="43" w:type="dxa"/>
            </w:tcMar>
          </w:tcPr>
          <w:p w14:paraId="40C1D8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A295C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57E155" w14:textId="77777777" w:rsidR="00575AC3" w:rsidRPr="006D40F0" w:rsidRDefault="00575AC3" w:rsidP="006D40F0">
            <w:r w:rsidRPr="006D40F0">
              <w:t>fra kr 26 374 000 til kr 24 302 000</w:t>
            </w:r>
          </w:p>
        </w:tc>
        <w:tc>
          <w:tcPr>
            <w:tcW w:w="1400" w:type="dxa"/>
            <w:tcBorders>
              <w:top w:val="nil"/>
              <w:left w:val="nil"/>
              <w:bottom w:val="nil"/>
              <w:right w:val="nil"/>
            </w:tcBorders>
            <w:tcMar>
              <w:top w:w="128" w:type="dxa"/>
              <w:left w:w="43" w:type="dxa"/>
              <w:bottom w:w="43" w:type="dxa"/>
              <w:right w:w="43" w:type="dxa"/>
            </w:tcMar>
            <w:vAlign w:val="bottom"/>
          </w:tcPr>
          <w:p w14:paraId="3D6C5A03" w14:textId="77777777" w:rsidR="00575AC3" w:rsidRPr="006D40F0" w:rsidRDefault="00575AC3" w:rsidP="006D40F0"/>
        </w:tc>
      </w:tr>
      <w:tr w:rsidR="00DD49A7" w:rsidRPr="006D40F0" w14:paraId="18E90B76" w14:textId="77777777">
        <w:trPr>
          <w:trHeight w:val="380"/>
        </w:trPr>
        <w:tc>
          <w:tcPr>
            <w:tcW w:w="680" w:type="dxa"/>
            <w:tcBorders>
              <w:top w:val="nil"/>
              <w:left w:val="nil"/>
              <w:bottom w:val="nil"/>
              <w:right w:val="nil"/>
            </w:tcBorders>
            <w:tcMar>
              <w:top w:w="128" w:type="dxa"/>
              <w:left w:w="43" w:type="dxa"/>
              <w:bottom w:w="43" w:type="dxa"/>
              <w:right w:w="43" w:type="dxa"/>
            </w:tcMar>
          </w:tcPr>
          <w:p w14:paraId="4713DF28" w14:textId="77777777" w:rsidR="00575AC3" w:rsidRPr="006D40F0" w:rsidRDefault="00575AC3" w:rsidP="006D40F0">
            <w:r w:rsidRPr="006D40F0">
              <w:t>300</w:t>
            </w:r>
          </w:p>
        </w:tc>
        <w:tc>
          <w:tcPr>
            <w:tcW w:w="680" w:type="dxa"/>
            <w:tcBorders>
              <w:top w:val="nil"/>
              <w:left w:val="nil"/>
              <w:bottom w:val="nil"/>
              <w:right w:val="nil"/>
            </w:tcBorders>
            <w:tcMar>
              <w:top w:w="128" w:type="dxa"/>
              <w:left w:w="43" w:type="dxa"/>
              <w:bottom w:w="43" w:type="dxa"/>
              <w:right w:w="43" w:type="dxa"/>
            </w:tcMar>
          </w:tcPr>
          <w:p w14:paraId="6064EF3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3A6661" w14:textId="77777777" w:rsidR="00575AC3" w:rsidRPr="006D40F0" w:rsidRDefault="00575AC3" w:rsidP="006D40F0">
            <w:r w:rsidRPr="006D40F0">
              <w:t>Kultur- og likestillingsdepartementet:</w:t>
            </w:r>
          </w:p>
        </w:tc>
        <w:tc>
          <w:tcPr>
            <w:tcW w:w="1400" w:type="dxa"/>
            <w:tcBorders>
              <w:top w:val="nil"/>
              <w:left w:val="nil"/>
              <w:bottom w:val="nil"/>
              <w:right w:val="nil"/>
            </w:tcBorders>
            <w:tcMar>
              <w:top w:w="128" w:type="dxa"/>
              <w:left w:w="43" w:type="dxa"/>
              <w:bottom w:w="43" w:type="dxa"/>
              <w:right w:w="43" w:type="dxa"/>
            </w:tcMar>
            <w:vAlign w:val="bottom"/>
          </w:tcPr>
          <w:p w14:paraId="2A7656B4" w14:textId="77777777" w:rsidR="00575AC3" w:rsidRPr="006D40F0" w:rsidRDefault="00575AC3" w:rsidP="006D40F0"/>
        </w:tc>
      </w:tr>
      <w:tr w:rsidR="00DD49A7" w:rsidRPr="006D40F0" w14:paraId="00201CD6" w14:textId="77777777">
        <w:trPr>
          <w:trHeight w:val="380"/>
        </w:trPr>
        <w:tc>
          <w:tcPr>
            <w:tcW w:w="680" w:type="dxa"/>
            <w:tcBorders>
              <w:top w:val="nil"/>
              <w:left w:val="nil"/>
              <w:bottom w:val="nil"/>
              <w:right w:val="nil"/>
            </w:tcBorders>
            <w:tcMar>
              <w:top w:w="128" w:type="dxa"/>
              <w:left w:w="43" w:type="dxa"/>
              <w:bottom w:w="43" w:type="dxa"/>
              <w:right w:w="43" w:type="dxa"/>
            </w:tcMar>
          </w:tcPr>
          <w:p w14:paraId="3F69801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62C99E"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61DD8A23" w14:textId="77777777" w:rsidR="00575AC3" w:rsidRPr="006D40F0" w:rsidRDefault="00575AC3" w:rsidP="006D40F0">
            <w:r w:rsidRPr="006D40F0">
              <w:t>Til disposisjon, forhøyes med</w:t>
            </w:r>
          </w:p>
        </w:tc>
        <w:tc>
          <w:tcPr>
            <w:tcW w:w="1400" w:type="dxa"/>
            <w:tcBorders>
              <w:top w:val="nil"/>
              <w:left w:val="nil"/>
              <w:bottom w:val="nil"/>
              <w:right w:val="nil"/>
            </w:tcBorders>
            <w:tcMar>
              <w:top w:w="128" w:type="dxa"/>
              <w:left w:w="43" w:type="dxa"/>
              <w:bottom w:w="43" w:type="dxa"/>
              <w:right w:w="43" w:type="dxa"/>
            </w:tcMar>
            <w:vAlign w:val="bottom"/>
          </w:tcPr>
          <w:p w14:paraId="0B095575" w14:textId="77777777" w:rsidR="00575AC3" w:rsidRPr="006D40F0" w:rsidRDefault="00575AC3" w:rsidP="006D40F0">
            <w:r w:rsidRPr="006D40F0">
              <w:t>2 000 000</w:t>
            </w:r>
          </w:p>
        </w:tc>
      </w:tr>
      <w:tr w:rsidR="00DD49A7" w:rsidRPr="006D40F0" w14:paraId="10426C77" w14:textId="77777777">
        <w:trPr>
          <w:trHeight w:val="380"/>
        </w:trPr>
        <w:tc>
          <w:tcPr>
            <w:tcW w:w="680" w:type="dxa"/>
            <w:tcBorders>
              <w:top w:val="nil"/>
              <w:left w:val="nil"/>
              <w:bottom w:val="nil"/>
              <w:right w:val="nil"/>
            </w:tcBorders>
            <w:tcMar>
              <w:top w:w="128" w:type="dxa"/>
              <w:left w:w="43" w:type="dxa"/>
              <w:bottom w:w="43" w:type="dxa"/>
              <w:right w:w="43" w:type="dxa"/>
            </w:tcMar>
          </w:tcPr>
          <w:p w14:paraId="6AFEDB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28C92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BA5290" w14:textId="77777777" w:rsidR="00575AC3" w:rsidRPr="006D40F0" w:rsidRDefault="00575AC3" w:rsidP="006D40F0">
            <w:r w:rsidRPr="006D40F0">
              <w:t>fra kr 16 290 000 til kr 18 290 000</w:t>
            </w:r>
          </w:p>
        </w:tc>
        <w:tc>
          <w:tcPr>
            <w:tcW w:w="1400" w:type="dxa"/>
            <w:tcBorders>
              <w:top w:val="nil"/>
              <w:left w:val="nil"/>
              <w:bottom w:val="nil"/>
              <w:right w:val="nil"/>
            </w:tcBorders>
            <w:tcMar>
              <w:top w:w="128" w:type="dxa"/>
              <w:left w:w="43" w:type="dxa"/>
              <w:bottom w:w="43" w:type="dxa"/>
              <w:right w:w="43" w:type="dxa"/>
            </w:tcMar>
            <w:vAlign w:val="bottom"/>
          </w:tcPr>
          <w:p w14:paraId="3FFE0CEB" w14:textId="77777777" w:rsidR="00575AC3" w:rsidRPr="006D40F0" w:rsidRDefault="00575AC3" w:rsidP="006D40F0"/>
        </w:tc>
      </w:tr>
      <w:tr w:rsidR="00DD49A7" w:rsidRPr="006D40F0" w14:paraId="4FC41B02" w14:textId="77777777">
        <w:trPr>
          <w:trHeight w:val="380"/>
        </w:trPr>
        <w:tc>
          <w:tcPr>
            <w:tcW w:w="680" w:type="dxa"/>
            <w:tcBorders>
              <w:top w:val="nil"/>
              <w:left w:val="nil"/>
              <w:bottom w:val="nil"/>
              <w:right w:val="nil"/>
            </w:tcBorders>
            <w:tcMar>
              <w:top w:w="128" w:type="dxa"/>
              <w:left w:w="43" w:type="dxa"/>
              <w:bottom w:w="43" w:type="dxa"/>
              <w:right w:w="43" w:type="dxa"/>
            </w:tcMar>
          </w:tcPr>
          <w:p w14:paraId="5F47C395" w14:textId="77777777" w:rsidR="00575AC3" w:rsidRPr="006D40F0" w:rsidRDefault="00575AC3" w:rsidP="006D40F0">
            <w:r w:rsidRPr="006D40F0">
              <w:t>315</w:t>
            </w:r>
          </w:p>
        </w:tc>
        <w:tc>
          <w:tcPr>
            <w:tcW w:w="680" w:type="dxa"/>
            <w:tcBorders>
              <w:top w:val="nil"/>
              <w:left w:val="nil"/>
              <w:bottom w:val="nil"/>
              <w:right w:val="nil"/>
            </w:tcBorders>
            <w:tcMar>
              <w:top w:w="128" w:type="dxa"/>
              <w:left w:w="43" w:type="dxa"/>
              <w:bottom w:w="43" w:type="dxa"/>
              <w:right w:w="43" w:type="dxa"/>
            </w:tcMar>
          </w:tcPr>
          <w:p w14:paraId="5F27075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526BA0" w14:textId="77777777" w:rsidR="00575AC3" w:rsidRPr="006D40F0" w:rsidRDefault="00575AC3" w:rsidP="006D40F0">
            <w:r w:rsidRPr="006D40F0">
              <w:t>Frivillighetsformål:</w:t>
            </w:r>
          </w:p>
        </w:tc>
        <w:tc>
          <w:tcPr>
            <w:tcW w:w="1400" w:type="dxa"/>
            <w:tcBorders>
              <w:top w:val="nil"/>
              <w:left w:val="nil"/>
              <w:bottom w:val="nil"/>
              <w:right w:val="nil"/>
            </w:tcBorders>
            <w:tcMar>
              <w:top w:w="128" w:type="dxa"/>
              <w:left w:w="43" w:type="dxa"/>
              <w:bottom w:w="43" w:type="dxa"/>
              <w:right w:w="43" w:type="dxa"/>
            </w:tcMar>
            <w:vAlign w:val="bottom"/>
          </w:tcPr>
          <w:p w14:paraId="2FF7C818" w14:textId="77777777" w:rsidR="00575AC3" w:rsidRPr="006D40F0" w:rsidRDefault="00575AC3" w:rsidP="006D40F0"/>
        </w:tc>
      </w:tr>
      <w:tr w:rsidR="00DD49A7" w:rsidRPr="006D40F0" w14:paraId="4806E092" w14:textId="77777777">
        <w:trPr>
          <w:trHeight w:val="640"/>
        </w:trPr>
        <w:tc>
          <w:tcPr>
            <w:tcW w:w="680" w:type="dxa"/>
            <w:tcBorders>
              <w:top w:val="nil"/>
              <w:left w:val="nil"/>
              <w:bottom w:val="nil"/>
              <w:right w:val="nil"/>
            </w:tcBorders>
            <w:tcMar>
              <w:top w:w="128" w:type="dxa"/>
              <w:left w:w="43" w:type="dxa"/>
              <w:bottom w:w="43" w:type="dxa"/>
              <w:right w:w="43" w:type="dxa"/>
            </w:tcMar>
          </w:tcPr>
          <w:p w14:paraId="314CF0D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C0757E"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568599C" w14:textId="77777777" w:rsidR="00575AC3" w:rsidRPr="006D40F0" w:rsidRDefault="00575AC3" w:rsidP="006D40F0">
            <w:r w:rsidRPr="006D40F0">
              <w:t xml:space="preserve">Forskning, utredning og 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F4292CF" w14:textId="77777777" w:rsidR="00575AC3" w:rsidRPr="006D40F0" w:rsidRDefault="00575AC3" w:rsidP="006D40F0">
            <w:r w:rsidRPr="006D40F0">
              <w:t>2 000 000</w:t>
            </w:r>
          </w:p>
        </w:tc>
      </w:tr>
      <w:tr w:rsidR="00DD49A7" w:rsidRPr="006D40F0" w14:paraId="188D82D6" w14:textId="77777777">
        <w:trPr>
          <w:trHeight w:val="380"/>
        </w:trPr>
        <w:tc>
          <w:tcPr>
            <w:tcW w:w="680" w:type="dxa"/>
            <w:tcBorders>
              <w:top w:val="nil"/>
              <w:left w:val="nil"/>
              <w:bottom w:val="nil"/>
              <w:right w:val="nil"/>
            </w:tcBorders>
            <w:tcMar>
              <w:top w:w="128" w:type="dxa"/>
              <w:left w:w="43" w:type="dxa"/>
              <w:bottom w:w="43" w:type="dxa"/>
              <w:right w:w="43" w:type="dxa"/>
            </w:tcMar>
          </w:tcPr>
          <w:p w14:paraId="4AE224E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AF2A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EE31E2" w14:textId="77777777" w:rsidR="00575AC3" w:rsidRPr="006D40F0" w:rsidRDefault="00575AC3" w:rsidP="006D40F0">
            <w:r w:rsidRPr="006D40F0">
              <w:t>fra kr 10 850 000 til kr 12 850 000</w:t>
            </w:r>
          </w:p>
        </w:tc>
        <w:tc>
          <w:tcPr>
            <w:tcW w:w="1400" w:type="dxa"/>
            <w:tcBorders>
              <w:top w:val="nil"/>
              <w:left w:val="nil"/>
              <w:bottom w:val="nil"/>
              <w:right w:val="nil"/>
            </w:tcBorders>
            <w:tcMar>
              <w:top w:w="128" w:type="dxa"/>
              <w:left w:w="43" w:type="dxa"/>
              <w:bottom w:w="43" w:type="dxa"/>
              <w:right w:w="43" w:type="dxa"/>
            </w:tcMar>
            <w:vAlign w:val="bottom"/>
          </w:tcPr>
          <w:p w14:paraId="5EFC852A" w14:textId="77777777" w:rsidR="00575AC3" w:rsidRPr="006D40F0" w:rsidRDefault="00575AC3" w:rsidP="006D40F0"/>
        </w:tc>
      </w:tr>
      <w:tr w:rsidR="00DD49A7" w:rsidRPr="006D40F0" w14:paraId="2CF3143F" w14:textId="77777777">
        <w:trPr>
          <w:trHeight w:val="380"/>
        </w:trPr>
        <w:tc>
          <w:tcPr>
            <w:tcW w:w="680" w:type="dxa"/>
            <w:tcBorders>
              <w:top w:val="nil"/>
              <w:left w:val="nil"/>
              <w:bottom w:val="nil"/>
              <w:right w:val="nil"/>
            </w:tcBorders>
            <w:tcMar>
              <w:top w:w="128" w:type="dxa"/>
              <w:left w:w="43" w:type="dxa"/>
              <w:bottom w:w="43" w:type="dxa"/>
              <w:right w:w="43" w:type="dxa"/>
            </w:tcMar>
          </w:tcPr>
          <w:p w14:paraId="07E118C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800CEA"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087C5490" w14:textId="77777777" w:rsidR="00575AC3" w:rsidRPr="006D40F0" w:rsidRDefault="00575AC3" w:rsidP="006D40F0">
            <w:r w:rsidRPr="006D40F0">
              <w:t>Frivillighetstiltak, nedsettes med</w:t>
            </w:r>
          </w:p>
        </w:tc>
        <w:tc>
          <w:tcPr>
            <w:tcW w:w="1400" w:type="dxa"/>
            <w:tcBorders>
              <w:top w:val="nil"/>
              <w:left w:val="nil"/>
              <w:bottom w:val="nil"/>
              <w:right w:val="nil"/>
            </w:tcBorders>
            <w:tcMar>
              <w:top w:w="128" w:type="dxa"/>
              <w:left w:w="43" w:type="dxa"/>
              <w:bottom w:w="43" w:type="dxa"/>
              <w:right w:w="43" w:type="dxa"/>
            </w:tcMar>
            <w:vAlign w:val="bottom"/>
          </w:tcPr>
          <w:p w14:paraId="24C4CCD7" w14:textId="77777777" w:rsidR="00575AC3" w:rsidRPr="006D40F0" w:rsidRDefault="00575AC3" w:rsidP="006D40F0">
            <w:r w:rsidRPr="006D40F0">
              <w:t>2 000 000</w:t>
            </w:r>
          </w:p>
        </w:tc>
      </w:tr>
      <w:tr w:rsidR="00DD49A7" w:rsidRPr="006D40F0" w14:paraId="3BB67115" w14:textId="77777777">
        <w:trPr>
          <w:trHeight w:val="380"/>
        </w:trPr>
        <w:tc>
          <w:tcPr>
            <w:tcW w:w="680" w:type="dxa"/>
            <w:tcBorders>
              <w:top w:val="nil"/>
              <w:left w:val="nil"/>
              <w:bottom w:val="nil"/>
              <w:right w:val="nil"/>
            </w:tcBorders>
            <w:tcMar>
              <w:top w:w="128" w:type="dxa"/>
              <w:left w:w="43" w:type="dxa"/>
              <w:bottom w:w="43" w:type="dxa"/>
              <w:right w:w="43" w:type="dxa"/>
            </w:tcMar>
          </w:tcPr>
          <w:p w14:paraId="045C7A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E569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08BBC6" w14:textId="77777777" w:rsidR="00575AC3" w:rsidRPr="006D40F0" w:rsidRDefault="00575AC3" w:rsidP="006D40F0">
            <w:r w:rsidRPr="006D40F0">
              <w:t>fra kr 31 050 000 til kr 29 050 000</w:t>
            </w:r>
          </w:p>
        </w:tc>
        <w:tc>
          <w:tcPr>
            <w:tcW w:w="1400" w:type="dxa"/>
            <w:tcBorders>
              <w:top w:val="nil"/>
              <w:left w:val="nil"/>
              <w:bottom w:val="nil"/>
              <w:right w:val="nil"/>
            </w:tcBorders>
            <w:tcMar>
              <w:top w:w="128" w:type="dxa"/>
              <w:left w:w="43" w:type="dxa"/>
              <w:bottom w:w="43" w:type="dxa"/>
              <w:right w:w="43" w:type="dxa"/>
            </w:tcMar>
            <w:vAlign w:val="bottom"/>
          </w:tcPr>
          <w:p w14:paraId="30189FC7" w14:textId="77777777" w:rsidR="00575AC3" w:rsidRPr="006D40F0" w:rsidRDefault="00575AC3" w:rsidP="006D40F0"/>
        </w:tc>
      </w:tr>
      <w:tr w:rsidR="00DD49A7" w:rsidRPr="006D40F0" w14:paraId="245C9B0D" w14:textId="77777777">
        <w:trPr>
          <w:trHeight w:val="640"/>
        </w:trPr>
        <w:tc>
          <w:tcPr>
            <w:tcW w:w="680" w:type="dxa"/>
            <w:tcBorders>
              <w:top w:val="nil"/>
              <w:left w:val="nil"/>
              <w:bottom w:val="nil"/>
              <w:right w:val="nil"/>
            </w:tcBorders>
            <w:tcMar>
              <w:top w:w="128" w:type="dxa"/>
              <w:left w:w="43" w:type="dxa"/>
              <w:bottom w:w="43" w:type="dxa"/>
              <w:right w:w="43" w:type="dxa"/>
            </w:tcMar>
          </w:tcPr>
          <w:p w14:paraId="611CF9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A2A9BA" w14:textId="77777777" w:rsidR="00575AC3" w:rsidRPr="006D40F0" w:rsidRDefault="00575AC3" w:rsidP="006D40F0">
            <w:r w:rsidRPr="006D40F0">
              <w:t>82</w:t>
            </w:r>
          </w:p>
        </w:tc>
        <w:tc>
          <w:tcPr>
            <w:tcW w:w="6800" w:type="dxa"/>
            <w:tcBorders>
              <w:top w:val="nil"/>
              <w:left w:val="nil"/>
              <w:bottom w:val="nil"/>
              <w:right w:val="nil"/>
            </w:tcBorders>
            <w:tcMar>
              <w:top w:w="128" w:type="dxa"/>
              <w:left w:w="43" w:type="dxa"/>
              <w:bottom w:w="43" w:type="dxa"/>
              <w:right w:w="43" w:type="dxa"/>
            </w:tcMar>
          </w:tcPr>
          <w:p w14:paraId="0E561C8A" w14:textId="77777777" w:rsidR="00575AC3" w:rsidRPr="006D40F0" w:rsidRDefault="00575AC3" w:rsidP="006D40F0">
            <w:r w:rsidRPr="006D40F0">
              <w:t>Merverdiavgiftskompensasjon ved bygging av idrettsanlegg, nedsettes med</w:t>
            </w:r>
          </w:p>
        </w:tc>
        <w:tc>
          <w:tcPr>
            <w:tcW w:w="1400" w:type="dxa"/>
            <w:tcBorders>
              <w:top w:val="nil"/>
              <w:left w:val="nil"/>
              <w:bottom w:val="nil"/>
              <w:right w:val="nil"/>
            </w:tcBorders>
            <w:tcMar>
              <w:top w:w="128" w:type="dxa"/>
              <w:left w:w="43" w:type="dxa"/>
              <w:bottom w:w="43" w:type="dxa"/>
              <w:right w:w="43" w:type="dxa"/>
            </w:tcMar>
            <w:vAlign w:val="bottom"/>
          </w:tcPr>
          <w:p w14:paraId="1891970D" w14:textId="77777777" w:rsidR="00575AC3" w:rsidRPr="006D40F0" w:rsidRDefault="00575AC3" w:rsidP="006D40F0">
            <w:r w:rsidRPr="006D40F0">
              <w:t>65 000 000</w:t>
            </w:r>
          </w:p>
        </w:tc>
      </w:tr>
      <w:tr w:rsidR="00DD49A7" w:rsidRPr="006D40F0" w14:paraId="4B5B2FF1" w14:textId="77777777">
        <w:trPr>
          <w:trHeight w:val="380"/>
        </w:trPr>
        <w:tc>
          <w:tcPr>
            <w:tcW w:w="680" w:type="dxa"/>
            <w:tcBorders>
              <w:top w:val="nil"/>
              <w:left w:val="nil"/>
              <w:bottom w:val="nil"/>
              <w:right w:val="nil"/>
            </w:tcBorders>
            <w:tcMar>
              <w:top w:w="128" w:type="dxa"/>
              <w:left w:w="43" w:type="dxa"/>
              <w:bottom w:w="43" w:type="dxa"/>
              <w:right w:w="43" w:type="dxa"/>
            </w:tcMar>
          </w:tcPr>
          <w:p w14:paraId="0FB506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CA593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CCAF8D" w14:textId="77777777" w:rsidR="00575AC3" w:rsidRPr="006D40F0" w:rsidRDefault="00575AC3" w:rsidP="006D40F0">
            <w:r w:rsidRPr="006D40F0">
              <w:t>fra kr 389 800 000 til kr 324 800 000</w:t>
            </w:r>
          </w:p>
        </w:tc>
        <w:tc>
          <w:tcPr>
            <w:tcW w:w="1400" w:type="dxa"/>
            <w:tcBorders>
              <w:top w:val="nil"/>
              <w:left w:val="nil"/>
              <w:bottom w:val="nil"/>
              <w:right w:val="nil"/>
            </w:tcBorders>
            <w:tcMar>
              <w:top w:w="128" w:type="dxa"/>
              <w:left w:w="43" w:type="dxa"/>
              <w:bottom w:w="43" w:type="dxa"/>
              <w:right w:w="43" w:type="dxa"/>
            </w:tcMar>
            <w:vAlign w:val="bottom"/>
          </w:tcPr>
          <w:p w14:paraId="7E778CA2" w14:textId="77777777" w:rsidR="00575AC3" w:rsidRPr="006D40F0" w:rsidRDefault="00575AC3" w:rsidP="006D40F0"/>
        </w:tc>
      </w:tr>
      <w:tr w:rsidR="00DD49A7" w:rsidRPr="006D40F0" w14:paraId="1B537C3F" w14:textId="77777777">
        <w:trPr>
          <w:trHeight w:val="380"/>
        </w:trPr>
        <w:tc>
          <w:tcPr>
            <w:tcW w:w="680" w:type="dxa"/>
            <w:tcBorders>
              <w:top w:val="nil"/>
              <w:left w:val="nil"/>
              <w:bottom w:val="nil"/>
              <w:right w:val="nil"/>
            </w:tcBorders>
            <w:tcMar>
              <w:top w:w="128" w:type="dxa"/>
              <w:left w:w="43" w:type="dxa"/>
              <w:bottom w:w="43" w:type="dxa"/>
              <w:right w:w="43" w:type="dxa"/>
            </w:tcMar>
          </w:tcPr>
          <w:p w14:paraId="044B0B98" w14:textId="77777777" w:rsidR="00575AC3" w:rsidRPr="006D40F0" w:rsidRDefault="00575AC3" w:rsidP="006D40F0">
            <w:r w:rsidRPr="006D40F0">
              <w:t>323</w:t>
            </w:r>
          </w:p>
        </w:tc>
        <w:tc>
          <w:tcPr>
            <w:tcW w:w="680" w:type="dxa"/>
            <w:tcBorders>
              <w:top w:val="nil"/>
              <w:left w:val="nil"/>
              <w:bottom w:val="nil"/>
              <w:right w:val="nil"/>
            </w:tcBorders>
            <w:tcMar>
              <w:top w:w="128" w:type="dxa"/>
              <w:left w:w="43" w:type="dxa"/>
              <w:bottom w:w="43" w:type="dxa"/>
              <w:right w:w="43" w:type="dxa"/>
            </w:tcMar>
          </w:tcPr>
          <w:p w14:paraId="4E086DE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6E27A4" w14:textId="77777777" w:rsidR="00575AC3" w:rsidRPr="006D40F0" w:rsidRDefault="00575AC3" w:rsidP="006D40F0">
            <w:r w:rsidRPr="006D40F0">
              <w:t>Musikk og scenekunst:</w:t>
            </w:r>
          </w:p>
        </w:tc>
        <w:tc>
          <w:tcPr>
            <w:tcW w:w="1400" w:type="dxa"/>
            <w:tcBorders>
              <w:top w:val="nil"/>
              <w:left w:val="nil"/>
              <w:bottom w:val="nil"/>
              <w:right w:val="nil"/>
            </w:tcBorders>
            <w:tcMar>
              <w:top w:w="128" w:type="dxa"/>
              <w:left w:w="43" w:type="dxa"/>
              <w:bottom w:w="43" w:type="dxa"/>
              <w:right w:w="43" w:type="dxa"/>
            </w:tcMar>
            <w:vAlign w:val="bottom"/>
          </w:tcPr>
          <w:p w14:paraId="00F392CD" w14:textId="77777777" w:rsidR="00575AC3" w:rsidRPr="006D40F0" w:rsidRDefault="00575AC3" w:rsidP="006D40F0"/>
        </w:tc>
      </w:tr>
      <w:tr w:rsidR="00DD49A7" w:rsidRPr="006D40F0" w14:paraId="73A24511" w14:textId="77777777">
        <w:trPr>
          <w:trHeight w:val="380"/>
        </w:trPr>
        <w:tc>
          <w:tcPr>
            <w:tcW w:w="680" w:type="dxa"/>
            <w:tcBorders>
              <w:top w:val="nil"/>
              <w:left w:val="nil"/>
              <w:bottom w:val="nil"/>
              <w:right w:val="nil"/>
            </w:tcBorders>
            <w:tcMar>
              <w:top w:w="128" w:type="dxa"/>
              <w:left w:w="43" w:type="dxa"/>
              <w:bottom w:w="43" w:type="dxa"/>
              <w:right w:w="43" w:type="dxa"/>
            </w:tcMar>
          </w:tcPr>
          <w:p w14:paraId="6CD2321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D859FC"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500EEA4" w14:textId="77777777" w:rsidR="00575AC3" w:rsidRPr="006D40F0" w:rsidRDefault="00575AC3" w:rsidP="006D40F0">
            <w:r w:rsidRPr="006D40F0">
              <w:t>Musikk- og scenekunstinstitusjoner, forhøyes med</w:t>
            </w:r>
          </w:p>
        </w:tc>
        <w:tc>
          <w:tcPr>
            <w:tcW w:w="1400" w:type="dxa"/>
            <w:tcBorders>
              <w:top w:val="nil"/>
              <w:left w:val="nil"/>
              <w:bottom w:val="nil"/>
              <w:right w:val="nil"/>
            </w:tcBorders>
            <w:tcMar>
              <w:top w:w="128" w:type="dxa"/>
              <w:left w:w="43" w:type="dxa"/>
              <w:bottom w:w="43" w:type="dxa"/>
              <w:right w:w="43" w:type="dxa"/>
            </w:tcMar>
            <w:vAlign w:val="bottom"/>
          </w:tcPr>
          <w:p w14:paraId="4FCFD81A" w14:textId="77777777" w:rsidR="00575AC3" w:rsidRPr="006D40F0" w:rsidRDefault="00575AC3" w:rsidP="006D40F0">
            <w:r w:rsidRPr="006D40F0">
              <w:t>9 000 000</w:t>
            </w:r>
          </w:p>
        </w:tc>
      </w:tr>
      <w:tr w:rsidR="00DD49A7" w:rsidRPr="006D40F0" w14:paraId="37D976C7" w14:textId="77777777">
        <w:trPr>
          <w:trHeight w:val="380"/>
        </w:trPr>
        <w:tc>
          <w:tcPr>
            <w:tcW w:w="680" w:type="dxa"/>
            <w:tcBorders>
              <w:top w:val="nil"/>
              <w:left w:val="nil"/>
              <w:bottom w:val="nil"/>
              <w:right w:val="nil"/>
            </w:tcBorders>
            <w:tcMar>
              <w:top w:w="128" w:type="dxa"/>
              <w:left w:w="43" w:type="dxa"/>
              <w:bottom w:w="43" w:type="dxa"/>
              <w:right w:w="43" w:type="dxa"/>
            </w:tcMar>
          </w:tcPr>
          <w:p w14:paraId="3340A56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15F63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93BD14" w14:textId="77777777" w:rsidR="00575AC3" w:rsidRPr="006D40F0" w:rsidRDefault="00575AC3" w:rsidP="006D40F0">
            <w:r w:rsidRPr="006D40F0">
              <w:t>fra kr 2 852 495 000 til kr 2 861 495 000</w:t>
            </w:r>
          </w:p>
        </w:tc>
        <w:tc>
          <w:tcPr>
            <w:tcW w:w="1400" w:type="dxa"/>
            <w:tcBorders>
              <w:top w:val="nil"/>
              <w:left w:val="nil"/>
              <w:bottom w:val="nil"/>
              <w:right w:val="nil"/>
            </w:tcBorders>
            <w:tcMar>
              <w:top w:w="128" w:type="dxa"/>
              <w:left w:w="43" w:type="dxa"/>
              <w:bottom w:w="43" w:type="dxa"/>
              <w:right w:w="43" w:type="dxa"/>
            </w:tcMar>
            <w:vAlign w:val="bottom"/>
          </w:tcPr>
          <w:p w14:paraId="51C96FF9" w14:textId="77777777" w:rsidR="00575AC3" w:rsidRPr="006D40F0" w:rsidRDefault="00575AC3" w:rsidP="006D40F0"/>
        </w:tc>
      </w:tr>
      <w:tr w:rsidR="00DD49A7" w:rsidRPr="006D40F0" w14:paraId="24A00781" w14:textId="77777777">
        <w:trPr>
          <w:trHeight w:val="380"/>
        </w:trPr>
        <w:tc>
          <w:tcPr>
            <w:tcW w:w="680" w:type="dxa"/>
            <w:tcBorders>
              <w:top w:val="nil"/>
              <w:left w:val="nil"/>
              <w:bottom w:val="nil"/>
              <w:right w:val="nil"/>
            </w:tcBorders>
            <w:tcMar>
              <w:top w:w="128" w:type="dxa"/>
              <w:left w:w="43" w:type="dxa"/>
              <w:bottom w:w="43" w:type="dxa"/>
              <w:right w:w="43" w:type="dxa"/>
            </w:tcMar>
          </w:tcPr>
          <w:p w14:paraId="2CAE8989" w14:textId="77777777" w:rsidR="00575AC3" w:rsidRPr="006D40F0" w:rsidRDefault="00575AC3" w:rsidP="006D40F0">
            <w:r w:rsidRPr="006D40F0">
              <w:t>326</w:t>
            </w:r>
          </w:p>
        </w:tc>
        <w:tc>
          <w:tcPr>
            <w:tcW w:w="680" w:type="dxa"/>
            <w:tcBorders>
              <w:top w:val="nil"/>
              <w:left w:val="nil"/>
              <w:bottom w:val="nil"/>
              <w:right w:val="nil"/>
            </w:tcBorders>
            <w:tcMar>
              <w:top w:w="128" w:type="dxa"/>
              <w:left w:w="43" w:type="dxa"/>
              <w:bottom w:w="43" w:type="dxa"/>
              <w:right w:w="43" w:type="dxa"/>
            </w:tcMar>
          </w:tcPr>
          <w:p w14:paraId="3EDF0D0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04CC72" w14:textId="77777777" w:rsidR="00575AC3" w:rsidRPr="006D40F0" w:rsidRDefault="00575AC3" w:rsidP="006D40F0">
            <w:r w:rsidRPr="006D40F0">
              <w:t>Språk- og bibliotekformål:</w:t>
            </w:r>
          </w:p>
        </w:tc>
        <w:tc>
          <w:tcPr>
            <w:tcW w:w="1400" w:type="dxa"/>
            <w:tcBorders>
              <w:top w:val="nil"/>
              <w:left w:val="nil"/>
              <w:bottom w:val="nil"/>
              <w:right w:val="nil"/>
            </w:tcBorders>
            <w:tcMar>
              <w:top w:w="128" w:type="dxa"/>
              <w:left w:w="43" w:type="dxa"/>
              <w:bottom w:w="43" w:type="dxa"/>
              <w:right w:w="43" w:type="dxa"/>
            </w:tcMar>
            <w:vAlign w:val="bottom"/>
          </w:tcPr>
          <w:p w14:paraId="6923FCA4" w14:textId="77777777" w:rsidR="00575AC3" w:rsidRPr="006D40F0" w:rsidRDefault="00575AC3" w:rsidP="006D40F0"/>
        </w:tc>
      </w:tr>
      <w:tr w:rsidR="00DD49A7" w:rsidRPr="006D40F0" w14:paraId="1D73937A" w14:textId="77777777">
        <w:trPr>
          <w:trHeight w:val="380"/>
        </w:trPr>
        <w:tc>
          <w:tcPr>
            <w:tcW w:w="680" w:type="dxa"/>
            <w:tcBorders>
              <w:top w:val="nil"/>
              <w:left w:val="nil"/>
              <w:bottom w:val="nil"/>
              <w:right w:val="nil"/>
            </w:tcBorders>
            <w:tcMar>
              <w:top w:w="128" w:type="dxa"/>
              <w:left w:w="43" w:type="dxa"/>
              <w:bottom w:w="43" w:type="dxa"/>
              <w:right w:w="43" w:type="dxa"/>
            </w:tcMar>
          </w:tcPr>
          <w:p w14:paraId="2A4CB73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1E245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B6498D0"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D47256D" w14:textId="77777777" w:rsidR="00575AC3" w:rsidRPr="006D40F0" w:rsidRDefault="00575AC3" w:rsidP="006D40F0">
            <w:r w:rsidRPr="006D40F0">
              <w:t>4 000 000</w:t>
            </w:r>
          </w:p>
        </w:tc>
      </w:tr>
      <w:tr w:rsidR="00DD49A7" w:rsidRPr="006D40F0" w14:paraId="1A3E85E2" w14:textId="77777777">
        <w:trPr>
          <w:trHeight w:val="380"/>
        </w:trPr>
        <w:tc>
          <w:tcPr>
            <w:tcW w:w="680" w:type="dxa"/>
            <w:tcBorders>
              <w:top w:val="nil"/>
              <w:left w:val="nil"/>
              <w:bottom w:val="nil"/>
              <w:right w:val="nil"/>
            </w:tcBorders>
            <w:tcMar>
              <w:top w:w="128" w:type="dxa"/>
              <w:left w:w="43" w:type="dxa"/>
              <w:bottom w:w="43" w:type="dxa"/>
              <w:right w:w="43" w:type="dxa"/>
            </w:tcMar>
          </w:tcPr>
          <w:p w14:paraId="75ED70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0AA5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84AAB7" w14:textId="77777777" w:rsidR="00575AC3" w:rsidRPr="006D40F0" w:rsidRDefault="00575AC3" w:rsidP="006D40F0">
            <w:r w:rsidRPr="006D40F0">
              <w:t>fra kr 817 877 000 til kr 821 877 000</w:t>
            </w:r>
          </w:p>
        </w:tc>
        <w:tc>
          <w:tcPr>
            <w:tcW w:w="1400" w:type="dxa"/>
            <w:tcBorders>
              <w:top w:val="nil"/>
              <w:left w:val="nil"/>
              <w:bottom w:val="nil"/>
              <w:right w:val="nil"/>
            </w:tcBorders>
            <w:tcMar>
              <w:top w:w="128" w:type="dxa"/>
              <w:left w:w="43" w:type="dxa"/>
              <w:bottom w:w="43" w:type="dxa"/>
              <w:right w:w="43" w:type="dxa"/>
            </w:tcMar>
            <w:vAlign w:val="bottom"/>
          </w:tcPr>
          <w:p w14:paraId="7C95CF4C" w14:textId="77777777" w:rsidR="00575AC3" w:rsidRPr="006D40F0" w:rsidRDefault="00575AC3" w:rsidP="006D40F0"/>
        </w:tc>
      </w:tr>
      <w:tr w:rsidR="00DD49A7" w:rsidRPr="006D40F0" w14:paraId="67167CAF" w14:textId="77777777">
        <w:trPr>
          <w:trHeight w:val="380"/>
        </w:trPr>
        <w:tc>
          <w:tcPr>
            <w:tcW w:w="680" w:type="dxa"/>
            <w:tcBorders>
              <w:top w:val="nil"/>
              <w:left w:val="nil"/>
              <w:bottom w:val="nil"/>
              <w:right w:val="nil"/>
            </w:tcBorders>
            <w:tcMar>
              <w:top w:w="128" w:type="dxa"/>
              <w:left w:w="43" w:type="dxa"/>
              <w:bottom w:w="43" w:type="dxa"/>
              <w:right w:w="43" w:type="dxa"/>
            </w:tcMar>
          </w:tcPr>
          <w:p w14:paraId="6BA2E413" w14:textId="77777777" w:rsidR="00575AC3" w:rsidRPr="006D40F0" w:rsidRDefault="00575AC3" w:rsidP="006D40F0">
            <w:r w:rsidRPr="006D40F0">
              <w:t>334</w:t>
            </w:r>
          </w:p>
        </w:tc>
        <w:tc>
          <w:tcPr>
            <w:tcW w:w="680" w:type="dxa"/>
            <w:tcBorders>
              <w:top w:val="nil"/>
              <w:left w:val="nil"/>
              <w:bottom w:val="nil"/>
              <w:right w:val="nil"/>
            </w:tcBorders>
            <w:tcMar>
              <w:top w:w="128" w:type="dxa"/>
              <w:left w:w="43" w:type="dxa"/>
              <w:bottom w:w="43" w:type="dxa"/>
              <w:right w:w="43" w:type="dxa"/>
            </w:tcMar>
          </w:tcPr>
          <w:p w14:paraId="631496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EBFD0B" w14:textId="77777777" w:rsidR="00575AC3" w:rsidRPr="006D40F0" w:rsidRDefault="00575AC3" w:rsidP="006D40F0">
            <w:r w:rsidRPr="006D40F0">
              <w:t>Film- og dataspillformål:</w:t>
            </w:r>
          </w:p>
        </w:tc>
        <w:tc>
          <w:tcPr>
            <w:tcW w:w="1400" w:type="dxa"/>
            <w:tcBorders>
              <w:top w:val="nil"/>
              <w:left w:val="nil"/>
              <w:bottom w:val="nil"/>
              <w:right w:val="nil"/>
            </w:tcBorders>
            <w:tcMar>
              <w:top w:w="128" w:type="dxa"/>
              <w:left w:w="43" w:type="dxa"/>
              <w:bottom w:w="43" w:type="dxa"/>
              <w:right w:w="43" w:type="dxa"/>
            </w:tcMar>
            <w:vAlign w:val="bottom"/>
          </w:tcPr>
          <w:p w14:paraId="23574C4A" w14:textId="77777777" w:rsidR="00575AC3" w:rsidRPr="006D40F0" w:rsidRDefault="00575AC3" w:rsidP="006D40F0"/>
        </w:tc>
      </w:tr>
      <w:tr w:rsidR="00DD49A7" w:rsidRPr="006D40F0" w14:paraId="75D62A4B" w14:textId="77777777">
        <w:trPr>
          <w:trHeight w:val="380"/>
        </w:trPr>
        <w:tc>
          <w:tcPr>
            <w:tcW w:w="680" w:type="dxa"/>
            <w:tcBorders>
              <w:top w:val="nil"/>
              <w:left w:val="nil"/>
              <w:bottom w:val="nil"/>
              <w:right w:val="nil"/>
            </w:tcBorders>
            <w:tcMar>
              <w:top w:w="128" w:type="dxa"/>
              <w:left w:w="43" w:type="dxa"/>
              <w:bottom w:w="43" w:type="dxa"/>
              <w:right w:w="43" w:type="dxa"/>
            </w:tcMar>
          </w:tcPr>
          <w:p w14:paraId="64BA428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8981A8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E3E77D2"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D8797C5" w14:textId="77777777" w:rsidR="00575AC3" w:rsidRPr="006D40F0" w:rsidRDefault="00575AC3" w:rsidP="006D40F0">
            <w:r w:rsidRPr="006D40F0">
              <w:t>1 000 000</w:t>
            </w:r>
          </w:p>
        </w:tc>
      </w:tr>
      <w:tr w:rsidR="00DD49A7" w:rsidRPr="006D40F0" w14:paraId="17AE9D9C" w14:textId="77777777">
        <w:trPr>
          <w:trHeight w:val="380"/>
        </w:trPr>
        <w:tc>
          <w:tcPr>
            <w:tcW w:w="680" w:type="dxa"/>
            <w:tcBorders>
              <w:top w:val="nil"/>
              <w:left w:val="nil"/>
              <w:bottom w:val="nil"/>
              <w:right w:val="nil"/>
            </w:tcBorders>
            <w:tcMar>
              <w:top w:w="128" w:type="dxa"/>
              <w:left w:w="43" w:type="dxa"/>
              <w:bottom w:w="43" w:type="dxa"/>
              <w:right w:w="43" w:type="dxa"/>
            </w:tcMar>
          </w:tcPr>
          <w:p w14:paraId="3421754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9C421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A123E8" w14:textId="77777777" w:rsidR="00575AC3" w:rsidRPr="006D40F0" w:rsidRDefault="00575AC3" w:rsidP="006D40F0">
            <w:r w:rsidRPr="006D40F0">
              <w:t>fra kr 135 897 000 til kr 136 897 000</w:t>
            </w:r>
          </w:p>
        </w:tc>
        <w:tc>
          <w:tcPr>
            <w:tcW w:w="1400" w:type="dxa"/>
            <w:tcBorders>
              <w:top w:val="nil"/>
              <w:left w:val="nil"/>
              <w:bottom w:val="nil"/>
              <w:right w:val="nil"/>
            </w:tcBorders>
            <w:tcMar>
              <w:top w:w="128" w:type="dxa"/>
              <w:left w:w="43" w:type="dxa"/>
              <w:bottom w:w="43" w:type="dxa"/>
              <w:right w:w="43" w:type="dxa"/>
            </w:tcMar>
            <w:vAlign w:val="bottom"/>
          </w:tcPr>
          <w:p w14:paraId="23EB5F2A" w14:textId="77777777" w:rsidR="00575AC3" w:rsidRPr="006D40F0" w:rsidRDefault="00575AC3" w:rsidP="006D40F0"/>
        </w:tc>
      </w:tr>
      <w:tr w:rsidR="00DD49A7" w:rsidRPr="006D40F0" w14:paraId="0F915940" w14:textId="77777777">
        <w:trPr>
          <w:trHeight w:val="380"/>
        </w:trPr>
        <w:tc>
          <w:tcPr>
            <w:tcW w:w="680" w:type="dxa"/>
            <w:tcBorders>
              <w:top w:val="nil"/>
              <w:left w:val="nil"/>
              <w:bottom w:val="nil"/>
              <w:right w:val="nil"/>
            </w:tcBorders>
            <w:tcMar>
              <w:top w:w="128" w:type="dxa"/>
              <w:left w:w="43" w:type="dxa"/>
              <w:bottom w:w="43" w:type="dxa"/>
              <w:right w:w="43" w:type="dxa"/>
            </w:tcMar>
          </w:tcPr>
          <w:p w14:paraId="20E12A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3614CF"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2AC92FB4" w14:textId="77777777" w:rsidR="00575AC3" w:rsidRPr="006D40F0" w:rsidRDefault="00575AC3" w:rsidP="006D40F0">
            <w:r w:rsidRPr="006D40F0">
              <w:t>Filmfondet, nedsettes med</w:t>
            </w:r>
          </w:p>
        </w:tc>
        <w:tc>
          <w:tcPr>
            <w:tcW w:w="1400" w:type="dxa"/>
            <w:tcBorders>
              <w:top w:val="nil"/>
              <w:left w:val="nil"/>
              <w:bottom w:val="nil"/>
              <w:right w:val="nil"/>
            </w:tcBorders>
            <w:tcMar>
              <w:top w:w="128" w:type="dxa"/>
              <w:left w:w="43" w:type="dxa"/>
              <w:bottom w:w="43" w:type="dxa"/>
              <w:right w:w="43" w:type="dxa"/>
            </w:tcMar>
            <w:vAlign w:val="bottom"/>
          </w:tcPr>
          <w:p w14:paraId="0337D274" w14:textId="77777777" w:rsidR="00575AC3" w:rsidRPr="006D40F0" w:rsidRDefault="00575AC3" w:rsidP="006D40F0">
            <w:r w:rsidRPr="006D40F0">
              <w:t>3 000 000</w:t>
            </w:r>
          </w:p>
        </w:tc>
      </w:tr>
      <w:tr w:rsidR="00DD49A7" w:rsidRPr="006D40F0" w14:paraId="0F1D797C" w14:textId="77777777">
        <w:trPr>
          <w:trHeight w:val="380"/>
        </w:trPr>
        <w:tc>
          <w:tcPr>
            <w:tcW w:w="680" w:type="dxa"/>
            <w:tcBorders>
              <w:top w:val="nil"/>
              <w:left w:val="nil"/>
              <w:bottom w:val="nil"/>
              <w:right w:val="nil"/>
            </w:tcBorders>
            <w:tcMar>
              <w:top w:w="128" w:type="dxa"/>
              <w:left w:w="43" w:type="dxa"/>
              <w:bottom w:w="43" w:type="dxa"/>
              <w:right w:w="43" w:type="dxa"/>
            </w:tcMar>
          </w:tcPr>
          <w:p w14:paraId="5619AD1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11343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0D60BF" w14:textId="77777777" w:rsidR="00575AC3" w:rsidRPr="006D40F0" w:rsidRDefault="00575AC3" w:rsidP="006D40F0">
            <w:r w:rsidRPr="006D40F0">
              <w:t>fra kr 655 000 000 til kr 652 000 000</w:t>
            </w:r>
          </w:p>
        </w:tc>
        <w:tc>
          <w:tcPr>
            <w:tcW w:w="1400" w:type="dxa"/>
            <w:tcBorders>
              <w:top w:val="nil"/>
              <w:left w:val="nil"/>
              <w:bottom w:val="nil"/>
              <w:right w:val="nil"/>
            </w:tcBorders>
            <w:tcMar>
              <w:top w:w="128" w:type="dxa"/>
              <w:left w:w="43" w:type="dxa"/>
              <w:bottom w:w="43" w:type="dxa"/>
              <w:right w:w="43" w:type="dxa"/>
            </w:tcMar>
            <w:vAlign w:val="bottom"/>
          </w:tcPr>
          <w:p w14:paraId="71456AC2" w14:textId="77777777" w:rsidR="00575AC3" w:rsidRPr="006D40F0" w:rsidRDefault="00575AC3" w:rsidP="006D40F0"/>
        </w:tc>
      </w:tr>
      <w:tr w:rsidR="00DD49A7" w:rsidRPr="006D40F0" w14:paraId="04BE624D" w14:textId="77777777">
        <w:trPr>
          <w:trHeight w:val="380"/>
        </w:trPr>
        <w:tc>
          <w:tcPr>
            <w:tcW w:w="680" w:type="dxa"/>
            <w:tcBorders>
              <w:top w:val="nil"/>
              <w:left w:val="nil"/>
              <w:bottom w:val="nil"/>
              <w:right w:val="nil"/>
            </w:tcBorders>
            <w:tcMar>
              <w:top w:w="128" w:type="dxa"/>
              <w:left w:w="43" w:type="dxa"/>
              <w:bottom w:w="43" w:type="dxa"/>
              <w:right w:w="43" w:type="dxa"/>
            </w:tcMar>
          </w:tcPr>
          <w:p w14:paraId="78CA37D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CC992F"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441D598B" w14:textId="77777777" w:rsidR="00575AC3" w:rsidRPr="006D40F0" w:rsidRDefault="00575AC3" w:rsidP="006D40F0">
            <w:r w:rsidRPr="006D40F0">
              <w:t xml:space="preserve">Regionale filmvirksomheter,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5010F8D" w14:textId="77777777" w:rsidR="00575AC3" w:rsidRPr="006D40F0" w:rsidRDefault="00575AC3" w:rsidP="006D40F0">
            <w:r w:rsidRPr="006D40F0">
              <w:t>1 000 000</w:t>
            </w:r>
          </w:p>
        </w:tc>
      </w:tr>
      <w:tr w:rsidR="00DD49A7" w:rsidRPr="006D40F0" w14:paraId="12A77161" w14:textId="77777777">
        <w:trPr>
          <w:trHeight w:val="380"/>
        </w:trPr>
        <w:tc>
          <w:tcPr>
            <w:tcW w:w="680" w:type="dxa"/>
            <w:tcBorders>
              <w:top w:val="nil"/>
              <w:left w:val="nil"/>
              <w:bottom w:val="nil"/>
              <w:right w:val="nil"/>
            </w:tcBorders>
            <w:tcMar>
              <w:top w:w="128" w:type="dxa"/>
              <w:left w:w="43" w:type="dxa"/>
              <w:bottom w:w="43" w:type="dxa"/>
              <w:right w:w="43" w:type="dxa"/>
            </w:tcMar>
          </w:tcPr>
          <w:p w14:paraId="16CDE1C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5BD69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44B215" w14:textId="77777777" w:rsidR="00575AC3" w:rsidRPr="006D40F0" w:rsidRDefault="00575AC3" w:rsidP="006D40F0">
            <w:r w:rsidRPr="006D40F0">
              <w:t>fra kr 145 000 000 til kr 144 000 000</w:t>
            </w:r>
          </w:p>
        </w:tc>
        <w:tc>
          <w:tcPr>
            <w:tcW w:w="1400" w:type="dxa"/>
            <w:tcBorders>
              <w:top w:val="nil"/>
              <w:left w:val="nil"/>
              <w:bottom w:val="nil"/>
              <w:right w:val="nil"/>
            </w:tcBorders>
            <w:tcMar>
              <w:top w:w="128" w:type="dxa"/>
              <w:left w:w="43" w:type="dxa"/>
              <w:bottom w:w="43" w:type="dxa"/>
              <w:right w:w="43" w:type="dxa"/>
            </w:tcMar>
            <w:vAlign w:val="bottom"/>
          </w:tcPr>
          <w:p w14:paraId="577084E7" w14:textId="77777777" w:rsidR="00575AC3" w:rsidRPr="006D40F0" w:rsidRDefault="00575AC3" w:rsidP="006D40F0"/>
        </w:tc>
      </w:tr>
      <w:tr w:rsidR="00DD49A7" w:rsidRPr="006D40F0" w14:paraId="4B4EC997" w14:textId="77777777">
        <w:trPr>
          <w:trHeight w:val="380"/>
        </w:trPr>
        <w:tc>
          <w:tcPr>
            <w:tcW w:w="680" w:type="dxa"/>
            <w:tcBorders>
              <w:top w:val="nil"/>
              <w:left w:val="nil"/>
              <w:bottom w:val="nil"/>
              <w:right w:val="nil"/>
            </w:tcBorders>
            <w:tcMar>
              <w:top w:w="128" w:type="dxa"/>
              <w:left w:w="43" w:type="dxa"/>
              <w:bottom w:w="43" w:type="dxa"/>
              <w:right w:w="43" w:type="dxa"/>
            </w:tcMar>
          </w:tcPr>
          <w:p w14:paraId="3CB559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3567FF"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5FE36598" w14:textId="77777777" w:rsidR="00575AC3" w:rsidRPr="006D40F0" w:rsidRDefault="00575AC3" w:rsidP="006D40F0">
            <w:r w:rsidRPr="006D40F0">
              <w:t xml:space="preserve">Internasjonale film- og medieavtaler,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1BD6EC2" w14:textId="77777777" w:rsidR="00575AC3" w:rsidRPr="006D40F0" w:rsidRDefault="00575AC3" w:rsidP="006D40F0">
            <w:r w:rsidRPr="006D40F0">
              <w:t>3 000 000</w:t>
            </w:r>
          </w:p>
        </w:tc>
      </w:tr>
      <w:tr w:rsidR="00DD49A7" w:rsidRPr="006D40F0" w14:paraId="13D8769D" w14:textId="77777777">
        <w:trPr>
          <w:trHeight w:val="380"/>
        </w:trPr>
        <w:tc>
          <w:tcPr>
            <w:tcW w:w="680" w:type="dxa"/>
            <w:tcBorders>
              <w:top w:val="nil"/>
              <w:left w:val="nil"/>
              <w:bottom w:val="nil"/>
              <w:right w:val="nil"/>
            </w:tcBorders>
            <w:tcMar>
              <w:top w:w="128" w:type="dxa"/>
              <w:left w:w="43" w:type="dxa"/>
              <w:bottom w:w="43" w:type="dxa"/>
              <w:right w:w="43" w:type="dxa"/>
            </w:tcMar>
          </w:tcPr>
          <w:p w14:paraId="289879C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848B8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EA8C46" w14:textId="77777777" w:rsidR="00575AC3" w:rsidRPr="006D40F0" w:rsidRDefault="00575AC3" w:rsidP="006D40F0">
            <w:r w:rsidRPr="006D40F0">
              <w:t>fra kr 21 330 000 til kr 24 330 000</w:t>
            </w:r>
          </w:p>
        </w:tc>
        <w:tc>
          <w:tcPr>
            <w:tcW w:w="1400" w:type="dxa"/>
            <w:tcBorders>
              <w:top w:val="nil"/>
              <w:left w:val="nil"/>
              <w:bottom w:val="nil"/>
              <w:right w:val="nil"/>
            </w:tcBorders>
            <w:tcMar>
              <w:top w:w="128" w:type="dxa"/>
              <w:left w:w="43" w:type="dxa"/>
              <w:bottom w:w="43" w:type="dxa"/>
              <w:right w:w="43" w:type="dxa"/>
            </w:tcMar>
            <w:vAlign w:val="bottom"/>
          </w:tcPr>
          <w:p w14:paraId="58140A35" w14:textId="77777777" w:rsidR="00575AC3" w:rsidRPr="006D40F0" w:rsidRDefault="00575AC3" w:rsidP="006D40F0"/>
        </w:tc>
      </w:tr>
      <w:tr w:rsidR="00DD49A7" w:rsidRPr="006D40F0" w14:paraId="55E1C57D" w14:textId="77777777">
        <w:trPr>
          <w:trHeight w:val="380"/>
        </w:trPr>
        <w:tc>
          <w:tcPr>
            <w:tcW w:w="680" w:type="dxa"/>
            <w:tcBorders>
              <w:top w:val="nil"/>
              <w:left w:val="nil"/>
              <w:bottom w:val="nil"/>
              <w:right w:val="nil"/>
            </w:tcBorders>
            <w:tcMar>
              <w:top w:w="128" w:type="dxa"/>
              <w:left w:w="43" w:type="dxa"/>
              <w:bottom w:w="43" w:type="dxa"/>
              <w:right w:w="43" w:type="dxa"/>
            </w:tcMar>
          </w:tcPr>
          <w:p w14:paraId="724B12F7" w14:textId="77777777" w:rsidR="00575AC3" w:rsidRPr="006D40F0" w:rsidRDefault="00575AC3" w:rsidP="006D40F0">
            <w:r w:rsidRPr="006D40F0">
              <w:t>350</w:t>
            </w:r>
          </w:p>
        </w:tc>
        <w:tc>
          <w:tcPr>
            <w:tcW w:w="680" w:type="dxa"/>
            <w:tcBorders>
              <w:top w:val="nil"/>
              <w:left w:val="nil"/>
              <w:bottom w:val="nil"/>
              <w:right w:val="nil"/>
            </w:tcBorders>
            <w:tcMar>
              <w:top w:w="128" w:type="dxa"/>
              <w:left w:w="43" w:type="dxa"/>
              <w:bottom w:w="43" w:type="dxa"/>
              <w:right w:w="43" w:type="dxa"/>
            </w:tcMar>
          </w:tcPr>
          <w:p w14:paraId="452374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45E6D1" w14:textId="77777777" w:rsidR="00575AC3" w:rsidRPr="006D40F0" w:rsidRDefault="00575AC3" w:rsidP="006D40F0">
            <w:r w:rsidRPr="006D40F0">
              <w:t>Sekretariatet for Diskrimineringsnemnda:</w:t>
            </w:r>
          </w:p>
        </w:tc>
        <w:tc>
          <w:tcPr>
            <w:tcW w:w="1400" w:type="dxa"/>
            <w:tcBorders>
              <w:top w:val="nil"/>
              <w:left w:val="nil"/>
              <w:bottom w:val="nil"/>
              <w:right w:val="nil"/>
            </w:tcBorders>
            <w:tcMar>
              <w:top w:w="128" w:type="dxa"/>
              <w:left w:w="43" w:type="dxa"/>
              <w:bottom w:w="43" w:type="dxa"/>
              <w:right w:w="43" w:type="dxa"/>
            </w:tcMar>
            <w:vAlign w:val="bottom"/>
          </w:tcPr>
          <w:p w14:paraId="20B4DF28" w14:textId="77777777" w:rsidR="00575AC3" w:rsidRPr="006D40F0" w:rsidRDefault="00575AC3" w:rsidP="006D40F0"/>
        </w:tc>
      </w:tr>
      <w:tr w:rsidR="00DD49A7" w:rsidRPr="006D40F0" w14:paraId="617B7F59" w14:textId="77777777">
        <w:trPr>
          <w:trHeight w:val="380"/>
        </w:trPr>
        <w:tc>
          <w:tcPr>
            <w:tcW w:w="680" w:type="dxa"/>
            <w:tcBorders>
              <w:top w:val="nil"/>
              <w:left w:val="nil"/>
              <w:bottom w:val="nil"/>
              <w:right w:val="nil"/>
            </w:tcBorders>
            <w:tcMar>
              <w:top w:w="128" w:type="dxa"/>
              <w:left w:w="43" w:type="dxa"/>
              <w:bottom w:w="43" w:type="dxa"/>
              <w:right w:w="43" w:type="dxa"/>
            </w:tcMar>
          </w:tcPr>
          <w:p w14:paraId="516242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AF256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73A413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0E5F883" w14:textId="77777777" w:rsidR="00575AC3" w:rsidRPr="006D40F0" w:rsidRDefault="00575AC3" w:rsidP="006D40F0">
            <w:r w:rsidRPr="006D40F0">
              <w:t>1 200 000</w:t>
            </w:r>
          </w:p>
        </w:tc>
      </w:tr>
      <w:tr w:rsidR="00DD49A7" w:rsidRPr="006D40F0" w14:paraId="34BE2EEB" w14:textId="77777777">
        <w:trPr>
          <w:trHeight w:val="380"/>
        </w:trPr>
        <w:tc>
          <w:tcPr>
            <w:tcW w:w="680" w:type="dxa"/>
            <w:tcBorders>
              <w:top w:val="nil"/>
              <w:left w:val="nil"/>
              <w:bottom w:val="nil"/>
              <w:right w:val="nil"/>
            </w:tcBorders>
            <w:tcMar>
              <w:top w:w="128" w:type="dxa"/>
              <w:left w:w="43" w:type="dxa"/>
              <w:bottom w:w="43" w:type="dxa"/>
              <w:right w:w="43" w:type="dxa"/>
            </w:tcMar>
          </w:tcPr>
          <w:p w14:paraId="59D157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0EA9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8B1669" w14:textId="77777777" w:rsidR="00575AC3" w:rsidRPr="006D40F0" w:rsidRDefault="00575AC3" w:rsidP="006D40F0">
            <w:r w:rsidRPr="006D40F0">
              <w:t>fra kr 31 393 000 til kr 32 593 000</w:t>
            </w:r>
          </w:p>
        </w:tc>
        <w:tc>
          <w:tcPr>
            <w:tcW w:w="1400" w:type="dxa"/>
            <w:tcBorders>
              <w:top w:val="nil"/>
              <w:left w:val="nil"/>
              <w:bottom w:val="nil"/>
              <w:right w:val="nil"/>
            </w:tcBorders>
            <w:tcMar>
              <w:top w:w="128" w:type="dxa"/>
              <w:left w:w="43" w:type="dxa"/>
              <w:bottom w:w="43" w:type="dxa"/>
              <w:right w:w="43" w:type="dxa"/>
            </w:tcMar>
            <w:vAlign w:val="bottom"/>
          </w:tcPr>
          <w:p w14:paraId="72E7769C" w14:textId="77777777" w:rsidR="00575AC3" w:rsidRPr="006D40F0" w:rsidRDefault="00575AC3" w:rsidP="006D40F0"/>
        </w:tc>
      </w:tr>
      <w:tr w:rsidR="00DD49A7" w:rsidRPr="006D40F0" w14:paraId="202161EB" w14:textId="77777777">
        <w:trPr>
          <w:trHeight w:val="380"/>
        </w:trPr>
        <w:tc>
          <w:tcPr>
            <w:tcW w:w="680" w:type="dxa"/>
            <w:tcBorders>
              <w:top w:val="nil"/>
              <w:left w:val="nil"/>
              <w:bottom w:val="nil"/>
              <w:right w:val="nil"/>
            </w:tcBorders>
            <w:tcMar>
              <w:top w:w="128" w:type="dxa"/>
              <w:left w:w="43" w:type="dxa"/>
              <w:bottom w:w="43" w:type="dxa"/>
              <w:right w:w="43" w:type="dxa"/>
            </w:tcMar>
          </w:tcPr>
          <w:p w14:paraId="7F1AB021" w14:textId="77777777" w:rsidR="00575AC3" w:rsidRPr="006D40F0" w:rsidRDefault="00575AC3" w:rsidP="006D40F0">
            <w:r w:rsidRPr="006D40F0">
              <w:t>351</w:t>
            </w:r>
          </w:p>
        </w:tc>
        <w:tc>
          <w:tcPr>
            <w:tcW w:w="680" w:type="dxa"/>
            <w:tcBorders>
              <w:top w:val="nil"/>
              <w:left w:val="nil"/>
              <w:bottom w:val="nil"/>
              <w:right w:val="nil"/>
            </w:tcBorders>
            <w:tcMar>
              <w:top w:w="128" w:type="dxa"/>
              <w:left w:w="43" w:type="dxa"/>
              <w:bottom w:w="43" w:type="dxa"/>
              <w:right w:w="43" w:type="dxa"/>
            </w:tcMar>
          </w:tcPr>
          <w:p w14:paraId="3DE3DC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806E18" w14:textId="77777777" w:rsidR="00575AC3" w:rsidRPr="006D40F0" w:rsidRDefault="00575AC3" w:rsidP="006D40F0">
            <w:r w:rsidRPr="006D40F0">
              <w:t>Likestilling:</w:t>
            </w:r>
          </w:p>
        </w:tc>
        <w:tc>
          <w:tcPr>
            <w:tcW w:w="1400" w:type="dxa"/>
            <w:tcBorders>
              <w:top w:val="nil"/>
              <w:left w:val="nil"/>
              <w:bottom w:val="nil"/>
              <w:right w:val="nil"/>
            </w:tcBorders>
            <w:tcMar>
              <w:top w:w="128" w:type="dxa"/>
              <w:left w:w="43" w:type="dxa"/>
              <w:bottom w:w="43" w:type="dxa"/>
              <w:right w:w="43" w:type="dxa"/>
            </w:tcMar>
            <w:vAlign w:val="bottom"/>
          </w:tcPr>
          <w:p w14:paraId="7F0C90F1" w14:textId="77777777" w:rsidR="00575AC3" w:rsidRPr="006D40F0" w:rsidRDefault="00575AC3" w:rsidP="006D40F0"/>
        </w:tc>
      </w:tr>
      <w:tr w:rsidR="00DD49A7" w:rsidRPr="006D40F0" w14:paraId="1A99D8FC" w14:textId="77777777">
        <w:trPr>
          <w:trHeight w:val="640"/>
        </w:trPr>
        <w:tc>
          <w:tcPr>
            <w:tcW w:w="680" w:type="dxa"/>
            <w:tcBorders>
              <w:top w:val="nil"/>
              <w:left w:val="nil"/>
              <w:bottom w:val="nil"/>
              <w:right w:val="nil"/>
            </w:tcBorders>
            <w:tcMar>
              <w:top w:w="128" w:type="dxa"/>
              <w:left w:w="43" w:type="dxa"/>
              <w:bottom w:w="43" w:type="dxa"/>
              <w:right w:w="43" w:type="dxa"/>
            </w:tcMar>
          </w:tcPr>
          <w:p w14:paraId="3BB62B4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A7BB8E"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BD31238" w14:textId="77777777" w:rsidR="00575AC3" w:rsidRPr="006D40F0" w:rsidRDefault="00575AC3" w:rsidP="006D40F0">
            <w:r w:rsidRPr="006D40F0">
              <w:t xml:space="preserve">Forskning, utredning og spesielle driftsutgifter, </w:t>
            </w:r>
            <w:r w:rsidRPr="00575AC3">
              <w:rPr>
                <w:rStyle w:val="kursiv"/>
              </w:rPr>
              <w:t>kan overføres, kan nyttes under post 70</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6B6EF42A" w14:textId="77777777" w:rsidR="00575AC3" w:rsidRPr="006D40F0" w:rsidRDefault="00575AC3" w:rsidP="006D40F0">
            <w:r w:rsidRPr="006D40F0">
              <w:t>4 000 000</w:t>
            </w:r>
          </w:p>
        </w:tc>
      </w:tr>
      <w:tr w:rsidR="00DD49A7" w:rsidRPr="006D40F0" w14:paraId="70B7BCAE" w14:textId="77777777">
        <w:trPr>
          <w:trHeight w:val="380"/>
        </w:trPr>
        <w:tc>
          <w:tcPr>
            <w:tcW w:w="680" w:type="dxa"/>
            <w:tcBorders>
              <w:top w:val="nil"/>
              <w:left w:val="nil"/>
              <w:bottom w:val="nil"/>
              <w:right w:val="nil"/>
            </w:tcBorders>
            <w:tcMar>
              <w:top w:w="128" w:type="dxa"/>
              <w:left w:w="43" w:type="dxa"/>
              <w:bottom w:w="43" w:type="dxa"/>
              <w:right w:w="43" w:type="dxa"/>
            </w:tcMar>
          </w:tcPr>
          <w:p w14:paraId="1B25FA6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B04773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5D85F8" w14:textId="77777777" w:rsidR="00575AC3" w:rsidRPr="006D40F0" w:rsidRDefault="00575AC3" w:rsidP="006D40F0">
            <w:r w:rsidRPr="006D40F0">
              <w:t>fra kr 37 440 000 til kr 33 440 000</w:t>
            </w:r>
          </w:p>
        </w:tc>
        <w:tc>
          <w:tcPr>
            <w:tcW w:w="1400" w:type="dxa"/>
            <w:tcBorders>
              <w:top w:val="nil"/>
              <w:left w:val="nil"/>
              <w:bottom w:val="nil"/>
              <w:right w:val="nil"/>
            </w:tcBorders>
            <w:tcMar>
              <w:top w:w="128" w:type="dxa"/>
              <w:left w:w="43" w:type="dxa"/>
              <w:bottom w:w="43" w:type="dxa"/>
              <w:right w:w="43" w:type="dxa"/>
            </w:tcMar>
            <w:vAlign w:val="bottom"/>
          </w:tcPr>
          <w:p w14:paraId="3FE9358A" w14:textId="77777777" w:rsidR="00575AC3" w:rsidRPr="006D40F0" w:rsidRDefault="00575AC3" w:rsidP="006D40F0"/>
        </w:tc>
      </w:tr>
      <w:tr w:rsidR="00DD49A7" w:rsidRPr="006D40F0" w14:paraId="266BA346" w14:textId="77777777">
        <w:trPr>
          <w:trHeight w:val="380"/>
        </w:trPr>
        <w:tc>
          <w:tcPr>
            <w:tcW w:w="680" w:type="dxa"/>
            <w:tcBorders>
              <w:top w:val="nil"/>
              <w:left w:val="nil"/>
              <w:bottom w:val="nil"/>
              <w:right w:val="nil"/>
            </w:tcBorders>
            <w:tcMar>
              <w:top w:w="128" w:type="dxa"/>
              <w:left w:w="43" w:type="dxa"/>
              <w:bottom w:w="43" w:type="dxa"/>
              <w:right w:w="43" w:type="dxa"/>
            </w:tcMar>
          </w:tcPr>
          <w:p w14:paraId="53CE5F5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2C5776"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3240EF3" w14:textId="77777777" w:rsidR="00575AC3" w:rsidRPr="006D40F0" w:rsidRDefault="00575AC3" w:rsidP="006D40F0">
            <w:r w:rsidRPr="006D40F0">
              <w:t>Tilskudd til likestilling, forhøyes med</w:t>
            </w:r>
          </w:p>
        </w:tc>
        <w:tc>
          <w:tcPr>
            <w:tcW w:w="1400" w:type="dxa"/>
            <w:tcBorders>
              <w:top w:val="nil"/>
              <w:left w:val="nil"/>
              <w:bottom w:val="nil"/>
              <w:right w:val="nil"/>
            </w:tcBorders>
            <w:tcMar>
              <w:top w:w="128" w:type="dxa"/>
              <w:left w:w="43" w:type="dxa"/>
              <w:bottom w:w="43" w:type="dxa"/>
              <w:right w:w="43" w:type="dxa"/>
            </w:tcMar>
            <w:vAlign w:val="bottom"/>
          </w:tcPr>
          <w:p w14:paraId="295E6C40" w14:textId="77777777" w:rsidR="00575AC3" w:rsidRPr="006D40F0" w:rsidRDefault="00575AC3" w:rsidP="006D40F0">
            <w:r w:rsidRPr="006D40F0">
              <w:t>2 000 000</w:t>
            </w:r>
          </w:p>
        </w:tc>
      </w:tr>
      <w:tr w:rsidR="00DD49A7" w:rsidRPr="006D40F0" w14:paraId="7275DA8D" w14:textId="77777777">
        <w:trPr>
          <w:trHeight w:val="380"/>
        </w:trPr>
        <w:tc>
          <w:tcPr>
            <w:tcW w:w="680" w:type="dxa"/>
            <w:tcBorders>
              <w:top w:val="nil"/>
              <w:left w:val="nil"/>
              <w:bottom w:val="nil"/>
              <w:right w:val="nil"/>
            </w:tcBorders>
            <w:tcMar>
              <w:top w:w="128" w:type="dxa"/>
              <w:left w:w="43" w:type="dxa"/>
              <w:bottom w:w="43" w:type="dxa"/>
              <w:right w:w="43" w:type="dxa"/>
            </w:tcMar>
          </w:tcPr>
          <w:p w14:paraId="0A638D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4A3F4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698A7D" w14:textId="77777777" w:rsidR="00575AC3" w:rsidRPr="006D40F0" w:rsidRDefault="00575AC3" w:rsidP="006D40F0">
            <w:r w:rsidRPr="006D40F0">
              <w:t>fra kr 61 030 000 til kr 63 030 000</w:t>
            </w:r>
          </w:p>
        </w:tc>
        <w:tc>
          <w:tcPr>
            <w:tcW w:w="1400" w:type="dxa"/>
            <w:tcBorders>
              <w:top w:val="nil"/>
              <w:left w:val="nil"/>
              <w:bottom w:val="nil"/>
              <w:right w:val="nil"/>
            </w:tcBorders>
            <w:tcMar>
              <w:top w:w="128" w:type="dxa"/>
              <w:left w:w="43" w:type="dxa"/>
              <w:bottom w:w="43" w:type="dxa"/>
              <w:right w:w="43" w:type="dxa"/>
            </w:tcMar>
            <w:vAlign w:val="bottom"/>
          </w:tcPr>
          <w:p w14:paraId="42F2AA23" w14:textId="77777777" w:rsidR="00575AC3" w:rsidRPr="006D40F0" w:rsidRDefault="00575AC3" w:rsidP="006D40F0"/>
        </w:tc>
      </w:tr>
      <w:tr w:rsidR="00DD49A7" w:rsidRPr="006D40F0" w14:paraId="021432F3" w14:textId="77777777">
        <w:trPr>
          <w:trHeight w:val="380"/>
        </w:trPr>
        <w:tc>
          <w:tcPr>
            <w:tcW w:w="680" w:type="dxa"/>
            <w:tcBorders>
              <w:top w:val="nil"/>
              <w:left w:val="nil"/>
              <w:bottom w:val="nil"/>
              <w:right w:val="nil"/>
            </w:tcBorders>
            <w:tcMar>
              <w:top w:w="128" w:type="dxa"/>
              <w:left w:w="43" w:type="dxa"/>
              <w:bottom w:w="43" w:type="dxa"/>
              <w:right w:w="43" w:type="dxa"/>
            </w:tcMar>
          </w:tcPr>
          <w:p w14:paraId="2E4E4B4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A9FC85"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7049301D" w14:textId="77777777" w:rsidR="00575AC3" w:rsidRPr="006D40F0" w:rsidRDefault="00575AC3" w:rsidP="006D40F0">
            <w:r w:rsidRPr="006D40F0">
              <w:t>Likestillingssentre, forhøyes med</w:t>
            </w:r>
          </w:p>
        </w:tc>
        <w:tc>
          <w:tcPr>
            <w:tcW w:w="1400" w:type="dxa"/>
            <w:tcBorders>
              <w:top w:val="nil"/>
              <w:left w:val="nil"/>
              <w:bottom w:val="nil"/>
              <w:right w:val="nil"/>
            </w:tcBorders>
            <w:tcMar>
              <w:top w:w="128" w:type="dxa"/>
              <w:left w:w="43" w:type="dxa"/>
              <w:bottom w:w="43" w:type="dxa"/>
              <w:right w:w="43" w:type="dxa"/>
            </w:tcMar>
            <w:vAlign w:val="bottom"/>
          </w:tcPr>
          <w:p w14:paraId="42C7B269" w14:textId="77777777" w:rsidR="00575AC3" w:rsidRPr="006D40F0" w:rsidRDefault="00575AC3" w:rsidP="006D40F0">
            <w:r w:rsidRPr="006D40F0">
              <w:t>4 000 000</w:t>
            </w:r>
          </w:p>
        </w:tc>
      </w:tr>
      <w:tr w:rsidR="00DD49A7" w:rsidRPr="006D40F0" w14:paraId="2B4FC404" w14:textId="77777777">
        <w:trPr>
          <w:trHeight w:val="380"/>
        </w:trPr>
        <w:tc>
          <w:tcPr>
            <w:tcW w:w="680" w:type="dxa"/>
            <w:tcBorders>
              <w:top w:val="nil"/>
              <w:left w:val="nil"/>
              <w:bottom w:val="nil"/>
              <w:right w:val="nil"/>
            </w:tcBorders>
            <w:tcMar>
              <w:top w:w="128" w:type="dxa"/>
              <w:left w:w="43" w:type="dxa"/>
              <w:bottom w:w="43" w:type="dxa"/>
              <w:right w:w="43" w:type="dxa"/>
            </w:tcMar>
          </w:tcPr>
          <w:p w14:paraId="5BF34EB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1FDCC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64EF3F" w14:textId="77777777" w:rsidR="00575AC3" w:rsidRPr="006D40F0" w:rsidRDefault="00575AC3" w:rsidP="006D40F0">
            <w:r w:rsidRPr="006D40F0">
              <w:t>fra kr 23 470 000 til kr 27 470 000</w:t>
            </w:r>
          </w:p>
        </w:tc>
        <w:tc>
          <w:tcPr>
            <w:tcW w:w="1400" w:type="dxa"/>
            <w:tcBorders>
              <w:top w:val="nil"/>
              <w:left w:val="nil"/>
              <w:bottom w:val="nil"/>
              <w:right w:val="nil"/>
            </w:tcBorders>
            <w:tcMar>
              <w:top w:w="128" w:type="dxa"/>
              <w:left w:w="43" w:type="dxa"/>
              <w:bottom w:w="43" w:type="dxa"/>
              <w:right w:w="43" w:type="dxa"/>
            </w:tcMar>
            <w:vAlign w:val="bottom"/>
          </w:tcPr>
          <w:p w14:paraId="183B0587" w14:textId="77777777" w:rsidR="00575AC3" w:rsidRPr="006D40F0" w:rsidRDefault="00575AC3" w:rsidP="006D40F0"/>
        </w:tc>
      </w:tr>
      <w:tr w:rsidR="00DD49A7" w:rsidRPr="006D40F0" w14:paraId="69A4C0C5" w14:textId="77777777">
        <w:trPr>
          <w:trHeight w:val="380"/>
        </w:trPr>
        <w:tc>
          <w:tcPr>
            <w:tcW w:w="680" w:type="dxa"/>
            <w:tcBorders>
              <w:top w:val="nil"/>
              <w:left w:val="nil"/>
              <w:bottom w:val="nil"/>
              <w:right w:val="nil"/>
            </w:tcBorders>
            <w:tcMar>
              <w:top w:w="128" w:type="dxa"/>
              <w:left w:w="43" w:type="dxa"/>
              <w:bottom w:w="43" w:type="dxa"/>
              <w:right w:w="43" w:type="dxa"/>
            </w:tcMar>
          </w:tcPr>
          <w:p w14:paraId="2E1FA6BB" w14:textId="77777777" w:rsidR="00575AC3" w:rsidRPr="006D40F0" w:rsidRDefault="00575AC3" w:rsidP="006D40F0">
            <w:r w:rsidRPr="006D40F0">
              <w:t>352</w:t>
            </w:r>
          </w:p>
        </w:tc>
        <w:tc>
          <w:tcPr>
            <w:tcW w:w="680" w:type="dxa"/>
            <w:tcBorders>
              <w:top w:val="nil"/>
              <w:left w:val="nil"/>
              <w:bottom w:val="nil"/>
              <w:right w:val="nil"/>
            </w:tcBorders>
            <w:tcMar>
              <w:top w:w="128" w:type="dxa"/>
              <w:left w:w="43" w:type="dxa"/>
              <w:bottom w:w="43" w:type="dxa"/>
              <w:right w:w="43" w:type="dxa"/>
            </w:tcMar>
          </w:tcPr>
          <w:p w14:paraId="0F4C2AE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162B94" w14:textId="77777777" w:rsidR="00575AC3" w:rsidRPr="006D40F0" w:rsidRDefault="00575AC3" w:rsidP="006D40F0">
            <w:r w:rsidRPr="006D40F0">
              <w:t>Nedsatt funksjonsevne:</w:t>
            </w:r>
          </w:p>
        </w:tc>
        <w:tc>
          <w:tcPr>
            <w:tcW w:w="1400" w:type="dxa"/>
            <w:tcBorders>
              <w:top w:val="nil"/>
              <w:left w:val="nil"/>
              <w:bottom w:val="nil"/>
              <w:right w:val="nil"/>
            </w:tcBorders>
            <w:tcMar>
              <w:top w:w="128" w:type="dxa"/>
              <w:left w:w="43" w:type="dxa"/>
              <w:bottom w:w="43" w:type="dxa"/>
              <w:right w:w="43" w:type="dxa"/>
            </w:tcMar>
            <w:vAlign w:val="bottom"/>
          </w:tcPr>
          <w:p w14:paraId="0592BE8C" w14:textId="77777777" w:rsidR="00575AC3" w:rsidRPr="006D40F0" w:rsidRDefault="00575AC3" w:rsidP="006D40F0"/>
        </w:tc>
      </w:tr>
      <w:tr w:rsidR="00DD49A7" w:rsidRPr="006D40F0" w14:paraId="684FDCFB" w14:textId="77777777">
        <w:trPr>
          <w:trHeight w:val="640"/>
        </w:trPr>
        <w:tc>
          <w:tcPr>
            <w:tcW w:w="680" w:type="dxa"/>
            <w:tcBorders>
              <w:top w:val="nil"/>
              <w:left w:val="nil"/>
              <w:bottom w:val="nil"/>
              <w:right w:val="nil"/>
            </w:tcBorders>
            <w:tcMar>
              <w:top w:w="128" w:type="dxa"/>
              <w:left w:w="43" w:type="dxa"/>
              <w:bottom w:w="43" w:type="dxa"/>
              <w:right w:w="43" w:type="dxa"/>
            </w:tcMar>
          </w:tcPr>
          <w:p w14:paraId="708443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1C4C40"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1A5F303" w14:textId="77777777" w:rsidR="00575AC3" w:rsidRPr="006D40F0" w:rsidRDefault="00575AC3" w:rsidP="006D40F0">
            <w:r w:rsidRPr="006D40F0">
              <w:t xml:space="preserve">Forskning, utredning og spesielle driftsutgifter, </w:t>
            </w:r>
            <w:r w:rsidRPr="00575AC3">
              <w:rPr>
                <w:rStyle w:val="kursiv"/>
              </w:rPr>
              <w:t>kan overføres, kan nyttes under post 71</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3668AA09" w14:textId="77777777" w:rsidR="00575AC3" w:rsidRPr="006D40F0" w:rsidRDefault="00575AC3" w:rsidP="006D40F0">
            <w:r w:rsidRPr="006D40F0">
              <w:t>3 200 000</w:t>
            </w:r>
          </w:p>
        </w:tc>
      </w:tr>
      <w:tr w:rsidR="00DD49A7" w:rsidRPr="006D40F0" w14:paraId="4BD007CB" w14:textId="77777777">
        <w:trPr>
          <w:trHeight w:val="380"/>
        </w:trPr>
        <w:tc>
          <w:tcPr>
            <w:tcW w:w="680" w:type="dxa"/>
            <w:tcBorders>
              <w:top w:val="nil"/>
              <w:left w:val="nil"/>
              <w:bottom w:val="nil"/>
              <w:right w:val="nil"/>
            </w:tcBorders>
            <w:tcMar>
              <w:top w:w="128" w:type="dxa"/>
              <w:left w:w="43" w:type="dxa"/>
              <w:bottom w:w="43" w:type="dxa"/>
              <w:right w:w="43" w:type="dxa"/>
            </w:tcMar>
          </w:tcPr>
          <w:p w14:paraId="5ADD6E7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E47B1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5203DC" w14:textId="77777777" w:rsidR="00575AC3" w:rsidRPr="006D40F0" w:rsidRDefault="00575AC3" w:rsidP="006D40F0">
            <w:r w:rsidRPr="006D40F0">
              <w:t>fra kr 28 480 000 til kr 25 280 000</w:t>
            </w:r>
          </w:p>
        </w:tc>
        <w:tc>
          <w:tcPr>
            <w:tcW w:w="1400" w:type="dxa"/>
            <w:tcBorders>
              <w:top w:val="nil"/>
              <w:left w:val="nil"/>
              <w:bottom w:val="nil"/>
              <w:right w:val="nil"/>
            </w:tcBorders>
            <w:tcMar>
              <w:top w:w="128" w:type="dxa"/>
              <w:left w:w="43" w:type="dxa"/>
              <w:bottom w:w="43" w:type="dxa"/>
              <w:right w:w="43" w:type="dxa"/>
            </w:tcMar>
            <w:vAlign w:val="bottom"/>
          </w:tcPr>
          <w:p w14:paraId="706AC9E3" w14:textId="77777777" w:rsidR="00575AC3" w:rsidRPr="006D40F0" w:rsidRDefault="00575AC3" w:rsidP="006D40F0"/>
        </w:tc>
      </w:tr>
      <w:tr w:rsidR="00DD49A7" w:rsidRPr="006D40F0" w14:paraId="4C8DA264" w14:textId="77777777">
        <w:trPr>
          <w:trHeight w:val="380"/>
        </w:trPr>
        <w:tc>
          <w:tcPr>
            <w:tcW w:w="680" w:type="dxa"/>
            <w:tcBorders>
              <w:top w:val="nil"/>
              <w:left w:val="nil"/>
              <w:bottom w:val="nil"/>
              <w:right w:val="nil"/>
            </w:tcBorders>
            <w:tcMar>
              <w:top w:w="128" w:type="dxa"/>
              <w:left w:w="43" w:type="dxa"/>
              <w:bottom w:w="43" w:type="dxa"/>
              <w:right w:w="43" w:type="dxa"/>
            </w:tcMar>
          </w:tcPr>
          <w:p w14:paraId="06C7DA2E" w14:textId="77777777" w:rsidR="00575AC3" w:rsidRPr="006D40F0" w:rsidRDefault="00575AC3" w:rsidP="006D40F0">
            <w:r w:rsidRPr="006D40F0">
              <w:t>400</w:t>
            </w:r>
          </w:p>
        </w:tc>
        <w:tc>
          <w:tcPr>
            <w:tcW w:w="680" w:type="dxa"/>
            <w:tcBorders>
              <w:top w:val="nil"/>
              <w:left w:val="nil"/>
              <w:bottom w:val="nil"/>
              <w:right w:val="nil"/>
            </w:tcBorders>
            <w:tcMar>
              <w:top w:w="128" w:type="dxa"/>
              <w:left w:w="43" w:type="dxa"/>
              <w:bottom w:w="43" w:type="dxa"/>
              <w:right w:w="43" w:type="dxa"/>
            </w:tcMar>
          </w:tcPr>
          <w:p w14:paraId="3C09CB9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D502A7" w14:textId="77777777" w:rsidR="00575AC3" w:rsidRPr="006D40F0" w:rsidRDefault="00575AC3" w:rsidP="006D40F0">
            <w:r w:rsidRPr="006D40F0">
              <w:t>Justis- og beredskapsdepartementet:</w:t>
            </w:r>
          </w:p>
        </w:tc>
        <w:tc>
          <w:tcPr>
            <w:tcW w:w="1400" w:type="dxa"/>
            <w:tcBorders>
              <w:top w:val="nil"/>
              <w:left w:val="nil"/>
              <w:bottom w:val="nil"/>
              <w:right w:val="nil"/>
            </w:tcBorders>
            <w:tcMar>
              <w:top w:w="128" w:type="dxa"/>
              <w:left w:w="43" w:type="dxa"/>
              <w:bottom w:w="43" w:type="dxa"/>
              <w:right w:w="43" w:type="dxa"/>
            </w:tcMar>
            <w:vAlign w:val="bottom"/>
          </w:tcPr>
          <w:p w14:paraId="2CD3987C" w14:textId="77777777" w:rsidR="00575AC3" w:rsidRPr="006D40F0" w:rsidRDefault="00575AC3" w:rsidP="006D40F0"/>
        </w:tc>
      </w:tr>
      <w:tr w:rsidR="00DD49A7" w:rsidRPr="006D40F0" w14:paraId="4AA6E4A9" w14:textId="77777777">
        <w:trPr>
          <w:trHeight w:val="380"/>
        </w:trPr>
        <w:tc>
          <w:tcPr>
            <w:tcW w:w="680" w:type="dxa"/>
            <w:tcBorders>
              <w:top w:val="nil"/>
              <w:left w:val="nil"/>
              <w:bottom w:val="nil"/>
              <w:right w:val="nil"/>
            </w:tcBorders>
            <w:tcMar>
              <w:top w:w="128" w:type="dxa"/>
              <w:left w:w="43" w:type="dxa"/>
              <w:bottom w:w="43" w:type="dxa"/>
              <w:right w:w="43" w:type="dxa"/>
            </w:tcMar>
          </w:tcPr>
          <w:p w14:paraId="709BABE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1E5AA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A8909F1"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264F48C1" w14:textId="77777777" w:rsidR="00575AC3" w:rsidRPr="006D40F0" w:rsidRDefault="00575AC3" w:rsidP="006D40F0">
            <w:r w:rsidRPr="006D40F0">
              <w:t>15 870 000</w:t>
            </w:r>
          </w:p>
        </w:tc>
      </w:tr>
      <w:tr w:rsidR="00DD49A7" w:rsidRPr="006D40F0" w14:paraId="1D3B7164" w14:textId="77777777">
        <w:trPr>
          <w:trHeight w:val="380"/>
        </w:trPr>
        <w:tc>
          <w:tcPr>
            <w:tcW w:w="680" w:type="dxa"/>
            <w:tcBorders>
              <w:top w:val="nil"/>
              <w:left w:val="nil"/>
              <w:bottom w:val="nil"/>
              <w:right w:val="nil"/>
            </w:tcBorders>
            <w:tcMar>
              <w:top w:w="128" w:type="dxa"/>
              <w:left w:w="43" w:type="dxa"/>
              <w:bottom w:w="43" w:type="dxa"/>
              <w:right w:w="43" w:type="dxa"/>
            </w:tcMar>
          </w:tcPr>
          <w:p w14:paraId="7F9F0B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833B0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C7BA84D" w14:textId="77777777" w:rsidR="00575AC3" w:rsidRPr="006D40F0" w:rsidRDefault="00575AC3" w:rsidP="006D40F0">
            <w:r w:rsidRPr="006D40F0">
              <w:t>fra kr 529 752 000 til kr 513 882 000</w:t>
            </w:r>
          </w:p>
        </w:tc>
        <w:tc>
          <w:tcPr>
            <w:tcW w:w="1400" w:type="dxa"/>
            <w:tcBorders>
              <w:top w:val="nil"/>
              <w:left w:val="nil"/>
              <w:bottom w:val="nil"/>
              <w:right w:val="nil"/>
            </w:tcBorders>
            <w:tcMar>
              <w:top w:w="128" w:type="dxa"/>
              <w:left w:w="43" w:type="dxa"/>
              <w:bottom w:w="43" w:type="dxa"/>
              <w:right w:w="43" w:type="dxa"/>
            </w:tcMar>
            <w:vAlign w:val="bottom"/>
          </w:tcPr>
          <w:p w14:paraId="1EF44D05" w14:textId="77777777" w:rsidR="00575AC3" w:rsidRPr="006D40F0" w:rsidRDefault="00575AC3" w:rsidP="006D40F0"/>
        </w:tc>
      </w:tr>
      <w:tr w:rsidR="00DD49A7" w:rsidRPr="006D40F0" w14:paraId="720A1026" w14:textId="77777777">
        <w:trPr>
          <w:trHeight w:val="640"/>
        </w:trPr>
        <w:tc>
          <w:tcPr>
            <w:tcW w:w="680" w:type="dxa"/>
            <w:tcBorders>
              <w:top w:val="nil"/>
              <w:left w:val="nil"/>
              <w:bottom w:val="nil"/>
              <w:right w:val="nil"/>
            </w:tcBorders>
            <w:tcMar>
              <w:top w:w="128" w:type="dxa"/>
              <w:left w:w="43" w:type="dxa"/>
              <w:bottom w:w="43" w:type="dxa"/>
              <w:right w:w="43" w:type="dxa"/>
            </w:tcMar>
          </w:tcPr>
          <w:p w14:paraId="0C79C2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191354"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7B073EDA" w14:textId="77777777" w:rsidR="00575AC3" w:rsidRPr="006D40F0" w:rsidRDefault="00575AC3" w:rsidP="006D40F0">
            <w:r w:rsidRPr="006D40F0">
              <w:t xml:space="preserve">Spesielle driftsutgifter, forskning, evaluering og kunnskapsinnhenting,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0031A05" w14:textId="77777777" w:rsidR="00575AC3" w:rsidRPr="006D40F0" w:rsidRDefault="00575AC3" w:rsidP="006D40F0">
            <w:r w:rsidRPr="006D40F0">
              <w:t>1 500 000</w:t>
            </w:r>
          </w:p>
        </w:tc>
      </w:tr>
      <w:tr w:rsidR="00DD49A7" w:rsidRPr="006D40F0" w14:paraId="63F86E53" w14:textId="77777777">
        <w:trPr>
          <w:trHeight w:val="380"/>
        </w:trPr>
        <w:tc>
          <w:tcPr>
            <w:tcW w:w="680" w:type="dxa"/>
            <w:tcBorders>
              <w:top w:val="nil"/>
              <w:left w:val="nil"/>
              <w:bottom w:val="nil"/>
              <w:right w:val="nil"/>
            </w:tcBorders>
            <w:tcMar>
              <w:top w:w="128" w:type="dxa"/>
              <w:left w:w="43" w:type="dxa"/>
              <w:bottom w:w="43" w:type="dxa"/>
              <w:right w:w="43" w:type="dxa"/>
            </w:tcMar>
          </w:tcPr>
          <w:p w14:paraId="071A75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2B8D5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DB41CA" w14:textId="77777777" w:rsidR="00575AC3" w:rsidRPr="006D40F0" w:rsidRDefault="00575AC3" w:rsidP="006D40F0">
            <w:r w:rsidRPr="006D40F0">
              <w:t>fra kr 31 309 000 til kr 32 809 000</w:t>
            </w:r>
          </w:p>
        </w:tc>
        <w:tc>
          <w:tcPr>
            <w:tcW w:w="1400" w:type="dxa"/>
            <w:tcBorders>
              <w:top w:val="nil"/>
              <w:left w:val="nil"/>
              <w:bottom w:val="nil"/>
              <w:right w:val="nil"/>
            </w:tcBorders>
            <w:tcMar>
              <w:top w:w="128" w:type="dxa"/>
              <w:left w:w="43" w:type="dxa"/>
              <w:bottom w:w="43" w:type="dxa"/>
              <w:right w:w="43" w:type="dxa"/>
            </w:tcMar>
            <w:vAlign w:val="bottom"/>
          </w:tcPr>
          <w:p w14:paraId="3877B8C7" w14:textId="77777777" w:rsidR="00575AC3" w:rsidRPr="006D40F0" w:rsidRDefault="00575AC3" w:rsidP="006D40F0"/>
        </w:tc>
      </w:tr>
      <w:tr w:rsidR="00DD49A7" w:rsidRPr="006D40F0" w14:paraId="105532B6" w14:textId="77777777">
        <w:trPr>
          <w:trHeight w:val="380"/>
        </w:trPr>
        <w:tc>
          <w:tcPr>
            <w:tcW w:w="680" w:type="dxa"/>
            <w:tcBorders>
              <w:top w:val="nil"/>
              <w:left w:val="nil"/>
              <w:bottom w:val="nil"/>
              <w:right w:val="nil"/>
            </w:tcBorders>
            <w:tcMar>
              <w:top w:w="128" w:type="dxa"/>
              <w:left w:w="43" w:type="dxa"/>
              <w:bottom w:w="43" w:type="dxa"/>
              <w:right w:w="43" w:type="dxa"/>
            </w:tcMar>
          </w:tcPr>
          <w:p w14:paraId="4CAD63A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D50763"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31893543" w14:textId="77777777" w:rsidR="00575AC3" w:rsidRPr="006D40F0" w:rsidRDefault="00575AC3" w:rsidP="006D40F0">
            <w:r w:rsidRPr="006D40F0">
              <w:t>Tilskudd til internasjonale organisasjoner, forhøyes med</w:t>
            </w:r>
          </w:p>
        </w:tc>
        <w:tc>
          <w:tcPr>
            <w:tcW w:w="1400" w:type="dxa"/>
            <w:tcBorders>
              <w:top w:val="nil"/>
              <w:left w:val="nil"/>
              <w:bottom w:val="nil"/>
              <w:right w:val="nil"/>
            </w:tcBorders>
            <w:tcMar>
              <w:top w:w="128" w:type="dxa"/>
              <w:left w:w="43" w:type="dxa"/>
              <w:bottom w:w="43" w:type="dxa"/>
              <w:right w:w="43" w:type="dxa"/>
            </w:tcMar>
            <w:vAlign w:val="bottom"/>
          </w:tcPr>
          <w:p w14:paraId="77CD0C13" w14:textId="77777777" w:rsidR="00575AC3" w:rsidRPr="006D40F0" w:rsidRDefault="00575AC3" w:rsidP="006D40F0">
            <w:r w:rsidRPr="006D40F0">
              <w:t>1 800 000</w:t>
            </w:r>
          </w:p>
        </w:tc>
      </w:tr>
      <w:tr w:rsidR="00DD49A7" w:rsidRPr="006D40F0" w14:paraId="7C734D3B" w14:textId="77777777">
        <w:trPr>
          <w:trHeight w:val="380"/>
        </w:trPr>
        <w:tc>
          <w:tcPr>
            <w:tcW w:w="680" w:type="dxa"/>
            <w:tcBorders>
              <w:top w:val="nil"/>
              <w:left w:val="nil"/>
              <w:bottom w:val="nil"/>
              <w:right w:val="nil"/>
            </w:tcBorders>
            <w:tcMar>
              <w:top w:w="128" w:type="dxa"/>
              <w:left w:w="43" w:type="dxa"/>
              <w:bottom w:w="43" w:type="dxa"/>
              <w:right w:w="43" w:type="dxa"/>
            </w:tcMar>
          </w:tcPr>
          <w:p w14:paraId="2F8722B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4AD17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51C088" w14:textId="77777777" w:rsidR="00575AC3" w:rsidRPr="006D40F0" w:rsidRDefault="00575AC3" w:rsidP="006D40F0">
            <w:r w:rsidRPr="006D40F0">
              <w:t>fra kr 18 999 000 til kr 20 799 000</w:t>
            </w:r>
          </w:p>
        </w:tc>
        <w:tc>
          <w:tcPr>
            <w:tcW w:w="1400" w:type="dxa"/>
            <w:tcBorders>
              <w:top w:val="nil"/>
              <w:left w:val="nil"/>
              <w:bottom w:val="nil"/>
              <w:right w:val="nil"/>
            </w:tcBorders>
            <w:tcMar>
              <w:top w:w="128" w:type="dxa"/>
              <w:left w:w="43" w:type="dxa"/>
              <w:bottom w:w="43" w:type="dxa"/>
              <w:right w:w="43" w:type="dxa"/>
            </w:tcMar>
            <w:vAlign w:val="bottom"/>
          </w:tcPr>
          <w:p w14:paraId="2653EB36" w14:textId="77777777" w:rsidR="00575AC3" w:rsidRPr="006D40F0" w:rsidRDefault="00575AC3" w:rsidP="006D40F0"/>
        </w:tc>
      </w:tr>
      <w:tr w:rsidR="00DD49A7" w:rsidRPr="006D40F0" w14:paraId="7021BA4E" w14:textId="77777777">
        <w:trPr>
          <w:trHeight w:val="380"/>
        </w:trPr>
        <w:tc>
          <w:tcPr>
            <w:tcW w:w="680" w:type="dxa"/>
            <w:tcBorders>
              <w:top w:val="nil"/>
              <w:left w:val="nil"/>
              <w:bottom w:val="nil"/>
              <w:right w:val="nil"/>
            </w:tcBorders>
            <w:tcMar>
              <w:top w:w="128" w:type="dxa"/>
              <w:left w:w="43" w:type="dxa"/>
              <w:bottom w:w="43" w:type="dxa"/>
              <w:right w:w="43" w:type="dxa"/>
            </w:tcMar>
          </w:tcPr>
          <w:p w14:paraId="6E66CFBC" w14:textId="77777777" w:rsidR="00575AC3" w:rsidRPr="006D40F0" w:rsidRDefault="00575AC3" w:rsidP="006D40F0">
            <w:r w:rsidRPr="006D40F0">
              <w:t>410</w:t>
            </w:r>
          </w:p>
        </w:tc>
        <w:tc>
          <w:tcPr>
            <w:tcW w:w="680" w:type="dxa"/>
            <w:tcBorders>
              <w:top w:val="nil"/>
              <w:left w:val="nil"/>
              <w:bottom w:val="nil"/>
              <w:right w:val="nil"/>
            </w:tcBorders>
            <w:tcMar>
              <w:top w:w="128" w:type="dxa"/>
              <w:left w:w="43" w:type="dxa"/>
              <w:bottom w:w="43" w:type="dxa"/>
              <w:right w:w="43" w:type="dxa"/>
            </w:tcMar>
          </w:tcPr>
          <w:p w14:paraId="793C508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9E99D1D" w14:textId="77777777" w:rsidR="00575AC3" w:rsidRPr="006D40F0" w:rsidRDefault="00575AC3" w:rsidP="006D40F0">
            <w:r w:rsidRPr="006D40F0">
              <w:t>Domstolene:</w:t>
            </w:r>
          </w:p>
        </w:tc>
        <w:tc>
          <w:tcPr>
            <w:tcW w:w="1400" w:type="dxa"/>
            <w:tcBorders>
              <w:top w:val="nil"/>
              <w:left w:val="nil"/>
              <w:bottom w:val="nil"/>
              <w:right w:val="nil"/>
            </w:tcBorders>
            <w:tcMar>
              <w:top w:w="128" w:type="dxa"/>
              <w:left w:w="43" w:type="dxa"/>
              <w:bottom w:w="43" w:type="dxa"/>
              <w:right w:w="43" w:type="dxa"/>
            </w:tcMar>
            <w:vAlign w:val="bottom"/>
          </w:tcPr>
          <w:p w14:paraId="323D2E30" w14:textId="77777777" w:rsidR="00575AC3" w:rsidRPr="006D40F0" w:rsidRDefault="00575AC3" w:rsidP="006D40F0"/>
        </w:tc>
      </w:tr>
      <w:tr w:rsidR="00DD49A7" w:rsidRPr="006D40F0" w14:paraId="11F409A4" w14:textId="77777777">
        <w:trPr>
          <w:trHeight w:val="640"/>
        </w:trPr>
        <w:tc>
          <w:tcPr>
            <w:tcW w:w="680" w:type="dxa"/>
            <w:tcBorders>
              <w:top w:val="nil"/>
              <w:left w:val="nil"/>
              <w:bottom w:val="nil"/>
              <w:right w:val="nil"/>
            </w:tcBorders>
            <w:tcMar>
              <w:top w:w="128" w:type="dxa"/>
              <w:left w:w="43" w:type="dxa"/>
              <w:bottom w:w="43" w:type="dxa"/>
              <w:right w:w="43" w:type="dxa"/>
            </w:tcMar>
          </w:tcPr>
          <w:p w14:paraId="58F53E7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6B40D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4A43700" w14:textId="77777777" w:rsidR="00575AC3" w:rsidRPr="006D40F0" w:rsidRDefault="00575AC3" w:rsidP="006D40F0">
            <w:r w:rsidRPr="006D40F0">
              <w:t xml:space="preserve">Driftsutgifter, </w:t>
            </w:r>
            <w:r w:rsidRPr="00575AC3">
              <w:rPr>
                <w:rStyle w:val="kursiv"/>
              </w:rPr>
              <w:t>kan nyttes under kap. 61, post 1 og kap. 411, post 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ADED73D" w14:textId="77777777" w:rsidR="00575AC3" w:rsidRPr="006D40F0" w:rsidRDefault="00575AC3" w:rsidP="006D40F0">
            <w:r w:rsidRPr="006D40F0">
              <w:t>183 200 000</w:t>
            </w:r>
          </w:p>
        </w:tc>
      </w:tr>
      <w:tr w:rsidR="00DD49A7" w:rsidRPr="006D40F0" w14:paraId="42D2660E" w14:textId="77777777">
        <w:trPr>
          <w:trHeight w:val="380"/>
        </w:trPr>
        <w:tc>
          <w:tcPr>
            <w:tcW w:w="680" w:type="dxa"/>
            <w:tcBorders>
              <w:top w:val="nil"/>
              <w:left w:val="nil"/>
              <w:bottom w:val="nil"/>
              <w:right w:val="nil"/>
            </w:tcBorders>
            <w:tcMar>
              <w:top w:w="128" w:type="dxa"/>
              <w:left w:w="43" w:type="dxa"/>
              <w:bottom w:w="43" w:type="dxa"/>
              <w:right w:w="43" w:type="dxa"/>
            </w:tcMar>
          </w:tcPr>
          <w:p w14:paraId="5A22A1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8E62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5D7F08" w14:textId="77777777" w:rsidR="00575AC3" w:rsidRPr="006D40F0" w:rsidRDefault="00575AC3" w:rsidP="006D40F0">
            <w:r w:rsidRPr="006D40F0">
              <w:t>fra kr 3 120 539 000 til kr 3 303 739 000</w:t>
            </w:r>
          </w:p>
        </w:tc>
        <w:tc>
          <w:tcPr>
            <w:tcW w:w="1400" w:type="dxa"/>
            <w:tcBorders>
              <w:top w:val="nil"/>
              <w:left w:val="nil"/>
              <w:bottom w:val="nil"/>
              <w:right w:val="nil"/>
            </w:tcBorders>
            <w:tcMar>
              <w:top w:w="128" w:type="dxa"/>
              <w:left w:w="43" w:type="dxa"/>
              <w:bottom w:w="43" w:type="dxa"/>
              <w:right w:w="43" w:type="dxa"/>
            </w:tcMar>
            <w:vAlign w:val="bottom"/>
          </w:tcPr>
          <w:p w14:paraId="4FDF4121" w14:textId="77777777" w:rsidR="00575AC3" w:rsidRPr="006D40F0" w:rsidRDefault="00575AC3" w:rsidP="006D40F0"/>
        </w:tc>
      </w:tr>
      <w:tr w:rsidR="00DD49A7" w:rsidRPr="006D40F0" w14:paraId="5C7305BB" w14:textId="77777777">
        <w:trPr>
          <w:trHeight w:val="380"/>
        </w:trPr>
        <w:tc>
          <w:tcPr>
            <w:tcW w:w="680" w:type="dxa"/>
            <w:tcBorders>
              <w:top w:val="nil"/>
              <w:left w:val="nil"/>
              <w:bottom w:val="nil"/>
              <w:right w:val="nil"/>
            </w:tcBorders>
            <w:tcMar>
              <w:top w:w="128" w:type="dxa"/>
              <w:left w:w="43" w:type="dxa"/>
              <w:bottom w:w="43" w:type="dxa"/>
              <w:right w:w="43" w:type="dxa"/>
            </w:tcMar>
          </w:tcPr>
          <w:p w14:paraId="1CA2037A" w14:textId="77777777" w:rsidR="00575AC3" w:rsidRPr="006D40F0" w:rsidRDefault="00575AC3" w:rsidP="006D40F0">
            <w:r w:rsidRPr="006D40F0">
              <w:t>414</w:t>
            </w:r>
          </w:p>
        </w:tc>
        <w:tc>
          <w:tcPr>
            <w:tcW w:w="680" w:type="dxa"/>
            <w:tcBorders>
              <w:top w:val="nil"/>
              <w:left w:val="nil"/>
              <w:bottom w:val="nil"/>
              <w:right w:val="nil"/>
            </w:tcBorders>
            <w:tcMar>
              <w:top w:w="128" w:type="dxa"/>
              <w:left w:w="43" w:type="dxa"/>
              <w:bottom w:w="43" w:type="dxa"/>
              <w:right w:w="43" w:type="dxa"/>
            </w:tcMar>
          </w:tcPr>
          <w:p w14:paraId="0E6C116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E3503D" w14:textId="77777777" w:rsidR="00575AC3" w:rsidRPr="006D40F0" w:rsidRDefault="00575AC3" w:rsidP="006D40F0">
            <w:r w:rsidRPr="006D40F0">
              <w:t xml:space="preserve">Forliksråd og andre </w:t>
            </w:r>
            <w:proofErr w:type="spellStart"/>
            <w:r w:rsidRPr="006D40F0">
              <w:t>domsutgifter</w:t>
            </w:r>
            <w:proofErr w:type="spellEnd"/>
            <w:r w:rsidRPr="006D40F0">
              <w:t>:</w:t>
            </w:r>
          </w:p>
        </w:tc>
        <w:tc>
          <w:tcPr>
            <w:tcW w:w="1400" w:type="dxa"/>
            <w:tcBorders>
              <w:top w:val="nil"/>
              <w:left w:val="nil"/>
              <w:bottom w:val="nil"/>
              <w:right w:val="nil"/>
            </w:tcBorders>
            <w:tcMar>
              <w:top w:w="128" w:type="dxa"/>
              <w:left w:w="43" w:type="dxa"/>
              <w:bottom w:w="43" w:type="dxa"/>
              <w:right w:w="43" w:type="dxa"/>
            </w:tcMar>
            <w:vAlign w:val="bottom"/>
          </w:tcPr>
          <w:p w14:paraId="458A0F20" w14:textId="77777777" w:rsidR="00575AC3" w:rsidRPr="006D40F0" w:rsidRDefault="00575AC3" w:rsidP="006D40F0"/>
        </w:tc>
      </w:tr>
      <w:tr w:rsidR="00DD49A7" w:rsidRPr="006D40F0" w14:paraId="1DE5A891" w14:textId="77777777">
        <w:trPr>
          <w:trHeight w:val="380"/>
        </w:trPr>
        <w:tc>
          <w:tcPr>
            <w:tcW w:w="680" w:type="dxa"/>
            <w:tcBorders>
              <w:top w:val="nil"/>
              <w:left w:val="nil"/>
              <w:bottom w:val="nil"/>
              <w:right w:val="nil"/>
            </w:tcBorders>
            <w:tcMar>
              <w:top w:w="128" w:type="dxa"/>
              <w:left w:w="43" w:type="dxa"/>
              <w:bottom w:w="43" w:type="dxa"/>
              <w:right w:w="43" w:type="dxa"/>
            </w:tcMar>
          </w:tcPr>
          <w:p w14:paraId="43AFBF3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4834A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5185B3C"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270D699" w14:textId="77777777" w:rsidR="00575AC3" w:rsidRPr="006D40F0" w:rsidRDefault="00575AC3" w:rsidP="006D40F0">
            <w:r w:rsidRPr="006D40F0">
              <w:t>4 062 000</w:t>
            </w:r>
          </w:p>
        </w:tc>
      </w:tr>
      <w:tr w:rsidR="00DD49A7" w:rsidRPr="006D40F0" w14:paraId="57973CFB" w14:textId="77777777">
        <w:trPr>
          <w:trHeight w:val="380"/>
        </w:trPr>
        <w:tc>
          <w:tcPr>
            <w:tcW w:w="680" w:type="dxa"/>
            <w:tcBorders>
              <w:top w:val="nil"/>
              <w:left w:val="nil"/>
              <w:bottom w:val="nil"/>
              <w:right w:val="nil"/>
            </w:tcBorders>
            <w:tcMar>
              <w:top w:w="128" w:type="dxa"/>
              <w:left w:w="43" w:type="dxa"/>
              <w:bottom w:w="43" w:type="dxa"/>
              <w:right w:w="43" w:type="dxa"/>
            </w:tcMar>
          </w:tcPr>
          <w:p w14:paraId="0E8075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1F096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EB825CE" w14:textId="77777777" w:rsidR="00575AC3" w:rsidRPr="006D40F0" w:rsidRDefault="00575AC3" w:rsidP="006D40F0">
            <w:r w:rsidRPr="006D40F0">
              <w:t>fra kr 352 425 000 til kr 356 487 000</w:t>
            </w:r>
          </w:p>
        </w:tc>
        <w:tc>
          <w:tcPr>
            <w:tcW w:w="1400" w:type="dxa"/>
            <w:tcBorders>
              <w:top w:val="nil"/>
              <w:left w:val="nil"/>
              <w:bottom w:val="nil"/>
              <w:right w:val="nil"/>
            </w:tcBorders>
            <w:tcMar>
              <w:top w:w="128" w:type="dxa"/>
              <w:left w:w="43" w:type="dxa"/>
              <w:bottom w:w="43" w:type="dxa"/>
              <w:right w:w="43" w:type="dxa"/>
            </w:tcMar>
            <w:vAlign w:val="bottom"/>
          </w:tcPr>
          <w:p w14:paraId="098F4002" w14:textId="77777777" w:rsidR="00575AC3" w:rsidRPr="006D40F0" w:rsidRDefault="00575AC3" w:rsidP="006D40F0"/>
        </w:tc>
      </w:tr>
      <w:tr w:rsidR="00DD49A7" w:rsidRPr="006D40F0" w14:paraId="35B3582C" w14:textId="77777777">
        <w:trPr>
          <w:trHeight w:val="380"/>
        </w:trPr>
        <w:tc>
          <w:tcPr>
            <w:tcW w:w="680" w:type="dxa"/>
            <w:tcBorders>
              <w:top w:val="nil"/>
              <w:left w:val="nil"/>
              <w:bottom w:val="nil"/>
              <w:right w:val="nil"/>
            </w:tcBorders>
            <w:tcMar>
              <w:top w:w="128" w:type="dxa"/>
              <w:left w:w="43" w:type="dxa"/>
              <w:bottom w:w="43" w:type="dxa"/>
              <w:right w:w="43" w:type="dxa"/>
            </w:tcMar>
          </w:tcPr>
          <w:p w14:paraId="600B421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F49068"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354A3E7" w14:textId="77777777" w:rsidR="00575AC3" w:rsidRPr="006D40F0" w:rsidRDefault="00575AC3" w:rsidP="006D40F0">
            <w:r w:rsidRPr="006D40F0">
              <w:t>Spesielle 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1207848" w14:textId="77777777" w:rsidR="00575AC3" w:rsidRPr="006D40F0" w:rsidRDefault="00575AC3" w:rsidP="006D40F0">
            <w:r w:rsidRPr="006D40F0">
              <w:t>488 000</w:t>
            </w:r>
          </w:p>
        </w:tc>
      </w:tr>
      <w:tr w:rsidR="00DD49A7" w:rsidRPr="006D40F0" w14:paraId="03C04F30" w14:textId="77777777">
        <w:trPr>
          <w:trHeight w:val="380"/>
        </w:trPr>
        <w:tc>
          <w:tcPr>
            <w:tcW w:w="680" w:type="dxa"/>
            <w:tcBorders>
              <w:top w:val="nil"/>
              <w:left w:val="nil"/>
              <w:bottom w:val="nil"/>
              <w:right w:val="nil"/>
            </w:tcBorders>
            <w:tcMar>
              <w:top w:w="128" w:type="dxa"/>
              <w:left w:w="43" w:type="dxa"/>
              <w:bottom w:w="43" w:type="dxa"/>
              <w:right w:w="43" w:type="dxa"/>
            </w:tcMar>
          </w:tcPr>
          <w:p w14:paraId="3C4A5DB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F8EA4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406841" w14:textId="77777777" w:rsidR="00575AC3" w:rsidRPr="006D40F0" w:rsidRDefault="00575AC3" w:rsidP="006D40F0">
            <w:r w:rsidRPr="006D40F0">
              <w:t>fra kr 44 461 000 til kr 44 949 000</w:t>
            </w:r>
          </w:p>
        </w:tc>
        <w:tc>
          <w:tcPr>
            <w:tcW w:w="1400" w:type="dxa"/>
            <w:tcBorders>
              <w:top w:val="nil"/>
              <w:left w:val="nil"/>
              <w:bottom w:val="nil"/>
              <w:right w:val="nil"/>
            </w:tcBorders>
            <w:tcMar>
              <w:top w:w="128" w:type="dxa"/>
              <w:left w:w="43" w:type="dxa"/>
              <w:bottom w:w="43" w:type="dxa"/>
              <w:right w:w="43" w:type="dxa"/>
            </w:tcMar>
            <w:vAlign w:val="bottom"/>
          </w:tcPr>
          <w:p w14:paraId="2CEC63E0" w14:textId="77777777" w:rsidR="00575AC3" w:rsidRPr="006D40F0" w:rsidRDefault="00575AC3" w:rsidP="006D40F0"/>
        </w:tc>
      </w:tr>
      <w:tr w:rsidR="00DD49A7" w:rsidRPr="006D40F0" w14:paraId="0182E3C4" w14:textId="77777777">
        <w:trPr>
          <w:trHeight w:val="380"/>
        </w:trPr>
        <w:tc>
          <w:tcPr>
            <w:tcW w:w="680" w:type="dxa"/>
            <w:tcBorders>
              <w:top w:val="nil"/>
              <w:left w:val="nil"/>
              <w:bottom w:val="nil"/>
              <w:right w:val="nil"/>
            </w:tcBorders>
            <w:tcMar>
              <w:top w:w="128" w:type="dxa"/>
              <w:left w:w="43" w:type="dxa"/>
              <w:bottom w:w="43" w:type="dxa"/>
              <w:right w:w="43" w:type="dxa"/>
            </w:tcMar>
          </w:tcPr>
          <w:p w14:paraId="03AA8A81" w14:textId="77777777" w:rsidR="00575AC3" w:rsidRPr="006D40F0" w:rsidRDefault="00575AC3" w:rsidP="006D40F0">
            <w:r w:rsidRPr="006D40F0">
              <w:t>430</w:t>
            </w:r>
          </w:p>
        </w:tc>
        <w:tc>
          <w:tcPr>
            <w:tcW w:w="680" w:type="dxa"/>
            <w:tcBorders>
              <w:top w:val="nil"/>
              <w:left w:val="nil"/>
              <w:bottom w:val="nil"/>
              <w:right w:val="nil"/>
            </w:tcBorders>
            <w:tcMar>
              <w:top w:w="128" w:type="dxa"/>
              <w:left w:w="43" w:type="dxa"/>
              <w:bottom w:w="43" w:type="dxa"/>
              <w:right w:w="43" w:type="dxa"/>
            </w:tcMar>
          </w:tcPr>
          <w:p w14:paraId="409034D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478B2B" w14:textId="77777777" w:rsidR="00575AC3" w:rsidRPr="006D40F0" w:rsidRDefault="00575AC3" w:rsidP="006D40F0">
            <w:r w:rsidRPr="006D40F0">
              <w:t>Kriminalomsorgen:</w:t>
            </w:r>
          </w:p>
        </w:tc>
        <w:tc>
          <w:tcPr>
            <w:tcW w:w="1400" w:type="dxa"/>
            <w:tcBorders>
              <w:top w:val="nil"/>
              <w:left w:val="nil"/>
              <w:bottom w:val="nil"/>
              <w:right w:val="nil"/>
            </w:tcBorders>
            <w:tcMar>
              <w:top w:w="128" w:type="dxa"/>
              <w:left w:w="43" w:type="dxa"/>
              <w:bottom w:w="43" w:type="dxa"/>
              <w:right w:w="43" w:type="dxa"/>
            </w:tcMar>
            <w:vAlign w:val="bottom"/>
          </w:tcPr>
          <w:p w14:paraId="0EB2EEE1" w14:textId="77777777" w:rsidR="00575AC3" w:rsidRPr="006D40F0" w:rsidRDefault="00575AC3" w:rsidP="006D40F0"/>
        </w:tc>
      </w:tr>
      <w:tr w:rsidR="00DD49A7" w:rsidRPr="006D40F0" w14:paraId="2818CA06" w14:textId="77777777">
        <w:trPr>
          <w:trHeight w:val="380"/>
        </w:trPr>
        <w:tc>
          <w:tcPr>
            <w:tcW w:w="680" w:type="dxa"/>
            <w:tcBorders>
              <w:top w:val="nil"/>
              <w:left w:val="nil"/>
              <w:bottom w:val="nil"/>
              <w:right w:val="nil"/>
            </w:tcBorders>
            <w:tcMar>
              <w:top w:w="128" w:type="dxa"/>
              <w:left w:w="43" w:type="dxa"/>
              <w:bottom w:w="43" w:type="dxa"/>
              <w:right w:w="43" w:type="dxa"/>
            </w:tcMar>
          </w:tcPr>
          <w:p w14:paraId="1568884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400C5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2264C12" w14:textId="77777777" w:rsidR="00575AC3" w:rsidRPr="006D40F0" w:rsidRDefault="00575AC3" w:rsidP="006D40F0">
            <w:r w:rsidRPr="006D40F0">
              <w:t xml:space="preserve">Driftsutgifter, </w:t>
            </w:r>
            <w:r w:rsidRPr="00575AC3">
              <w:rPr>
                <w:rStyle w:val="kursiv"/>
              </w:rPr>
              <w:t>kan nyttes under kap. 431, post 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2412442" w14:textId="77777777" w:rsidR="00575AC3" w:rsidRPr="006D40F0" w:rsidRDefault="00575AC3" w:rsidP="006D40F0">
            <w:r w:rsidRPr="006D40F0">
              <w:t>55 000 000</w:t>
            </w:r>
          </w:p>
        </w:tc>
      </w:tr>
      <w:tr w:rsidR="00DD49A7" w:rsidRPr="006D40F0" w14:paraId="79EE8138" w14:textId="77777777">
        <w:trPr>
          <w:trHeight w:val="380"/>
        </w:trPr>
        <w:tc>
          <w:tcPr>
            <w:tcW w:w="680" w:type="dxa"/>
            <w:tcBorders>
              <w:top w:val="nil"/>
              <w:left w:val="nil"/>
              <w:bottom w:val="nil"/>
              <w:right w:val="nil"/>
            </w:tcBorders>
            <w:tcMar>
              <w:top w:w="128" w:type="dxa"/>
              <w:left w:w="43" w:type="dxa"/>
              <w:bottom w:w="43" w:type="dxa"/>
              <w:right w:w="43" w:type="dxa"/>
            </w:tcMar>
          </w:tcPr>
          <w:p w14:paraId="5A0B1E0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8C925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D70798" w14:textId="77777777" w:rsidR="00575AC3" w:rsidRPr="006D40F0" w:rsidRDefault="00575AC3" w:rsidP="006D40F0">
            <w:r w:rsidRPr="006D40F0">
              <w:t>fra kr 5 556 637 000 til kr 5 611 637 000</w:t>
            </w:r>
          </w:p>
        </w:tc>
        <w:tc>
          <w:tcPr>
            <w:tcW w:w="1400" w:type="dxa"/>
            <w:tcBorders>
              <w:top w:val="nil"/>
              <w:left w:val="nil"/>
              <w:bottom w:val="nil"/>
              <w:right w:val="nil"/>
            </w:tcBorders>
            <w:tcMar>
              <w:top w:w="128" w:type="dxa"/>
              <w:left w:w="43" w:type="dxa"/>
              <w:bottom w:w="43" w:type="dxa"/>
              <w:right w:w="43" w:type="dxa"/>
            </w:tcMar>
            <w:vAlign w:val="bottom"/>
          </w:tcPr>
          <w:p w14:paraId="624B32F3" w14:textId="77777777" w:rsidR="00575AC3" w:rsidRPr="006D40F0" w:rsidRDefault="00575AC3" w:rsidP="006D40F0"/>
        </w:tc>
      </w:tr>
      <w:tr w:rsidR="00DD49A7" w:rsidRPr="006D40F0" w14:paraId="6F82E432" w14:textId="77777777">
        <w:trPr>
          <w:trHeight w:val="380"/>
        </w:trPr>
        <w:tc>
          <w:tcPr>
            <w:tcW w:w="680" w:type="dxa"/>
            <w:tcBorders>
              <w:top w:val="nil"/>
              <w:left w:val="nil"/>
              <w:bottom w:val="nil"/>
              <w:right w:val="nil"/>
            </w:tcBorders>
            <w:tcMar>
              <w:top w:w="128" w:type="dxa"/>
              <w:left w:w="43" w:type="dxa"/>
              <w:bottom w:w="43" w:type="dxa"/>
              <w:right w:w="43" w:type="dxa"/>
            </w:tcMar>
          </w:tcPr>
          <w:p w14:paraId="4DE04597" w14:textId="77777777" w:rsidR="00575AC3" w:rsidRPr="006D40F0" w:rsidRDefault="00575AC3" w:rsidP="006D40F0">
            <w:r w:rsidRPr="006D40F0">
              <w:t>440</w:t>
            </w:r>
          </w:p>
        </w:tc>
        <w:tc>
          <w:tcPr>
            <w:tcW w:w="680" w:type="dxa"/>
            <w:tcBorders>
              <w:top w:val="nil"/>
              <w:left w:val="nil"/>
              <w:bottom w:val="nil"/>
              <w:right w:val="nil"/>
            </w:tcBorders>
            <w:tcMar>
              <w:top w:w="128" w:type="dxa"/>
              <w:left w:w="43" w:type="dxa"/>
              <w:bottom w:w="43" w:type="dxa"/>
              <w:right w:w="43" w:type="dxa"/>
            </w:tcMar>
          </w:tcPr>
          <w:p w14:paraId="2FDAA2A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9D95C2" w14:textId="77777777" w:rsidR="00575AC3" w:rsidRPr="006D40F0" w:rsidRDefault="00575AC3" w:rsidP="006D40F0">
            <w:r w:rsidRPr="006D40F0">
              <w:t>Politiet:</w:t>
            </w:r>
          </w:p>
        </w:tc>
        <w:tc>
          <w:tcPr>
            <w:tcW w:w="1400" w:type="dxa"/>
            <w:tcBorders>
              <w:top w:val="nil"/>
              <w:left w:val="nil"/>
              <w:bottom w:val="nil"/>
              <w:right w:val="nil"/>
            </w:tcBorders>
            <w:tcMar>
              <w:top w:w="128" w:type="dxa"/>
              <w:left w:w="43" w:type="dxa"/>
              <w:bottom w:w="43" w:type="dxa"/>
              <w:right w:w="43" w:type="dxa"/>
            </w:tcMar>
            <w:vAlign w:val="bottom"/>
          </w:tcPr>
          <w:p w14:paraId="4587382D" w14:textId="77777777" w:rsidR="00575AC3" w:rsidRPr="006D40F0" w:rsidRDefault="00575AC3" w:rsidP="006D40F0"/>
        </w:tc>
      </w:tr>
      <w:tr w:rsidR="00DD49A7" w:rsidRPr="006D40F0" w14:paraId="794660E4" w14:textId="77777777">
        <w:trPr>
          <w:trHeight w:val="640"/>
        </w:trPr>
        <w:tc>
          <w:tcPr>
            <w:tcW w:w="680" w:type="dxa"/>
            <w:tcBorders>
              <w:top w:val="nil"/>
              <w:left w:val="nil"/>
              <w:bottom w:val="nil"/>
              <w:right w:val="nil"/>
            </w:tcBorders>
            <w:tcMar>
              <w:top w:w="128" w:type="dxa"/>
              <w:left w:w="43" w:type="dxa"/>
              <w:bottom w:w="43" w:type="dxa"/>
              <w:right w:w="43" w:type="dxa"/>
            </w:tcMar>
          </w:tcPr>
          <w:p w14:paraId="0B7947C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C4643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7450BD5" w14:textId="77777777" w:rsidR="00575AC3" w:rsidRPr="006D40F0" w:rsidRDefault="00575AC3" w:rsidP="006D40F0">
            <w:r w:rsidRPr="006D40F0">
              <w:t xml:space="preserve">Driftsutgifter, </w:t>
            </w:r>
            <w:r w:rsidRPr="00575AC3">
              <w:rPr>
                <w:rStyle w:val="kursiv"/>
              </w:rPr>
              <w:t>kan nyttes under kap. 441, post 1 og kap. 443, post 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EE3EEA1" w14:textId="77777777" w:rsidR="00575AC3" w:rsidRPr="006D40F0" w:rsidRDefault="00575AC3" w:rsidP="006D40F0">
            <w:r w:rsidRPr="006D40F0">
              <w:t>1 782 790 000</w:t>
            </w:r>
          </w:p>
        </w:tc>
      </w:tr>
      <w:tr w:rsidR="00DD49A7" w:rsidRPr="006D40F0" w14:paraId="48DDCC0B" w14:textId="77777777">
        <w:trPr>
          <w:trHeight w:val="380"/>
        </w:trPr>
        <w:tc>
          <w:tcPr>
            <w:tcW w:w="680" w:type="dxa"/>
            <w:tcBorders>
              <w:top w:val="nil"/>
              <w:left w:val="nil"/>
              <w:bottom w:val="nil"/>
              <w:right w:val="nil"/>
            </w:tcBorders>
            <w:tcMar>
              <w:top w:w="128" w:type="dxa"/>
              <w:left w:w="43" w:type="dxa"/>
              <w:bottom w:w="43" w:type="dxa"/>
              <w:right w:w="43" w:type="dxa"/>
            </w:tcMar>
          </w:tcPr>
          <w:p w14:paraId="1BFFF2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138D5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228379" w14:textId="77777777" w:rsidR="00575AC3" w:rsidRPr="006D40F0" w:rsidRDefault="00575AC3" w:rsidP="006D40F0">
            <w:r w:rsidRPr="006D40F0">
              <w:t>fra kr 21 244 548 000 til kr 23 027 338 000</w:t>
            </w:r>
          </w:p>
        </w:tc>
        <w:tc>
          <w:tcPr>
            <w:tcW w:w="1400" w:type="dxa"/>
            <w:tcBorders>
              <w:top w:val="nil"/>
              <w:left w:val="nil"/>
              <w:bottom w:val="nil"/>
              <w:right w:val="nil"/>
            </w:tcBorders>
            <w:tcMar>
              <w:top w:w="128" w:type="dxa"/>
              <w:left w:w="43" w:type="dxa"/>
              <w:bottom w:w="43" w:type="dxa"/>
              <w:right w:w="43" w:type="dxa"/>
            </w:tcMar>
            <w:vAlign w:val="bottom"/>
          </w:tcPr>
          <w:p w14:paraId="391A8143" w14:textId="77777777" w:rsidR="00575AC3" w:rsidRPr="006D40F0" w:rsidRDefault="00575AC3" w:rsidP="006D40F0"/>
        </w:tc>
      </w:tr>
      <w:tr w:rsidR="00DD49A7" w:rsidRPr="006D40F0" w14:paraId="06424DCF" w14:textId="77777777">
        <w:trPr>
          <w:trHeight w:val="640"/>
        </w:trPr>
        <w:tc>
          <w:tcPr>
            <w:tcW w:w="680" w:type="dxa"/>
            <w:tcBorders>
              <w:top w:val="nil"/>
              <w:left w:val="nil"/>
              <w:bottom w:val="nil"/>
              <w:right w:val="nil"/>
            </w:tcBorders>
            <w:tcMar>
              <w:top w:w="128" w:type="dxa"/>
              <w:left w:w="43" w:type="dxa"/>
              <w:bottom w:w="43" w:type="dxa"/>
              <w:right w:w="43" w:type="dxa"/>
            </w:tcMar>
          </w:tcPr>
          <w:p w14:paraId="7FE9A0A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C42A23" w14:textId="77777777" w:rsidR="00575AC3" w:rsidRPr="006D40F0" w:rsidRDefault="00575AC3" w:rsidP="006D40F0">
            <w:r w:rsidRPr="006D40F0">
              <w:t>25</w:t>
            </w:r>
          </w:p>
        </w:tc>
        <w:tc>
          <w:tcPr>
            <w:tcW w:w="6800" w:type="dxa"/>
            <w:tcBorders>
              <w:top w:val="nil"/>
              <w:left w:val="nil"/>
              <w:bottom w:val="nil"/>
              <w:right w:val="nil"/>
            </w:tcBorders>
            <w:tcMar>
              <w:top w:w="128" w:type="dxa"/>
              <w:left w:w="43" w:type="dxa"/>
              <w:bottom w:w="43" w:type="dxa"/>
              <w:right w:w="43" w:type="dxa"/>
            </w:tcMar>
          </w:tcPr>
          <w:p w14:paraId="40915F0D" w14:textId="77777777" w:rsidR="00575AC3" w:rsidRPr="006D40F0" w:rsidRDefault="00575AC3" w:rsidP="006D40F0">
            <w:r w:rsidRPr="006D40F0">
              <w:t>Variable utgifter ved ankomst, mottak og retur i politiets utlendingsforvaltning, forhøyes med</w:t>
            </w:r>
          </w:p>
        </w:tc>
        <w:tc>
          <w:tcPr>
            <w:tcW w:w="1400" w:type="dxa"/>
            <w:tcBorders>
              <w:top w:val="nil"/>
              <w:left w:val="nil"/>
              <w:bottom w:val="nil"/>
              <w:right w:val="nil"/>
            </w:tcBorders>
            <w:tcMar>
              <w:top w:w="128" w:type="dxa"/>
              <w:left w:w="43" w:type="dxa"/>
              <w:bottom w:w="43" w:type="dxa"/>
              <w:right w:w="43" w:type="dxa"/>
            </w:tcMar>
            <w:vAlign w:val="bottom"/>
          </w:tcPr>
          <w:p w14:paraId="23F84380" w14:textId="77777777" w:rsidR="00575AC3" w:rsidRPr="006D40F0" w:rsidRDefault="00575AC3" w:rsidP="006D40F0">
            <w:r w:rsidRPr="006D40F0">
              <w:t>40 774 000</w:t>
            </w:r>
          </w:p>
        </w:tc>
      </w:tr>
      <w:tr w:rsidR="00DD49A7" w:rsidRPr="006D40F0" w14:paraId="1D7AF485" w14:textId="77777777">
        <w:trPr>
          <w:trHeight w:val="380"/>
        </w:trPr>
        <w:tc>
          <w:tcPr>
            <w:tcW w:w="680" w:type="dxa"/>
            <w:tcBorders>
              <w:top w:val="nil"/>
              <w:left w:val="nil"/>
              <w:bottom w:val="nil"/>
              <w:right w:val="nil"/>
            </w:tcBorders>
            <w:tcMar>
              <w:top w:w="128" w:type="dxa"/>
              <w:left w:w="43" w:type="dxa"/>
              <w:bottom w:w="43" w:type="dxa"/>
              <w:right w:w="43" w:type="dxa"/>
            </w:tcMar>
          </w:tcPr>
          <w:p w14:paraId="38AFBC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E0D8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4E8C0D9" w14:textId="77777777" w:rsidR="00575AC3" w:rsidRPr="006D40F0" w:rsidRDefault="00575AC3" w:rsidP="006D40F0">
            <w:r w:rsidRPr="006D40F0">
              <w:t>fra kr 200 184 000 til kr 240 958 000</w:t>
            </w:r>
          </w:p>
        </w:tc>
        <w:tc>
          <w:tcPr>
            <w:tcW w:w="1400" w:type="dxa"/>
            <w:tcBorders>
              <w:top w:val="nil"/>
              <w:left w:val="nil"/>
              <w:bottom w:val="nil"/>
              <w:right w:val="nil"/>
            </w:tcBorders>
            <w:tcMar>
              <w:top w:w="128" w:type="dxa"/>
              <w:left w:w="43" w:type="dxa"/>
              <w:bottom w:w="43" w:type="dxa"/>
              <w:right w:w="43" w:type="dxa"/>
            </w:tcMar>
            <w:vAlign w:val="bottom"/>
          </w:tcPr>
          <w:p w14:paraId="203B4962" w14:textId="77777777" w:rsidR="00575AC3" w:rsidRPr="006D40F0" w:rsidRDefault="00575AC3" w:rsidP="006D40F0"/>
        </w:tc>
      </w:tr>
      <w:tr w:rsidR="00DD49A7" w:rsidRPr="006D40F0" w14:paraId="2E7AE1FE" w14:textId="77777777">
        <w:trPr>
          <w:trHeight w:val="380"/>
        </w:trPr>
        <w:tc>
          <w:tcPr>
            <w:tcW w:w="680" w:type="dxa"/>
            <w:tcBorders>
              <w:top w:val="nil"/>
              <w:left w:val="nil"/>
              <w:bottom w:val="nil"/>
              <w:right w:val="nil"/>
            </w:tcBorders>
            <w:tcMar>
              <w:top w:w="128" w:type="dxa"/>
              <w:left w:w="43" w:type="dxa"/>
              <w:bottom w:w="43" w:type="dxa"/>
              <w:right w:w="43" w:type="dxa"/>
            </w:tcMar>
          </w:tcPr>
          <w:p w14:paraId="110343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40326D"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4ADB65A6"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DD77A47" w14:textId="77777777" w:rsidR="00575AC3" w:rsidRPr="006D40F0" w:rsidRDefault="00575AC3" w:rsidP="006D40F0">
            <w:r w:rsidRPr="006D40F0">
              <w:t>11 000 000</w:t>
            </w:r>
          </w:p>
        </w:tc>
      </w:tr>
      <w:tr w:rsidR="00DD49A7" w:rsidRPr="006D40F0" w14:paraId="21832E10" w14:textId="77777777">
        <w:trPr>
          <w:trHeight w:val="380"/>
        </w:trPr>
        <w:tc>
          <w:tcPr>
            <w:tcW w:w="680" w:type="dxa"/>
            <w:tcBorders>
              <w:top w:val="nil"/>
              <w:left w:val="nil"/>
              <w:bottom w:val="nil"/>
              <w:right w:val="nil"/>
            </w:tcBorders>
            <w:tcMar>
              <w:top w:w="128" w:type="dxa"/>
              <w:left w:w="43" w:type="dxa"/>
              <w:bottom w:w="43" w:type="dxa"/>
              <w:right w:w="43" w:type="dxa"/>
            </w:tcMar>
          </w:tcPr>
          <w:p w14:paraId="3B3C8BD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CD84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3589B72" w14:textId="77777777" w:rsidR="00575AC3" w:rsidRPr="006D40F0" w:rsidRDefault="00575AC3" w:rsidP="006D40F0">
            <w:r w:rsidRPr="006D40F0">
              <w:t>fra kr 12 617 000 til kr 23 617 000</w:t>
            </w:r>
          </w:p>
        </w:tc>
        <w:tc>
          <w:tcPr>
            <w:tcW w:w="1400" w:type="dxa"/>
            <w:tcBorders>
              <w:top w:val="nil"/>
              <w:left w:val="nil"/>
              <w:bottom w:val="nil"/>
              <w:right w:val="nil"/>
            </w:tcBorders>
            <w:tcMar>
              <w:top w:w="128" w:type="dxa"/>
              <w:left w:w="43" w:type="dxa"/>
              <w:bottom w:w="43" w:type="dxa"/>
              <w:right w:w="43" w:type="dxa"/>
            </w:tcMar>
            <w:vAlign w:val="bottom"/>
          </w:tcPr>
          <w:p w14:paraId="49501D5C" w14:textId="77777777" w:rsidR="00575AC3" w:rsidRPr="006D40F0" w:rsidRDefault="00575AC3" w:rsidP="006D40F0"/>
        </w:tc>
      </w:tr>
      <w:tr w:rsidR="00DD49A7" w:rsidRPr="006D40F0" w14:paraId="1A6D68CA" w14:textId="77777777">
        <w:trPr>
          <w:trHeight w:val="380"/>
        </w:trPr>
        <w:tc>
          <w:tcPr>
            <w:tcW w:w="680" w:type="dxa"/>
            <w:tcBorders>
              <w:top w:val="nil"/>
              <w:left w:val="nil"/>
              <w:bottom w:val="nil"/>
              <w:right w:val="nil"/>
            </w:tcBorders>
            <w:tcMar>
              <w:top w:w="128" w:type="dxa"/>
              <w:left w:w="43" w:type="dxa"/>
              <w:bottom w:w="43" w:type="dxa"/>
              <w:right w:w="43" w:type="dxa"/>
            </w:tcMar>
          </w:tcPr>
          <w:p w14:paraId="408AD4E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16B1DB" w14:textId="77777777" w:rsidR="00575AC3" w:rsidRPr="006D40F0" w:rsidRDefault="00575AC3" w:rsidP="006D40F0">
            <w:r w:rsidRPr="006D40F0">
              <w:t>46</w:t>
            </w:r>
          </w:p>
        </w:tc>
        <w:tc>
          <w:tcPr>
            <w:tcW w:w="6800" w:type="dxa"/>
            <w:tcBorders>
              <w:top w:val="nil"/>
              <w:left w:val="nil"/>
              <w:bottom w:val="nil"/>
              <w:right w:val="nil"/>
            </w:tcBorders>
            <w:tcMar>
              <w:top w:w="128" w:type="dxa"/>
              <w:left w:w="43" w:type="dxa"/>
              <w:bottom w:w="43" w:type="dxa"/>
              <w:right w:w="43" w:type="dxa"/>
            </w:tcMar>
          </w:tcPr>
          <w:p w14:paraId="66B1F5C6" w14:textId="77777777" w:rsidR="00575AC3" w:rsidRPr="006D40F0" w:rsidRDefault="00575AC3" w:rsidP="006D40F0">
            <w:r w:rsidRPr="006D40F0">
              <w:t xml:space="preserve">Investeringer i Schengen IT-systemer,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42E9741" w14:textId="77777777" w:rsidR="00575AC3" w:rsidRPr="006D40F0" w:rsidRDefault="00575AC3" w:rsidP="006D40F0">
            <w:r w:rsidRPr="006D40F0">
              <w:t>99 280 000</w:t>
            </w:r>
          </w:p>
        </w:tc>
      </w:tr>
      <w:tr w:rsidR="00DD49A7" w:rsidRPr="006D40F0" w14:paraId="780F4368" w14:textId="77777777">
        <w:trPr>
          <w:trHeight w:val="380"/>
        </w:trPr>
        <w:tc>
          <w:tcPr>
            <w:tcW w:w="680" w:type="dxa"/>
            <w:tcBorders>
              <w:top w:val="nil"/>
              <w:left w:val="nil"/>
              <w:bottom w:val="nil"/>
              <w:right w:val="nil"/>
            </w:tcBorders>
            <w:tcMar>
              <w:top w:w="128" w:type="dxa"/>
              <w:left w:w="43" w:type="dxa"/>
              <w:bottom w:w="43" w:type="dxa"/>
              <w:right w:w="43" w:type="dxa"/>
            </w:tcMar>
          </w:tcPr>
          <w:p w14:paraId="7259CE7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53B2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E2ADB5" w14:textId="77777777" w:rsidR="00575AC3" w:rsidRPr="006D40F0" w:rsidRDefault="00575AC3" w:rsidP="006D40F0">
            <w:r w:rsidRPr="006D40F0">
              <w:t>fra kr 195 294 000 til kr 96 014 000</w:t>
            </w:r>
          </w:p>
        </w:tc>
        <w:tc>
          <w:tcPr>
            <w:tcW w:w="1400" w:type="dxa"/>
            <w:tcBorders>
              <w:top w:val="nil"/>
              <w:left w:val="nil"/>
              <w:bottom w:val="nil"/>
              <w:right w:val="nil"/>
            </w:tcBorders>
            <w:tcMar>
              <w:top w:w="128" w:type="dxa"/>
              <w:left w:w="43" w:type="dxa"/>
              <w:bottom w:w="43" w:type="dxa"/>
              <w:right w:w="43" w:type="dxa"/>
            </w:tcMar>
            <w:vAlign w:val="bottom"/>
          </w:tcPr>
          <w:p w14:paraId="4E2EE4E0" w14:textId="77777777" w:rsidR="00575AC3" w:rsidRPr="006D40F0" w:rsidRDefault="00575AC3" w:rsidP="006D40F0"/>
        </w:tc>
      </w:tr>
      <w:tr w:rsidR="00DD49A7" w:rsidRPr="006D40F0" w14:paraId="6F858C20" w14:textId="77777777">
        <w:trPr>
          <w:trHeight w:val="640"/>
        </w:trPr>
        <w:tc>
          <w:tcPr>
            <w:tcW w:w="680" w:type="dxa"/>
            <w:tcBorders>
              <w:top w:val="nil"/>
              <w:left w:val="nil"/>
              <w:bottom w:val="nil"/>
              <w:right w:val="nil"/>
            </w:tcBorders>
            <w:tcMar>
              <w:top w:w="128" w:type="dxa"/>
              <w:left w:w="43" w:type="dxa"/>
              <w:bottom w:w="43" w:type="dxa"/>
              <w:right w:w="43" w:type="dxa"/>
            </w:tcMar>
          </w:tcPr>
          <w:p w14:paraId="7C99EB6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E8F416" w14:textId="77777777" w:rsidR="00575AC3" w:rsidRPr="006D40F0" w:rsidRDefault="00575AC3" w:rsidP="006D40F0">
            <w:r w:rsidRPr="006D40F0">
              <w:t>48</w:t>
            </w:r>
          </w:p>
        </w:tc>
        <w:tc>
          <w:tcPr>
            <w:tcW w:w="6800" w:type="dxa"/>
            <w:tcBorders>
              <w:top w:val="nil"/>
              <w:left w:val="nil"/>
              <w:bottom w:val="nil"/>
              <w:right w:val="nil"/>
            </w:tcBorders>
            <w:tcMar>
              <w:top w:w="128" w:type="dxa"/>
              <w:left w:w="43" w:type="dxa"/>
              <w:bottom w:w="43" w:type="dxa"/>
              <w:right w:w="43" w:type="dxa"/>
            </w:tcMar>
          </w:tcPr>
          <w:p w14:paraId="7EE8BAD8" w14:textId="77777777" w:rsidR="00575AC3" w:rsidRPr="006D40F0" w:rsidRDefault="00575AC3" w:rsidP="006D40F0">
            <w:r w:rsidRPr="006D40F0">
              <w:t xml:space="preserve">Tildeling fra EUs grense- og visumfinansieringsordninger,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154DBEB" w14:textId="77777777" w:rsidR="00575AC3" w:rsidRPr="006D40F0" w:rsidRDefault="00575AC3" w:rsidP="006D40F0">
            <w:r w:rsidRPr="006D40F0">
              <w:t>45 100 000</w:t>
            </w:r>
          </w:p>
        </w:tc>
      </w:tr>
      <w:tr w:rsidR="00DD49A7" w:rsidRPr="006D40F0" w14:paraId="023DEE5F" w14:textId="77777777">
        <w:trPr>
          <w:trHeight w:val="380"/>
        </w:trPr>
        <w:tc>
          <w:tcPr>
            <w:tcW w:w="680" w:type="dxa"/>
            <w:tcBorders>
              <w:top w:val="nil"/>
              <w:left w:val="nil"/>
              <w:bottom w:val="nil"/>
              <w:right w:val="nil"/>
            </w:tcBorders>
            <w:tcMar>
              <w:top w:w="128" w:type="dxa"/>
              <w:left w:w="43" w:type="dxa"/>
              <w:bottom w:w="43" w:type="dxa"/>
              <w:right w:w="43" w:type="dxa"/>
            </w:tcMar>
          </w:tcPr>
          <w:p w14:paraId="715DAB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9A5A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9975622" w14:textId="77777777" w:rsidR="00575AC3" w:rsidRPr="006D40F0" w:rsidRDefault="00575AC3" w:rsidP="006D40F0">
            <w:r w:rsidRPr="006D40F0">
              <w:t>fra kr 209 210 000 til kr 164 110 000</w:t>
            </w:r>
          </w:p>
        </w:tc>
        <w:tc>
          <w:tcPr>
            <w:tcW w:w="1400" w:type="dxa"/>
            <w:tcBorders>
              <w:top w:val="nil"/>
              <w:left w:val="nil"/>
              <w:bottom w:val="nil"/>
              <w:right w:val="nil"/>
            </w:tcBorders>
            <w:tcMar>
              <w:top w:w="128" w:type="dxa"/>
              <w:left w:w="43" w:type="dxa"/>
              <w:bottom w:w="43" w:type="dxa"/>
              <w:right w:w="43" w:type="dxa"/>
            </w:tcMar>
            <w:vAlign w:val="bottom"/>
          </w:tcPr>
          <w:p w14:paraId="0DD0118C" w14:textId="77777777" w:rsidR="00575AC3" w:rsidRPr="006D40F0" w:rsidRDefault="00575AC3" w:rsidP="006D40F0"/>
        </w:tc>
      </w:tr>
      <w:tr w:rsidR="00DD49A7" w:rsidRPr="006D40F0" w14:paraId="5C0E98AD" w14:textId="77777777">
        <w:trPr>
          <w:trHeight w:val="380"/>
        </w:trPr>
        <w:tc>
          <w:tcPr>
            <w:tcW w:w="680" w:type="dxa"/>
            <w:tcBorders>
              <w:top w:val="nil"/>
              <w:left w:val="nil"/>
              <w:bottom w:val="nil"/>
              <w:right w:val="nil"/>
            </w:tcBorders>
            <w:tcMar>
              <w:top w:w="128" w:type="dxa"/>
              <w:left w:w="43" w:type="dxa"/>
              <w:bottom w:w="43" w:type="dxa"/>
              <w:right w:w="43" w:type="dxa"/>
            </w:tcMar>
          </w:tcPr>
          <w:p w14:paraId="1CEE6311" w14:textId="77777777" w:rsidR="00575AC3" w:rsidRPr="006D40F0" w:rsidRDefault="00575AC3" w:rsidP="006D40F0">
            <w:r w:rsidRPr="006D40F0">
              <w:t>441</w:t>
            </w:r>
          </w:p>
        </w:tc>
        <w:tc>
          <w:tcPr>
            <w:tcW w:w="680" w:type="dxa"/>
            <w:tcBorders>
              <w:top w:val="nil"/>
              <w:left w:val="nil"/>
              <w:bottom w:val="nil"/>
              <w:right w:val="nil"/>
            </w:tcBorders>
            <w:tcMar>
              <w:top w:w="128" w:type="dxa"/>
              <w:left w:w="43" w:type="dxa"/>
              <w:bottom w:w="43" w:type="dxa"/>
              <w:right w:w="43" w:type="dxa"/>
            </w:tcMar>
          </w:tcPr>
          <w:p w14:paraId="005B51A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575EC9" w14:textId="77777777" w:rsidR="00575AC3" w:rsidRPr="006D40F0" w:rsidRDefault="00575AC3" w:rsidP="006D40F0">
            <w:r w:rsidRPr="006D40F0">
              <w:t>Politidirektoratet:</w:t>
            </w:r>
          </w:p>
        </w:tc>
        <w:tc>
          <w:tcPr>
            <w:tcW w:w="1400" w:type="dxa"/>
            <w:tcBorders>
              <w:top w:val="nil"/>
              <w:left w:val="nil"/>
              <w:bottom w:val="nil"/>
              <w:right w:val="nil"/>
            </w:tcBorders>
            <w:tcMar>
              <w:top w:w="128" w:type="dxa"/>
              <w:left w:w="43" w:type="dxa"/>
              <w:bottom w:w="43" w:type="dxa"/>
              <w:right w:w="43" w:type="dxa"/>
            </w:tcMar>
            <w:vAlign w:val="bottom"/>
          </w:tcPr>
          <w:p w14:paraId="14DC21EF" w14:textId="77777777" w:rsidR="00575AC3" w:rsidRPr="006D40F0" w:rsidRDefault="00575AC3" w:rsidP="006D40F0"/>
        </w:tc>
      </w:tr>
      <w:tr w:rsidR="00DD49A7" w:rsidRPr="006D40F0" w14:paraId="69B5C019" w14:textId="77777777">
        <w:trPr>
          <w:trHeight w:val="380"/>
        </w:trPr>
        <w:tc>
          <w:tcPr>
            <w:tcW w:w="680" w:type="dxa"/>
            <w:tcBorders>
              <w:top w:val="nil"/>
              <w:left w:val="nil"/>
              <w:bottom w:val="nil"/>
              <w:right w:val="nil"/>
            </w:tcBorders>
            <w:tcMar>
              <w:top w:w="128" w:type="dxa"/>
              <w:left w:w="43" w:type="dxa"/>
              <w:bottom w:w="43" w:type="dxa"/>
              <w:right w:w="43" w:type="dxa"/>
            </w:tcMar>
          </w:tcPr>
          <w:p w14:paraId="3704104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F1F93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AF2A95E" w14:textId="77777777" w:rsidR="00575AC3" w:rsidRPr="006D40F0" w:rsidRDefault="00575AC3" w:rsidP="006D40F0">
            <w:r w:rsidRPr="006D40F0">
              <w:t xml:space="preserve">Driftsutgifter, </w:t>
            </w:r>
            <w:r w:rsidRPr="00575AC3">
              <w:rPr>
                <w:rStyle w:val="kursiv"/>
              </w:rPr>
              <w:t>kan nyttes under kap. 440, post 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A5854B0" w14:textId="77777777" w:rsidR="00575AC3" w:rsidRPr="006D40F0" w:rsidRDefault="00575AC3" w:rsidP="006D40F0">
            <w:r w:rsidRPr="006D40F0">
              <w:t>8 625 000</w:t>
            </w:r>
          </w:p>
        </w:tc>
      </w:tr>
      <w:tr w:rsidR="00DD49A7" w:rsidRPr="006D40F0" w14:paraId="7A9EE455" w14:textId="77777777">
        <w:trPr>
          <w:trHeight w:val="380"/>
        </w:trPr>
        <w:tc>
          <w:tcPr>
            <w:tcW w:w="680" w:type="dxa"/>
            <w:tcBorders>
              <w:top w:val="nil"/>
              <w:left w:val="nil"/>
              <w:bottom w:val="nil"/>
              <w:right w:val="nil"/>
            </w:tcBorders>
            <w:tcMar>
              <w:top w:w="128" w:type="dxa"/>
              <w:left w:w="43" w:type="dxa"/>
              <w:bottom w:w="43" w:type="dxa"/>
              <w:right w:w="43" w:type="dxa"/>
            </w:tcMar>
          </w:tcPr>
          <w:p w14:paraId="7C9768F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A24BB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8401EC7" w14:textId="77777777" w:rsidR="00575AC3" w:rsidRPr="006D40F0" w:rsidRDefault="00575AC3" w:rsidP="006D40F0">
            <w:r w:rsidRPr="006D40F0">
              <w:t>fra kr 382 659 000 til kr 374 034 000</w:t>
            </w:r>
          </w:p>
        </w:tc>
        <w:tc>
          <w:tcPr>
            <w:tcW w:w="1400" w:type="dxa"/>
            <w:tcBorders>
              <w:top w:val="nil"/>
              <w:left w:val="nil"/>
              <w:bottom w:val="nil"/>
              <w:right w:val="nil"/>
            </w:tcBorders>
            <w:tcMar>
              <w:top w:w="128" w:type="dxa"/>
              <w:left w:w="43" w:type="dxa"/>
              <w:bottom w:w="43" w:type="dxa"/>
              <w:right w:w="43" w:type="dxa"/>
            </w:tcMar>
            <w:vAlign w:val="bottom"/>
          </w:tcPr>
          <w:p w14:paraId="1EE9639B" w14:textId="77777777" w:rsidR="00575AC3" w:rsidRPr="006D40F0" w:rsidRDefault="00575AC3" w:rsidP="006D40F0"/>
        </w:tc>
      </w:tr>
      <w:tr w:rsidR="00DD49A7" w:rsidRPr="006D40F0" w14:paraId="69B78D63" w14:textId="77777777">
        <w:trPr>
          <w:trHeight w:val="380"/>
        </w:trPr>
        <w:tc>
          <w:tcPr>
            <w:tcW w:w="680" w:type="dxa"/>
            <w:tcBorders>
              <w:top w:val="nil"/>
              <w:left w:val="nil"/>
              <w:bottom w:val="nil"/>
              <w:right w:val="nil"/>
            </w:tcBorders>
            <w:tcMar>
              <w:top w:w="128" w:type="dxa"/>
              <w:left w:w="43" w:type="dxa"/>
              <w:bottom w:w="43" w:type="dxa"/>
              <w:right w:w="43" w:type="dxa"/>
            </w:tcMar>
          </w:tcPr>
          <w:p w14:paraId="3CAA8578" w14:textId="77777777" w:rsidR="00575AC3" w:rsidRPr="006D40F0" w:rsidRDefault="00575AC3" w:rsidP="006D40F0">
            <w:r w:rsidRPr="006D40F0">
              <w:t>442</w:t>
            </w:r>
          </w:p>
        </w:tc>
        <w:tc>
          <w:tcPr>
            <w:tcW w:w="680" w:type="dxa"/>
            <w:tcBorders>
              <w:top w:val="nil"/>
              <w:left w:val="nil"/>
              <w:bottom w:val="nil"/>
              <w:right w:val="nil"/>
            </w:tcBorders>
            <w:tcMar>
              <w:top w:w="128" w:type="dxa"/>
              <w:left w:w="43" w:type="dxa"/>
              <w:bottom w:w="43" w:type="dxa"/>
              <w:right w:w="43" w:type="dxa"/>
            </w:tcMar>
          </w:tcPr>
          <w:p w14:paraId="74CF185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E5DA4F" w14:textId="77777777" w:rsidR="00575AC3" w:rsidRPr="006D40F0" w:rsidRDefault="00575AC3" w:rsidP="006D40F0">
            <w:r w:rsidRPr="006D40F0">
              <w:t>Politihøgskolen:</w:t>
            </w:r>
          </w:p>
        </w:tc>
        <w:tc>
          <w:tcPr>
            <w:tcW w:w="1400" w:type="dxa"/>
            <w:tcBorders>
              <w:top w:val="nil"/>
              <w:left w:val="nil"/>
              <w:bottom w:val="nil"/>
              <w:right w:val="nil"/>
            </w:tcBorders>
            <w:tcMar>
              <w:top w:w="128" w:type="dxa"/>
              <w:left w:w="43" w:type="dxa"/>
              <w:bottom w:w="43" w:type="dxa"/>
              <w:right w:w="43" w:type="dxa"/>
            </w:tcMar>
            <w:vAlign w:val="bottom"/>
          </w:tcPr>
          <w:p w14:paraId="57F4E9BB" w14:textId="77777777" w:rsidR="00575AC3" w:rsidRPr="006D40F0" w:rsidRDefault="00575AC3" w:rsidP="006D40F0"/>
        </w:tc>
      </w:tr>
      <w:tr w:rsidR="00DD49A7" w:rsidRPr="006D40F0" w14:paraId="0C4756B4" w14:textId="77777777">
        <w:trPr>
          <w:trHeight w:val="380"/>
        </w:trPr>
        <w:tc>
          <w:tcPr>
            <w:tcW w:w="680" w:type="dxa"/>
            <w:tcBorders>
              <w:top w:val="nil"/>
              <w:left w:val="nil"/>
              <w:bottom w:val="nil"/>
              <w:right w:val="nil"/>
            </w:tcBorders>
            <w:tcMar>
              <w:top w:w="128" w:type="dxa"/>
              <w:left w:w="43" w:type="dxa"/>
              <w:bottom w:w="43" w:type="dxa"/>
              <w:right w:w="43" w:type="dxa"/>
            </w:tcMar>
          </w:tcPr>
          <w:p w14:paraId="41B802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4D8BC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8F78AC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B941DC8" w14:textId="77777777" w:rsidR="00575AC3" w:rsidRPr="006D40F0" w:rsidRDefault="00575AC3" w:rsidP="006D40F0">
            <w:r w:rsidRPr="006D40F0">
              <w:t>735 000</w:t>
            </w:r>
          </w:p>
        </w:tc>
      </w:tr>
      <w:tr w:rsidR="00DD49A7" w:rsidRPr="006D40F0" w14:paraId="785E3390" w14:textId="77777777">
        <w:trPr>
          <w:trHeight w:val="380"/>
        </w:trPr>
        <w:tc>
          <w:tcPr>
            <w:tcW w:w="680" w:type="dxa"/>
            <w:tcBorders>
              <w:top w:val="nil"/>
              <w:left w:val="nil"/>
              <w:bottom w:val="nil"/>
              <w:right w:val="nil"/>
            </w:tcBorders>
            <w:tcMar>
              <w:top w:w="128" w:type="dxa"/>
              <w:left w:w="43" w:type="dxa"/>
              <w:bottom w:w="43" w:type="dxa"/>
              <w:right w:w="43" w:type="dxa"/>
            </w:tcMar>
          </w:tcPr>
          <w:p w14:paraId="27D5F11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8EAD9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A6301A" w14:textId="77777777" w:rsidR="00575AC3" w:rsidRPr="006D40F0" w:rsidRDefault="00575AC3" w:rsidP="006D40F0">
            <w:r w:rsidRPr="006D40F0">
              <w:t>fra kr 689 124 000 til kr 689 859 000</w:t>
            </w:r>
          </w:p>
        </w:tc>
        <w:tc>
          <w:tcPr>
            <w:tcW w:w="1400" w:type="dxa"/>
            <w:tcBorders>
              <w:top w:val="nil"/>
              <w:left w:val="nil"/>
              <w:bottom w:val="nil"/>
              <w:right w:val="nil"/>
            </w:tcBorders>
            <w:tcMar>
              <w:top w:w="128" w:type="dxa"/>
              <w:left w:w="43" w:type="dxa"/>
              <w:bottom w:w="43" w:type="dxa"/>
              <w:right w:w="43" w:type="dxa"/>
            </w:tcMar>
            <w:vAlign w:val="bottom"/>
          </w:tcPr>
          <w:p w14:paraId="4B9042C4" w14:textId="77777777" w:rsidR="00575AC3" w:rsidRPr="006D40F0" w:rsidRDefault="00575AC3" w:rsidP="006D40F0"/>
        </w:tc>
      </w:tr>
      <w:tr w:rsidR="00DD49A7" w:rsidRPr="006D40F0" w14:paraId="749F6ECF" w14:textId="77777777">
        <w:trPr>
          <w:trHeight w:val="380"/>
        </w:trPr>
        <w:tc>
          <w:tcPr>
            <w:tcW w:w="680" w:type="dxa"/>
            <w:tcBorders>
              <w:top w:val="nil"/>
              <w:left w:val="nil"/>
              <w:bottom w:val="nil"/>
              <w:right w:val="nil"/>
            </w:tcBorders>
            <w:tcMar>
              <w:top w:w="128" w:type="dxa"/>
              <w:left w:w="43" w:type="dxa"/>
              <w:bottom w:w="43" w:type="dxa"/>
              <w:right w:w="43" w:type="dxa"/>
            </w:tcMar>
          </w:tcPr>
          <w:p w14:paraId="50ED1DC3" w14:textId="77777777" w:rsidR="00575AC3" w:rsidRPr="006D40F0" w:rsidRDefault="00575AC3" w:rsidP="006D40F0">
            <w:r w:rsidRPr="006D40F0">
              <w:t>444</w:t>
            </w:r>
          </w:p>
        </w:tc>
        <w:tc>
          <w:tcPr>
            <w:tcW w:w="680" w:type="dxa"/>
            <w:tcBorders>
              <w:top w:val="nil"/>
              <w:left w:val="nil"/>
              <w:bottom w:val="nil"/>
              <w:right w:val="nil"/>
            </w:tcBorders>
            <w:tcMar>
              <w:top w:w="128" w:type="dxa"/>
              <w:left w:w="43" w:type="dxa"/>
              <w:bottom w:w="43" w:type="dxa"/>
              <w:right w:w="43" w:type="dxa"/>
            </w:tcMar>
          </w:tcPr>
          <w:p w14:paraId="339BA4D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50EE41A" w14:textId="77777777" w:rsidR="00575AC3" w:rsidRPr="006D40F0" w:rsidRDefault="00575AC3" w:rsidP="006D40F0">
            <w:r w:rsidRPr="006D40F0">
              <w:t>Politiets sikkerhetstjeneste (PST):</w:t>
            </w:r>
          </w:p>
        </w:tc>
        <w:tc>
          <w:tcPr>
            <w:tcW w:w="1400" w:type="dxa"/>
            <w:tcBorders>
              <w:top w:val="nil"/>
              <w:left w:val="nil"/>
              <w:bottom w:val="nil"/>
              <w:right w:val="nil"/>
            </w:tcBorders>
            <w:tcMar>
              <w:top w:w="128" w:type="dxa"/>
              <w:left w:w="43" w:type="dxa"/>
              <w:bottom w:w="43" w:type="dxa"/>
              <w:right w:w="43" w:type="dxa"/>
            </w:tcMar>
            <w:vAlign w:val="bottom"/>
          </w:tcPr>
          <w:p w14:paraId="5751B527" w14:textId="77777777" w:rsidR="00575AC3" w:rsidRPr="006D40F0" w:rsidRDefault="00575AC3" w:rsidP="006D40F0"/>
        </w:tc>
      </w:tr>
      <w:tr w:rsidR="00DD49A7" w:rsidRPr="006D40F0" w14:paraId="4B04E380" w14:textId="77777777">
        <w:trPr>
          <w:trHeight w:val="380"/>
        </w:trPr>
        <w:tc>
          <w:tcPr>
            <w:tcW w:w="680" w:type="dxa"/>
            <w:tcBorders>
              <w:top w:val="nil"/>
              <w:left w:val="nil"/>
              <w:bottom w:val="nil"/>
              <w:right w:val="nil"/>
            </w:tcBorders>
            <w:tcMar>
              <w:top w:w="128" w:type="dxa"/>
              <w:left w:w="43" w:type="dxa"/>
              <w:bottom w:w="43" w:type="dxa"/>
              <w:right w:w="43" w:type="dxa"/>
            </w:tcMar>
          </w:tcPr>
          <w:p w14:paraId="236AEC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80529B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91E3F06"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864B872" w14:textId="77777777" w:rsidR="00575AC3" w:rsidRPr="006D40F0" w:rsidRDefault="00575AC3" w:rsidP="006D40F0">
            <w:r w:rsidRPr="006D40F0">
              <w:t>150 000 000</w:t>
            </w:r>
          </w:p>
        </w:tc>
      </w:tr>
      <w:tr w:rsidR="00DD49A7" w:rsidRPr="006D40F0" w14:paraId="60E2AFE8" w14:textId="77777777">
        <w:trPr>
          <w:trHeight w:val="380"/>
        </w:trPr>
        <w:tc>
          <w:tcPr>
            <w:tcW w:w="680" w:type="dxa"/>
            <w:tcBorders>
              <w:top w:val="nil"/>
              <w:left w:val="nil"/>
              <w:bottom w:val="nil"/>
              <w:right w:val="nil"/>
            </w:tcBorders>
            <w:tcMar>
              <w:top w:w="128" w:type="dxa"/>
              <w:left w:w="43" w:type="dxa"/>
              <w:bottom w:w="43" w:type="dxa"/>
              <w:right w:w="43" w:type="dxa"/>
            </w:tcMar>
          </w:tcPr>
          <w:p w14:paraId="1598898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E0ECB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E50450" w14:textId="77777777" w:rsidR="00575AC3" w:rsidRPr="006D40F0" w:rsidRDefault="00575AC3" w:rsidP="006D40F0">
            <w:r w:rsidRPr="006D40F0">
              <w:t>fra kr 1 473 022 000 til kr 1 623 022 000</w:t>
            </w:r>
          </w:p>
        </w:tc>
        <w:tc>
          <w:tcPr>
            <w:tcW w:w="1400" w:type="dxa"/>
            <w:tcBorders>
              <w:top w:val="nil"/>
              <w:left w:val="nil"/>
              <w:bottom w:val="nil"/>
              <w:right w:val="nil"/>
            </w:tcBorders>
            <w:tcMar>
              <w:top w:w="128" w:type="dxa"/>
              <w:left w:w="43" w:type="dxa"/>
              <w:bottom w:w="43" w:type="dxa"/>
              <w:right w:w="43" w:type="dxa"/>
            </w:tcMar>
            <w:vAlign w:val="bottom"/>
          </w:tcPr>
          <w:p w14:paraId="2EE34BE1" w14:textId="77777777" w:rsidR="00575AC3" w:rsidRPr="006D40F0" w:rsidRDefault="00575AC3" w:rsidP="006D40F0"/>
        </w:tc>
      </w:tr>
      <w:tr w:rsidR="00DD49A7" w:rsidRPr="006D40F0" w14:paraId="193834B5" w14:textId="77777777">
        <w:trPr>
          <w:trHeight w:val="380"/>
        </w:trPr>
        <w:tc>
          <w:tcPr>
            <w:tcW w:w="680" w:type="dxa"/>
            <w:tcBorders>
              <w:top w:val="nil"/>
              <w:left w:val="nil"/>
              <w:bottom w:val="nil"/>
              <w:right w:val="nil"/>
            </w:tcBorders>
            <w:tcMar>
              <w:top w:w="128" w:type="dxa"/>
              <w:left w:w="43" w:type="dxa"/>
              <w:bottom w:w="43" w:type="dxa"/>
              <w:right w:w="43" w:type="dxa"/>
            </w:tcMar>
          </w:tcPr>
          <w:p w14:paraId="738347D2" w14:textId="77777777" w:rsidR="00575AC3" w:rsidRPr="006D40F0" w:rsidRDefault="00575AC3" w:rsidP="006D40F0">
            <w:r w:rsidRPr="006D40F0">
              <w:t>445</w:t>
            </w:r>
          </w:p>
        </w:tc>
        <w:tc>
          <w:tcPr>
            <w:tcW w:w="680" w:type="dxa"/>
            <w:tcBorders>
              <w:top w:val="nil"/>
              <w:left w:val="nil"/>
              <w:bottom w:val="nil"/>
              <w:right w:val="nil"/>
            </w:tcBorders>
            <w:tcMar>
              <w:top w:w="128" w:type="dxa"/>
              <w:left w:w="43" w:type="dxa"/>
              <w:bottom w:w="43" w:type="dxa"/>
              <w:right w:w="43" w:type="dxa"/>
            </w:tcMar>
          </w:tcPr>
          <w:p w14:paraId="0E673CC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9925629" w14:textId="77777777" w:rsidR="00575AC3" w:rsidRPr="006D40F0" w:rsidRDefault="00575AC3" w:rsidP="006D40F0">
            <w:r w:rsidRPr="006D40F0">
              <w:t>Den høyere påtalemyndighet:</w:t>
            </w:r>
          </w:p>
        </w:tc>
        <w:tc>
          <w:tcPr>
            <w:tcW w:w="1400" w:type="dxa"/>
            <w:tcBorders>
              <w:top w:val="nil"/>
              <w:left w:val="nil"/>
              <w:bottom w:val="nil"/>
              <w:right w:val="nil"/>
            </w:tcBorders>
            <w:tcMar>
              <w:top w:w="128" w:type="dxa"/>
              <w:left w:w="43" w:type="dxa"/>
              <w:bottom w:w="43" w:type="dxa"/>
              <w:right w:w="43" w:type="dxa"/>
            </w:tcMar>
            <w:vAlign w:val="bottom"/>
          </w:tcPr>
          <w:p w14:paraId="6E003683" w14:textId="77777777" w:rsidR="00575AC3" w:rsidRPr="006D40F0" w:rsidRDefault="00575AC3" w:rsidP="006D40F0"/>
        </w:tc>
      </w:tr>
      <w:tr w:rsidR="00DD49A7" w:rsidRPr="006D40F0" w14:paraId="17C72107" w14:textId="77777777">
        <w:trPr>
          <w:trHeight w:val="380"/>
        </w:trPr>
        <w:tc>
          <w:tcPr>
            <w:tcW w:w="680" w:type="dxa"/>
            <w:tcBorders>
              <w:top w:val="nil"/>
              <w:left w:val="nil"/>
              <w:bottom w:val="nil"/>
              <w:right w:val="nil"/>
            </w:tcBorders>
            <w:tcMar>
              <w:top w:w="128" w:type="dxa"/>
              <w:left w:w="43" w:type="dxa"/>
              <w:bottom w:w="43" w:type="dxa"/>
              <w:right w:w="43" w:type="dxa"/>
            </w:tcMar>
          </w:tcPr>
          <w:p w14:paraId="1C4AB3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DA2A4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4961E72"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E1ADE18" w14:textId="77777777" w:rsidR="00575AC3" w:rsidRPr="006D40F0" w:rsidRDefault="00575AC3" w:rsidP="006D40F0">
            <w:r w:rsidRPr="006D40F0">
              <w:t>1 333 000</w:t>
            </w:r>
          </w:p>
        </w:tc>
      </w:tr>
      <w:tr w:rsidR="00DD49A7" w:rsidRPr="006D40F0" w14:paraId="0C0C3DD3" w14:textId="77777777">
        <w:trPr>
          <w:trHeight w:val="380"/>
        </w:trPr>
        <w:tc>
          <w:tcPr>
            <w:tcW w:w="680" w:type="dxa"/>
            <w:tcBorders>
              <w:top w:val="nil"/>
              <w:left w:val="nil"/>
              <w:bottom w:val="nil"/>
              <w:right w:val="nil"/>
            </w:tcBorders>
            <w:tcMar>
              <w:top w:w="128" w:type="dxa"/>
              <w:left w:w="43" w:type="dxa"/>
              <w:bottom w:w="43" w:type="dxa"/>
              <w:right w:w="43" w:type="dxa"/>
            </w:tcMar>
          </w:tcPr>
          <w:p w14:paraId="4D4AC90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0E25C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CCD54E" w14:textId="77777777" w:rsidR="00575AC3" w:rsidRPr="006D40F0" w:rsidRDefault="00575AC3" w:rsidP="006D40F0">
            <w:r w:rsidRPr="006D40F0">
              <w:t>fra kr 386 124 000 til kr 387 457 000</w:t>
            </w:r>
          </w:p>
        </w:tc>
        <w:tc>
          <w:tcPr>
            <w:tcW w:w="1400" w:type="dxa"/>
            <w:tcBorders>
              <w:top w:val="nil"/>
              <w:left w:val="nil"/>
              <w:bottom w:val="nil"/>
              <w:right w:val="nil"/>
            </w:tcBorders>
            <w:tcMar>
              <w:top w:w="128" w:type="dxa"/>
              <w:left w:w="43" w:type="dxa"/>
              <w:bottom w:w="43" w:type="dxa"/>
              <w:right w:w="43" w:type="dxa"/>
            </w:tcMar>
            <w:vAlign w:val="bottom"/>
          </w:tcPr>
          <w:p w14:paraId="531FF524" w14:textId="77777777" w:rsidR="00575AC3" w:rsidRPr="006D40F0" w:rsidRDefault="00575AC3" w:rsidP="006D40F0"/>
        </w:tc>
      </w:tr>
      <w:tr w:rsidR="00DD49A7" w:rsidRPr="006D40F0" w14:paraId="352E6442" w14:textId="77777777">
        <w:trPr>
          <w:trHeight w:val="380"/>
        </w:trPr>
        <w:tc>
          <w:tcPr>
            <w:tcW w:w="680" w:type="dxa"/>
            <w:tcBorders>
              <w:top w:val="nil"/>
              <w:left w:val="nil"/>
              <w:bottom w:val="nil"/>
              <w:right w:val="nil"/>
            </w:tcBorders>
            <w:tcMar>
              <w:top w:w="128" w:type="dxa"/>
              <w:left w:w="43" w:type="dxa"/>
              <w:bottom w:w="43" w:type="dxa"/>
              <w:right w:w="43" w:type="dxa"/>
            </w:tcMar>
          </w:tcPr>
          <w:p w14:paraId="4CAC6FAA" w14:textId="77777777" w:rsidR="00575AC3" w:rsidRPr="006D40F0" w:rsidRDefault="00575AC3" w:rsidP="006D40F0">
            <w:r w:rsidRPr="006D40F0">
              <w:t>446</w:t>
            </w:r>
          </w:p>
        </w:tc>
        <w:tc>
          <w:tcPr>
            <w:tcW w:w="680" w:type="dxa"/>
            <w:tcBorders>
              <w:top w:val="nil"/>
              <w:left w:val="nil"/>
              <w:bottom w:val="nil"/>
              <w:right w:val="nil"/>
            </w:tcBorders>
            <w:tcMar>
              <w:top w:w="128" w:type="dxa"/>
              <w:left w:w="43" w:type="dxa"/>
              <w:bottom w:w="43" w:type="dxa"/>
              <w:right w:w="43" w:type="dxa"/>
            </w:tcMar>
          </w:tcPr>
          <w:p w14:paraId="0E44A67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B24D82" w14:textId="77777777" w:rsidR="00575AC3" w:rsidRPr="006D40F0" w:rsidRDefault="00575AC3" w:rsidP="006D40F0">
            <w:r w:rsidRPr="006D40F0">
              <w:t>Den militære påtalemyndighet:</w:t>
            </w:r>
          </w:p>
        </w:tc>
        <w:tc>
          <w:tcPr>
            <w:tcW w:w="1400" w:type="dxa"/>
            <w:tcBorders>
              <w:top w:val="nil"/>
              <w:left w:val="nil"/>
              <w:bottom w:val="nil"/>
              <w:right w:val="nil"/>
            </w:tcBorders>
            <w:tcMar>
              <w:top w:w="128" w:type="dxa"/>
              <w:left w:w="43" w:type="dxa"/>
              <w:bottom w:w="43" w:type="dxa"/>
              <w:right w:w="43" w:type="dxa"/>
            </w:tcMar>
            <w:vAlign w:val="bottom"/>
          </w:tcPr>
          <w:p w14:paraId="25547C39" w14:textId="77777777" w:rsidR="00575AC3" w:rsidRPr="006D40F0" w:rsidRDefault="00575AC3" w:rsidP="006D40F0"/>
        </w:tc>
      </w:tr>
      <w:tr w:rsidR="00DD49A7" w:rsidRPr="006D40F0" w14:paraId="5DA619F5" w14:textId="77777777">
        <w:trPr>
          <w:trHeight w:val="380"/>
        </w:trPr>
        <w:tc>
          <w:tcPr>
            <w:tcW w:w="680" w:type="dxa"/>
            <w:tcBorders>
              <w:top w:val="nil"/>
              <w:left w:val="nil"/>
              <w:bottom w:val="nil"/>
              <w:right w:val="nil"/>
            </w:tcBorders>
            <w:tcMar>
              <w:top w:w="128" w:type="dxa"/>
              <w:left w:w="43" w:type="dxa"/>
              <w:bottom w:w="43" w:type="dxa"/>
              <w:right w:w="43" w:type="dxa"/>
            </w:tcMar>
          </w:tcPr>
          <w:p w14:paraId="4FC911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BA70B9"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E836D14"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72FC8C7A" w14:textId="77777777" w:rsidR="00575AC3" w:rsidRPr="006D40F0" w:rsidRDefault="00575AC3" w:rsidP="006D40F0">
            <w:r w:rsidRPr="006D40F0">
              <w:t>4 315 000</w:t>
            </w:r>
          </w:p>
        </w:tc>
      </w:tr>
      <w:tr w:rsidR="00DD49A7" w:rsidRPr="006D40F0" w14:paraId="190101FE" w14:textId="77777777">
        <w:trPr>
          <w:trHeight w:val="380"/>
        </w:trPr>
        <w:tc>
          <w:tcPr>
            <w:tcW w:w="680" w:type="dxa"/>
            <w:tcBorders>
              <w:top w:val="nil"/>
              <w:left w:val="nil"/>
              <w:bottom w:val="nil"/>
              <w:right w:val="nil"/>
            </w:tcBorders>
            <w:tcMar>
              <w:top w:w="128" w:type="dxa"/>
              <w:left w:w="43" w:type="dxa"/>
              <w:bottom w:w="43" w:type="dxa"/>
              <w:right w:w="43" w:type="dxa"/>
            </w:tcMar>
          </w:tcPr>
          <w:p w14:paraId="483EACB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775953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4EB4968" w14:textId="77777777" w:rsidR="00575AC3" w:rsidRPr="006D40F0" w:rsidRDefault="00575AC3" w:rsidP="006D40F0">
            <w:r w:rsidRPr="006D40F0">
              <w:t>fra kr 9 829 000 til kr 5 514 000</w:t>
            </w:r>
          </w:p>
        </w:tc>
        <w:tc>
          <w:tcPr>
            <w:tcW w:w="1400" w:type="dxa"/>
            <w:tcBorders>
              <w:top w:val="nil"/>
              <w:left w:val="nil"/>
              <w:bottom w:val="nil"/>
              <w:right w:val="nil"/>
            </w:tcBorders>
            <w:tcMar>
              <w:top w:w="128" w:type="dxa"/>
              <w:left w:w="43" w:type="dxa"/>
              <w:bottom w:w="43" w:type="dxa"/>
              <w:right w:w="43" w:type="dxa"/>
            </w:tcMar>
            <w:vAlign w:val="bottom"/>
          </w:tcPr>
          <w:p w14:paraId="316C0B7A" w14:textId="77777777" w:rsidR="00575AC3" w:rsidRPr="006D40F0" w:rsidRDefault="00575AC3" w:rsidP="006D40F0"/>
        </w:tc>
      </w:tr>
      <w:tr w:rsidR="00DD49A7" w:rsidRPr="006D40F0" w14:paraId="24730AE2" w14:textId="77777777">
        <w:trPr>
          <w:trHeight w:val="380"/>
        </w:trPr>
        <w:tc>
          <w:tcPr>
            <w:tcW w:w="680" w:type="dxa"/>
            <w:tcBorders>
              <w:top w:val="nil"/>
              <w:left w:val="nil"/>
              <w:bottom w:val="nil"/>
              <w:right w:val="nil"/>
            </w:tcBorders>
            <w:tcMar>
              <w:top w:w="128" w:type="dxa"/>
              <w:left w:w="43" w:type="dxa"/>
              <w:bottom w:w="43" w:type="dxa"/>
              <w:right w:w="43" w:type="dxa"/>
            </w:tcMar>
          </w:tcPr>
          <w:p w14:paraId="56B6295D" w14:textId="77777777" w:rsidR="00575AC3" w:rsidRPr="006D40F0" w:rsidRDefault="00575AC3" w:rsidP="006D40F0">
            <w:r w:rsidRPr="006D40F0">
              <w:t>451</w:t>
            </w:r>
          </w:p>
        </w:tc>
        <w:tc>
          <w:tcPr>
            <w:tcW w:w="680" w:type="dxa"/>
            <w:tcBorders>
              <w:top w:val="nil"/>
              <w:left w:val="nil"/>
              <w:bottom w:val="nil"/>
              <w:right w:val="nil"/>
            </w:tcBorders>
            <w:tcMar>
              <w:top w:w="128" w:type="dxa"/>
              <w:left w:w="43" w:type="dxa"/>
              <w:bottom w:w="43" w:type="dxa"/>
              <w:right w:w="43" w:type="dxa"/>
            </w:tcMar>
          </w:tcPr>
          <w:p w14:paraId="255DC88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9E3950E" w14:textId="77777777" w:rsidR="00575AC3" w:rsidRPr="006D40F0" w:rsidRDefault="00575AC3" w:rsidP="006D40F0">
            <w:r w:rsidRPr="006D40F0">
              <w:t>Direktoratet for samfunnssikkerhet og beredskap:</w:t>
            </w:r>
          </w:p>
        </w:tc>
        <w:tc>
          <w:tcPr>
            <w:tcW w:w="1400" w:type="dxa"/>
            <w:tcBorders>
              <w:top w:val="nil"/>
              <w:left w:val="nil"/>
              <w:bottom w:val="nil"/>
              <w:right w:val="nil"/>
            </w:tcBorders>
            <w:tcMar>
              <w:top w:w="128" w:type="dxa"/>
              <w:left w:w="43" w:type="dxa"/>
              <w:bottom w:w="43" w:type="dxa"/>
              <w:right w:w="43" w:type="dxa"/>
            </w:tcMar>
            <w:vAlign w:val="bottom"/>
          </w:tcPr>
          <w:p w14:paraId="4AD9E6AB" w14:textId="77777777" w:rsidR="00575AC3" w:rsidRPr="006D40F0" w:rsidRDefault="00575AC3" w:rsidP="006D40F0"/>
        </w:tc>
      </w:tr>
      <w:tr w:rsidR="00DD49A7" w:rsidRPr="006D40F0" w14:paraId="7C7E0CF8" w14:textId="77777777">
        <w:trPr>
          <w:trHeight w:val="380"/>
        </w:trPr>
        <w:tc>
          <w:tcPr>
            <w:tcW w:w="680" w:type="dxa"/>
            <w:tcBorders>
              <w:top w:val="nil"/>
              <w:left w:val="nil"/>
              <w:bottom w:val="nil"/>
              <w:right w:val="nil"/>
            </w:tcBorders>
            <w:tcMar>
              <w:top w:w="128" w:type="dxa"/>
              <w:left w:w="43" w:type="dxa"/>
              <w:bottom w:w="43" w:type="dxa"/>
              <w:right w:w="43" w:type="dxa"/>
            </w:tcMar>
          </w:tcPr>
          <w:p w14:paraId="6C7554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C4A8CC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306CB51"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6B29800" w14:textId="77777777" w:rsidR="00575AC3" w:rsidRPr="006D40F0" w:rsidRDefault="00575AC3" w:rsidP="006D40F0">
            <w:r w:rsidRPr="006D40F0">
              <w:t>66 657 000</w:t>
            </w:r>
          </w:p>
        </w:tc>
      </w:tr>
      <w:tr w:rsidR="00DD49A7" w:rsidRPr="006D40F0" w14:paraId="7B39A67B" w14:textId="77777777">
        <w:trPr>
          <w:trHeight w:val="380"/>
        </w:trPr>
        <w:tc>
          <w:tcPr>
            <w:tcW w:w="680" w:type="dxa"/>
            <w:tcBorders>
              <w:top w:val="nil"/>
              <w:left w:val="nil"/>
              <w:bottom w:val="nil"/>
              <w:right w:val="nil"/>
            </w:tcBorders>
            <w:tcMar>
              <w:top w:w="128" w:type="dxa"/>
              <w:left w:w="43" w:type="dxa"/>
              <w:bottom w:w="43" w:type="dxa"/>
              <w:right w:w="43" w:type="dxa"/>
            </w:tcMar>
          </w:tcPr>
          <w:p w14:paraId="0AC4763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F6DF1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2D92C0D" w14:textId="77777777" w:rsidR="00575AC3" w:rsidRPr="006D40F0" w:rsidRDefault="00575AC3" w:rsidP="006D40F0">
            <w:r w:rsidRPr="006D40F0">
              <w:t>fra kr 1 505 337 000 til kr 1 571 994 000</w:t>
            </w:r>
          </w:p>
        </w:tc>
        <w:tc>
          <w:tcPr>
            <w:tcW w:w="1400" w:type="dxa"/>
            <w:tcBorders>
              <w:top w:val="nil"/>
              <w:left w:val="nil"/>
              <w:bottom w:val="nil"/>
              <w:right w:val="nil"/>
            </w:tcBorders>
            <w:tcMar>
              <w:top w:w="128" w:type="dxa"/>
              <w:left w:w="43" w:type="dxa"/>
              <w:bottom w:w="43" w:type="dxa"/>
              <w:right w:w="43" w:type="dxa"/>
            </w:tcMar>
            <w:vAlign w:val="bottom"/>
          </w:tcPr>
          <w:p w14:paraId="107BDF7E" w14:textId="77777777" w:rsidR="00575AC3" w:rsidRPr="006D40F0" w:rsidRDefault="00575AC3" w:rsidP="006D40F0"/>
        </w:tc>
      </w:tr>
      <w:tr w:rsidR="00DD49A7" w:rsidRPr="006D40F0" w14:paraId="2328FA5F" w14:textId="77777777">
        <w:trPr>
          <w:trHeight w:val="380"/>
        </w:trPr>
        <w:tc>
          <w:tcPr>
            <w:tcW w:w="680" w:type="dxa"/>
            <w:tcBorders>
              <w:top w:val="nil"/>
              <w:left w:val="nil"/>
              <w:bottom w:val="nil"/>
              <w:right w:val="nil"/>
            </w:tcBorders>
            <w:tcMar>
              <w:top w:w="128" w:type="dxa"/>
              <w:left w:w="43" w:type="dxa"/>
              <w:bottom w:w="43" w:type="dxa"/>
              <w:right w:w="43" w:type="dxa"/>
            </w:tcMar>
          </w:tcPr>
          <w:p w14:paraId="6DB4C85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76EE59"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2CA2BB74"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9FE12ED" w14:textId="77777777" w:rsidR="00575AC3" w:rsidRPr="006D40F0" w:rsidRDefault="00575AC3" w:rsidP="006D40F0">
            <w:r w:rsidRPr="006D40F0">
              <w:t>12 800 000</w:t>
            </w:r>
          </w:p>
        </w:tc>
      </w:tr>
      <w:tr w:rsidR="00DD49A7" w:rsidRPr="006D40F0" w14:paraId="229410B3" w14:textId="77777777">
        <w:trPr>
          <w:trHeight w:val="380"/>
        </w:trPr>
        <w:tc>
          <w:tcPr>
            <w:tcW w:w="680" w:type="dxa"/>
            <w:tcBorders>
              <w:top w:val="nil"/>
              <w:left w:val="nil"/>
              <w:bottom w:val="nil"/>
              <w:right w:val="nil"/>
            </w:tcBorders>
            <w:tcMar>
              <w:top w:w="128" w:type="dxa"/>
              <w:left w:w="43" w:type="dxa"/>
              <w:bottom w:w="43" w:type="dxa"/>
              <w:right w:w="43" w:type="dxa"/>
            </w:tcMar>
          </w:tcPr>
          <w:p w14:paraId="7619D41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EB79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98BF0E" w14:textId="77777777" w:rsidR="00575AC3" w:rsidRPr="006D40F0" w:rsidRDefault="00575AC3" w:rsidP="006D40F0">
            <w:r w:rsidRPr="006D40F0">
              <w:t>fra kr 252 221 000 til kr 265 021 000</w:t>
            </w:r>
          </w:p>
        </w:tc>
        <w:tc>
          <w:tcPr>
            <w:tcW w:w="1400" w:type="dxa"/>
            <w:tcBorders>
              <w:top w:val="nil"/>
              <w:left w:val="nil"/>
              <w:bottom w:val="nil"/>
              <w:right w:val="nil"/>
            </w:tcBorders>
            <w:tcMar>
              <w:top w:w="128" w:type="dxa"/>
              <w:left w:w="43" w:type="dxa"/>
              <w:bottom w:w="43" w:type="dxa"/>
              <w:right w:w="43" w:type="dxa"/>
            </w:tcMar>
            <w:vAlign w:val="bottom"/>
          </w:tcPr>
          <w:p w14:paraId="21E67E9D" w14:textId="77777777" w:rsidR="00575AC3" w:rsidRPr="006D40F0" w:rsidRDefault="00575AC3" w:rsidP="006D40F0"/>
        </w:tc>
      </w:tr>
      <w:tr w:rsidR="00DD49A7" w:rsidRPr="006D40F0" w14:paraId="43131626" w14:textId="77777777">
        <w:trPr>
          <w:trHeight w:val="380"/>
        </w:trPr>
        <w:tc>
          <w:tcPr>
            <w:tcW w:w="680" w:type="dxa"/>
            <w:tcBorders>
              <w:top w:val="nil"/>
              <w:left w:val="nil"/>
              <w:bottom w:val="nil"/>
              <w:right w:val="nil"/>
            </w:tcBorders>
            <w:tcMar>
              <w:top w:w="128" w:type="dxa"/>
              <w:left w:w="43" w:type="dxa"/>
              <w:bottom w:w="43" w:type="dxa"/>
              <w:right w:w="43" w:type="dxa"/>
            </w:tcMar>
          </w:tcPr>
          <w:p w14:paraId="25515754" w14:textId="77777777" w:rsidR="00575AC3" w:rsidRPr="006D40F0" w:rsidRDefault="00575AC3" w:rsidP="006D40F0">
            <w:r w:rsidRPr="006D40F0">
              <w:t>454</w:t>
            </w:r>
          </w:p>
        </w:tc>
        <w:tc>
          <w:tcPr>
            <w:tcW w:w="680" w:type="dxa"/>
            <w:tcBorders>
              <w:top w:val="nil"/>
              <w:left w:val="nil"/>
              <w:bottom w:val="nil"/>
              <w:right w:val="nil"/>
            </w:tcBorders>
            <w:tcMar>
              <w:top w:w="128" w:type="dxa"/>
              <w:left w:w="43" w:type="dxa"/>
              <w:bottom w:w="43" w:type="dxa"/>
              <w:right w:w="43" w:type="dxa"/>
            </w:tcMar>
          </w:tcPr>
          <w:p w14:paraId="3C90031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BD441F4" w14:textId="77777777" w:rsidR="00575AC3" w:rsidRPr="006D40F0" w:rsidRDefault="00575AC3" w:rsidP="006D40F0">
            <w:r w:rsidRPr="006D40F0">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18F3265A" w14:textId="77777777" w:rsidR="00575AC3" w:rsidRPr="006D40F0" w:rsidRDefault="00575AC3" w:rsidP="006D40F0"/>
        </w:tc>
      </w:tr>
      <w:tr w:rsidR="00DD49A7" w:rsidRPr="006D40F0" w14:paraId="565535CD" w14:textId="77777777">
        <w:trPr>
          <w:trHeight w:val="380"/>
        </w:trPr>
        <w:tc>
          <w:tcPr>
            <w:tcW w:w="680" w:type="dxa"/>
            <w:tcBorders>
              <w:top w:val="nil"/>
              <w:left w:val="nil"/>
              <w:bottom w:val="nil"/>
              <w:right w:val="nil"/>
            </w:tcBorders>
            <w:tcMar>
              <w:top w:w="128" w:type="dxa"/>
              <w:left w:w="43" w:type="dxa"/>
              <w:bottom w:w="43" w:type="dxa"/>
              <w:right w:w="43" w:type="dxa"/>
            </w:tcMar>
          </w:tcPr>
          <w:p w14:paraId="4E45864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3CF66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9C6D35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BA6BAB3" w14:textId="77777777" w:rsidR="00575AC3" w:rsidRPr="006D40F0" w:rsidRDefault="00575AC3" w:rsidP="006D40F0">
            <w:r w:rsidRPr="006D40F0">
              <w:t>249 000</w:t>
            </w:r>
          </w:p>
        </w:tc>
      </w:tr>
      <w:tr w:rsidR="00DD49A7" w:rsidRPr="006D40F0" w14:paraId="450090D9" w14:textId="77777777">
        <w:trPr>
          <w:trHeight w:val="380"/>
        </w:trPr>
        <w:tc>
          <w:tcPr>
            <w:tcW w:w="680" w:type="dxa"/>
            <w:tcBorders>
              <w:top w:val="nil"/>
              <w:left w:val="nil"/>
              <w:bottom w:val="nil"/>
              <w:right w:val="nil"/>
            </w:tcBorders>
            <w:tcMar>
              <w:top w:w="128" w:type="dxa"/>
              <w:left w:w="43" w:type="dxa"/>
              <w:bottom w:w="43" w:type="dxa"/>
              <w:right w:w="43" w:type="dxa"/>
            </w:tcMar>
          </w:tcPr>
          <w:p w14:paraId="1DFDCB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86C26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DCFD67" w14:textId="77777777" w:rsidR="00575AC3" w:rsidRPr="006D40F0" w:rsidRDefault="00575AC3" w:rsidP="006D40F0">
            <w:r w:rsidRPr="006D40F0">
              <w:t>fra kr 992 173 000 til kr 992 422 000</w:t>
            </w:r>
          </w:p>
        </w:tc>
        <w:tc>
          <w:tcPr>
            <w:tcW w:w="1400" w:type="dxa"/>
            <w:tcBorders>
              <w:top w:val="nil"/>
              <w:left w:val="nil"/>
              <w:bottom w:val="nil"/>
              <w:right w:val="nil"/>
            </w:tcBorders>
            <w:tcMar>
              <w:top w:w="128" w:type="dxa"/>
              <w:left w:w="43" w:type="dxa"/>
              <w:bottom w:w="43" w:type="dxa"/>
              <w:right w:w="43" w:type="dxa"/>
            </w:tcMar>
            <w:vAlign w:val="bottom"/>
          </w:tcPr>
          <w:p w14:paraId="60F2284A" w14:textId="77777777" w:rsidR="00575AC3" w:rsidRPr="006D40F0" w:rsidRDefault="00575AC3" w:rsidP="006D40F0"/>
        </w:tc>
      </w:tr>
      <w:tr w:rsidR="00DD49A7" w:rsidRPr="006D40F0" w14:paraId="2ED1BC26" w14:textId="77777777">
        <w:trPr>
          <w:trHeight w:val="380"/>
        </w:trPr>
        <w:tc>
          <w:tcPr>
            <w:tcW w:w="680" w:type="dxa"/>
            <w:tcBorders>
              <w:top w:val="nil"/>
              <w:left w:val="nil"/>
              <w:bottom w:val="nil"/>
              <w:right w:val="nil"/>
            </w:tcBorders>
            <w:tcMar>
              <w:top w:w="128" w:type="dxa"/>
              <w:left w:w="43" w:type="dxa"/>
              <w:bottom w:w="43" w:type="dxa"/>
              <w:right w:w="43" w:type="dxa"/>
            </w:tcMar>
          </w:tcPr>
          <w:p w14:paraId="41C1B93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EC1BEC"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5FF80081"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838318D" w14:textId="77777777" w:rsidR="00575AC3" w:rsidRPr="006D40F0" w:rsidRDefault="00575AC3" w:rsidP="006D40F0">
            <w:r w:rsidRPr="006D40F0">
              <w:t>12 994 000</w:t>
            </w:r>
          </w:p>
        </w:tc>
      </w:tr>
      <w:tr w:rsidR="00DD49A7" w:rsidRPr="006D40F0" w14:paraId="57DA5DB1" w14:textId="77777777">
        <w:trPr>
          <w:trHeight w:val="380"/>
        </w:trPr>
        <w:tc>
          <w:tcPr>
            <w:tcW w:w="680" w:type="dxa"/>
            <w:tcBorders>
              <w:top w:val="nil"/>
              <w:left w:val="nil"/>
              <w:bottom w:val="nil"/>
              <w:right w:val="nil"/>
            </w:tcBorders>
            <w:tcMar>
              <w:top w:w="128" w:type="dxa"/>
              <w:left w:w="43" w:type="dxa"/>
              <w:bottom w:w="43" w:type="dxa"/>
              <w:right w:w="43" w:type="dxa"/>
            </w:tcMar>
          </w:tcPr>
          <w:p w14:paraId="3F2BD40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F72ACD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5CD3AC" w14:textId="77777777" w:rsidR="00575AC3" w:rsidRPr="006D40F0" w:rsidRDefault="00575AC3" w:rsidP="006D40F0">
            <w:r w:rsidRPr="006D40F0">
              <w:t>fra kr 1 511 992 000 til kr 1 524 986 000</w:t>
            </w:r>
          </w:p>
        </w:tc>
        <w:tc>
          <w:tcPr>
            <w:tcW w:w="1400" w:type="dxa"/>
            <w:tcBorders>
              <w:top w:val="nil"/>
              <w:left w:val="nil"/>
              <w:bottom w:val="nil"/>
              <w:right w:val="nil"/>
            </w:tcBorders>
            <w:tcMar>
              <w:top w:w="128" w:type="dxa"/>
              <w:left w:w="43" w:type="dxa"/>
              <w:bottom w:w="43" w:type="dxa"/>
              <w:right w:w="43" w:type="dxa"/>
            </w:tcMar>
            <w:vAlign w:val="bottom"/>
          </w:tcPr>
          <w:p w14:paraId="2D315017" w14:textId="77777777" w:rsidR="00575AC3" w:rsidRPr="006D40F0" w:rsidRDefault="00575AC3" w:rsidP="006D40F0"/>
        </w:tc>
      </w:tr>
      <w:tr w:rsidR="00DD49A7" w:rsidRPr="006D40F0" w14:paraId="0077AB51" w14:textId="77777777">
        <w:trPr>
          <w:trHeight w:val="380"/>
        </w:trPr>
        <w:tc>
          <w:tcPr>
            <w:tcW w:w="680" w:type="dxa"/>
            <w:tcBorders>
              <w:top w:val="nil"/>
              <w:left w:val="nil"/>
              <w:bottom w:val="nil"/>
              <w:right w:val="nil"/>
            </w:tcBorders>
            <w:tcMar>
              <w:top w:w="128" w:type="dxa"/>
              <w:left w:w="43" w:type="dxa"/>
              <w:bottom w:w="43" w:type="dxa"/>
              <w:right w:w="43" w:type="dxa"/>
            </w:tcMar>
          </w:tcPr>
          <w:p w14:paraId="6F49393F" w14:textId="77777777" w:rsidR="00575AC3" w:rsidRPr="006D40F0" w:rsidRDefault="00575AC3" w:rsidP="006D40F0">
            <w:r w:rsidRPr="006D40F0">
              <w:t>455</w:t>
            </w:r>
          </w:p>
        </w:tc>
        <w:tc>
          <w:tcPr>
            <w:tcW w:w="680" w:type="dxa"/>
            <w:tcBorders>
              <w:top w:val="nil"/>
              <w:left w:val="nil"/>
              <w:bottom w:val="nil"/>
              <w:right w:val="nil"/>
            </w:tcBorders>
            <w:tcMar>
              <w:top w:w="128" w:type="dxa"/>
              <w:left w:w="43" w:type="dxa"/>
              <w:bottom w:w="43" w:type="dxa"/>
              <w:right w:w="43" w:type="dxa"/>
            </w:tcMar>
          </w:tcPr>
          <w:p w14:paraId="67261FF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A45CB5" w14:textId="77777777" w:rsidR="00575AC3" w:rsidRPr="006D40F0" w:rsidRDefault="00575AC3" w:rsidP="006D40F0">
            <w:r w:rsidRPr="006D40F0">
              <w:t>Redningstjenesten:</w:t>
            </w:r>
          </w:p>
        </w:tc>
        <w:tc>
          <w:tcPr>
            <w:tcW w:w="1400" w:type="dxa"/>
            <w:tcBorders>
              <w:top w:val="nil"/>
              <w:left w:val="nil"/>
              <w:bottom w:val="nil"/>
              <w:right w:val="nil"/>
            </w:tcBorders>
            <w:tcMar>
              <w:top w:w="128" w:type="dxa"/>
              <w:left w:w="43" w:type="dxa"/>
              <w:bottom w:w="43" w:type="dxa"/>
              <w:right w:w="43" w:type="dxa"/>
            </w:tcMar>
            <w:vAlign w:val="bottom"/>
          </w:tcPr>
          <w:p w14:paraId="088564C6" w14:textId="77777777" w:rsidR="00575AC3" w:rsidRPr="006D40F0" w:rsidRDefault="00575AC3" w:rsidP="006D40F0"/>
        </w:tc>
      </w:tr>
      <w:tr w:rsidR="00DD49A7" w:rsidRPr="006D40F0" w14:paraId="20B3208B" w14:textId="77777777">
        <w:trPr>
          <w:trHeight w:val="380"/>
        </w:trPr>
        <w:tc>
          <w:tcPr>
            <w:tcW w:w="680" w:type="dxa"/>
            <w:tcBorders>
              <w:top w:val="nil"/>
              <w:left w:val="nil"/>
              <w:bottom w:val="nil"/>
              <w:right w:val="nil"/>
            </w:tcBorders>
            <w:tcMar>
              <w:top w:w="128" w:type="dxa"/>
              <w:left w:w="43" w:type="dxa"/>
              <w:bottom w:w="43" w:type="dxa"/>
              <w:right w:w="43" w:type="dxa"/>
            </w:tcMar>
          </w:tcPr>
          <w:p w14:paraId="09F3FC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27855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733323C"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21AFEF0" w14:textId="77777777" w:rsidR="00575AC3" w:rsidRPr="006D40F0" w:rsidRDefault="00575AC3" w:rsidP="006D40F0">
            <w:r w:rsidRPr="006D40F0">
              <w:t>845 000</w:t>
            </w:r>
          </w:p>
        </w:tc>
      </w:tr>
      <w:tr w:rsidR="00DD49A7" w:rsidRPr="006D40F0" w14:paraId="008E9B9B" w14:textId="77777777">
        <w:trPr>
          <w:trHeight w:val="380"/>
        </w:trPr>
        <w:tc>
          <w:tcPr>
            <w:tcW w:w="680" w:type="dxa"/>
            <w:tcBorders>
              <w:top w:val="nil"/>
              <w:left w:val="nil"/>
              <w:bottom w:val="nil"/>
              <w:right w:val="nil"/>
            </w:tcBorders>
            <w:tcMar>
              <w:top w:w="128" w:type="dxa"/>
              <w:left w:w="43" w:type="dxa"/>
              <w:bottom w:w="43" w:type="dxa"/>
              <w:right w:w="43" w:type="dxa"/>
            </w:tcMar>
          </w:tcPr>
          <w:p w14:paraId="12F448C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99547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4AF07D" w14:textId="77777777" w:rsidR="00575AC3" w:rsidRPr="006D40F0" w:rsidRDefault="00575AC3" w:rsidP="006D40F0">
            <w:r w:rsidRPr="006D40F0">
              <w:t>fra kr 155 039 000 til kr 155 884 000</w:t>
            </w:r>
          </w:p>
        </w:tc>
        <w:tc>
          <w:tcPr>
            <w:tcW w:w="1400" w:type="dxa"/>
            <w:tcBorders>
              <w:top w:val="nil"/>
              <w:left w:val="nil"/>
              <w:bottom w:val="nil"/>
              <w:right w:val="nil"/>
            </w:tcBorders>
            <w:tcMar>
              <w:top w:w="128" w:type="dxa"/>
              <w:left w:w="43" w:type="dxa"/>
              <w:bottom w:w="43" w:type="dxa"/>
              <w:right w:w="43" w:type="dxa"/>
            </w:tcMar>
            <w:vAlign w:val="bottom"/>
          </w:tcPr>
          <w:p w14:paraId="36F8C447" w14:textId="77777777" w:rsidR="00575AC3" w:rsidRPr="006D40F0" w:rsidRDefault="00575AC3" w:rsidP="006D40F0"/>
        </w:tc>
      </w:tr>
      <w:tr w:rsidR="00DD49A7" w:rsidRPr="006D40F0" w14:paraId="2936A68B" w14:textId="77777777">
        <w:trPr>
          <w:trHeight w:val="380"/>
        </w:trPr>
        <w:tc>
          <w:tcPr>
            <w:tcW w:w="680" w:type="dxa"/>
            <w:tcBorders>
              <w:top w:val="nil"/>
              <w:left w:val="nil"/>
              <w:bottom w:val="nil"/>
              <w:right w:val="nil"/>
            </w:tcBorders>
            <w:tcMar>
              <w:top w:w="128" w:type="dxa"/>
              <w:left w:w="43" w:type="dxa"/>
              <w:bottom w:w="43" w:type="dxa"/>
              <w:right w:w="43" w:type="dxa"/>
            </w:tcMar>
          </w:tcPr>
          <w:p w14:paraId="79F44B8B" w14:textId="77777777" w:rsidR="00575AC3" w:rsidRPr="006D40F0" w:rsidRDefault="00575AC3" w:rsidP="006D40F0">
            <w:r w:rsidRPr="006D40F0">
              <w:t>457</w:t>
            </w:r>
          </w:p>
        </w:tc>
        <w:tc>
          <w:tcPr>
            <w:tcW w:w="680" w:type="dxa"/>
            <w:tcBorders>
              <w:top w:val="nil"/>
              <w:left w:val="nil"/>
              <w:bottom w:val="nil"/>
              <w:right w:val="nil"/>
            </w:tcBorders>
            <w:tcMar>
              <w:top w:w="128" w:type="dxa"/>
              <w:left w:w="43" w:type="dxa"/>
              <w:bottom w:w="43" w:type="dxa"/>
              <w:right w:w="43" w:type="dxa"/>
            </w:tcMar>
          </w:tcPr>
          <w:p w14:paraId="2C03033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9F33C5" w14:textId="77777777" w:rsidR="00575AC3" w:rsidRPr="006D40F0" w:rsidRDefault="00575AC3" w:rsidP="006D40F0">
            <w:r w:rsidRPr="006D40F0">
              <w:t>Nasjonal sikkerhetsmyndighet:</w:t>
            </w:r>
          </w:p>
        </w:tc>
        <w:tc>
          <w:tcPr>
            <w:tcW w:w="1400" w:type="dxa"/>
            <w:tcBorders>
              <w:top w:val="nil"/>
              <w:left w:val="nil"/>
              <w:bottom w:val="nil"/>
              <w:right w:val="nil"/>
            </w:tcBorders>
            <w:tcMar>
              <w:top w:w="128" w:type="dxa"/>
              <w:left w:w="43" w:type="dxa"/>
              <w:bottom w:w="43" w:type="dxa"/>
              <w:right w:w="43" w:type="dxa"/>
            </w:tcMar>
            <w:vAlign w:val="bottom"/>
          </w:tcPr>
          <w:p w14:paraId="1891B76E" w14:textId="77777777" w:rsidR="00575AC3" w:rsidRPr="006D40F0" w:rsidRDefault="00575AC3" w:rsidP="006D40F0"/>
        </w:tc>
      </w:tr>
      <w:tr w:rsidR="00DD49A7" w:rsidRPr="006D40F0" w14:paraId="3D7C7306" w14:textId="77777777">
        <w:trPr>
          <w:trHeight w:val="380"/>
        </w:trPr>
        <w:tc>
          <w:tcPr>
            <w:tcW w:w="680" w:type="dxa"/>
            <w:tcBorders>
              <w:top w:val="nil"/>
              <w:left w:val="nil"/>
              <w:bottom w:val="nil"/>
              <w:right w:val="nil"/>
            </w:tcBorders>
            <w:tcMar>
              <w:top w:w="128" w:type="dxa"/>
              <w:left w:w="43" w:type="dxa"/>
              <w:bottom w:w="43" w:type="dxa"/>
              <w:right w:w="43" w:type="dxa"/>
            </w:tcMar>
          </w:tcPr>
          <w:p w14:paraId="309FE31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D78C8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835C53E"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1DCC4F2" w14:textId="77777777" w:rsidR="00575AC3" w:rsidRPr="006D40F0" w:rsidRDefault="00575AC3" w:rsidP="006D40F0">
            <w:r w:rsidRPr="006D40F0">
              <w:t>90 000 000</w:t>
            </w:r>
          </w:p>
        </w:tc>
      </w:tr>
      <w:tr w:rsidR="00DD49A7" w:rsidRPr="006D40F0" w14:paraId="3FAB2261" w14:textId="77777777">
        <w:trPr>
          <w:trHeight w:val="380"/>
        </w:trPr>
        <w:tc>
          <w:tcPr>
            <w:tcW w:w="680" w:type="dxa"/>
            <w:tcBorders>
              <w:top w:val="nil"/>
              <w:left w:val="nil"/>
              <w:bottom w:val="nil"/>
              <w:right w:val="nil"/>
            </w:tcBorders>
            <w:tcMar>
              <w:top w:w="128" w:type="dxa"/>
              <w:left w:w="43" w:type="dxa"/>
              <w:bottom w:w="43" w:type="dxa"/>
              <w:right w:w="43" w:type="dxa"/>
            </w:tcMar>
          </w:tcPr>
          <w:p w14:paraId="6A55717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EDC1B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2E204A" w14:textId="77777777" w:rsidR="00575AC3" w:rsidRPr="006D40F0" w:rsidRDefault="00575AC3" w:rsidP="006D40F0">
            <w:r w:rsidRPr="006D40F0">
              <w:t>fra kr 451 230 000 til kr 541 230 000</w:t>
            </w:r>
          </w:p>
        </w:tc>
        <w:tc>
          <w:tcPr>
            <w:tcW w:w="1400" w:type="dxa"/>
            <w:tcBorders>
              <w:top w:val="nil"/>
              <w:left w:val="nil"/>
              <w:bottom w:val="nil"/>
              <w:right w:val="nil"/>
            </w:tcBorders>
            <w:tcMar>
              <w:top w:w="128" w:type="dxa"/>
              <w:left w:w="43" w:type="dxa"/>
              <w:bottom w:w="43" w:type="dxa"/>
              <w:right w:w="43" w:type="dxa"/>
            </w:tcMar>
            <w:vAlign w:val="bottom"/>
          </w:tcPr>
          <w:p w14:paraId="0A998C61" w14:textId="77777777" w:rsidR="00575AC3" w:rsidRPr="006D40F0" w:rsidRDefault="00575AC3" w:rsidP="006D40F0"/>
        </w:tc>
      </w:tr>
      <w:tr w:rsidR="00DD49A7" w:rsidRPr="006D40F0" w14:paraId="33D1F15B" w14:textId="77777777">
        <w:trPr>
          <w:trHeight w:val="380"/>
        </w:trPr>
        <w:tc>
          <w:tcPr>
            <w:tcW w:w="680" w:type="dxa"/>
            <w:tcBorders>
              <w:top w:val="nil"/>
              <w:left w:val="nil"/>
              <w:bottom w:val="nil"/>
              <w:right w:val="nil"/>
            </w:tcBorders>
            <w:tcMar>
              <w:top w:w="128" w:type="dxa"/>
              <w:left w:w="43" w:type="dxa"/>
              <w:bottom w:w="43" w:type="dxa"/>
              <w:right w:w="43" w:type="dxa"/>
            </w:tcMar>
          </w:tcPr>
          <w:p w14:paraId="2352C579" w14:textId="77777777" w:rsidR="00575AC3" w:rsidRPr="006D40F0" w:rsidRDefault="00575AC3" w:rsidP="006D40F0">
            <w:r w:rsidRPr="006D40F0">
              <w:t>460</w:t>
            </w:r>
          </w:p>
        </w:tc>
        <w:tc>
          <w:tcPr>
            <w:tcW w:w="680" w:type="dxa"/>
            <w:tcBorders>
              <w:top w:val="nil"/>
              <w:left w:val="nil"/>
              <w:bottom w:val="nil"/>
              <w:right w:val="nil"/>
            </w:tcBorders>
            <w:tcMar>
              <w:top w:w="128" w:type="dxa"/>
              <w:left w:w="43" w:type="dxa"/>
              <w:bottom w:w="43" w:type="dxa"/>
              <w:right w:w="43" w:type="dxa"/>
            </w:tcMar>
          </w:tcPr>
          <w:p w14:paraId="396E6B7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1D1954" w14:textId="77777777" w:rsidR="00575AC3" w:rsidRPr="006D40F0" w:rsidRDefault="00575AC3" w:rsidP="006D40F0">
            <w:r w:rsidRPr="006D40F0">
              <w:t>Spesialenheten for politisaker:</w:t>
            </w:r>
          </w:p>
        </w:tc>
        <w:tc>
          <w:tcPr>
            <w:tcW w:w="1400" w:type="dxa"/>
            <w:tcBorders>
              <w:top w:val="nil"/>
              <w:left w:val="nil"/>
              <w:bottom w:val="nil"/>
              <w:right w:val="nil"/>
            </w:tcBorders>
            <w:tcMar>
              <w:top w:w="128" w:type="dxa"/>
              <w:left w:w="43" w:type="dxa"/>
              <w:bottom w:w="43" w:type="dxa"/>
              <w:right w:w="43" w:type="dxa"/>
            </w:tcMar>
            <w:vAlign w:val="bottom"/>
          </w:tcPr>
          <w:p w14:paraId="6361A3B3" w14:textId="77777777" w:rsidR="00575AC3" w:rsidRPr="006D40F0" w:rsidRDefault="00575AC3" w:rsidP="006D40F0"/>
        </w:tc>
      </w:tr>
      <w:tr w:rsidR="00DD49A7" w:rsidRPr="006D40F0" w14:paraId="20CDFCB1" w14:textId="77777777">
        <w:trPr>
          <w:trHeight w:val="380"/>
        </w:trPr>
        <w:tc>
          <w:tcPr>
            <w:tcW w:w="680" w:type="dxa"/>
            <w:tcBorders>
              <w:top w:val="nil"/>
              <w:left w:val="nil"/>
              <w:bottom w:val="nil"/>
              <w:right w:val="nil"/>
            </w:tcBorders>
            <w:tcMar>
              <w:top w:w="128" w:type="dxa"/>
              <w:left w:w="43" w:type="dxa"/>
              <w:bottom w:w="43" w:type="dxa"/>
              <w:right w:w="43" w:type="dxa"/>
            </w:tcMar>
          </w:tcPr>
          <w:p w14:paraId="1824F60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FFD07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CEE836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535175C" w14:textId="77777777" w:rsidR="00575AC3" w:rsidRPr="006D40F0" w:rsidRDefault="00575AC3" w:rsidP="006D40F0">
            <w:r w:rsidRPr="006D40F0">
              <w:t>4 000 000</w:t>
            </w:r>
          </w:p>
        </w:tc>
      </w:tr>
      <w:tr w:rsidR="00DD49A7" w:rsidRPr="006D40F0" w14:paraId="66F00FFF" w14:textId="77777777">
        <w:trPr>
          <w:trHeight w:val="380"/>
        </w:trPr>
        <w:tc>
          <w:tcPr>
            <w:tcW w:w="680" w:type="dxa"/>
            <w:tcBorders>
              <w:top w:val="nil"/>
              <w:left w:val="nil"/>
              <w:bottom w:val="nil"/>
              <w:right w:val="nil"/>
            </w:tcBorders>
            <w:tcMar>
              <w:top w:w="128" w:type="dxa"/>
              <w:left w:w="43" w:type="dxa"/>
              <w:bottom w:w="43" w:type="dxa"/>
              <w:right w:w="43" w:type="dxa"/>
            </w:tcMar>
          </w:tcPr>
          <w:p w14:paraId="1963C4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7EF6C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CDF6A6" w14:textId="77777777" w:rsidR="00575AC3" w:rsidRPr="006D40F0" w:rsidRDefault="00575AC3" w:rsidP="006D40F0">
            <w:r w:rsidRPr="006D40F0">
              <w:t>fra kr 67 132 000 til kr 71 132 000</w:t>
            </w:r>
          </w:p>
        </w:tc>
        <w:tc>
          <w:tcPr>
            <w:tcW w:w="1400" w:type="dxa"/>
            <w:tcBorders>
              <w:top w:val="nil"/>
              <w:left w:val="nil"/>
              <w:bottom w:val="nil"/>
              <w:right w:val="nil"/>
            </w:tcBorders>
            <w:tcMar>
              <w:top w:w="128" w:type="dxa"/>
              <w:left w:w="43" w:type="dxa"/>
              <w:bottom w:w="43" w:type="dxa"/>
              <w:right w:w="43" w:type="dxa"/>
            </w:tcMar>
            <w:vAlign w:val="bottom"/>
          </w:tcPr>
          <w:p w14:paraId="707C2DA5" w14:textId="77777777" w:rsidR="00575AC3" w:rsidRPr="006D40F0" w:rsidRDefault="00575AC3" w:rsidP="006D40F0"/>
        </w:tc>
      </w:tr>
      <w:tr w:rsidR="00DD49A7" w:rsidRPr="006D40F0" w14:paraId="05ACB790" w14:textId="77777777">
        <w:trPr>
          <w:trHeight w:val="380"/>
        </w:trPr>
        <w:tc>
          <w:tcPr>
            <w:tcW w:w="680" w:type="dxa"/>
            <w:tcBorders>
              <w:top w:val="nil"/>
              <w:left w:val="nil"/>
              <w:bottom w:val="nil"/>
              <w:right w:val="nil"/>
            </w:tcBorders>
            <w:tcMar>
              <w:top w:w="128" w:type="dxa"/>
              <w:left w:w="43" w:type="dxa"/>
              <w:bottom w:w="43" w:type="dxa"/>
              <w:right w:w="43" w:type="dxa"/>
            </w:tcMar>
          </w:tcPr>
          <w:p w14:paraId="22A2899F" w14:textId="77777777" w:rsidR="00575AC3" w:rsidRPr="006D40F0" w:rsidRDefault="00575AC3" w:rsidP="006D40F0">
            <w:r w:rsidRPr="006D40F0">
              <w:t>466</w:t>
            </w:r>
          </w:p>
        </w:tc>
        <w:tc>
          <w:tcPr>
            <w:tcW w:w="680" w:type="dxa"/>
            <w:tcBorders>
              <w:top w:val="nil"/>
              <w:left w:val="nil"/>
              <w:bottom w:val="nil"/>
              <w:right w:val="nil"/>
            </w:tcBorders>
            <w:tcMar>
              <w:top w:w="128" w:type="dxa"/>
              <w:left w:w="43" w:type="dxa"/>
              <w:bottom w:w="43" w:type="dxa"/>
              <w:right w:w="43" w:type="dxa"/>
            </w:tcMar>
          </w:tcPr>
          <w:p w14:paraId="508666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F12C4B2" w14:textId="77777777" w:rsidR="00575AC3" w:rsidRPr="006D40F0" w:rsidRDefault="00575AC3" w:rsidP="006D40F0">
            <w:r w:rsidRPr="006D40F0">
              <w:t>Særskilte straffesaksutgifter m.m.:</w:t>
            </w:r>
          </w:p>
        </w:tc>
        <w:tc>
          <w:tcPr>
            <w:tcW w:w="1400" w:type="dxa"/>
            <w:tcBorders>
              <w:top w:val="nil"/>
              <w:left w:val="nil"/>
              <w:bottom w:val="nil"/>
              <w:right w:val="nil"/>
            </w:tcBorders>
            <w:tcMar>
              <w:top w:w="128" w:type="dxa"/>
              <w:left w:w="43" w:type="dxa"/>
              <w:bottom w:w="43" w:type="dxa"/>
              <w:right w:w="43" w:type="dxa"/>
            </w:tcMar>
            <w:vAlign w:val="bottom"/>
          </w:tcPr>
          <w:p w14:paraId="1E10CD9D" w14:textId="77777777" w:rsidR="00575AC3" w:rsidRPr="006D40F0" w:rsidRDefault="00575AC3" w:rsidP="006D40F0"/>
        </w:tc>
      </w:tr>
      <w:tr w:rsidR="00DD49A7" w:rsidRPr="006D40F0" w14:paraId="7DAE763A" w14:textId="77777777">
        <w:trPr>
          <w:trHeight w:val="380"/>
        </w:trPr>
        <w:tc>
          <w:tcPr>
            <w:tcW w:w="680" w:type="dxa"/>
            <w:tcBorders>
              <w:top w:val="nil"/>
              <w:left w:val="nil"/>
              <w:bottom w:val="nil"/>
              <w:right w:val="nil"/>
            </w:tcBorders>
            <w:tcMar>
              <w:top w:w="128" w:type="dxa"/>
              <w:left w:w="43" w:type="dxa"/>
              <w:bottom w:w="43" w:type="dxa"/>
              <w:right w:w="43" w:type="dxa"/>
            </w:tcMar>
          </w:tcPr>
          <w:p w14:paraId="4E0AB3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8C8BD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9DD001C"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E59FF93" w14:textId="77777777" w:rsidR="00575AC3" w:rsidRPr="006D40F0" w:rsidRDefault="00575AC3" w:rsidP="006D40F0">
            <w:r w:rsidRPr="006D40F0">
              <w:t>22 750 000</w:t>
            </w:r>
          </w:p>
        </w:tc>
      </w:tr>
      <w:tr w:rsidR="00DD49A7" w:rsidRPr="006D40F0" w14:paraId="21C75B1B" w14:textId="77777777">
        <w:trPr>
          <w:trHeight w:val="380"/>
        </w:trPr>
        <w:tc>
          <w:tcPr>
            <w:tcW w:w="680" w:type="dxa"/>
            <w:tcBorders>
              <w:top w:val="nil"/>
              <w:left w:val="nil"/>
              <w:bottom w:val="nil"/>
              <w:right w:val="nil"/>
            </w:tcBorders>
            <w:tcMar>
              <w:top w:w="128" w:type="dxa"/>
              <w:left w:w="43" w:type="dxa"/>
              <w:bottom w:w="43" w:type="dxa"/>
              <w:right w:w="43" w:type="dxa"/>
            </w:tcMar>
          </w:tcPr>
          <w:p w14:paraId="28FA88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4ECE1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448AC4" w14:textId="77777777" w:rsidR="00575AC3" w:rsidRPr="006D40F0" w:rsidRDefault="00575AC3" w:rsidP="006D40F0">
            <w:r w:rsidRPr="006D40F0">
              <w:t>fra kr 1 366 567 000 til kr 1 389 317 000</w:t>
            </w:r>
          </w:p>
        </w:tc>
        <w:tc>
          <w:tcPr>
            <w:tcW w:w="1400" w:type="dxa"/>
            <w:tcBorders>
              <w:top w:val="nil"/>
              <w:left w:val="nil"/>
              <w:bottom w:val="nil"/>
              <w:right w:val="nil"/>
            </w:tcBorders>
            <w:tcMar>
              <w:top w:w="128" w:type="dxa"/>
              <w:left w:w="43" w:type="dxa"/>
              <w:bottom w:w="43" w:type="dxa"/>
              <w:right w:w="43" w:type="dxa"/>
            </w:tcMar>
            <w:vAlign w:val="bottom"/>
          </w:tcPr>
          <w:p w14:paraId="008C4F35" w14:textId="77777777" w:rsidR="00575AC3" w:rsidRPr="006D40F0" w:rsidRDefault="00575AC3" w:rsidP="006D40F0"/>
        </w:tc>
      </w:tr>
      <w:tr w:rsidR="00DD49A7" w:rsidRPr="006D40F0" w14:paraId="4ECE8FFC" w14:textId="77777777">
        <w:trPr>
          <w:trHeight w:val="380"/>
        </w:trPr>
        <w:tc>
          <w:tcPr>
            <w:tcW w:w="680" w:type="dxa"/>
            <w:tcBorders>
              <w:top w:val="nil"/>
              <w:left w:val="nil"/>
              <w:bottom w:val="nil"/>
              <w:right w:val="nil"/>
            </w:tcBorders>
            <w:tcMar>
              <w:top w:w="128" w:type="dxa"/>
              <w:left w:w="43" w:type="dxa"/>
              <w:bottom w:w="43" w:type="dxa"/>
              <w:right w:w="43" w:type="dxa"/>
            </w:tcMar>
          </w:tcPr>
          <w:p w14:paraId="77FECCC9" w14:textId="77777777" w:rsidR="00575AC3" w:rsidRPr="006D40F0" w:rsidRDefault="00575AC3" w:rsidP="006D40F0">
            <w:r w:rsidRPr="006D40F0">
              <w:t>467</w:t>
            </w:r>
          </w:p>
        </w:tc>
        <w:tc>
          <w:tcPr>
            <w:tcW w:w="680" w:type="dxa"/>
            <w:tcBorders>
              <w:top w:val="nil"/>
              <w:left w:val="nil"/>
              <w:bottom w:val="nil"/>
              <w:right w:val="nil"/>
            </w:tcBorders>
            <w:tcMar>
              <w:top w:w="128" w:type="dxa"/>
              <w:left w:w="43" w:type="dxa"/>
              <w:bottom w:w="43" w:type="dxa"/>
              <w:right w:w="43" w:type="dxa"/>
            </w:tcMar>
          </w:tcPr>
          <w:p w14:paraId="050326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4E05F90" w14:textId="77777777" w:rsidR="00575AC3" w:rsidRPr="006D40F0" w:rsidRDefault="00575AC3" w:rsidP="006D40F0">
            <w:r w:rsidRPr="006D40F0">
              <w:t>Norsk Lovtidend:</w:t>
            </w:r>
          </w:p>
        </w:tc>
        <w:tc>
          <w:tcPr>
            <w:tcW w:w="1400" w:type="dxa"/>
            <w:tcBorders>
              <w:top w:val="nil"/>
              <w:left w:val="nil"/>
              <w:bottom w:val="nil"/>
              <w:right w:val="nil"/>
            </w:tcBorders>
            <w:tcMar>
              <w:top w:w="128" w:type="dxa"/>
              <w:left w:w="43" w:type="dxa"/>
              <w:bottom w:w="43" w:type="dxa"/>
              <w:right w:w="43" w:type="dxa"/>
            </w:tcMar>
            <w:vAlign w:val="bottom"/>
          </w:tcPr>
          <w:p w14:paraId="0EBEF520" w14:textId="77777777" w:rsidR="00575AC3" w:rsidRPr="006D40F0" w:rsidRDefault="00575AC3" w:rsidP="006D40F0"/>
        </w:tc>
      </w:tr>
      <w:tr w:rsidR="00DD49A7" w:rsidRPr="006D40F0" w14:paraId="18F70D3E" w14:textId="77777777">
        <w:trPr>
          <w:trHeight w:val="380"/>
        </w:trPr>
        <w:tc>
          <w:tcPr>
            <w:tcW w:w="680" w:type="dxa"/>
            <w:tcBorders>
              <w:top w:val="nil"/>
              <w:left w:val="nil"/>
              <w:bottom w:val="nil"/>
              <w:right w:val="nil"/>
            </w:tcBorders>
            <w:tcMar>
              <w:top w:w="128" w:type="dxa"/>
              <w:left w:w="43" w:type="dxa"/>
              <w:bottom w:w="43" w:type="dxa"/>
              <w:right w:w="43" w:type="dxa"/>
            </w:tcMar>
          </w:tcPr>
          <w:p w14:paraId="65769B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40041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CEA771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09E7B428" w14:textId="77777777" w:rsidR="00575AC3" w:rsidRPr="006D40F0" w:rsidRDefault="00575AC3" w:rsidP="006D40F0">
            <w:r w:rsidRPr="006D40F0">
              <w:t>300 000</w:t>
            </w:r>
          </w:p>
        </w:tc>
      </w:tr>
      <w:tr w:rsidR="00DD49A7" w:rsidRPr="006D40F0" w14:paraId="4EE438CD" w14:textId="77777777">
        <w:trPr>
          <w:trHeight w:val="380"/>
        </w:trPr>
        <w:tc>
          <w:tcPr>
            <w:tcW w:w="680" w:type="dxa"/>
            <w:tcBorders>
              <w:top w:val="nil"/>
              <w:left w:val="nil"/>
              <w:bottom w:val="nil"/>
              <w:right w:val="nil"/>
            </w:tcBorders>
            <w:tcMar>
              <w:top w:w="128" w:type="dxa"/>
              <w:left w:w="43" w:type="dxa"/>
              <w:bottom w:w="43" w:type="dxa"/>
              <w:right w:w="43" w:type="dxa"/>
            </w:tcMar>
          </w:tcPr>
          <w:p w14:paraId="58C3CB8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63E93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F791EB" w14:textId="77777777" w:rsidR="00575AC3" w:rsidRPr="006D40F0" w:rsidRDefault="00575AC3" w:rsidP="006D40F0">
            <w:r w:rsidRPr="006D40F0">
              <w:t>fra kr 8 750 000 til kr 9 050 000</w:t>
            </w:r>
          </w:p>
        </w:tc>
        <w:tc>
          <w:tcPr>
            <w:tcW w:w="1400" w:type="dxa"/>
            <w:tcBorders>
              <w:top w:val="nil"/>
              <w:left w:val="nil"/>
              <w:bottom w:val="nil"/>
              <w:right w:val="nil"/>
            </w:tcBorders>
            <w:tcMar>
              <w:top w:w="128" w:type="dxa"/>
              <w:left w:w="43" w:type="dxa"/>
              <w:bottom w:w="43" w:type="dxa"/>
              <w:right w:w="43" w:type="dxa"/>
            </w:tcMar>
            <w:vAlign w:val="bottom"/>
          </w:tcPr>
          <w:p w14:paraId="55A5A628" w14:textId="77777777" w:rsidR="00575AC3" w:rsidRPr="006D40F0" w:rsidRDefault="00575AC3" w:rsidP="006D40F0"/>
        </w:tc>
      </w:tr>
      <w:tr w:rsidR="00DD49A7" w:rsidRPr="006D40F0" w14:paraId="389789F0" w14:textId="77777777">
        <w:trPr>
          <w:trHeight w:val="380"/>
        </w:trPr>
        <w:tc>
          <w:tcPr>
            <w:tcW w:w="680" w:type="dxa"/>
            <w:tcBorders>
              <w:top w:val="nil"/>
              <w:left w:val="nil"/>
              <w:bottom w:val="nil"/>
              <w:right w:val="nil"/>
            </w:tcBorders>
            <w:tcMar>
              <w:top w:w="128" w:type="dxa"/>
              <w:left w:w="43" w:type="dxa"/>
              <w:bottom w:w="43" w:type="dxa"/>
              <w:right w:w="43" w:type="dxa"/>
            </w:tcMar>
          </w:tcPr>
          <w:p w14:paraId="2463FC5F" w14:textId="77777777" w:rsidR="00575AC3" w:rsidRPr="006D40F0" w:rsidRDefault="00575AC3" w:rsidP="006D40F0">
            <w:r w:rsidRPr="006D40F0">
              <w:t>468</w:t>
            </w:r>
          </w:p>
        </w:tc>
        <w:tc>
          <w:tcPr>
            <w:tcW w:w="680" w:type="dxa"/>
            <w:tcBorders>
              <w:top w:val="nil"/>
              <w:left w:val="nil"/>
              <w:bottom w:val="nil"/>
              <w:right w:val="nil"/>
            </w:tcBorders>
            <w:tcMar>
              <w:top w:w="128" w:type="dxa"/>
              <w:left w:w="43" w:type="dxa"/>
              <w:bottom w:w="43" w:type="dxa"/>
              <w:right w:w="43" w:type="dxa"/>
            </w:tcMar>
          </w:tcPr>
          <w:p w14:paraId="2AD5919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3E4556" w14:textId="77777777" w:rsidR="00575AC3" w:rsidRPr="006D40F0" w:rsidRDefault="00575AC3" w:rsidP="006D40F0">
            <w:r w:rsidRPr="006D40F0">
              <w:t>Kommisjonen for gjenopptakelse av straffesaker:</w:t>
            </w:r>
          </w:p>
        </w:tc>
        <w:tc>
          <w:tcPr>
            <w:tcW w:w="1400" w:type="dxa"/>
            <w:tcBorders>
              <w:top w:val="nil"/>
              <w:left w:val="nil"/>
              <w:bottom w:val="nil"/>
              <w:right w:val="nil"/>
            </w:tcBorders>
            <w:tcMar>
              <w:top w:w="128" w:type="dxa"/>
              <w:left w:w="43" w:type="dxa"/>
              <w:bottom w:w="43" w:type="dxa"/>
              <w:right w:w="43" w:type="dxa"/>
            </w:tcMar>
            <w:vAlign w:val="bottom"/>
          </w:tcPr>
          <w:p w14:paraId="15F6D008" w14:textId="77777777" w:rsidR="00575AC3" w:rsidRPr="006D40F0" w:rsidRDefault="00575AC3" w:rsidP="006D40F0"/>
        </w:tc>
      </w:tr>
      <w:tr w:rsidR="00DD49A7" w:rsidRPr="006D40F0" w14:paraId="2562BC50" w14:textId="77777777">
        <w:trPr>
          <w:trHeight w:val="380"/>
        </w:trPr>
        <w:tc>
          <w:tcPr>
            <w:tcW w:w="680" w:type="dxa"/>
            <w:tcBorders>
              <w:top w:val="nil"/>
              <w:left w:val="nil"/>
              <w:bottom w:val="nil"/>
              <w:right w:val="nil"/>
            </w:tcBorders>
            <w:tcMar>
              <w:top w:w="128" w:type="dxa"/>
              <w:left w:w="43" w:type="dxa"/>
              <w:bottom w:w="43" w:type="dxa"/>
              <w:right w:w="43" w:type="dxa"/>
            </w:tcMar>
          </w:tcPr>
          <w:p w14:paraId="28939D8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0ECF4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D32E070"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3D8F604" w14:textId="77777777" w:rsidR="00575AC3" w:rsidRPr="006D40F0" w:rsidRDefault="00575AC3" w:rsidP="006D40F0">
            <w:r w:rsidRPr="006D40F0">
              <w:t>3 500 000</w:t>
            </w:r>
          </w:p>
        </w:tc>
      </w:tr>
      <w:tr w:rsidR="00DD49A7" w:rsidRPr="006D40F0" w14:paraId="27AB9DA3" w14:textId="77777777">
        <w:trPr>
          <w:trHeight w:val="380"/>
        </w:trPr>
        <w:tc>
          <w:tcPr>
            <w:tcW w:w="680" w:type="dxa"/>
            <w:tcBorders>
              <w:top w:val="nil"/>
              <w:left w:val="nil"/>
              <w:bottom w:val="nil"/>
              <w:right w:val="nil"/>
            </w:tcBorders>
            <w:tcMar>
              <w:top w:w="128" w:type="dxa"/>
              <w:left w:w="43" w:type="dxa"/>
              <w:bottom w:w="43" w:type="dxa"/>
              <w:right w:w="43" w:type="dxa"/>
            </w:tcMar>
          </w:tcPr>
          <w:p w14:paraId="57DF20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E06E6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F7314B" w14:textId="77777777" w:rsidR="00575AC3" w:rsidRPr="006D40F0" w:rsidRDefault="00575AC3" w:rsidP="006D40F0">
            <w:r w:rsidRPr="006D40F0">
              <w:t>fra kr 24 100 000 til kr 27 600 000</w:t>
            </w:r>
          </w:p>
        </w:tc>
        <w:tc>
          <w:tcPr>
            <w:tcW w:w="1400" w:type="dxa"/>
            <w:tcBorders>
              <w:top w:val="nil"/>
              <w:left w:val="nil"/>
              <w:bottom w:val="nil"/>
              <w:right w:val="nil"/>
            </w:tcBorders>
            <w:tcMar>
              <w:top w:w="128" w:type="dxa"/>
              <w:left w:w="43" w:type="dxa"/>
              <w:bottom w:w="43" w:type="dxa"/>
              <w:right w:w="43" w:type="dxa"/>
            </w:tcMar>
            <w:vAlign w:val="bottom"/>
          </w:tcPr>
          <w:p w14:paraId="7F2ACA9B" w14:textId="77777777" w:rsidR="00575AC3" w:rsidRPr="006D40F0" w:rsidRDefault="00575AC3" w:rsidP="006D40F0"/>
        </w:tc>
      </w:tr>
      <w:tr w:rsidR="00DD49A7" w:rsidRPr="006D40F0" w14:paraId="6A055C44" w14:textId="77777777">
        <w:trPr>
          <w:trHeight w:val="380"/>
        </w:trPr>
        <w:tc>
          <w:tcPr>
            <w:tcW w:w="680" w:type="dxa"/>
            <w:tcBorders>
              <w:top w:val="nil"/>
              <w:left w:val="nil"/>
              <w:bottom w:val="nil"/>
              <w:right w:val="nil"/>
            </w:tcBorders>
            <w:tcMar>
              <w:top w:w="128" w:type="dxa"/>
              <w:left w:w="43" w:type="dxa"/>
              <w:bottom w:w="43" w:type="dxa"/>
              <w:right w:w="43" w:type="dxa"/>
            </w:tcMar>
          </w:tcPr>
          <w:p w14:paraId="7DCB3D78" w14:textId="77777777" w:rsidR="00575AC3" w:rsidRPr="006D40F0" w:rsidRDefault="00575AC3" w:rsidP="006D40F0">
            <w:r w:rsidRPr="006D40F0">
              <w:t>470</w:t>
            </w:r>
          </w:p>
        </w:tc>
        <w:tc>
          <w:tcPr>
            <w:tcW w:w="680" w:type="dxa"/>
            <w:tcBorders>
              <w:top w:val="nil"/>
              <w:left w:val="nil"/>
              <w:bottom w:val="nil"/>
              <w:right w:val="nil"/>
            </w:tcBorders>
            <w:tcMar>
              <w:top w:w="128" w:type="dxa"/>
              <w:left w:w="43" w:type="dxa"/>
              <w:bottom w:w="43" w:type="dxa"/>
              <w:right w:w="43" w:type="dxa"/>
            </w:tcMar>
          </w:tcPr>
          <w:p w14:paraId="79021AD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0CC2921" w14:textId="77777777" w:rsidR="00575AC3" w:rsidRPr="006D40F0" w:rsidRDefault="00575AC3" w:rsidP="006D40F0">
            <w:r w:rsidRPr="006D40F0">
              <w:t>Fri rettshjelp:</w:t>
            </w:r>
          </w:p>
        </w:tc>
        <w:tc>
          <w:tcPr>
            <w:tcW w:w="1400" w:type="dxa"/>
            <w:tcBorders>
              <w:top w:val="nil"/>
              <w:left w:val="nil"/>
              <w:bottom w:val="nil"/>
              <w:right w:val="nil"/>
            </w:tcBorders>
            <w:tcMar>
              <w:top w:w="128" w:type="dxa"/>
              <w:left w:w="43" w:type="dxa"/>
              <w:bottom w:w="43" w:type="dxa"/>
              <w:right w:w="43" w:type="dxa"/>
            </w:tcMar>
            <w:vAlign w:val="bottom"/>
          </w:tcPr>
          <w:p w14:paraId="1352C968" w14:textId="77777777" w:rsidR="00575AC3" w:rsidRPr="006D40F0" w:rsidRDefault="00575AC3" w:rsidP="006D40F0"/>
        </w:tc>
      </w:tr>
      <w:tr w:rsidR="00DD49A7" w:rsidRPr="006D40F0" w14:paraId="3F4CBF9C" w14:textId="77777777">
        <w:trPr>
          <w:trHeight w:val="380"/>
        </w:trPr>
        <w:tc>
          <w:tcPr>
            <w:tcW w:w="680" w:type="dxa"/>
            <w:tcBorders>
              <w:top w:val="nil"/>
              <w:left w:val="nil"/>
              <w:bottom w:val="nil"/>
              <w:right w:val="nil"/>
            </w:tcBorders>
            <w:tcMar>
              <w:top w:w="128" w:type="dxa"/>
              <w:left w:w="43" w:type="dxa"/>
              <w:bottom w:w="43" w:type="dxa"/>
              <w:right w:w="43" w:type="dxa"/>
            </w:tcMar>
          </w:tcPr>
          <w:p w14:paraId="6AB1937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73124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E8FE8C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1E31295" w14:textId="77777777" w:rsidR="00575AC3" w:rsidRPr="006D40F0" w:rsidRDefault="00575AC3" w:rsidP="006D40F0">
            <w:r w:rsidRPr="006D40F0">
              <w:t>12 797 000</w:t>
            </w:r>
          </w:p>
        </w:tc>
      </w:tr>
      <w:tr w:rsidR="00DD49A7" w:rsidRPr="006D40F0" w14:paraId="181177F3" w14:textId="77777777">
        <w:trPr>
          <w:trHeight w:val="380"/>
        </w:trPr>
        <w:tc>
          <w:tcPr>
            <w:tcW w:w="680" w:type="dxa"/>
            <w:tcBorders>
              <w:top w:val="nil"/>
              <w:left w:val="nil"/>
              <w:bottom w:val="nil"/>
              <w:right w:val="nil"/>
            </w:tcBorders>
            <w:tcMar>
              <w:top w:w="128" w:type="dxa"/>
              <w:left w:w="43" w:type="dxa"/>
              <w:bottom w:w="43" w:type="dxa"/>
              <w:right w:w="43" w:type="dxa"/>
            </w:tcMar>
          </w:tcPr>
          <w:p w14:paraId="7E5FA99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F9477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4368834" w14:textId="77777777" w:rsidR="00575AC3" w:rsidRPr="006D40F0" w:rsidRDefault="00575AC3" w:rsidP="006D40F0">
            <w:r w:rsidRPr="006D40F0">
              <w:t>fra kr 839 271 000 til kr 852 068 000</w:t>
            </w:r>
          </w:p>
        </w:tc>
        <w:tc>
          <w:tcPr>
            <w:tcW w:w="1400" w:type="dxa"/>
            <w:tcBorders>
              <w:top w:val="nil"/>
              <w:left w:val="nil"/>
              <w:bottom w:val="nil"/>
              <w:right w:val="nil"/>
            </w:tcBorders>
            <w:tcMar>
              <w:top w:w="128" w:type="dxa"/>
              <w:left w:w="43" w:type="dxa"/>
              <w:bottom w:w="43" w:type="dxa"/>
              <w:right w:w="43" w:type="dxa"/>
            </w:tcMar>
            <w:vAlign w:val="bottom"/>
          </w:tcPr>
          <w:p w14:paraId="0B13F7AE" w14:textId="77777777" w:rsidR="00575AC3" w:rsidRPr="006D40F0" w:rsidRDefault="00575AC3" w:rsidP="006D40F0"/>
        </w:tc>
      </w:tr>
      <w:tr w:rsidR="00DD49A7" w:rsidRPr="006D40F0" w14:paraId="00C6B526" w14:textId="77777777">
        <w:trPr>
          <w:trHeight w:val="380"/>
        </w:trPr>
        <w:tc>
          <w:tcPr>
            <w:tcW w:w="680" w:type="dxa"/>
            <w:tcBorders>
              <w:top w:val="nil"/>
              <w:left w:val="nil"/>
              <w:bottom w:val="nil"/>
              <w:right w:val="nil"/>
            </w:tcBorders>
            <w:tcMar>
              <w:top w:w="128" w:type="dxa"/>
              <w:left w:w="43" w:type="dxa"/>
              <w:bottom w:w="43" w:type="dxa"/>
              <w:right w:w="43" w:type="dxa"/>
            </w:tcMar>
          </w:tcPr>
          <w:p w14:paraId="71335F6B" w14:textId="77777777" w:rsidR="00575AC3" w:rsidRPr="006D40F0" w:rsidRDefault="00575AC3" w:rsidP="006D40F0">
            <w:r w:rsidRPr="006D40F0">
              <w:t>471</w:t>
            </w:r>
          </w:p>
        </w:tc>
        <w:tc>
          <w:tcPr>
            <w:tcW w:w="680" w:type="dxa"/>
            <w:tcBorders>
              <w:top w:val="nil"/>
              <w:left w:val="nil"/>
              <w:bottom w:val="nil"/>
              <w:right w:val="nil"/>
            </w:tcBorders>
            <w:tcMar>
              <w:top w:w="128" w:type="dxa"/>
              <w:left w:w="43" w:type="dxa"/>
              <w:bottom w:w="43" w:type="dxa"/>
              <w:right w:w="43" w:type="dxa"/>
            </w:tcMar>
          </w:tcPr>
          <w:p w14:paraId="5AE08A4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2589C0" w14:textId="77777777" w:rsidR="00575AC3" w:rsidRPr="006D40F0" w:rsidRDefault="00575AC3" w:rsidP="006D40F0">
            <w:r w:rsidRPr="006D40F0">
              <w:t>Statens erstatningsansvar og Stortingets rettferdsvederlagsordning:</w:t>
            </w:r>
          </w:p>
        </w:tc>
        <w:tc>
          <w:tcPr>
            <w:tcW w:w="1400" w:type="dxa"/>
            <w:tcBorders>
              <w:top w:val="nil"/>
              <w:left w:val="nil"/>
              <w:bottom w:val="nil"/>
              <w:right w:val="nil"/>
            </w:tcBorders>
            <w:tcMar>
              <w:top w:w="128" w:type="dxa"/>
              <w:left w:w="43" w:type="dxa"/>
              <w:bottom w:w="43" w:type="dxa"/>
              <w:right w:w="43" w:type="dxa"/>
            </w:tcMar>
            <w:vAlign w:val="bottom"/>
          </w:tcPr>
          <w:p w14:paraId="0222814A" w14:textId="77777777" w:rsidR="00575AC3" w:rsidRPr="006D40F0" w:rsidRDefault="00575AC3" w:rsidP="006D40F0"/>
        </w:tc>
      </w:tr>
      <w:tr w:rsidR="00DD49A7" w:rsidRPr="006D40F0" w14:paraId="2DC17813" w14:textId="77777777">
        <w:trPr>
          <w:trHeight w:val="640"/>
        </w:trPr>
        <w:tc>
          <w:tcPr>
            <w:tcW w:w="680" w:type="dxa"/>
            <w:tcBorders>
              <w:top w:val="nil"/>
              <w:left w:val="nil"/>
              <w:bottom w:val="nil"/>
              <w:right w:val="nil"/>
            </w:tcBorders>
            <w:tcMar>
              <w:top w:w="128" w:type="dxa"/>
              <w:left w:w="43" w:type="dxa"/>
              <w:bottom w:w="43" w:type="dxa"/>
              <w:right w:w="43" w:type="dxa"/>
            </w:tcMar>
          </w:tcPr>
          <w:p w14:paraId="62202E4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9D12FE"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FEE4489" w14:textId="77777777" w:rsidR="00575AC3" w:rsidRPr="006D40F0" w:rsidRDefault="00575AC3" w:rsidP="006D40F0">
            <w:r w:rsidRPr="006D40F0">
              <w:t xml:space="preserve">Erstatning i anledning av </w:t>
            </w:r>
            <w:proofErr w:type="spellStart"/>
            <w:r w:rsidRPr="006D40F0">
              <w:t>straffeforfølging</w:t>
            </w:r>
            <w:proofErr w:type="spellEnd"/>
            <w:r w:rsidRPr="006D40F0">
              <w:t xml:space="preserv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2C80054" w14:textId="77777777" w:rsidR="00575AC3" w:rsidRPr="006D40F0" w:rsidRDefault="00575AC3" w:rsidP="006D40F0">
            <w:r w:rsidRPr="006D40F0">
              <w:t>46 273 000</w:t>
            </w:r>
          </w:p>
        </w:tc>
      </w:tr>
      <w:tr w:rsidR="00DD49A7" w:rsidRPr="006D40F0" w14:paraId="61F2B89D" w14:textId="77777777">
        <w:trPr>
          <w:trHeight w:val="380"/>
        </w:trPr>
        <w:tc>
          <w:tcPr>
            <w:tcW w:w="680" w:type="dxa"/>
            <w:tcBorders>
              <w:top w:val="nil"/>
              <w:left w:val="nil"/>
              <w:bottom w:val="nil"/>
              <w:right w:val="nil"/>
            </w:tcBorders>
            <w:tcMar>
              <w:top w:w="128" w:type="dxa"/>
              <w:left w:w="43" w:type="dxa"/>
              <w:bottom w:w="43" w:type="dxa"/>
              <w:right w:w="43" w:type="dxa"/>
            </w:tcMar>
          </w:tcPr>
          <w:p w14:paraId="7228376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E28E1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70CA44" w14:textId="77777777" w:rsidR="00575AC3" w:rsidRPr="006D40F0" w:rsidRDefault="00575AC3" w:rsidP="006D40F0">
            <w:r w:rsidRPr="006D40F0">
              <w:t>fra kr 73 727 000 til kr 120 000 000</w:t>
            </w:r>
          </w:p>
        </w:tc>
        <w:tc>
          <w:tcPr>
            <w:tcW w:w="1400" w:type="dxa"/>
            <w:tcBorders>
              <w:top w:val="nil"/>
              <w:left w:val="nil"/>
              <w:bottom w:val="nil"/>
              <w:right w:val="nil"/>
            </w:tcBorders>
            <w:tcMar>
              <w:top w:w="128" w:type="dxa"/>
              <w:left w:w="43" w:type="dxa"/>
              <w:bottom w:w="43" w:type="dxa"/>
              <w:right w:w="43" w:type="dxa"/>
            </w:tcMar>
            <w:vAlign w:val="bottom"/>
          </w:tcPr>
          <w:p w14:paraId="3B0C4CFF" w14:textId="77777777" w:rsidR="00575AC3" w:rsidRPr="006D40F0" w:rsidRDefault="00575AC3" w:rsidP="006D40F0"/>
        </w:tc>
      </w:tr>
      <w:tr w:rsidR="00DD49A7" w:rsidRPr="006D40F0" w14:paraId="475190CB" w14:textId="77777777">
        <w:trPr>
          <w:trHeight w:val="380"/>
        </w:trPr>
        <w:tc>
          <w:tcPr>
            <w:tcW w:w="680" w:type="dxa"/>
            <w:tcBorders>
              <w:top w:val="nil"/>
              <w:left w:val="nil"/>
              <w:bottom w:val="nil"/>
              <w:right w:val="nil"/>
            </w:tcBorders>
            <w:tcMar>
              <w:top w:w="128" w:type="dxa"/>
              <w:left w:w="43" w:type="dxa"/>
              <w:bottom w:w="43" w:type="dxa"/>
              <w:right w:w="43" w:type="dxa"/>
            </w:tcMar>
          </w:tcPr>
          <w:p w14:paraId="37A1410B" w14:textId="77777777" w:rsidR="00575AC3" w:rsidRPr="006D40F0" w:rsidRDefault="00575AC3" w:rsidP="006D40F0">
            <w:r w:rsidRPr="006D40F0">
              <w:t>473</w:t>
            </w:r>
          </w:p>
        </w:tc>
        <w:tc>
          <w:tcPr>
            <w:tcW w:w="680" w:type="dxa"/>
            <w:tcBorders>
              <w:top w:val="nil"/>
              <w:left w:val="nil"/>
              <w:bottom w:val="nil"/>
              <w:right w:val="nil"/>
            </w:tcBorders>
            <w:tcMar>
              <w:top w:w="128" w:type="dxa"/>
              <w:left w:w="43" w:type="dxa"/>
              <w:bottom w:w="43" w:type="dxa"/>
              <w:right w:w="43" w:type="dxa"/>
            </w:tcMar>
          </w:tcPr>
          <w:p w14:paraId="40490CF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D82AAD5" w14:textId="77777777" w:rsidR="00575AC3" w:rsidRPr="006D40F0" w:rsidRDefault="00575AC3" w:rsidP="006D40F0">
            <w:r w:rsidRPr="006D40F0">
              <w:t>Statens sivilrettsforvaltning:</w:t>
            </w:r>
          </w:p>
        </w:tc>
        <w:tc>
          <w:tcPr>
            <w:tcW w:w="1400" w:type="dxa"/>
            <w:tcBorders>
              <w:top w:val="nil"/>
              <w:left w:val="nil"/>
              <w:bottom w:val="nil"/>
              <w:right w:val="nil"/>
            </w:tcBorders>
            <w:tcMar>
              <w:top w:w="128" w:type="dxa"/>
              <w:left w:w="43" w:type="dxa"/>
              <w:bottom w:w="43" w:type="dxa"/>
              <w:right w:w="43" w:type="dxa"/>
            </w:tcMar>
            <w:vAlign w:val="bottom"/>
          </w:tcPr>
          <w:p w14:paraId="28E07E14" w14:textId="77777777" w:rsidR="00575AC3" w:rsidRPr="006D40F0" w:rsidRDefault="00575AC3" w:rsidP="006D40F0"/>
        </w:tc>
      </w:tr>
      <w:tr w:rsidR="00DD49A7" w:rsidRPr="006D40F0" w14:paraId="4FD229DF" w14:textId="77777777">
        <w:trPr>
          <w:trHeight w:val="380"/>
        </w:trPr>
        <w:tc>
          <w:tcPr>
            <w:tcW w:w="680" w:type="dxa"/>
            <w:tcBorders>
              <w:top w:val="nil"/>
              <w:left w:val="nil"/>
              <w:bottom w:val="nil"/>
              <w:right w:val="nil"/>
            </w:tcBorders>
            <w:tcMar>
              <w:top w:w="128" w:type="dxa"/>
              <w:left w:w="43" w:type="dxa"/>
              <w:bottom w:w="43" w:type="dxa"/>
              <w:right w:w="43" w:type="dxa"/>
            </w:tcMar>
          </w:tcPr>
          <w:p w14:paraId="1F2C99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FD66F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0639865"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7DA6143" w14:textId="77777777" w:rsidR="00575AC3" w:rsidRPr="006D40F0" w:rsidRDefault="00575AC3" w:rsidP="006D40F0">
            <w:r w:rsidRPr="006D40F0">
              <w:t>2 000 000</w:t>
            </w:r>
          </w:p>
        </w:tc>
      </w:tr>
      <w:tr w:rsidR="00DD49A7" w:rsidRPr="006D40F0" w14:paraId="1CDCC5BD" w14:textId="77777777">
        <w:trPr>
          <w:trHeight w:val="380"/>
        </w:trPr>
        <w:tc>
          <w:tcPr>
            <w:tcW w:w="680" w:type="dxa"/>
            <w:tcBorders>
              <w:top w:val="nil"/>
              <w:left w:val="nil"/>
              <w:bottom w:val="nil"/>
              <w:right w:val="nil"/>
            </w:tcBorders>
            <w:tcMar>
              <w:top w:w="128" w:type="dxa"/>
              <w:left w:w="43" w:type="dxa"/>
              <w:bottom w:w="43" w:type="dxa"/>
              <w:right w:w="43" w:type="dxa"/>
            </w:tcMar>
          </w:tcPr>
          <w:p w14:paraId="4C9D24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898B4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B22906" w14:textId="77777777" w:rsidR="00575AC3" w:rsidRPr="006D40F0" w:rsidRDefault="00575AC3" w:rsidP="006D40F0">
            <w:r w:rsidRPr="006D40F0">
              <w:t>fra kr 144 259 000 til kr 146 259 000</w:t>
            </w:r>
          </w:p>
        </w:tc>
        <w:tc>
          <w:tcPr>
            <w:tcW w:w="1400" w:type="dxa"/>
            <w:tcBorders>
              <w:top w:val="nil"/>
              <w:left w:val="nil"/>
              <w:bottom w:val="nil"/>
              <w:right w:val="nil"/>
            </w:tcBorders>
            <w:tcMar>
              <w:top w:w="128" w:type="dxa"/>
              <w:left w:w="43" w:type="dxa"/>
              <w:bottom w:w="43" w:type="dxa"/>
              <w:right w:w="43" w:type="dxa"/>
            </w:tcMar>
            <w:vAlign w:val="bottom"/>
          </w:tcPr>
          <w:p w14:paraId="63DC7E0E" w14:textId="77777777" w:rsidR="00575AC3" w:rsidRPr="006D40F0" w:rsidRDefault="00575AC3" w:rsidP="006D40F0"/>
        </w:tc>
      </w:tr>
      <w:tr w:rsidR="00DD49A7" w:rsidRPr="006D40F0" w14:paraId="67E5E56A" w14:textId="77777777">
        <w:trPr>
          <w:trHeight w:val="380"/>
        </w:trPr>
        <w:tc>
          <w:tcPr>
            <w:tcW w:w="680" w:type="dxa"/>
            <w:tcBorders>
              <w:top w:val="nil"/>
              <w:left w:val="nil"/>
              <w:bottom w:val="nil"/>
              <w:right w:val="nil"/>
            </w:tcBorders>
            <w:tcMar>
              <w:top w:w="128" w:type="dxa"/>
              <w:left w:w="43" w:type="dxa"/>
              <w:bottom w:w="43" w:type="dxa"/>
              <w:right w:w="43" w:type="dxa"/>
            </w:tcMar>
          </w:tcPr>
          <w:p w14:paraId="5C9AB7A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847343"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124692E8" w14:textId="77777777" w:rsidR="00575AC3" w:rsidRPr="006D40F0" w:rsidRDefault="00575AC3" w:rsidP="006D40F0">
            <w:r w:rsidRPr="006D40F0">
              <w:t>Spesielle 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87E7F49" w14:textId="77777777" w:rsidR="00575AC3" w:rsidRPr="006D40F0" w:rsidRDefault="00575AC3" w:rsidP="006D40F0">
            <w:r w:rsidRPr="006D40F0">
              <w:t>528 000</w:t>
            </w:r>
          </w:p>
        </w:tc>
      </w:tr>
      <w:tr w:rsidR="00DD49A7" w:rsidRPr="006D40F0" w14:paraId="0BFEF8FD" w14:textId="77777777">
        <w:trPr>
          <w:trHeight w:val="380"/>
        </w:trPr>
        <w:tc>
          <w:tcPr>
            <w:tcW w:w="680" w:type="dxa"/>
            <w:tcBorders>
              <w:top w:val="nil"/>
              <w:left w:val="nil"/>
              <w:bottom w:val="nil"/>
              <w:right w:val="nil"/>
            </w:tcBorders>
            <w:tcMar>
              <w:top w:w="128" w:type="dxa"/>
              <w:left w:w="43" w:type="dxa"/>
              <w:bottom w:w="43" w:type="dxa"/>
              <w:right w:w="43" w:type="dxa"/>
            </w:tcMar>
          </w:tcPr>
          <w:p w14:paraId="799F01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14FDB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45588FB" w14:textId="77777777" w:rsidR="00575AC3" w:rsidRPr="006D40F0" w:rsidRDefault="00575AC3" w:rsidP="006D40F0">
            <w:r w:rsidRPr="006D40F0">
              <w:t>fra kr 98 355 000 til kr 98 883 000</w:t>
            </w:r>
          </w:p>
        </w:tc>
        <w:tc>
          <w:tcPr>
            <w:tcW w:w="1400" w:type="dxa"/>
            <w:tcBorders>
              <w:top w:val="nil"/>
              <w:left w:val="nil"/>
              <w:bottom w:val="nil"/>
              <w:right w:val="nil"/>
            </w:tcBorders>
            <w:tcMar>
              <w:top w:w="128" w:type="dxa"/>
              <w:left w:w="43" w:type="dxa"/>
              <w:bottom w:w="43" w:type="dxa"/>
              <w:right w:w="43" w:type="dxa"/>
            </w:tcMar>
            <w:vAlign w:val="bottom"/>
          </w:tcPr>
          <w:p w14:paraId="3074CD91" w14:textId="77777777" w:rsidR="00575AC3" w:rsidRPr="006D40F0" w:rsidRDefault="00575AC3" w:rsidP="006D40F0"/>
        </w:tc>
      </w:tr>
      <w:tr w:rsidR="00DD49A7" w:rsidRPr="006D40F0" w14:paraId="7CACCBD7" w14:textId="77777777">
        <w:trPr>
          <w:trHeight w:val="380"/>
        </w:trPr>
        <w:tc>
          <w:tcPr>
            <w:tcW w:w="680" w:type="dxa"/>
            <w:tcBorders>
              <w:top w:val="nil"/>
              <w:left w:val="nil"/>
              <w:bottom w:val="nil"/>
              <w:right w:val="nil"/>
            </w:tcBorders>
            <w:tcMar>
              <w:top w:w="128" w:type="dxa"/>
              <w:left w:w="43" w:type="dxa"/>
              <w:bottom w:w="43" w:type="dxa"/>
              <w:right w:w="43" w:type="dxa"/>
            </w:tcMar>
          </w:tcPr>
          <w:p w14:paraId="4FA2B60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2F477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20D5C79F" w14:textId="77777777" w:rsidR="00575AC3" w:rsidRPr="006D40F0" w:rsidRDefault="00575AC3" w:rsidP="006D40F0">
            <w:r w:rsidRPr="006D40F0">
              <w:t xml:space="preserve">Erstatning til voldsofre,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457F05C" w14:textId="77777777" w:rsidR="00575AC3" w:rsidRPr="006D40F0" w:rsidRDefault="00575AC3" w:rsidP="006D40F0">
            <w:r w:rsidRPr="006D40F0">
              <w:t>65 848 000</w:t>
            </w:r>
          </w:p>
        </w:tc>
      </w:tr>
      <w:tr w:rsidR="00DD49A7" w:rsidRPr="006D40F0" w14:paraId="52CB2E7F" w14:textId="77777777">
        <w:trPr>
          <w:trHeight w:val="380"/>
        </w:trPr>
        <w:tc>
          <w:tcPr>
            <w:tcW w:w="680" w:type="dxa"/>
            <w:tcBorders>
              <w:top w:val="nil"/>
              <w:left w:val="nil"/>
              <w:bottom w:val="nil"/>
              <w:right w:val="nil"/>
            </w:tcBorders>
            <w:tcMar>
              <w:top w:w="128" w:type="dxa"/>
              <w:left w:w="43" w:type="dxa"/>
              <w:bottom w:w="43" w:type="dxa"/>
              <w:right w:w="43" w:type="dxa"/>
            </w:tcMar>
          </w:tcPr>
          <w:p w14:paraId="0C14EFD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40F0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528FB5" w14:textId="77777777" w:rsidR="00575AC3" w:rsidRPr="006D40F0" w:rsidRDefault="00575AC3" w:rsidP="006D40F0">
            <w:r w:rsidRPr="006D40F0">
              <w:t>fra kr 459 152 000 til kr 525 000 000</w:t>
            </w:r>
          </w:p>
        </w:tc>
        <w:tc>
          <w:tcPr>
            <w:tcW w:w="1400" w:type="dxa"/>
            <w:tcBorders>
              <w:top w:val="nil"/>
              <w:left w:val="nil"/>
              <w:bottom w:val="nil"/>
              <w:right w:val="nil"/>
            </w:tcBorders>
            <w:tcMar>
              <w:top w:w="128" w:type="dxa"/>
              <w:left w:w="43" w:type="dxa"/>
              <w:bottom w:w="43" w:type="dxa"/>
              <w:right w:w="43" w:type="dxa"/>
            </w:tcMar>
            <w:vAlign w:val="bottom"/>
          </w:tcPr>
          <w:p w14:paraId="225FDDC2" w14:textId="77777777" w:rsidR="00575AC3" w:rsidRPr="006D40F0" w:rsidRDefault="00575AC3" w:rsidP="006D40F0"/>
        </w:tc>
      </w:tr>
      <w:tr w:rsidR="00DD49A7" w:rsidRPr="006D40F0" w14:paraId="50580482" w14:textId="77777777">
        <w:trPr>
          <w:trHeight w:val="380"/>
        </w:trPr>
        <w:tc>
          <w:tcPr>
            <w:tcW w:w="680" w:type="dxa"/>
            <w:tcBorders>
              <w:top w:val="nil"/>
              <w:left w:val="nil"/>
              <w:bottom w:val="nil"/>
              <w:right w:val="nil"/>
            </w:tcBorders>
            <w:tcMar>
              <w:top w:w="128" w:type="dxa"/>
              <w:left w:w="43" w:type="dxa"/>
              <w:bottom w:w="43" w:type="dxa"/>
              <w:right w:w="43" w:type="dxa"/>
            </w:tcMar>
          </w:tcPr>
          <w:p w14:paraId="57C3A1DD" w14:textId="77777777" w:rsidR="00575AC3" w:rsidRPr="006D40F0" w:rsidRDefault="00575AC3" w:rsidP="006D40F0">
            <w:r w:rsidRPr="006D40F0">
              <w:t>480</w:t>
            </w:r>
          </w:p>
        </w:tc>
        <w:tc>
          <w:tcPr>
            <w:tcW w:w="680" w:type="dxa"/>
            <w:tcBorders>
              <w:top w:val="nil"/>
              <w:left w:val="nil"/>
              <w:bottom w:val="nil"/>
              <w:right w:val="nil"/>
            </w:tcBorders>
            <w:tcMar>
              <w:top w:w="128" w:type="dxa"/>
              <w:left w:w="43" w:type="dxa"/>
              <w:bottom w:w="43" w:type="dxa"/>
              <w:right w:w="43" w:type="dxa"/>
            </w:tcMar>
          </w:tcPr>
          <w:p w14:paraId="0725926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6F0BBB" w14:textId="77777777" w:rsidR="00575AC3" w:rsidRPr="006D40F0" w:rsidRDefault="00575AC3" w:rsidP="006D40F0">
            <w:r w:rsidRPr="006D40F0">
              <w:t>Svalbardbudsjettet:</w:t>
            </w:r>
          </w:p>
        </w:tc>
        <w:tc>
          <w:tcPr>
            <w:tcW w:w="1400" w:type="dxa"/>
            <w:tcBorders>
              <w:top w:val="nil"/>
              <w:left w:val="nil"/>
              <w:bottom w:val="nil"/>
              <w:right w:val="nil"/>
            </w:tcBorders>
            <w:tcMar>
              <w:top w:w="128" w:type="dxa"/>
              <w:left w:w="43" w:type="dxa"/>
              <w:bottom w:w="43" w:type="dxa"/>
              <w:right w:w="43" w:type="dxa"/>
            </w:tcMar>
            <w:vAlign w:val="bottom"/>
          </w:tcPr>
          <w:p w14:paraId="0A21DE40" w14:textId="77777777" w:rsidR="00575AC3" w:rsidRPr="006D40F0" w:rsidRDefault="00575AC3" w:rsidP="006D40F0"/>
        </w:tc>
      </w:tr>
      <w:tr w:rsidR="00DD49A7" w:rsidRPr="006D40F0" w14:paraId="556F6880" w14:textId="77777777">
        <w:trPr>
          <w:trHeight w:val="380"/>
        </w:trPr>
        <w:tc>
          <w:tcPr>
            <w:tcW w:w="680" w:type="dxa"/>
            <w:tcBorders>
              <w:top w:val="nil"/>
              <w:left w:val="nil"/>
              <w:bottom w:val="nil"/>
              <w:right w:val="nil"/>
            </w:tcBorders>
            <w:tcMar>
              <w:top w:w="128" w:type="dxa"/>
              <w:left w:w="43" w:type="dxa"/>
              <w:bottom w:w="43" w:type="dxa"/>
              <w:right w:w="43" w:type="dxa"/>
            </w:tcMar>
          </w:tcPr>
          <w:p w14:paraId="5BB1BF1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FD140C"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23F6F4C4" w14:textId="77777777" w:rsidR="00575AC3" w:rsidRPr="006D40F0" w:rsidRDefault="00575AC3" w:rsidP="006D40F0">
            <w:r w:rsidRPr="006D40F0">
              <w:t>Tilskudd, forhøyes med</w:t>
            </w:r>
          </w:p>
        </w:tc>
        <w:tc>
          <w:tcPr>
            <w:tcW w:w="1400" w:type="dxa"/>
            <w:tcBorders>
              <w:top w:val="nil"/>
              <w:left w:val="nil"/>
              <w:bottom w:val="nil"/>
              <w:right w:val="nil"/>
            </w:tcBorders>
            <w:tcMar>
              <w:top w:w="128" w:type="dxa"/>
              <w:left w:w="43" w:type="dxa"/>
              <w:bottom w:w="43" w:type="dxa"/>
              <w:right w:w="43" w:type="dxa"/>
            </w:tcMar>
            <w:vAlign w:val="bottom"/>
          </w:tcPr>
          <w:p w14:paraId="5418C5F7" w14:textId="77777777" w:rsidR="00575AC3" w:rsidRPr="006D40F0" w:rsidRDefault="00575AC3" w:rsidP="006D40F0">
            <w:r w:rsidRPr="006D40F0">
              <w:t>185 000 000</w:t>
            </w:r>
          </w:p>
        </w:tc>
      </w:tr>
      <w:tr w:rsidR="00DD49A7" w:rsidRPr="006D40F0" w14:paraId="1B995EE6" w14:textId="77777777">
        <w:trPr>
          <w:trHeight w:val="380"/>
        </w:trPr>
        <w:tc>
          <w:tcPr>
            <w:tcW w:w="680" w:type="dxa"/>
            <w:tcBorders>
              <w:top w:val="nil"/>
              <w:left w:val="nil"/>
              <w:bottom w:val="nil"/>
              <w:right w:val="nil"/>
            </w:tcBorders>
            <w:tcMar>
              <w:top w:w="128" w:type="dxa"/>
              <w:left w:w="43" w:type="dxa"/>
              <w:bottom w:w="43" w:type="dxa"/>
              <w:right w:w="43" w:type="dxa"/>
            </w:tcMar>
          </w:tcPr>
          <w:p w14:paraId="2E08D33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9AA65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ED1406" w14:textId="77777777" w:rsidR="00575AC3" w:rsidRPr="006D40F0" w:rsidRDefault="00575AC3" w:rsidP="006D40F0">
            <w:r w:rsidRPr="006D40F0">
              <w:t>fra kr 406 548 000 til kr 591 548 000</w:t>
            </w:r>
          </w:p>
        </w:tc>
        <w:tc>
          <w:tcPr>
            <w:tcW w:w="1400" w:type="dxa"/>
            <w:tcBorders>
              <w:top w:val="nil"/>
              <w:left w:val="nil"/>
              <w:bottom w:val="nil"/>
              <w:right w:val="nil"/>
            </w:tcBorders>
            <w:tcMar>
              <w:top w:w="128" w:type="dxa"/>
              <w:left w:w="43" w:type="dxa"/>
              <w:bottom w:w="43" w:type="dxa"/>
              <w:right w:w="43" w:type="dxa"/>
            </w:tcMar>
            <w:vAlign w:val="bottom"/>
          </w:tcPr>
          <w:p w14:paraId="68262D01" w14:textId="77777777" w:rsidR="00575AC3" w:rsidRPr="006D40F0" w:rsidRDefault="00575AC3" w:rsidP="006D40F0"/>
        </w:tc>
      </w:tr>
      <w:tr w:rsidR="00DD49A7" w:rsidRPr="006D40F0" w14:paraId="5B899709" w14:textId="77777777">
        <w:trPr>
          <w:trHeight w:val="380"/>
        </w:trPr>
        <w:tc>
          <w:tcPr>
            <w:tcW w:w="680" w:type="dxa"/>
            <w:tcBorders>
              <w:top w:val="nil"/>
              <w:left w:val="nil"/>
              <w:bottom w:val="nil"/>
              <w:right w:val="nil"/>
            </w:tcBorders>
            <w:tcMar>
              <w:top w:w="128" w:type="dxa"/>
              <w:left w:w="43" w:type="dxa"/>
              <w:bottom w:w="43" w:type="dxa"/>
              <w:right w:w="43" w:type="dxa"/>
            </w:tcMar>
          </w:tcPr>
          <w:p w14:paraId="65DA67BB" w14:textId="77777777" w:rsidR="00575AC3" w:rsidRPr="006D40F0" w:rsidRDefault="00575AC3" w:rsidP="006D40F0">
            <w:r w:rsidRPr="006D40F0">
              <w:t>490</w:t>
            </w:r>
          </w:p>
        </w:tc>
        <w:tc>
          <w:tcPr>
            <w:tcW w:w="680" w:type="dxa"/>
            <w:tcBorders>
              <w:top w:val="nil"/>
              <w:left w:val="nil"/>
              <w:bottom w:val="nil"/>
              <w:right w:val="nil"/>
            </w:tcBorders>
            <w:tcMar>
              <w:top w:w="128" w:type="dxa"/>
              <w:left w:w="43" w:type="dxa"/>
              <w:bottom w:w="43" w:type="dxa"/>
              <w:right w:w="43" w:type="dxa"/>
            </w:tcMar>
          </w:tcPr>
          <w:p w14:paraId="06CA6A6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606907" w14:textId="77777777" w:rsidR="00575AC3" w:rsidRPr="006D40F0" w:rsidRDefault="00575AC3" w:rsidP="006D40F0">
            <w:r w:rsidRPr="006D40F0">
              <w:t>Utlendingsdirektoratet:</w:t>
            </w:r>
          </w:p>
        </w:tc>
        <w:tc>
          <w:tcPr>
            <w:tcW w:w="1400" w:type="dxa"/>
            <w:tcBorders>
              <w:top w:val="nil"/>
              <w:left w:val="nil"/>
              <w:bottom w:val="nil"/>
              <w:right w:val="nil"/>
            </w:tcBorders>
            <w:tcMar>
              <w:top w:w="128" w:type="dxa"/>
              <w:left w:w="43" w:type="dxa"/>
              <w:bottom w:w="43" w:type="dxa"/>
              <w:right w:w="43" w:type="dxa"/>
            </w:tcMar>
            <w:vAlign w:val="bottom"/>
          </w:tcPr>
          <w:p w14:paraId="73A9FE31" w14:textId="77777777" w:rsidR="00575AC3" w:rsidRPr="006D40F0" w:rsidRDefault="00575AC3" w:rsidP="006D40F0"/>
        </w:tc>
      </w:tr>
      <w:tr w:rsidR="00DD49A7" w:rsidRPr="006D40F0" w14:paraId="1195585F" w14:textId="77777777">
        <w:trPr>
          <w:trHeight w:val="380"/>
        </w:trPr>
        <w:tc>
          <w:tcPr>
            <w:tcW w:w="680" w:type="dxa"/>
            <w:tcBorders>
              <w:top w:val="nil"/>
              <w:left w:val="nil"/>
              <w:bottom w:val="nil"/>
              <w:right w:val="nil"/>
            </w:tcBorders>
            <w:tcMar>
              <w:top w:w="128" w:type="dxa"/>
              <w:left w:w="43" w:type="dxa"/>
              <w:bottom w:w="43" w:type="dxa"/>
              <w:right w:w="43" w:type="dxa"/>
            </w:tcMar>
          </w:tcPr>
          <w:p w14:paraId="48740A3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B8A09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3F4CA8C"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10B179B" w14:textId="77777777" w:rsidR="00575AC3" w:rsidRPr="006D40F0" w:rsidRDefault="00575AC3" w:rsidP="006D40F0">
            <w:r w:rsidRPr="006D40F0">
              <w:t>4 200 000</w:t>
            </w:r>
          </w:p>
        </w:tc>
      </w:tr>
      <w:tr w:rsidR="00DD49A7" w:rsidRPr="006D40F0" w14:paraId="1AB84FA1" w14:textId="77777777">
        <w:trPr>
          <w:trHeight w:val="380"/>
        </w:trPr>
        <w:tc>
          <w:tcPr>
            <w:tcW w:w="680" w:type="dxa"/>
            <w:tcBorders>
              <w:top w:val="nil"/>
              <w:left w:val="nil"/>
              <w:bottom w:val="nil"/>
              <w:right w:val="nil"/>
            </w:tcBorders>
            <w:tcMar>
              <w:top w:w="128" w:type="dxa"/>
              <w:left w:w="43" w:type="dxa"/>
              <w:bottom w:w="43" w:type="dxa"/>
              <w:right w:w="43" w:type="dxa"/>
            </w:tcMar>
          </w:tcPr>
          <w:p w14:paraId="296BFDC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F420F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A0D9B3" w14:textId="77777777" w:rsidR="00575AC3" w:rsidRPr="006D40F0" w:rsidRDefault="00575AC3" w:rsidP="006D40F0">
            <w:r w:rsidRPr="006D40F0">
              <w:t>fra kr 1 297 957 000 til kr 1 302 157 000</w:t>
            </w:r>
          </w:p>
        </w:tc>
        <w:tc>
          <w:tcPr>
            <w:tcW w:w="1400" w:type="dxa"/>
            <w:tcBorders>
              <w:top w:val="nil"/>
              <w:left w:val="nil"/>
              <w:bottom w:val="nil"/>
              <w:right w:val="nil"/>
            </w:tcBorders>
            <w:tcMar>
              <w:top w:w="128" w:type="dxa"/>
              <w:left w:w="43" w:type="dxa"/>
              <w:bottom w:w="43" w:type="dxa"/>
              <w:right w:w="43" w:type="dxa"/>
            </w:tcMar>
            <w:vAlign w:val="bottom"/>
          </w:tcPr>
          <w:p w14:paraId="43CC968C" w14:textId="77777777" w:rsidR="00575AC3" w:rsidRPr="006D40F0" w:rsidRDefault="00575AC3" w:rsidP="006D40F0"/>
        </w:tc>
      </w:tr>
      <w:tr w:rsidR="00DD49A7" w:rsidRPr="006D40F0" w14:paraId="0708216E" w14:textId="77777777">
        <w:trPr>
          <w:trHeight w:val="380"/>
        </w:trPr>
        <w:tc>
          <w:tcPr>
            <w:tcW w:w="680" w:type="dxa"/>
            <w:tcBorders>
              <w:top w:val="nil"/>
              <w:left w:val="nil"/>
              <w:bottom w:val="nil"/>
              <w:right w:val="nil"/>
            </w:tcBorders>
            <w:tcMar>
              <w:top w:w="128" w:type="dxa"/>
              <w:left w:w="43" w:type="dxa"/>
              <w:bottom w:w="43" w:type="dxa"/>
              <w:right w:w="43" w:type="dxa"/>
            </w:tcMar>
          </w:tcPr>
          <w:p w14:paraId="2BD3940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E1ACE6"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2B2D8C8" w14:textId="77777777" w:rsidR="00575AC3" w:rsidRPr="006D40F0" w:rsidRDefault="00575AC3" w:rsidP="006D40F0">
            <w:r w:rsidRPr="006D40F0">
              <w:t>Spesielle driftsutgifter, asylmottak, forhøyes med</w:t>
            </w:r>
          </w:p>
        </w:tc>
        <w:tc>
          <w:tcPr>
            <w:tcW w:w="1400" w:type="dxa"/>
            <w:tcBorders>
              <w:top w:val="nil"/>
              <w:left w:val="nil"/>
              <w:bottom w:val="nil"/>
              <w:right w:val="nil"/>
            </w:tcBorders>
            <w:tcMar>
              <w:top w:w="128" w:type="dxa"/>
              <w:left w:w="43" w:type="dxa"/>
              <w:bottom w:w="43" w:type="dxa"/>
              <w:right w:w="43" w:type="dxa"/>
            </w:tcMar>
            <w:vAlign w:val="bottom"/>
          </w:tcPr>
          <w:p w14:paraId="023359C9" w14:textId="77777777" w:rsidR="00575AC3" w:rsidRPr="006D40F0" w:rsidRDefault="00575AC3" w:rsidP="006D40F0">
            <w:r w:rsidRPr="006D40F0">
              <w:t>1 187 565 000</w:t>
            </w:r>
          </w:p>
        </w:tc>
      </w:tr>
      <w:tr w:rsidR="00DD49A7" w:rsidRPr="006D40F0" w14:paraId="06A69A6B" w14:textId="77777777">
        <w:trPr>
          <w:trHeight w:val="380"/>
        </w:trPr>
        <w:tc>
          <w:tcPr>
            <w:tcW w:w="680" w:type="dxa"/>
            <w:tcBorders>
              <w:top w:val="nil"/>
              <w:left w:val="nil"/>
              <w:bottom w:val="nil"/>
              <w:right w:val="nil"/>
            </w:tcBorders>
            <w:tcMar>
              <w:top w:w="128" w:type="dxa"/>
              <w:left w:w="43" w:type="dxa"/>
              <w:bottom w:w="43" w:type="dxa"/>
              <w:right w:w="43" w:type="dxa"/>
            </w:tcMar>
          </w:tcPr>
          <w:p w14:paraId="5DF72F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DDE87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2AF4F1" w14:textId="77777777" w:rsidR="00575AC3" w:rsidRPr="006D40F0" w:rsidRDefault="00575AC3" w:rsidP="006D40F0">
            <w:r w:rsidRPr="006D40F0">
              <w:t>fra kr 2 274 108 000 til kr 3 461 673 000</w:t>
            </w:r>
          </w:p>
        </w:tc>
        <w:tc>
          <w:tcPr>
            <w:tcW w:w="1400" w:type="dxa"/>
            <w:tcBorders>
              <w:top w:val="nil"/>
              <w:left w:val="nil"/>
              <w:bottom w:val="nil"/>
              <w:right w:val="nil"/>
            </w:tcBorders>
            <w:tcMar>
              <w:top w:w="128" w:type="dxa"/>
              <w:left w:w="43" w:type="dxa"/>
              <w:bottom w:w="43" w:type="dxa"/>
              <w:right w:w="43" w:type="dxa"/>
            </w:tcMar>
            <w:vAlign w:val="bottom"/>
          </w:tcPr>
          <w:p w14:paraId="55039CE3" w14:textId="77777777" w:rsidR="00575AC3" w:rsidRPr="006D40F0" w:rsidRDefault="00575AC3" w:rsidP="006D40F0"/>
        </w:tc>
      </w:tr>
      <w:tr w:rsidR="00DD49A7" w:rsidRPr="006D40F0" w14:paraId="7001783F" w14:textId="77777777">
        <w:trPr>
          <w:trHeight w:val="380"/>
        </w:trPr>
        <w:tc>
          <w:tcPr>
            <w:tcW w:w="680" w:type="dxa"/>
            <w:tcBorders>
              <w:top w:val="nil"/>
              <w:left w:val="nil"/>
              <w:bottom w:val="nil"/>
              <w:right w:val="nil"/>
            </w:tcBorders>
            <w:tcMar>
              <w:top w:w="128" w:type="dxa"/>
              <w:left w:w="43" w:type="dxa"/>
              <w:bottom w:w="43" w:type="dxa"/>
              <w:right w:w="43" w:type="dxa"/>
            </w:tcMar>
          </w:tcPr>
          <w:p w14:paraId="407EA83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07A89C"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7EDC3AB7" w14:textId="77777777" w:rsidR="00575AC3" w:rsidRPr="006D40F0" w:rsidRDefault="00575AC3" w:rsidP="006D40F0">
            <w:r w:rsidRPr="006D40F0">
              <w:t>Spesielle driftsutgifter, tolk og oversettelse, nedsettes med</w:t>
            </w:r>
          </w:p>
        </w:tc>
        <w:tc>
          <w:tcPr>
            <w:tcW w:w="1400" w:type="dxa"/>
            <w:tcBorders>
              <w:top w:val="nil"/>
              <w:left w:val="nil"/>
              <w:bottom w:val="nil"/>
              <w:right w:val="nil"/>
            </w:tcBorders>
            <w:tcMar>
              <w:top w:w="128" w:type="dxa"/>
              <w:left w:w="43" w:type="dxa"/>
              <w:bottom w:w="43" w:type="dxa"/>
              <w:right w:w="43" w:type="dxa"/>
            </w:tcMar>
            <w:vAlign w:val="bottom"/>
          </w:tcPr>
          <w:p w14:paraId="61C57AB6" w14:textId="77777777" w:rsidR="00575AC3" w:rsidRPr="006D40F0" w:rsidRDefault="00575AC3" w:rsidP="006D40F0">
            <w:r w:rsidRPr="006D40F0">
              <w:t>4 000 000</w:t>
            </w:r>
          </w:p>
        </w:tc>
      </w:tr>
      <w:tr w:rsidR="00DD49A7" w:rsidRPr="006D40F0" w14:paraId="100EF55F" w14:textId="77777777">
        <w:trPr>
          <w:trHeight w:val="380"/>
        </w:trPr>
        <w:tc>
          <w:tcPr>
            <w:tcW w:w="680" w:type="dxa"/>
            <w:tcBorders>
              <w:top w:val="nil"/>
              <w:left w:val="nil"/>
              <w:bottom w:val="nil"/>
              <w:right w:val="nil"/>
            </w:tcBorders>
            <w:tcMar>
              <w:top w:w="128" w:type="dxa"/>
              <w:left w:w="43" w:type="dxa"/>
              <w:bottom w:w="43" w:type="dxa"/>
              <w:right w:w="43" w:type="dxa"/>
            </w:tcMar>
          </w:tcPr>
          <w:p w14:paraId="036F0AD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FEA6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3AEE29" w14:textId="77777777" w:rsidR="00575AC3" w:rsidRPr="006D40F0" w:rsidRDefault="00575AC3" w:rsidP="006D40F0">
            <w:r w:rsidRPr="006D40F0">
              <w:t>fra kr 31 542 000 til kr 27 542 000</w:t>
            </w:r>
          </w:p>
        </w:tc>
        <w:tc>
          <w:tcPr>
            <w:tcW w:w="1400" w:type="dxa"/>
            <w:tcBorders>
              <w:top w:val="nil"/>
              <w:left w:val="nil"/>
              <w:bottom w:val="nil"/>
              <w:right w:val="nil"/>
            </w:tcBorders>
            <w:tcMar>
              <w:top w:w="128" w:type="dxa"/>
              <w:left w:w="43" w:type="dxa"/>
              <w:bottom w:w="43" w:type="dxa"/>
              <w:right w:w="43" w:type="dxa"/>
            </w:tcMar>
            <w:vAlign w:val="bottom"/>
          </w:tcPr>
          <w:p w14:paraId="60CF697E" w14:textId="77777777" w:rsidR="00575AC3" w:rsidRPr="006D40F0" w:rsidRDefault="00575AC3" w:rsidP="006D40F0"/>
        </w:tc>
      </w:tr>
      <w:tr w:rsidR="00DD49A7" w:rsidRPr="006D40F0" w14:paraId="06719771" w14:textId="77777777">
        <w:trPr>
          <w:trHeight w:val="380"/>
        </w:trPr>
        <w:tc>
          <w:tcPr>
            <w:tcW w:w="680" w:type="dxa"/>
            <w:tcBorders>
              <w:top w:val="nil"/>
              <w:left w:val="nil"/>
              <w:bottom w:val="nil"/>
              <w:right w:val="nil"/>
            </w:tcBorders>
            <w:tcMar>
              <w:top w:w="128" w:type="dxa"/>
              <w:left w:w="43" w:type="dxa"/>
              <w:bottom w:w="43" w:type="dxa"/>
              <w:right w:w="43" w:type="dxa"/>
            </w:tcMar>
          </w:tcPr>
          <w:p w14:paraId="28E7F4E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AA64DB" w14:textId="77777777" w:rsidR="00575AC3" w:rsidRPr="006D40F0" w:rsidRDefault="00575AC3" w:rsidP="006D40F0">
            <w:r w:rsidRPr="006D40F0">
              <w:t>46</w:t>
            </w:r>
          </w:p>
        </w:tc>
        <w:tc>
          <w:tcPr>
            <w:tcW w:w="6800" w:type="dxa"/>
            <w:tcBorders>
              <w:top w:val="nil"/>
              <w:left w:val="nil"/>
              <w:bottom w:val="nil"/>
              <w:right w:val="nil"/>
            </w:tcBorders>
            <w:tcMar>
              <w:top w:w="128" w:type="dxa"/>
              <w:left w:w="43" w:type="dxa"/>
              <w:bottom w:w="43" w:type="dxa"/>
              <w:right w:w="43" w:type="dxa"/>
            </w:tcMar>
          </w:tcPr>
          <w:p w14:paraId="54EC0ED5" w14:textId="77777777" w:rsidR="00575AC3" w:rsidRPr="006D40F0" w:rsidRDefault="00575AC3" w:rsidP="006D40F0">
            <w:r w:rsidRPr="006D40F0">
              <w:t xml:space="preserve">Investeringer i Schengen IT-systemer,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F01E315" w14:textId="77777777" w:rsidR="00575AC3" w:rsidRPr="006D40F0" w:rsidRDefault="00575AC3" w:rsidP="006D40F0">
            <w:r w:rsidRPr="006D40F0">
              <w:t>4 000 000</w:t>
            </w:r>
          </w:p>
        </w:tc>
      </w:tr>
      <w:tr w:rsidR="00DD49A7" w:rsidRPr="006D40F0" w14:paraId="1B5D7840" w14:textId="77777777">
        <w:trPr>
          <w:trHeight w:val="380"/>
        </w:trPr>
        <w:tc>
          <w:tcPr>
            <w:tcW w:w="680" w:type="dxa"/>
            <w:tcBorders>
              <w:top w:val="nil"/>
              <w:left w:val="nil"/>
              <w:bottom w:val="nil"/>
              <w:right w:val="nil"/>
            </w:tcBorders>
            <w:tcMar>
              <w:top w:w="128" w:type="dxa"/>
              <w:left w:w="43" w:type="dxa"/>
              <w:bottom w:w="43" w:type="dxa"/>
              <w:right w:w="43" w:type="dxa"/>
            </w:tcMar>
          </w:tcPr>
          <w:p w14:paraId="4ECB727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F208D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4A8F0C" w14:textId="77777777" w:rsidR="00575AC3" w:rsidRPr="006D40F0" w:rsidRDefault="00575AC3" w:rsidP="006D40F0">
            <w:r w:rsidRPr="006D40F0">
              <w:t>fra kr 64 520 000 til kr 68 520 000</w:t>
            </w:r>
          </w:p>
        </w:tc>
        <w:tc>
          <w:tcPr>
            <w:tcW w:w="1400" w:type="dxa"/>
            <w:tcBorders>
              <w:top w:val="nil"/>
              <w:left w:val="nil"/>
              <w:bottom w:val="nil"/>
              <w:right w:val="nil"/>
            </w:tcBorders>
            <w:tcMar>
              <w:top w:w="128" w:type="dxa"/>
              <w:left w:w="43" w:type="dxa"/>
              <w:bottom w:w="43" w:type="dxa"/>
              <w:right w:w="43" w:type="dxa"/>
            </w:tcMar>
            <w:vAlign w:val="bottom"/>
          </w:tcPr>
          <w:p w14:paraId="3C5EC94E" w14:textId="77777777" w:rsidR="00575AC3" w:rsidRPr="006D40F0" w:rsidRDefault="00575AC3" w:rsidP="006D40F0"/>
        </w:tc>
      </w:tr>
      <w:tr w:rsidR="00DD49A7" w:rsidRPr="006D40F0" w14:paraId="09BEFE30" w14:textId="77777777">
        <w:trPr>
          <w:trHeight w:val="380"/>
        </w:trPr>
        <w:tc>
          <w:tcPr>
            <w:tcW w:w="680" w:type="dxa"/>
            <w:tcBorders>
              <w:top w:val="nil"/>
              <w:left w:val="nil"/>
              <w:bottom w:val="nil"/>
              <w:right w:val="nil"/>
            </w:tcBorders>
            <w:tcMar>
              <w:top w:w="128" w:type="dxa"/>
              <w:left w:w="43" w:type="dxa"/>
              <w:bottom w:w="43" w:type="dxa"/>
              <w:right w:w="43" w:type="dxa"/>
            </w:tcMar>
          </w:tcPr>
          <w:p w14:paraId="6BDAEA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669DAA"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23BB5182" w14:textId="77777777" w:rsidR="00575AC3" w:rsidRPr="006D40F0" w:rsidRDefault="00575AC3" w:rsidP="006D40F0">
            <w:r w:rsidRPr="006D40F0">
              <w:t>Tilskudd til vertskommuner for asylmottak, nedsettes med</w:t>
            </w:r>
          </w:p>
        </w:tc>
        <w:tc>
          <w:tcPr>
            <w:tcW w:w="1400" w:type="dxa"/>
            <w:tcBorders>
              <w:top w:val="nil"/>
              <w:left w:val="nil"/>
              <w:bottom w:val="nil"/>
              <w:right w:val="nil"/>
            </w:tcBorders>
            <w:tcMar>
              <w:top w:w="128" w:type="dxa"/>
              <w:left w:w="43" w:type="dxa"/>
              <w:bottom w:w="43" w:type="dxa"/>
              <w:right w:w="43" w:type="dxa"/>
            </w:tcMar>
            <w:vAlign w:val="bottom"/>
          </w:tcPr>
          <w:p w14:paraId="6432BE64" w14:textId="77777777" w:rsidR="00575AC3" w:rsidRPr="006D40F0" w:rsidRDefault="00575AC3" w:rsidP="006D40F0">
            <w:r w:rsidRPr="006D40F0">
              <w:t>65 419 000</w:t>
            </w:r>
          </w:p>
        </w:tc>
      </w:tr>
      <w:tr w:rsidR="00DD49A7" w:rsidRPr="006D40F0" w14:paraId="70986E60" w14:textId="77777777">
        <w:trPr>
          <w:trHeight w:val="380"/>
        </w:trPr>
        <w:tc>
          <w:tcPr>
            <w:tcW w:w="680" w:type="dxa"/>
            <w:tcBorders>
              <w:top w:val="nil"/>
              <w:left w:val="nil"/>
              <w:bottom w:val="nil"/>
              <w:right w:val="nil"/>
            </w:tcBorders>
            <w:tcMar>
              <w:top w:w="128" w:type="dxa"/>
              <w:left w:w="43" w:type="dxa"/>
              <w:bottom w:w="43" w:type="dxa"/>
              <w:right w:w="43" w:type="dxa"/>
            </w:tcMar>
          </w:tcPr>
          <w:p w14:paraId="7F2A349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12FF4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B05C91" w14:textId="77777777" w:rsidR="00575AC3" w:rsidRPr="006D40F0" w:rsidRDefault="00575AC3" w:rsidP="006D40F0">
            <w:r w:rsidRPr="006D40F0">
              <w:t>fra kr 515 463 000 til kr 450 044 000</w:t>
            </w:r>
          </w:p>
        </w:tc>
        <w:tc>
          <w:tcPr>
            <w:tcW w:w="1400" w:type="dxa"/>
            <w:tcBorders>
              <w:top w:val="nil"/>
              <w:left w:val="nil"/>
              <w:bottom w:val="nil"/>
              <w:right w:val="nil"/>
            </w:tcBorders>
            <w:tcMar>
              <w:top w:w="128" w:type="dxa"/>
              <w:left w:w="43" w:type="dxa"/>
              <w:bottom w:w="43" w:type="dxa"/>
              <w:right w:w="43" w:type="dxa"/>
            </w:tcMar>
            <w:vAlign w:val="bottom"/>
          </w:tcPr>
          <w:p w14:paraId="43DC2C33" w14:textId="77777777" w:rsidR="00575AC3" w:rsidRPr="006D40F0" w:rsidRDefault="00575AC3" w:rsidP="006D40F0"/>
        </w:tc>
      </w:tr>
      <w:tr w:rsidR="00DD49A7" w:rsidRPr="006D40F0" w14:paraId="64F51567" w14:textId="77777777">
        <w:trPr>
          <w:trHeight w:val="380"/>
        </w:trPr>
        <w:tc>
          <w:tcPr>
            <w:tcW w:w="680" w:type="dxa"/>
            <w:tcBorders>
              <w:top w:val="nil"/>
              <w:left w:val="nil"/>
              <w:bottom w:val="nil"/>
              <w:right w:val="nil"/>
            </w:tcBorders>
            <w:tcMar>
              <w:top w:w="128" w:type="dxa"/>
              <w:left w:w="43" w:type="dxa"/>
              <w:bottom w:w="43" w:type="dxa"/>
              <w:right w:w="43" w:type="dxa"/>
            </w:tcMar>
          </w:tcPr>
          <w:p w14:paraId="22CF4E8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03D853"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C8EAEBC" w14:textId="77777777" w:rsidR="00575AC3" w:rsidRPr="006D40F0" w:rsidRDefault="00575AC3" w:rsidP="006D40F0">
            <w:r w:rsidRPr="006D40F0">
              <w:t>Stønader til beboere i asylmottak, forhøyes med</w:t>
            </w:r>
          </w:p>
        </w:tc>
        <w:tc>
          <w:tcPr>
            <w:tcW w:w="1400" w:type="dxa"/>
            <w:tcBorders>
              <w:top w:val="nil"/>
              <w:left w:val="nil"/>
              <w:bottom w:val="nil"/>
              <w:right w:val="nil"/>
            </w:tcBorders>
            <w:tcMar>
              <w:top w:w="128" w:type="dxa"/>
              <w:left w:w="43" w:type="dxa"/>
              <w:bottom w:w="43" w:type="dxa"/>
              <w:right w:w="43" w:type="dxa"/>
            </w:tcMar>
            <w:vAlign w:val="bottom"/>
          </w:tcPr>
          <w:p w14:paraId="68D2402E" w14:textId="77777777" w:rsidR="00575AC3" w:rsidRPr="006D40F0" w:rsidRDefault="00575AC3" w:rsidP="006D40F0">
            <w:r w:rsidRPr="006D40F0">
              <w:t>122 035 000</w:t>
            </w:r>
          </w:p>
        </w:tc>
      </w:tr>
      <w:tr w:rsidR="00DD49A7" w:rsidRPr="006D40F0" w14:paraId="51C6E001" w14:textId="77777777">
        <w:trPr>
          <w:trHeight w:val="380"/>
        </w:trPr>
        <w:tc>
          <w:tcPr>
            <w:tcW w:w="680" w:type="dxa"/>
            <w:tcBorders>
              <w:top w:val="nil"/>
              <w:left w:val="nil"/>
              <w:bottom w:val="nil"/>
              <w:right w:val="nil"/>
            </w:tcBorders>
            <w:tcMar>
              <w:top w:w="128" w:type="dxa"/>
              <w:left w:w="43" w:type="dxa"/>
              <w:bottom w:w="43" w:type="dxa"/>
              <w:right w:w="43" w:type="dxa"/>
            </w:tcMar>
          </w:tcPr>
          <w:p w14:paraId="2942F1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35AB3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F6EA34" w14:textId="77777777" w:rsidR="00575AC3" w:rsidRPr="006D40F0" w:rsidRDefault="00575AC3" w:rsidP="006D40F0">
            <w:r w:rsidRPr="006D40F0">
              <w:t>fra kr 563 887 000 til kr 685 922 000</w:t>
            </w:r>
          </w:p>
        </w:tc>
        <w:tc>
          <w:tcPr>
            <w:tcW w:w="1400" w:type="dxa"/>
            <w:tcBorders>
              <w:top w:val="nil"/>
              <w:left w:val="nil"/>
              <w:bottom w:val="nil"/>
              <w:right w:val="nil"/>
            </w:tcBorders>
            <w:tcMar>
              <w:top w:w="128" w:type="dxa"/>
              <w:left w:w="43" w:type="dxa"/>
              <w:bottom w:w="43" w:type="dxa"/>
              <w:right w:w="43" w:type="dxa"/>
            </w:tcMar>
            <w:vAlign w:val="bottom"/>
          </w:tcPr>
          <w:p w14:paraId="5483725B" w14:textId="77777777" w:rsidR="00575AC3" w:rsidRPr="006D40F0" w:rsidRDefault="00575AC3" w:rsidP="006D40F0"/>
        </w:tc>
      </w:tr>
      <w:tr w:rsidR="00DD49A7" w:rsidRPr="006D40F0" w14:paraId="75A4948A" w14:textId="77777777">
        <w:trPr>
          <w:trHeight w:val="640"/>
        </w:trPr>
        <w:tc>
          <w:tcPr>
            <w:tcW w:w="680" w:type="dxa"/>
            <w:tcBorders>
              <w:top w:val="nil"/>
              <w:left w:val="nil"/>
              <w:bottom w:val="nil"/>
              <w:right w:val="nil"/>
            </w:tcBorders>
            <w:tcMar>
              <w:top w:w="128" w:type="dxa"/>
              <w:left w:w="43" w:type="dxa"/>
              <w:bottom w:w="43" w:type="dxa"/>
              <w:right w:w="43" w:type="dxa"/>
            </w:tcMar>
          </w:tcPr>
          <w:p w14:paraId="558C632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5C39786"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3B989B70" w14:textId="77777777" w:rsidR="00575AC3" w:rsidRPr="006D40F0" w:rsidRDefault="00575AC3" w:rsidP="006D40F0">
            <w:r w:rsidRPr="006D40F0">
              <w:t xml:space="preserve">Assistert retur og reintegrering i hjemlandet,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88FF486" w14:textId="77777777" w:rsidR="00575AC3" w:rsidRPr="006D40F0" w:rsidRDefault="00575AC3" w:rsidP="006D40F0">
            <w:r w:rsidRPr="006D40F0">
              <w:t>6 152 000</w:t>
            </w:r>
          </w:p>
        </w:tc>
      </w:tr>
      <w:tr w:rsidR="00DD49A7" w:rsidRPr="006D40F0" w14:paraId="23CCA4D0" w14:textId="77777777">
        <w:trPr>
          <w:trHeight w:val="380"/>
        </w:trPr>
        <w:tc>
          <w:tcPr>
            <w:tcW w:w="680" w:type="dxa"/>
            <w:tcBorders>
              <w:top w:val="nil"/>
              <w:left w:val="nil"/>
              <w:bottom w:val="nil"/>
              <w:right w:val="nil"/>
            </w:tcBorders>
            <w:tcMar>
              <w:top w:w="128" w:type="dxa"/>
              <w:left w:w="43" w:type="dxa"/>
              <w:bottom w:w="43" w:type="dxa"/>
              <w:right w:w="43" w:type="dxa"/>
            </w:tcMar>
          </w:tcPr>
          <w:p w14:paraId="45E3667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DFF3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8A558C" w14:textId="77777777" w:rsidR="00575AC3" w:rsidRPr="006D40F0" w:rsidRDefault="00575AC3" w:rsidP="006D40F0">
            <w:r w:rsidRPr="006D40F0">
              <w:t>fra kr 32 298 000 til kr 38 450 000</w:t>
            </w:r>
          </w:p>
        </w:tc>
        <w:tc>
          <w:tcPr>
            <w:tcW w:w="1400" w:type="dxa"/>
            <w:tcBorders>
              <w:top w:val="nil"/>
              <w:left w:val="nil"/>
              <w:bottom w:val="nil"/>
              <w:right w:val="nil"/>
            </w:tcBorders>
            <w:tcMar>
              <w:top w:w="128" w:type="dxa"/>
              <w:left w:w="43" w:type="dxa"/>
              <w:bottom w:w="43" w:type="dxa"/>
              <w:right w:w="43" w:type="dxa"/>
            </w:tcMar>
            <w:vAlign w:val="bottom"/>
          </w:tcPr>
          <w:p w14:paraId="0F009123" w14:textId="77777777" w:rsidR="00575AC3" w:rsidRPr="006D40F0" w:rsidRDefault="00575AC3" w:rsidP="006D40F0"/>
        </w:tc>
      </w:tr>
      <w:tr w:rsidR="00DD49A7" w:rsidRPr="006D40F0" w14:paraId="20F6EB5A" w14:textId="77777777">
        <w:trPr>
          <w:trHeight w:val="380"/>
        </w:trPr>
        <w:tc>
          <w:tcPr>
            <w:tcW w:w="680" w:type="dxa"/>
            <w:tcBorders>
              <w:top w:val="nil"/>
              <w:left w:val="nil"/>
              <w:bottom w:val="nil"/>
              <w:right w:val="nil"/>
            </w:tcBorders>
            <w:tcMar>
              <w:top w:w="128" w:type="dxa"/>
              <w:left w:w="43" w:type="dxa"/>
              <w:bottom w:w="43" w:type="dxa"/>
              <w:right w:w="43" w:type="dxa"/>
            </w:tcMar>
          </w:tcPr>
          <w:p w14:paraId="7CDB82C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34BD26"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5E491EC3" w14:textId="77777777" w:rsidR="00575AC3" w:rsidRPr="006D40F0" w:rsidRDefault="00575AC3" w:rsidP="006D40F0">
            <w:r w:rsidRPr="006D40F0">
              <w:t xml:space="preserve">Reiseutgifter for flyktninger fra utlandet,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62E1561" w14:textId="77777777" w:rsidR="00575AC3" w:rsidRPr="006D40F0" w:rsidRDefault="00575AC3" w:rsidP="006D40F0">
            <w:r w:rsidRPr="006D40F0">
              <w:t>1 766 000</w:t>
            </w:r>
          </w:p>
        </w:tc>
      </w:tr>
      <w:tr w:rsidR="00DD49A7" w:rsidRPr="006D40F0" w14:paraId="4ECF2C66" w14:textId="77777777">
        <w:trPr>
          <w:trHeight w:val="380"/>
        </w:trPr>
        <w:tc>
          <w:tcPr>
            <w:tcW w:w="680" w:type="dxa"/>
            <w:tcBorders>
              <w:top w:val="nil"/>
              <w:left w:val="nil"/>
              <w:bottom w:val="nil"/>
              <w:right w:val="nil"/>
            </w:tcBorders>
            <w:tcMar>
              <w:top w:w="128" w:type="dxa"/>
              <w:left w:w="43" w:type="dxa"/>
              <w:bottom w:w="43" w:type="dxa"/>
              <w:right w:w="43" w:type="dxa"/>
            </w:tcMar>
          </w:tcPr>
          <w:p w14:paraId="3BAFAF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DF104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4C8D15" w14:textId="77777777" w:rsidR="00575AC3" w:rsidRPr="006D40F0" w:rsidRDefault="00575AC3" w:rsidP="006D40F0">
            <w:r w:rsidRPr="006D40F0">
              <w:t>fra kr 20 313 000 til kr 18 547 000</w:t>
            </w:r>
          </w:p>
        </w:tc>
        <w:tc>
          <w:tcPr>
            <w:tcW w:w="1400" w:type="dxa"/>
            <w:tcBorders>
              <w:top w:val="nil"/>
              <w:left w:val="nil"/>
              <w:bottom w:val="nil"/>
              <w:right w:val="nil"/>
            </w:tcBorders>
            <w:tcMar>
              <w:top w:w="128" w:type="dxa"/>
              <w:left w:w="43" w:type="dxa"/>
              <w:bottom w:w="43" w:type="dxa"/>
              <w:right w:w="43" w:type="dxa"/>
            </w:tcMar>
            <w:vAlign w:val="bottom"/>
          </w:tcPr>
          <w:p w14:paraId="4DCD0F42" w14:textId="77777777" w:rsidR="00575AC3" w:rsidRPr="006D40F0" w:rsidRDefault="00575AC3" w:rsidP="006D40F0"/>
        </w:tc>
      </w:tr>
      <w:tr w:rsidR="00DD49A7" w:rsidRPr="006D40F0" w14:paraId="6BAAE72F" w14:textId="77777777">
        <w:trPr>
          <w:trHeight w:val="380"/>
        </w:trPr>
        <w:tc>
          <w:tcPr>
            <w:tcW w:w="680" w:type="dxa"/>
            <w:tcBorders>
              <w:top w:val="nil"/>
              <w:left w:val="nil"/>
              <w:bottom w:val="nil"/>
              <w:right w:val="nil"/>
            </w:tcBorders>
            <w:tcMar>
              <w:top w:w="128" w:type="dxa"/>
              <w:left w:w="43" w:type="dxa"/>
              <w:bottom w:w="43" w:type="dxa"/>
              <w:right w:w="43" w:type="dxa"/>
            </w:tcMar>
          </w:tcPr>
          <w:p w14:paraId="7CE7123A" w14:textId="77777777" w:rsidR="00575AC3" w:rsidRPr="006D40F0" w:rsidRDefault="00575AC3" w:rsidP="006D40F0">
            <w:r w:rsidRPr="006D40F0">
              <w:t>500</w:t>
            </w:r>
          </w:p>
        </w:tc>
        <w:tc>
          <w:tcPr>
            <w:tcW w:w="680" w:type="dxa"/>
            <w:tcBorders>
              <w:top w:val="nil"/>
              <w:left w:val="nil"/>
              <w:bottom w:val="nil"/>
              <w:right w:val="nil"/>
            </w:tcBorders>
            <w:tcMar>
              <w:top w:w="128" w:type="dxa"/>
              <w:left w:w="43" w:type="dxa"/>
              <w:bottom w:w="43" w:type="dxa"/>
              <w:right w:w="43" w:type="dxa"/>
            </w:tcMar>
          </w:tcPr>
          <w:p w14:paraId="47B33E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79F83A" w14:textId="77777777" w:rsidR="00575AC3" w:rsidRPr="006D40F0" w:rsidRDefault="00575AC3" w:rsidP="006D40F0">
            <w:r w:rsidRPr="006D40F0">
              <w:t>Kommunal- og distriktsdepartementet:</w:t>
            </w:r>
          </w:p>
        </w:tc>
        <w:tc>
          <w:tcPr>
            <w:tcW w:w="1400" w:type="dxa"/>
            <w:tcBorders>
              <w:top w:val="nil"/>
              <w:left w:val="nil"/>
              <w:bottom w:val="nil"/>
              <w:right w:val="nil"/>
            </w:tcBorders>
            <w:tcMar>
              <w:top w:w="128" w:type="dxa"/>
              <w:left w:w="43" w:type="dxa"/>
              <w:bottom w:w="43" w:type="dxa"/>
              <w:right w:w="43" w:type="dxa"/>
            </w:tcMar>
            <w:vAlign w:val="bottom"/>
          </w:tcPr>
          <w:p w14:paraId="5C34ABAD" w14:textId="77777777" w:rsidR="00575AC3" w:rsidRPr="006D40F0" w:rsidRDefault="00575AC3" w:rsidP="006D40F0"/>
        </w:tc>
      </w:tr>
      <w:tr w:rsidR="00DD49A7" w:rsidRPr="006D40F0" w14:paraId="077B7339" w14:textId="77777777">
        <w:trPr>
          <w:trHeight w:val="640"/>
        </w:trPr>
        <w:tc>
          <w:tcPr>
            <w:tcW w:w="680" w:type="dxa"/>
            <w:tcBorders>
              <w:top w:val="nil"/>
              <w:left w:val="nil"/>
              <w:bottom w:val="nil"/>
              <w:right w:val="nil"/>
            </w:tcBorders>
            <w:tcMar>
              <w:top w:w="128" w:type="dxa"/>
              <w:left w:w="43" w:type="dxa"/>
              <w:bottom w:w="43" w:type="dxa"/>
              <w:right w:w="43" w:type="dxa"/>
            </w:tcMar>
          </w:tcPr>
          <w:p w14:paraId="1673E0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661A05"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6013BD6" w14:textId="77777777" w:rsidR="00575AC3" w:rsidRPr="006D40F0" w:rsidRDefault="00575AC3" w:rsidP="006D40F0">
            <w:r w:rsidRPr="006D40F0">
              <w:t xml:space="preserve">Spesielle driftsutgifter, </w:t>
            </w:r>
            <w:r w:rsidRPr="00575AC3">
              <w:rPr>
                <w:rStyle w:val="kursiv"/>
              </w:rPr>
              <w:t>kan overføres, kan nyttes under post 70,</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8614AB2" w14:textId="77777777" w:rsidR="00575AC3" w:rsidRPr="006D40F0" w:rsidRDefault="00575AC3" w:rsidP="006D40F0">
            <w:r w:rsidRPr="006D40F0">
              <w:t>700 000</w:t>
            </w:r>
          </w:p>
        </w:tc>
      </w:tr>
      <w:tr w:rsidR="00DD49A7" w:rsidRPr="006D40F0" w14:paraId="2527D034" w14:textId="77777777">
        <w:trPr>
          <w:trHeight w:val="380"/>
        </w:trPr>
        <w:tc>
          <w:tcPr>
            <w:tcW w:w="680" w:type="dxa"/>
            <w:tcBorders>
              <w:top w:val="nil"/>
              <w:left w:val="nil"/>
              <w:bottom w:val="nil"/>
              <w:right w:val="nil"/>
            </w:tcBorders>
            <w:tcMar>
              <w:top w:w="128" w:type="dxa"/>
              <w:left w:w="43" w:type="dxa"/>
              <w:bottom w:w="43" w:type="dxa"/>
              <w:right w:w="43" w:type="dxa"/>
            </w:tcMar>
          </w:tcPr>
          <w:p w14:paraId="25FFFC0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74FD8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2EDB1D" w14:textId="77777777" w:rsidR="00575AC3" w:rsidRPr="006D40F0" w:rsidRDefault="00575AC3" w:rsidP="006D40F0">
            <w:r w:rsidRPr="006D40F0">
              <w:t>fra kr 53 144 000 til kr 53 844 000</w:t>
            </w:r>
          </w:p>
        </w:tc>
        <w:tc>
          <w:tcPr>
            <w:tcW w:w="1400" w:type="dxa"/>
            <w:tcBorders>
              <w:top w:val="nil"/>
              <w:left w:val="nil"/>
              <w:bottom w:val="nil"/>
              <w:right w:val="nil"/>
            </w:tcBorders>
            <w:tcMar>
              <w:top w:w="128" w:type="dxa"/>
              <w:left w:w="43" w:type="dxa"/>
              <w:bottom w:w="43" w:type="dxa"/>
              <w:right w:w="43" w:type="dxa"/>
            </w:tcMar>
            <w:vAlign w:val="bottom"/>
          </w:tcPr>
          <w:p w14:paraId="7F98D4C7" w14:textId="77777777" w:rsidR="00575AC3" w:rsidRPr="006D40F0" w:rsidRDefault="00575AC3" w:rsidP="006D40F0"/>
        </w:tc>
      </w:tr>
      <w:tr w:rsidR="00DD49A7" w:rsidRPr="006D40F0" w14:paraId="5327AFCE" w14:textId="77777777">
        <w:trPr>
          <w:trHeight w:val="380"/>
        </w:trPr>
        <w:tc>
          <w:tcPr>
            <w:tcW w:w="680" w:type="dxa"/>
            <w:tcBorders>
              <w:top w:val="nil"/>
              <w:left w:val="nil"/>
              <w:bottom w:val="nil"/>
              <w:right w:val="nil"/>
            </w:tcBorders>
            <w:tcMar>
              <w:top w:w="128" w:type="dxa"/>
              <w:left w:w="43" w:type="dxa"/>
              <w:bottom w:w="43" w:type="dxa"/>
              <w:right w:w="43" w:type="dxa"/>
            </w:tcMar>
          </w:tcPr>
          <w:p w14:paraId="036B22C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20DAA5"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4770BCF0" w14:textId="77777777" w:rsidR="00575AC3" w:rsidRPr="006D40F0" w:rsidRDefault="00575AC3" w:rsidP="006D40F0">
            <w:r w:rsidRPr="006D40F0">
              <w:t>Forskningsmidler til Norges forskningsråd m.m., nedsettes med</w:t>
            </w:r>
          </w:p>
        </w:tc>
        <w:tc>
          <w:tcPr>
            <w:tcW w:w="1400" w:type="dxa"/>
            <w:tcBorders>
              <w:top w:val="nil"/>
              <w:left w:val="nil"/>
              <w:bottom w:val="nil"/>
              <w:right w:val="nil"/>
            </w:tcBorders>
            <w:tcMar>
              <w:top w:w="128" w:type="dxa"/>
              <w:left w:w="43" w:type="dxa"/>
              <w:bottom w:w="43" w:type="dxa"/>
              <w:right w:w="43" w:type="dxa"/>
            </w:tcMar>
            <w:vAlign w:val="bottom"/>
          </w:tcPr>
          <w:p w14:paraId="4B0D2A97" w14:textId="77777777" w:rsidR="00575AC3" w:rsidRPr="006D40F0" w:rsidRDefault="00575AC3" w:rsidP="006D40F0">
            <w:r w:rsidRPr="006D40F0">
              <w:t>1 000 000</w:t>
            </w:r>
          </w:p>
        </w:tc>
      </w:tr>
      <w:tr w:rsidR="00DD49A7" w:rsidRPr="006D40F0" w14:paraId="55FF69E3" w14:textId="77777777">
        <w:trPr>
          <w:trHeight w:val="380"/>
        </w:trPr>
        <w:tc>
          <w:tcPr>
            <w:tcW w:w="680" w:type="dxa"/>
            <w:tcBorders>
              <w:top w:val="nil"/>
              <w:left w:val="nil"/>
              <w:bottom w:val="nil"/>
              <w:right w:val="nil"/>
            </w:tcBorders>
            <w:tcMar>
              <w:top w:w="128" w:type="dxa"/>
              <w:left w:w="43" w:type="dxa"/>
              <w:bottom w:w="43" w:type="dxa"/>
              <w:right w:w="43" w:type="dxa"/>
            </w:tcMar>
          </w:tcPr>
          <w:p w14:paraId="349060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D5F97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8CF1834" w14:textId="77777777" w:rsidR="00575AC3" w:rsidRPr="006D40F0" w:rsidRDefault="00575AC3" w:rsidP="006D40F0">
            <w:r w:rsidRPr="006D40F0">
              <w:t>fra kr 73 741 000 til kr 72 741 000</w:t>
            </w:r>
          </w:p>
        </w:tc>
        <w:tc>
          <w:tcPr>
            <w:tcW w:w="1400" w:type="dxa"/>
            <w:tcBorders>
              <w:top w:val="nil"/>
              <w:left w:val="nil"/>
              <w:bottom w:val="nil"/>
              <w:right w:val="nil"/>
            </w:tcBorders>
            <w:tcMar>
              <w:top w:w="128" w:type="dxa"/>
              <w:left w:w="43" w:type="dxa"/>
              <w:bottom w:w="43" w:type="dxa"/>
              <w:right w:w="43" w:type="dxa"/>
            </w:tcMar>
            <w:vAlign w:val="bottom"/>
          </w:tcPr>
          <w:p w14:paraId="2BE0468D" w14:textId="77777777" w:rsidR="00575AC3" w:rsidRPr="006D40F0" w:rsidRDefault="00575AC3" w:rsidP="006D40F0"/>
        </w:tc>
      </w:tr>
      <w:tr w:rsidR="00DD49A7" w:rsidRPr="006D40F0" w14:paraId="213CD8CA" w14:textId="77777777">
        <w:trPr>
          <w:trHeight w:val="380"/>
        </w:trPr>
        <w:tc>
          <w:tcPr>
            <w:tcW w:w="680" w:type="dxa"/>
            <w:tcBorders>
              <w:top w:val="nil"/>
              <w:left w:val="nil"/>
              <w:bottom w:val="nil"/>
              <w:right w:val="nil"/>
            </w:tcBorders>
            <w:tcMar>
              <w:top w:w="128" w:type="dxa"/>
              <w:left w:w="43" w:type="dxa"/>
              <w:bottom w:w="43" w:type="dxa"/>
              <w:right w:w="43" w:type="dxa"/>
            </w:tcMar>
          </w:tcPr>
          <w:p w14:paraId="428DFB10" w14:textId="77777777" w:rsidR="00575AC3" w:rsidRPr="006D40F0" w:rsidRDefault="00575AC3" w:rsidP="006D40F0">
            <w:r w:rsidRPr="006D40F0">
              <w:t>553</w:t>
            </w:r>
          </w:p>
        </w:tc>
        <w:tc>
          <w:tcPr>
            <w:tcW w:w="680" w:type="dxa"/>
            <w:tcBorders>
              <w:top w:val="nil"/>
              <w:left w:val="nil"/>
              <w:bottom w:val="nil"/>
              <w:right w:val="nil"/>
            </w:tcBorders>
            <w:tcMar>
              <w:top w:w="128" w:type="dxa"/>
              <w:left w:w="43" w:type="dxa"/>
              <w:bottom w:w="43" w:type="dxa"/>
              <w:right w:w="43" w:type="dxa"/>
            </w:tcMar>
          </w:tcPr>
          <w:p w14:paraId="5BE5673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B63B26" w14:textId="77777777" w:rsidR="00575AC3" w:rsidRPr="006D40F0" w:rsidRDefault="00575AC3" w:rsidP="006D40F0">
            <w:r w:rsidRPr="006D40F0">
              <w:t>Regional- og distriktsutvikling:</w:t>
            </w:r>
          </w:p>
        </w:tc>
        <w:tc>
          <w:tcPr>
            <w:tcW w:w="1400" w:type="dxa"/>
            <w:tcBorders>
              <w:top w:val="nil"/>
              <w:left w:val="nil"/>
              <w:bottom w:val="nil"/>
              <w:right w:val="nil"/>
            </w:tcBorders>
            <w:tcMar>
              <w:top w:w="128" w:type="dxa"/>
              <w:left w:w="43" w:type="dxa"/>
              <w:bottom w:w="43" w:type="dxa"/>
              <w:right w:w="43" w:type="dxa"/>
            </w:tcMar>
            <w:vAlign w:val="bottom"/>
          </w:tcPr>
          <w:p w14:paraId="0C07C5D3" w14:textId="77777777" w:rsidR="00575AC3" w:rsidRPr="006D40F0" w:rsidRDefault="00575AC3" w:rsidP="006D40F0"/>
        </w:tc>
      </w:tr>
      <w:tr w:rsidR="00DD49A7" w:rsidRPr="006D40F0" w14:paraId="13D46578" w14:textId="77777777">
        <w:trPr>
          <w:trHeight w:val="380"/>
        </w:trPr>
        <w:tc>
          <w:tcPr>
            <w:tcW w:w="680" w:type="dxa"/>
            <w:tcBorders>
              <w:top w:val="nil"/>
              <w:left w:val="nil"/>
              <w:bottom w:val="nil"/>
              <w:right w:val="nil"/>
            </w:tcBorders>
            <w:tcMar>
              <w:top w:w="128" w:type="dxa"/>
              <w:left w:w="43" w:type="dxa"/>
              <w:bottom w:w="43" w:type="dxa"/>
              <w:right w:w="43" w:type="dxa"/>
            </w:tcMar>
          </w:tcPr>
          <w:p w14:paraId="36558C8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FC29E0" w14:textId="77777777" w:rsidR="00575AC3" w:rsidRPr="006D40F0" w:rsidRDefault="00575AC3" w:rsidP="006D40F0">
            <w:r w:rsidRPr="006D40F0">
              <w:t>66</w:t>
            </w:r>
          </w:p>
        </w:tc>
        <w:tc>
          <w:tcPr>
            <w:tcW w:w="6800" w:type="dxa"/>
            <w:tcBorders>
              <w:top w:val="nil"/>
              <w:left w:val="nil"/>
              <w:bottom w:val="nil"/>
              <w:right w:val="nil"/>
            </w:tcBorders>
            <w:tcMar>
              <w:top w:w="128" w:type="dxa"/>
              <w:left w:w="43" w:type="dxa"/>
              <w:bottom w:w="43" w:type="dxa"/>
              <w:right w:w="43" w:type="dxa"/>
            </w:tcMar>
          </w:tcPr>
          <w:p w14:paraId="06DF3744" w14:textId="77777777" w:rsidR="00575AC3" w:rsidRPr="006D40F0" w:rsidRDefault="00575AC3" w:rsidP="006D40F0">
            <w:r w:rsidRPr="006D40F0">
              <w:t xml:space="preserve">Bygdevekstavtaler,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C57EAB8" w14:textId="77777777" w:rsidR="00575AC3" w:rsidRPr="006D40F0" w:rsidRDefault="00575AC3" w:rsidP="006D40F0">
            <w:r w:rsidRPr="006D40F0">
              <w:t>2 200 000</w:t>
            </w:r>
          </w:p>
        </w:tc>
      </w:tr>
      <w:tr w:rsidR="00DD49A7" w:rsidRPr="006D40F0" w14:paraId="1B1ECB87" w14:textId="77777777">
        <w:trPr>
          <w:trHeight w:val="380"/>
        </w:trPr>
        <w:tc>
          <w:tcPr>
            <w:tcW w:w="680" w:type="dxa"/>
            <w:tcBorders>
              <w:top w:val="nil"/>
              <w:left w:val="nil"/>
              <w:bottom w:val="nil"/>
              <w:right w:val="nil"/>
            </w:tcBorders>
            <w:tcMar>
              <w:top w:w="128" w:type="dxa"/>
              <w:left w:w="43" w:type="dxa"/>
              <w:bottom w:w="43" w:type="dxa"/>
              <w:right w:w="43" w:type="dxa"/>
            </w:tcMar>
          </w:tcPr>
          <w:p w14:paraId="564571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12C6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85E9415" w14:textId="77777777" w:rsidR="00575AC3" w:rsidRPr="006D40F0" w:rsidRDefault="00575AC3" w:rsidP="006D40F0">
            <w:r w:rsidRPr="006D40F0">
              <w:t>fra kr 76 931 000 til kr 74 731 000</w:t>
            </w:r>
          </w:p>
        </w:tc>
        <w:tc>
          <w:tcPr>
            <w:tcW w:w="1400" w:type="dxa"/>
            <w:tcBorders>
              <w:top w:val="nil"/>
              <w:left w:val="nil"/>
              <w:bottom w:val="nil"/>
              <w:right w:val="nil"/>
            </w:tcBorders>
            <w:tcMar>
              <w:top w:w="128" w:type="dxa"/>
              <w:left w:w="43" w:type="dxa"/>
              <w:bottom w:w="43" w:type="dxa"/>
              <w:right w:w="43" w:type="dxa"/>
            </w:tcMar>
            <w:vAlign w:val="bottom"/>
          </w:tcPr>
          <w:p w14:paraId="2F639A2F" w14:textId="77777777" w:rsidR="00575AC3" w:rsidRPr="006D40F0" w:rsidRDefault="00575AC3" w:rsidP="006D40F0"/>
        </w:tc>
      </w:tr>
      <w:tr w:rsidR="00DD49A7" w:rsidRPr="006D40F0" w14:paraId="1F1109DC" w14:textId="77777777">
        <w:trPr>
          <w:trHeight w:val="380"/>
        </w:trPr>
        <w:tc>
          <w:tcPr>
            <w:tcW w:w="680" w:type="dxa"/>
            <w:tcBorders>
              <w:top w:val="nil"/>
              <w:left w:val="nil"/>
              <w:bottom w:val="nil"/>
              <w:right w:val="nil"/>
            </w:tcBorders>
            <w:tcMar>
              <w:top w:w="128" w:type="dxa"/>
              <w:left w:w="43" w:type="dxa"/>
              <w:bottom w:w="43" w:type="dxa"/>
              <w:right w:w="43" w:type="dxa"/>
            </w:tcMar>
          </w:tcPr>
          <w:p w14:paraId="0772B457" w14:textId="77777777" w:rsidR="00575AC3" w:rsidRPr="006D40F0" w:rsidRDefault="00575AC3" w:rsidP="006D40F0">
            <w:r w:rsidRPr="006D40F0">
              <w:t>560</w:t>
            </w:r>
          </w:p>
        </w:tc>
        <w:tc>
          <w:tcPr>
            <w:tcW w:w="680" w:type="dxa"/>
            <w:tcBorders>
              <w:top w:val="nil"/>
              <w:left w:val="nil"/>
              <w:bottom w:val="nil"/>
              <w:right w:val="nil"/>
            </w:tcBorders>
            <w:tcMar>
              <w:top w:w="128" w:type="dxa"/>
              <w:left w:w="43" w:type="dxa"/>
              <w:bottom w:w="43" w:type="dxa"/>
              <w:right w:w="43" w:type="dxa"/>
            </w:tcMar>
          </w:tcPr>
          <w:p w14:paraId="567D2D3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3C9F5A" w14:textId="77777777" w:rsidR="00575AC3" w:rsidRPr="006D40F0" w:rsidRDefault="00575AC3" w:rsidP="006D40F0">
            <w:r w:rsidRPr="006D40F0">
              <w:t>Samiske formål:</w:t>
            </w:r>
          </w:p>
        </w:tc>
        <w:tc>
          <w:tcPr>
            <w:tcW w:w="1400" w:type="dxa"/>
            <w:tcBorders>
              <w:top w:val="nil"/>
              <w:left w:val="nil"/>
              <w:bottom w:val="nil"/>
              <w:right w:val="nil"/>
            </w:tcBorders>
            <w:tcMar>
              <w:top w:w="128" w:type="dxa"/>
              <w:left w:w="43" w:type="dxa"/>
              <w:bottom w:w="43" w:type="dxa"/>
              <w:right w:w="43" w:type="dxa"/>
            </w:tcMar>
            <w:vAlign w:val="bottom"/>
          </w:tcPr>
          <w:p w14:paraId="7FBA09A5" w14:textId="77777777" w:rsidR="00575AC3" w:rsidRPr="006D40F0" w:rsidRDefault="00575AC3" w:rsidP="006D40F0"/>
        </w:tc>
      </w:tr>
      <w:tr w:rsidR="00DD49A7" w:rsidRPr="006D40F0" w14:paraId="468E1858" w14:textId="77777777">
        <w:trPr>
          <w:trHeight w:val="380"/>
        </w:trPr>
        <w:tc>
          <w:tcPr>
            <w:tcW w:w="680" w:type="dxa"/>
            <w:tcBorders>
              <w:top w:val="nil"/>
              <w:left w:val="nil"/>
              <w:bottom w:val="nil"/>
              <w:right w:val="nil"/>
            </w:tcBorders>
            <w:tcMar>
              <w:top w:w="128" w:type="dxa"/>
              <w:left w:w="43" w:type="dxa"/>
              <w:bottom w:w="43" w:type="dxa"/>
              <w:right w:w="43" w:type="dxa"/>
            </w:tcMar>
          </w:tcPr>
          <w:p w14:paraId="6BB40D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811807"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483C03F" w14:textId="77777777" w:rsidR="00575AC3" w:rsidRPr="006D40F0" w:rsidRDefault="00575AC3" w:rsidP="006D40F0">
            <w:r w:rsidRPr="006D40F0">
              <w:t>Samisk språk, kultur og samfunnsliv, forhøyes med</w:t>
            </w:r>
          </w:p>
        </w:tc>
        <w:tc>
          <w:tcPr>
            <w:tcW w:w="1400" w:type="dxa"/>
            <w:tcBorders>
              <w:top w:val="nil"/>
              <w:left w:val="nil"/>
              <w:bottom w:val="nil"/>
              <w:right w:val="nil"/>
            </w:tcBorders>
            <w:tcMar>
              <w:top w:w="128" w:type="dxa"/>
              <w:left w:w="43" w:type="dxa"/>
              <w:bottom w:w="43" w:type="dxa"/>
              <w:right w:w="43" w:type="dxa"/>
            </w:tcMar>
            <w:vAlign w:val="bottom"/>
          </w:tcPr>
          <w:p w14:paraId="7D732CE4" w14:textId="77777777" w:rsidR="00575AC3" w:rsidRPr="006D40F0" w:rsidRDefault="00575AC3" w:rsidP="006D40F0">
            <w:r w:rsidRPr="006D40F0">
              <w:t>5 000 000</w:t>
            </w:r>
          </w:p>
        </w:tc>
      </w:tr>
      <w:tr w:rsidR="00DD49A7" w:rsidRPr="006D40F0" w14:paraId="3B65951E" w14:textId="77777777">
        <w:trPr>
          <w:trHeight w:val="380"/>
        </w:trPr>
        <w:tc>
          <w:tcPr>
            <w:tcW w:w="680" w:type="dxa"/>
            <w:tcBorders>
              <w:top w:val="nil"/>
              <w:left w:val="nil"/>
              <w:bottom w:val="nil"/>
              <w:right w:val="nil"/>
            </w:tcBorders>
            <w:tcMar>
              <w:top w:w="128" w:type="dxa"/>
              <w:left w:w="43" w:type="dxa"/>
              <w:bottom w:w="43" w:type="dxa"/>
              <w:right w:w="43" w:type="dxa"/>
            </w:tcMar>
          </w:tcPr>
          <w:p w14:paraId="5448C90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53E77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8E340E8" w14:textId="77777777" w:rsidR="00575AC3" w:rsidRPr="006D40F0" w:rsidRDefault="00575AC3" w:rsidP="006D40F0">
            <w:r w:rsidRPr="006D40F0">
              <w:t>fra kr 661 721 000 til kr 666 721 000</w:t>
            </w:r>
          </w:p>
        </w:tc>
        <w:tc>
          <w:tcPr>
            <w:tcW w:w="1400" w:type="dxa"/>
            <w:tcBorders>
              <w:top w:val="nil"/>
              <w:left w:val="nil"/>
              <w:bottom w:val="nil"/>
              <w:right w:val="nil"/>
            </w:tcBorders>
            <w:tcMar>
              <w:top w:w="128" w:type="dxa"/>
              <w:left w:w="43" w:type="dxa"/>
              <w:bottom w:w="43" w:type="dxa"/>
              <w:right w:w="43" w:type="dxa"/>
            </w:tcMar>
            <w:vAlign w:val="bottom"/>
          </w:tcPr>
          <w:p w14:paraId="013DD01D" w14:textId="77777777" w:rsidR="00575AC3" w:rsidRPr="006D40F0" w:rsidRDefault="00575AC3" w:rsidP="006D40F0"/>
        </w:tc>
      </w:tr>
      <w:tr w:rsidR="00DD49A7" w:rsidRPr="006D40F0" w14:paraId="39E57B6A" w14:textId="77777777">
        <w:trPr>
          <w:trHeight w:val="380"/>
        </w:trPr>
        <w:tc>
          <w:tcPr>
            <w:tcW w:w="680" w:type="dxa"/>
            <w:tcBorders>
              <w:top w:val="nil"/>
              <w:left w:val="nil"/>
              <w:bottom w:val="nil"/>
              <w:right w:val="nil"/>
            </w:tcBorders>
            <w:tcMar>
              <w:top w:w="128" w:type="dxa"/>
              <w:left w:w="43" w:type="dxa"/>
              <w:bottom w:w="43" w:type="dxa"/>
              <w:right w:w="43" w:type="dxa"/>
            </w:tcMar>
          </w:tcPr>
          <w:p w14:paraId="43167CA9" w14:textId="77777777" w:rsidR="00575AC3" w:rsidRPr="006D40F0" w:rsidRDefault="00575AC3" w:rsidP="006D40F0">
            <w:r w:rsidRPr="006D40F0">
              <w:t>581</w:t>
            </w:r>
          </w:p>
        </w:tc>
        <w:tc>
          <w:tcPr>
            <w:tcW w:w="680" w:type="dxa"/>
            <w:tcBorders>
              <w:top w:val="nil"/>
              <w:left w:val="nil"/>
              <w:bottom w:val="nil"/>
              <w:right w:val="nil"/>
            </w:tcBorders>
            <w:tcMar>
              <w:top w:w="128" w:type="dxa"/>
              <w:left w:w="43" w:type="dxa"/>
              <w:bottom w:w="43" w:type="dxa"/>
              <w:right w:w="43" w:type="dxa"/>
            </w:tcMar>
          </w:tcPr>
          <w:p w14:paraId="50B93FC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DCF9937" w14:textId="77777777" w:rsidR="00575AC3" w:rsidRPr="006D40F0" w:rsidRDefault="00575AC3" w:rsidP="006D40F0">
            <w:r w:rsidRPr="006D40F0">
              <w:t>Bolig- og bomiljøtiltak:</w:t>
            </w:r>
          </w:p>
        </w:tc>
        <w:tc>
          <w:tcPr>
            <w:tcW w:w="1400" w:type="dxa"/>
            <w:tcBorders>
              <w:top w:val="nil"/>
              <w:left w:val="nil"/>
              <w:bottom w:val="nil"/>
              <w:right w:val="nil"/>
            </w:tcBorders>
            <w:tcMar>
              <w:top w:w="128" w:type="dxa"/>
              <w:left w:w="43" w:type="dxa"/>
              <w:bottom w:w="43" w:type="dxa"/>
              <w:right w:w="43" w:type="dxa"/>
            </w:tcMar>
            <w:vAlign w:val="bottom"/>
          </w:tcPr>
          <w:p w14:paraId="5035C578" w14:textId="77777777" w:rsidR="00575AC3" w:rsidRPr="006D40F0" w:rsidRDefault="00575AC3" w:rsidP="006D40F0"/>
        </w:tc>
      </w:tr>
      <w:tr w:rsidR="00DD49A7" w:rsidRPr="006D40F0" w14:paraId="6C407BA4" w14:textId="77777777">
        <w:trPr>
          <w:trHeight w:val="380"/>
        </w:trPr>
        <w:tc>
          <w:tcPr>
            <w:tcW w:w="680" w:type="dxa"/>
            <w:tcBorders>
              <w:top w:val="nil"/>
              <w:left w:val="nil"/>
              <w:bottom w:val="nil"/>
              <w:right w:val="nil"/>
            </w:tcBorders>
            <w:tcMar>
              <w:top w:w="128" w:type="dxa"/>
              <w:left w:w="43" w:type="dxa"/>
              <w:bottom w:w="43" w:type="dxa"/>
              <w:right w:w="43" w:type="dxa"/>
            </w:tcMar>
          </w:tcPr>
          <w:p w14:paraId="33BC5D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66BE6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CA3AC8A" w14:textId="77777777" w:rsidR="00575AC3" w:rsidRPr="006D40F0" w:rsidRDefault="00575AC3" w:rsidP="006D40F0">
            <w:r w:rsidRPr="006D40F0">
              <w:t xml:space="preserve">Bostøtte,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E1F27A3" w14:textId="77777777" w:rsidR="00575AC3" w:rsidRPr="006D40F0" w:rsidRDefault="00575AC3" w:rsidP="006D40F0">
            <w:r w:rsidRPr="006D40F0">
              <w:t>232 000 000</w:t>
            </w:r>
          </w:p>
        </w:tc>
      </w:tr>
      <w:tr w:rsidR="00DD49A7" w:rsidRPr="006D40F0" w14:paraId="37BDB49C" w14:textId="77777777">
        <w:trPr>
          <w:trHeight w:val="380"/>
        </w:trPr>
        <w:tc>
          <w:tcPr>
            <w:tcW w:w="680" w:type="dxa"/>
            <w:tcBorders>
              <w:top w:val="nil"/>
              <w:left w:val="nil"/>
              <w:bottom w:val="nil"/>
              <w:right w:val="nil"/>
            </w:tcBorders>
            <w:tcMar>
              <w:top w:w="128" w:type="dxa"/>
              <w:left w:w="43" w:type="dxa"/>
              <w:bottom w:w="43" w:type="dxa"/>
              <w:right w:w="43" w:type="dxa"/>
            </w:tcMar>
          </w:tcPr>
          <w:p w14:paraId="00D444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49620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C423F93" w14:textId="77777777" w:rsidR="00575AC3" w:rsidRPr="006D40F0" w:rsidRDefault="00575AC3" w:rsidP="006D40F0">
            <w:r w:rsidRPr="006D40F0">
              <w:t>fra kr 3 968 246 000 til kr 4 200 246 000</w:t>
            </w:r>
          </w:p>
        </w:tc>
        <w:tc>
          <w:tcPr>
            <w:tcW w:w="1400" w:type="dxa"/>
            <w:tcBorders>
              <w:top w:val="nil"/>
              <w:left w:val="nil"/>
              <w:bottom w:val="nil"/>
              <w:right w:val="nil"/>
            </w:tcBorders>
            <w:tcMar>
              <w:top w:w="128" w:type="dxa"/>
              <w:left w:w="43" w:type="dxa"/>
              <w:bottom w:w="43" w:type="dxa"/>
              <w:right w:w="43" w:type="dxa"/>
            </w:tcMar>
            <w:vAlign w:val="bottom"/>
          </w:tcPr>
          <w:p w14:paraId="348D9C9B" w14:textId="77777777" w:rsidR="00575AC3" w:rsidRPr="006D40F0" w:rsidRDefault="00575AC3" w:rsidP="006D40F0"/>
        </w:tc>
      </w:tr>
      <w:tr w:rsidR="00DD49A7" w:rsidRPr="006D40F0" w14:paraId="03784056" w14:textId="77777777">
        <w:trPr>
          <w:trHeight w:val="640"/>
        </w:trPr>
        <w:tc>
          <w:tcPr>
            <w:tcW w:w="680" w:type="dxa"/>
            <w:tcBorders>
              <w:top w:val="nil"/>
              <w:left w:val="nil"/>
              <w:bottom w:val="nil"/>
              <w:right w:val="nil"/>
            </w:tcBorders>
            <w:tcMar>
              <w:top w:w="128" w:type="dxa"/>
              <w:left w:w="43" w:type="dxa"/>
              <w:bottom w:w="43" w:type="dxa"/>
              <w:right w:w="43" w:type="dxa"/>
            </w:tcMar>
          </w:tcPr>
          <w:p w14:paraId="03C6976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AAC58B"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56696D1E" w14:textId="77777777" w:rsidR="00575AC3" w:rsidRPr="006D40F0" w:rsidRDefault="00575AC3" w:rsidP="006D40F0">
            <w:r w:rsidRPr="006D40F0">
              <w:t xml:space="preserve">Utleieboliger og forsøk med nye boligmodeller,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58BE90C" w14:textId="77777777" w:rsidR="00575AC3" w:rsidRPr="006D40F0" w:rsidRDefault="00575AC3" w:rsidP="006D40F0">
            <w:r w:rsidRPr="006D40F0">
              <w:t>15 096 000</w:t>
            </w:r>
          </w:p>
        </w:tc>
      </w:tr>
      <w:tr w:rsidR="00DD49A7" w:rsidRPr="006D40F0" w14:paraId="78B138C9" w14:textId="77777777">
        <w:trPr>
          <w:trHeight w:val="380"/>
        </w:trPr>
        <w:tc>
          <w:tcPr>
            <w:tcW w:w="680" w:type="dxa"/>
            <w:tcBorders>
              <w:top w:val="nil"/>
              <w:left w:val="nil"/>
              <w:bottom w:val="nil"/>
              <w:right w:val="nil"/>
            </w:tcBorders>
            <w:tcMar>
              <w:top w:w="128" w:type="dxa"/>
              <w:left w:w="43" w:type="dxa"/>
              <w:bottom w:w="43" w:type="dxa"/>
              <w:right w:w="43" w:type="dxa"/>
            </w:tcMar>
          </w:tcPr>
          <w:p w14:paraId="3748E7F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F744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161E31" w14:textId="77777777" w:rsidR="00575AC3" w:rsidRPr="006D40F0" w:rsidRDefault="00575AC3" w:rsidP="006D40F0">
            <w:r w:rsidRPr="006D40F0">
              <w:t>fra kr 162 720 000 til kr 177 816 000</w:t>
            </w:r>
          </w:p>
        </w:tc>
        <w:tc>
          <w:tcPr>
            <w:tcW w:w="1400" w:type="dxa"/>
            <w:tcBorders>
              <w:top w:val="nil"/>
              <w:left w:val="nil"/>
              <w:bottom w:val="nil"/>
              <w:right w:val="nil"/>
            </w:tcBorders>
            <w:tcMar>
              <w:top w:w="128" w:type="dxa"/>
              <w:left w:w="43" w:type="dxa"/>
              <w:bottom w:w="43" w:type="dxa"/>
              <w:right w:w="43" w:type="dxa"/>
            </w:tcMar>
            <w:vAlign w:val="bottom"/>
          </w:tcPr>
          <w:p w14:paraId="62913BD5" w14:textId="77777777" w:rsidR="00575AC3" w:rsidRPr="006D40F0" w:rsidRDefault="00575AC3" w:rsidP="006D40F0"/>
        </w:tc>
      </w:tr>
      <w:tr w:rsidR="00DD49A7" w:rsidRPr="006D40F0" w14:paraId="357CAE58" w14:textId="77777777">
        <w:trPr>
          <w:trHeight w:val="380"/>
        </w:trPr>
        <w:tc>
          <w:tcPr>
            <w:tcW w:w="680" w:type="dxa"/>
            <w:tcBorders>
              <w:top w:val="nil"/>
              <w:left w:val="nil"/>
              <w:bottom w:val="nil"/>
              <w:right w:val="nil"/>
            </w:tcBorders>
            <w:tcMar>
              <w:top w:w="128" w:type="dxa"/>
              <w:left w:w="43" w:type="dxa"/>
              <w:bottom w:w="43" w:type="dxa"/>
              <w:right w:w="43" w:type="dxa"/>
            </w:tcMar>
          </w:tcPr>
          <w:p w14:paraId="41DC7220" w14:textId="77777777" w:rsidR="00575AC3" w:rsidRPr="006D40F0" w:rsidRDefault="00575AC3" w:rsidP="006D40F0">
            <w:r w:rsidRPr="006D40F0">
              <w:t>587</w:t>
            </w:r>
          </w:p>
        </w:tc>
        <w:tc>
          <w:tcPr>
            <w:tcW w:w="680" w:type="dxa"/>
            <w:tcBorders>
              <w:top w:val="nil"/>
              <w:left w:val="nil"/>
              <w:bottom w:val="nil"/>
              <w:right w:val="nil"/>
            </w:tcBorders>
            <w:tcMar>
              <w:top w:w="128" w:type="dxa"/>
              <w:left w:w="43" w:type="dxa"/>
              <w:bottom w:w="43" w:type="dxa"/>
              <w:right w:w="43" w:type="dxa"/>
            </w:tcMar>
          </w:tcPr>
          <w:p w14:paraId="4113204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C8FCF0" w14:textId="77777777" w:rsidR="00575AC3" w:rsidRPr="006D40F0" w:rsidRDefault="00575AC3" w:rsidP="006D40F0">
            <w:r w:rsidRPr="006D40F0">
              <w:t xml:space="preserve">Direktoratet for </w:t>
            </w:r>
            <w:proofErr w:type="spellStart"/>
            <w:r w:rsidRPr="006D40F0">
              <w:t>byggkvalitet</w:t>
            </w:r>
            <w:proofErr w:type="spellEnd"/>
            <w:r w:rsidRPr="006D40F0">
              <w:t>:</w:t>
            </w:r>
          </w:p>
        </w:tc>
        <w:tc>
          <w:tcPr>
            <w:tcW w:w="1400" w:type="dxa"/>
            <w:tcBorders>
              <w:top w:val="nil"/>
              <w:left w:val="nil"/>
              <w:bottom w:val="nil"/>
              <w:right w:val="nil"/>
            </w:tcBorders>
            <w:tcMar>
              <w:top w:w="128" w:type="dxa"/>
              <w:left w:w="43" w:type="dxa"/>
              <w:bottom w:w="43" w:type="dxa"/>
              <w:right w:w="43" w:type="dxa"/>
            </w:tcMar>
            <w:vAlign w:val="bottom"/>
          </w:tcPr>
          <w:p w14:paraId="5A9C33D1" w14:textId="77777777" w:rsidR="00575AC3" w:rsidRPr="006D40F0" w:rsidRDefault="00575AC3" w:rsidP="006D40F0"/>
        </w:tc>
      </w:tr>
      <w:tr w:rsidR="00DD49A7" w:rsidRPr="006D40F0" w14:paraId="0ABBF8FB" w14:textId="77777777">
        <w:trPr>
          <w:trHeight w:val="380"/>
        </w:trPr>
        <w:tc>
          <w:tcPr>
            <w:tcW w:w="680" w:type="dxa"/>
            <w:tcBorders>
              <w:top w:val="nil"/>
              <w:left w:val="nil"/>
              <w:bottom w:val="nil"/>
              <w:right w:val="nil"/>
            </w:tcBorders>
            <w:tcMar>
              <w:top w:w="128" w:type="dxa"/>
              <w:left w:w="43" w:type="dxa"/>
              <w:bottom w:w="43" w:type="dxa"/>
              <w:right w:w="43" w:type="dxa"/>
            </w:tcMar>
          </w:tcPr>
          <w:p w14:paraId="0B39428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B9353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23B5D78"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0A7D79F2" w14:textId="77777777" w:rsidR="00575AC3" w:rsidRPr="006D40F0" w:rsidRDefault="00575AC3" w:rsidP="006D40F0">
            <w:r w:rsidRPr="006D40F0">
              <w:t>1 460 000</w:t>
            </w:r>
          </w:p>
        </w:tc>
      </w:tr>
      <w:tr w:rsidR="00DD49A7" w:rsidRPr="006D40F0" w14:paraId="620325DD" w14:textId="77777777">
        <w:trPr>
          <w:trHeight w:val="380"/>
        </w:trPr>
        <w:tc>
          <w:tcPr>
            <w:tcW w:w="680" w:type="dxa"/>
            <w:tcBorders>
              <w:top w:val="nil"/>
              <w:left w:val="nil"/>
              <w:bottom w:val="nil"/>
              <w:right w:val="nil"/>
            </w:tcBorders>
            <w:tcMar>
              <w:top w:w="128" w:type="dxa"/>
              <w:left w:w="43" w:type="dxa"/>
              <w:bottom w:w="43" w:type="dxa"/>
              <w:right w:w="43" w:type="dxa"/>
            </w:tcMar>
          </w:tcPr>
          <w:p w14:paraId="684B744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B8790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079B9F" w14:textId="77777777" w:rsidR="00575AC3" w:rsidRPr="006D40F0" w:rsidRDefault="00575AC3" w:rsidP="006D40F0">
            <w:r w:rsidRPr="006D40F0">
              <w:t>fra kr 127 708 000 til kr 126 248 000</w:t>
            </w:r>
          </w:p>
        </w:tc>
        <w:tc>
          <w:tcPr>
            <w:tcW w:w="1400" w:type="dxa"/>
            <w:tcBorders>
              <w:top w:val="nil"/>
              <w:left w:val="nil"/>
              <w:bottom w:val="nil"/>
              <w:right w:val="nil"/>
            </w:tcBorders>
            <w:tcMar>
              <w:top w:w="128" w:type="dxa"/>
              <w:left w:w="43" w:type="dxa"/>
              <w:bottom w:w="43" w:type="dxa"/>
              <w:right w:w="43" w:type="dxa"/>
            </w:tcMar>
            <w:vAlign w:val="bottom"/>
          </w:tcPr>
          <w:p w14:paraId="77E9DE54" w14:textId="77777777" w:rsidR="00575AC3" w:rsidRPr="006D40F0" w:rsidRDefault="00575AC3" w:rsidP="006D40F0"/>
        </w:tc>
      </w:tr>
      <w:tr w:rsidR="00DD49A7" w:rsidRPr="006D40F0" w14:paraId="436E439F" w14:textId="77777777">
        <w:trPr>
          <w:trHeight w:val="380"/>
        </w:trPr>
        <w:tc>
          <w:tcPr>
            <w:tcW w:w="680" w:type="dxa"/>
            <w:tcBorders>
              <w:top w:val="nil"/>
              <w:left w:val="nil"/>
              <w:bottom w:val="nil"/>
              <w:right w:val="nil"/>
            </w:tcBorders>
            <w:tcMar>
              <w:top w:w="128" w:type="dxa"/>
              <w:left w:w="43" w:type="dxa"/>
              <w:bottom w:w="43" w:type="dxa"/>
              <w:right w:w="43" w:type="dxa"/>
            </w:tcMar>
          </w:tcPr>
          <w:p w14:paraId="2DD0781C" w14:textId="77777777" w:rsidR="00575AC3" w:rsidRPr="006D40F0" w:rsidRDefault="00575AC3" w:rsidP="006D40F0">
            <w:r w:rsidRPr="006D40F0">
              <w:t>595</w:t>
            </w:r>
          </w:p>
        </w:tc>
        <w:tc>
          <w:tcPr>
            <w:tcW w:w="680" w:type="dxa"/>
            <w:tcBorders>
              <w:top w:val="nil"/>
              <w:left w:val="nil"/>
              <w:bottom w:val="nil"/>
              <w:right w:val="nil"/>
            </w:tcBorders>
            <w:tcMar>
              <w:top w:w="128" w:type="dxa"/>
              <w:left w:w="43" w:type="dxa"/>
              <w:bottom w:w="43" w:type="dxa"/>
              <w:right w:w="43" w:type="dxa"/>
            </w:tcMar>
          </w:tcPr>
          <w:p w14:paraId="319CA86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1F67121" w14:textId="77777777" w:rsidR="00575AC3" w:rsidRPr="006D40F0" w:rsidRDefault="00575AC3" w:rsidP="006D40F0">
            <w:r w:rsidRPr="006D40F0">
              <w:t>Statens kartverk:</w:t>
            </w:r>
          </w:p>
        </w:tc>
        <w:tc>
          <w:tcPr>
            <w:tcW w:w="1400" w:type="dxa"/>
            <w:tcBorders>
              <w:top w:val="nil"/>
              <w:left w:val="nil"/>
              <w:bottom w:val="nil"/>
              <w:right w:val="nil"/>
            </w:tcBorders>
            <w:tcMar>
              <w:top w:w="128" w:type="dxa"/>
              <w:left w:w="43" w:type="dxa"/>
              <w:bottom w:w="43" w:type="dxa"/>
              <w:right w:w="43" w:type="dxa"/>
            </w:tcMar>
            <w:vAlign w:val="bottom"/>
          </w:tcPr>
          <w:p w14:paraId="465EF1C7" w14:textId="77777777" w:rsidR="00575AC3" w:rsidRPr="006D40F0" w:rsidRDefault="00575AC3" w:rsidP="006D40F0"/>
        </w:tc>
      </w:tr>
      <w:tr w:rsidR="00DD49A7" w:rsidRPr="006D40F0" w14:paraId="39AAD246" w14:textId="77777777">
        <w:trPr>
          <w:trHeight w:val="380"/>
        </w:trPr>
        <w:tc>
          <w:tcPr>
            <w:tcW w:w="680" w:type="dxa"/>
            <w:tcBorders>
              <w:top w:val="nil"/>
              <w:left w:val="nil"/>
              <w:bottom w:val="nil"/>
              <w:right w:val="nil"/>
            </w:tcBorders>
            <w:tcMar>
              <w:top w:w="128" w:type="dxa"/>
              <w:left w:w="43" w:type="dxa"/>
              <w:bottom w:w="43" w:type="dxa"/>
              <w:right w:w="43" w:type="dxa"/>
            </w:tcMar>
          </w:tcPr>
          <w:p w14:paraId="78250C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6D6B4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0B8C5BA" w14:textId="77777777" w:rsidR="00575AC3" w:rsidRPr="006D40F0" w:rsidRDefault="00575AC3" w:rsidP="006D40F0">
            <w:r w:rsidRPr="006D40F0">
              <w:t xml:space="preserve">Driftsutgifter, </w:t>
            </w:r>
            <w:r w:rsidRPr="00575AC3">
              <w:rPr>
                <w:rStyle w:val="kursiv"/>
              </w:rPr>
              <w:t>kan nyttes under post 21 og 45,</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B8648FD" w14:textId="77777777" w:rsidR="00575AC3" w:rsidRPr="006D40F0" w:rsidRDefault="00575AC3" w:rsidP="006D40F0">
            <w:r w:rsidRPr="006D40F0">
              <w:t>3 600 000</w:t>
            </w:r>
          </w:p>
        </w:tc>
      </w:tr>
      <w:tr w:rsidR="00DD49A7" w:rsidRPr="006D40F0" w14:paraId="1A6859A4" w14:textId="77777777">
        <w:trPr>
          <w:trHeight w:val="380"/>
        </w:trPr>
        <w:tc>
          <w:tcPr>
            <w:tcW w:w="680" w:type="dxa"/>
            <w:tcBorders>
              <w:top w:val="nil"/>
              <w:left w:val="nil"/>
              <w:bottom w:val="nil"/>
              <w:right w:val="nil"/>
            </w:tcBorders>
            <w:tcMar>
              <w:top w:w="128" w:type="dxa"/>
              <w:left w:w="43" w:type="dxa"/>
              <w:bottom w:w="43" w:type="dxa"/>
              <w:right w:w="43" w:type="dxa"/>
            </w:tcMar>
          </w:tcPr>
          <w:p w14:paraId="6951A2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CFC3C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975168" w14:textId="77777777" w:rsidR="00575AC3" w:rsidRPr="006D40F0" w:rsidRDefault="00575AC3" w:rsidP="006D40F0">
            <w:r w:rsidRPr="006D40F0">
              <w:t>fra kr 967 776 000 til kr 971 376 000</w:t>
            </w:r>
          </w:p>
        </w:tc>
        <w:tc>
          <w:tcPr>
            <w:tcW w:w="1400" w:type="dxa"/>
            <w:tcBorders>
              <w:top w:val="nil"/>
              <w:left w:val="nil"/>
              <w:bottom w:val="nil"/>
              <w:right w:val="nil"/>
            </w:tcBorders>
            <w:tcMar>
              <w:top w:w="128" w:type="dxa"/>
              <w:left w:w="43" w:type="dxa"/>
              <w:bottom w:w="43" w:type="dxa"/>
              <w:right w:w="43" w:type="dxa"/>
            </w:tcMar>
            <w:vAlign w:val="bottom"/>
          </w:tcPr>
          <w:p w14:paraId="041AFCFE" w14:textId="77777777" w:rsidR="00575AC3" w:rsidRPr="006D40F0" w:rsidRDefault="00575AC3" w:rsidP="006D40F0"/>
        </w:tc>
      </w:tr>
      <w:tr w:rsidR="00DD49A7" w:rsidRPr="006D40F0" w14:paraId="33B94968" w14:textId="77777777">
        <w:trPr>
          <w:trHeight w:val="640"/>
        </w:trPr>
        <w:tc>
          <w:tcPr>
            <w:tcW w:w="680" w:type="dxa"/>
            <w:tcBorders>
              <w:top w:val="nil"/>
              <w:left w:val="nil"/>
              <w:bottom w:val="nil"/>
              <w:right w:val="nil"/>
            </w:tcBorders>
            <w:tcMar>
              <w:top w:w="128" w:type="dxa"/>
              <w:left w:w="43" w:type="dxa"/>
              <w:bottom w:w="43" w:type="dxa"/>
              <w:right w:w="43" w:type="dxa"/>
            </w:tcMar>
          </w:tcPr>
          <w:p w14:paraId="3043B95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2A8431"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71E251D" w14:textId="77777777" w:rsidR="00575AC3" w:rsidRPr="006D40F0" w:rsidRDefault="00575AC3" w:rsidP="006D40F0">
            <w:r w:rsidRPr="006D40F0">
              <w:t xml:space="preserve">Spesielle driftsutgifter, </w:t>
            </w:r>
            <w:r w:rsidRPr="00575AC3">
              <w:rPr>
                <w:rStyle w:val="kursiv"/>
              </w:rPr>
              <w:t>kan overføres, kan nyttes under post 1 og 45,</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A82B727" w14:textId="77777777" w:rsidR="00575AC3" w:rsidRPr="006D40F0" w:rsidRDefault="00575AC3" w:rsidP="006D40F0">
            <w:r w:rsidRPr="006D40F0">
              <w:t>8 254 000</w:t>
            </w:r>
          </w:p>
        </w:tc>
      </w:tr>
      <w:tr w:rsidR="00DD49A7" w:rsidRPr="006D40F0" w14:paraId="05992567" w14:textId="77777777">
        <w:trPr>
          <w:trHeight w:val="380"/>
        </w:trPr>
        <w:tc>
          <w:tcPr>
            <w:tcW w:w="680" w:type="dxa"/>
            <w:tcBorders>
              <w:top w:val="nil"/>
              <w:left w:val="nil"/>
              <w:bottom w:val="nil"/>
              <w:right w:val="nil"/>
            </w:tcBorders>
            <w:tcMar>
              <w:top w:w="128" w:type="dxa"/>
              <w:left w:w="43" w:type="dxa"/>
              <w:bottom w:w="43" w:type="dxa"/>
              <w:right w:w="43" w:type="dxa"/>
            </w:tcMar>
          </w:tcPr>
          <w:p w14:paraId="6641E6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930220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95697E" w14:textId="77777777" w:rsidR="00575AC3" w:rsidRPr="006D40F0" w:rsidRDefault="00575AC3" w:rsidP="006D40F0">
            <w:r w:rsidRPr="006D40F0">
              <w:t>fra kr 360 308 000 til kr 368 562 000</w:t>
            </w:r>
          </w:p>
        </w:tc>
        <w:tc>
          <w:tcPr>
            <w:tcW w:w="1400" w:type="dxa"/>
            <w:tcBorders>
              <w:top w:val="nil"/>
              <w:left w:val="nil"/>
              <w:bottom w:val="nil"/>
              <w:right w:val="nil"/>
            </w:tcBorders>
            <w:tcMar>
              <w:top w:w="128" w:type="dxa"/>
              <w:left w:w="43" w:type="dxa"/>
              <w:bottom w:w="43" w:type="dxa"/>
              <w:right w:w="43" w:type="dxa"/>
            </w:tcMar>
            <w:vAlign w:val="bottom"/>
          </w:tcPr>
          <w:p w14:paraId="7CFCB42D" w14:textId="77777777" w:rsidR="00575AC3" w:rsidRPr="006D40F0" w:rsidRDefault="00575AC3" w:rsidP="006D40F0"/>
        </w:tc>
      </w:tr>
      <w:tr w:rsidR="00DD49A7" w:rsidRPr="006D40F0" w14:paraId="1025435B" w14:textId="77777777">
        <w:trPr>
          <w:trHeight w:val="380"/>
        </w:trPr>
        <w:tc>
          <w:tcPr>
            <w:tcW w:w="680" w:type="dxa"/>
            <w:tcBorders>
              <w:top w:val="nil"/>
              <w:left w:val="nil"/>
              <w:bottom w:val="nil"/>
              <w:right w:val="nil"/>
            </w:tcBorders>
            <w:tcMar>
              <w:top w:w="128" w:type="dxa"/>
              <w:left w:w="43" w:type="dxa"/>
              <w:bottom w:w="43" w:type="dxa"/>
              <w:right w:w="43" w:type="dxa"/>
            </w:tcMar>
          </w:tcPr>
          <w:p w14:paraId="5F3C880E" w14:textId="77777777" w:rsidR="00575AC3" w:rsidRPr="006D40F0" w:rsidRDefault="00575AC3" w:rsidP="006D40F0">
            <w:r w:rsidRPr="006D40F0">
              <w:t>600</w:t>
            </w:r>
          </w:p>
        </w:tc>
        <w:tc>
          <w:tcPr>
            <w:tcW w:w="680" w:type="dxa"/>
            <w:tcBorders>
              <w:top w:val="nil"/>
              <w:left w:val="nil"/>
              <w:bottom w:val="nil"/>
              <w:right w:val="nil"/>
            </w:tcBorders>
            <w:tcMar>
              <w:top w:w="128" w:type="dxa"/>
              <w:left w:w="43" w:type="dxa"/>
              <w:bottom w:w="43" w:type="dxa"/>
              <w:right w:w="43" w:type="dxa"/>
            </w:tcMar>
          </w:tcPr>
          <w:p w14:paraId="303C5E4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FA61F4" w14:textId="77777777" w:rsidR="00575AC3" w:rsidRPr="006D40F0" w:rsidRDefault="00575AC3" w:rsidP="006D40F0">
            <w:r w:rsidRPr="006D40F0">
              <w:t>Arbeids- og inkluderingsdepartementet:</w:t>
            </w:r>
          </w:p>
        </w:tc>
        <w:tc>
          <w:tcPr>
            <w:tcW w:w="1400" w:type="dxa"/>
            <w:tcBorders>
              <w:top w:val="nil"/>
              <w:left w:val="nil"/>
              <w:bottom w:val="nil"/>
              <w:right w:val="nil"/>
            </w:tcBorders>
            <w:tcMar>
              <w:top w:w="128" w:type="dxa"/>
              <w:left w:w="43" w:type="dxa"/>
              <w:bottom w:w="43" w:type="dxa"/>
              <w:right w:w="43" w:type="dxa"/>
            </w:tcMar>
            <w:vAlign w:val="bottom"/>
          </w:tcPr>
          <w:p w14:paraId="1E8C870A" w14:textId="77777777" w:rsidR="00575AC3" w:rsidRPr="006D40F0" w:rsidRDefault="00575AC3" w:rsidP="006D40F0"/>
        </w:tc>
      </w:tr>
      <w:tr w:rsidR="00DD49A7" w:rsidRPr="006D40F0" w14:paraId="4A2A8C87" w14:textId="77777777">
        <w:trPr>
          <w:trHeight w:val="380"/>
        </w:trPr>
        <w:tc>
          <w:tcPr>
            <w:tcW w:w="680" w:type="dxa"/>
            <w:tcBorders>
              <w:top w:val="nil"/>
              <w:left w:val="nil"/>
              <w:bottom w:val="nil"/>
              <w:right w:val="nil"/>
            </w:tcBorders>
            <w:tcMar>
              <w:top w:w="128" w:type="dxa"/>
              <w:left w:w="43" w:type="dxa"/>
              <w:bottom w:w="43" w:type="dxa"/>
              <w:right w:w="43" w:type="dxa"/>
            </w:tcMar>
          </w:tcPr>
          <w:p w14:paraId="0095C0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11F13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75F405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0C3436E4" w14:textId="77777777" w:rsidR="00575AC3" w:rsidRPr="006D40F0" w:rsidRDefault="00575AC3" w:rsidP="006D40F0">
            <w:r w:rsidRPr="006D40F0">
              <w:t>5 000 000</w:t>
            </w:r>
          </w:p>
        </w:tc>
      </w:tr>
      <w:tr w:rsidR="00DD49A7" w:rsidRPr="006D40F0" w14:paraId="0122EE70" w14:textId="77777777">
        <w:trPr>
          <w:trHeight w:val="380"/>
        </w:trPr>
        <w:tc>
          <w:tcPr>
            <w:tcW w:w="680" w:type="dxa"/>
            <w:tcBorders>
              <w:top w:val="nil"/>
              <w:left w:val="nil"/>
              <w:bottom w:val="nil"/>
              <w:right w:val="nil"/>
            </w:tcBorders>
            <w:tcMar>
              <w:top w:w="128" w:type="dxa"/>
              <w:left w:w="43" w:type="dxa"/>
              <w:bottom w:w="43" w:type="dxa"/>
              <w:right w:w="43" w:type="dxa"/>
            </w:tcMar>
          </w:tcPr>
          <w:p w14:paraId="5D5DE20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B4497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73DCF6" w14:textId="77777777" w:rsidR="00575AC3" w:rsidRPr="006D40F0" w:rsidRDefault="00575AC3" w:rsidP="006D40F0">
            <w:r w:rsidRPr="006D40F0">
              <w:t>fra kr 281 755 000 til kr 286 755 000</w:t>
            </w:r>
          </w:p>
        </w:tc>
        <w:tc>
          <w:tcPr>
            <w:tcW w:w="1400" w:type="dxa"/>
            <w:tcBorders>
              <w:top w:val="nil"/>
              <w:left w:val="nil"/>
              <w:bottom w:val="nil"/>
              <w:right w:val="nil"/>
            </w:tcBorders>
            <w:tcMar>
              <w:top w:w="128" w:type="dxa"/>
              <w:left w:w="43" w:type="dxa"/>
              <w:bottom w:w="43" w:type="dxa"/>
              <w:right w:w="43" w:type="dxa"/>
            </w:tcMar>
            <w:vAlign w:val="bottom"/>
          </w:tcPr>
          <w:p w14:paraId="17F084CA" w14:textId="77777777" w:rsidR="00575AC3" w:rsidRPr="006D40F0" w:rsidRDefault="00575AC3" w:rsidP="006D40F0"/>
        </w:tc>
      </w:tr>
      <w:tr w:rsidR="00DD49A7" w:rsidRPr="006D40F0" w14:paraId="79C6C7F6" w14:textId="77777777">
        <w:trPr>
          <w:trHeight w:val="380"/>
        </w:trPr>
        <w:tc>
          <w:tcPr>
            <w:tcW w:w="680" w:type="dxa"/>
            <w:tcBorders>
              <w:top w:val="nil"/>
              <w:left w:val="nil"/>
              <w:bottom w:val="nil"/>
              <w:right w:val="nil"/>
            </w:tcBorders>
            <w:tcMar>
              <w:top w:w="128" w:type="dxa"/>
              <w:left w:w="43" w:type="dxa"/>
              <w:bottom w:w="43" w:type="dxa"/>
              <w:right w:w="43" w:type="dxa"/>
            </w:tcMar>
          </w:tcPr>
          <w:p w14:paraId="3421E2E1" w14:textId="77777777" w:rsidR="00575AC3" w:rsidRPr="006D40F0" w:rsidRDefault="00575AC3" w:rsidP="006D40F0">
            <w:r w:rsidRPr="006D40F0">
              <w:t>601</w:t>
            </w:r>
          </w:p>
        </w:tc>
        <w:tc>
          <w:tcPr>
            <w:tcW w:w="680" w:type="dxa"/>
            <w:tcBorders>
              <w:top w:val="nil"/>
              <w:left w:val="nil"/>
              <w:bottom w:val="nil"/>
              <w:right w:val="nil"/>
            </w:tcBorders>
            <w:tcMar>
              <w:top w:w="128" w:type="dxa"/>
              <w:left w:w="43" w:type="dxa"/>
              <w:bottom w:w="43" w:type="dxa"/>
              <w:right w:w="43" w:type="dxa"/>
            </w:tcMar>
          </w:tcPr>
          <w:p w14:paraId="1309A15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7E5BA7" w14:textId="77777777" w:rsidR="00575AC3" w:rsidRPr="006D40F0" w:rsidRDefault="00575AC3" w:rsidP="006D40F0">
            <w:r w:rsidRPr="006D40F0">
              <w:t>Utredningsvirksomhet, forskning mv.:</w:t>
            </w:r>
          </w:p>
        </w:tc>
        <w:tc>
          <w:tcPr>
            <w:tcW w:w="1400" w:type="dxa"/>
            <w:tcBorders>
              <w:top w:val="nil"/>
              <w:left w:val="nil"/>
              <w:bottom w:val="nil"/>
              <w:right w:val="nil"/>
            </w:tcBorders>
            <w:tcMar>
              <w:top w:w="128" w:type="dxa"/>
              <w:left w:w="43" w:type="dxa"/>
              <w:bottom w:w="43" w:type="dxa"/>
              <w:right w:w="43" w:type="dxa"/>
            </w:tcMar>
            <w:vAlign w:val="bottom"/>
          </w:tcPr>
          <w:p w14:paraId="518F1934" w14:textId="77777777" w:rsidR="00575AC3" w:rsidRPr="006D40F0" w:rsidRDefault="00575AC3" w:rsidP="006D40F0"/>
        </w:tc>
      </w:tr>
      <w:tr w:rsidR="00DD49A7" w:rsidRPr="006D40F0" w14:paraId="7EBAE359" w14:textId="77777777">
        <w:trPr>
          <w:trHeight w:val="380"/>
        </w:trPr>
        <w:tc>
          <w:tcPr>
            <w:tcW w:w="680" w:type="dxa"/>
            <w:tcBorders>
              <w:top w:val="nil"/>
              <w:left w:val="nil"/>
              <w:bottom w:val="nil"/>
              <w:right w:val="nil"/>
            </w:tcBorders>
            <w:tcMar>
              <w:top w:w="128" w:type="dxa"/>
              <w:left w:w="43" w:type="dxa"/>
              <w:bottom w:w="43" w:type="dxa"/>
              <w:right w:w="43" w:type="dxa"/>
            </w:tcMar>
          </w:tcPr>
          <w:p w14:paraId="59F2340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C306ED"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3ED7AC7"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88C057B" w14:textId="77777777" w:rsidR="00575AC3" w:rsidRPr="006D40F0" w:rsidRDefault="00575AC3" w:rsidP="006D40F0">
            <w:r w:rsidRPr="006D40F0">
              <w:t>6 300 000</w:t>
            </w:r>
          </w:p>
        </w:tc>
      </w:tr>
      <w:tr w:rsidR="00DD49A7" w:rsidRPr="006D40F0" w14:paraId="00E258FC" w14:textId="77777777">
        <w:trPr>
          <w:trHeight w:val="380"/>
        </w:trPr>
        <w:tc>
          <w:tcPr>
            <w:tcW w:w="680" w:type="dxa"/>
            <w:tcBorders>
              <w:top w:val="nil"/>
              <w:left w:val="nil"/>
              <w:bottom w:val="nil"/>
              <w:right w:val="nil"/>
            </w:tcBorders>
            <w:tcMar>
              <w:top w:w="128" w:type="dxa"/>
              <w:left w:w="43" w:type="dxa"/>
              <w:bottom w:w="43" w:type="dxa"/>
              <w:right w:w="43" w:type="dxa"/>
            </w:tcMar>
          </w:tcPr>
          <w:p w14:paraId="62B0B8D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B076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B3C87C" w14:textId="77777777" w:rsidR="00575AC3" w:rsidRPr="006D40F0" w:rsidRDefault="00575AC3" w:rsidP="006D40F0">
            <w:r w:rsidRPr="006D40F0">
              <w:t>fra kr 121 430 000 til kr 115 130 000</w:t>
            </w:r>
          </w:p>
        </w:tc>
        <w:tc>
          <w:tcPr>
            <w:tcW w:w="1400" w:type="dxa"/>
            <w:tcBorders>
              <w:top w:val="nil"/>
              <w:left w:val="nil"/>
              <w:bottom w:val="nil"/>
              <w:right w:val="nil"/>
            </w:tcBorders>
            <w:tcMar>
              <w:top w:w="128" w:type="dxa"/>
              <w:left w:w="43" w:type="dxa"/>
              <w:bottom w:w="43" w:type="dxa"/>
              <w:right w:w="43" w:type="dxa"/>
            </w:tcMar>
            <w:vAlign w:val="bottom"/>
          </w:tcPr>
          <w:p w14:paraId="181F3935" w14:textId="77777777" w:rsidR="00575AC3" w:rsidRPr="006D40F0" w:rsidRDefault="00575AC3" w:rsidP="006D40F0"/>
        </w:tc>
      </w:tr>
      <w:tr w:rsidR="00DD49A7" w:rsidRPr="006D40F0" w14:paraId="253EBB9F" w14:textId="77777777">
        <w:trPr>
          <w:trHeight w:val="380"/>
        </w:trPr>
        <w:tc>
          <w:tcPr>
            <w:tcW w:w="680" w:type="dxa"/>
            <w:tcBorders>
              <w:top w:val="nil"/>
              <w:left w:val="nil"/>
              <w:bottom w:val="nil"/>
              <w:right w:val="nil"/>
            </w:tcBorders>
            <w:tcMar>
              <w:top w:w="128" w:type="dxa"/>
              <w:left w:w="43" w:type="dxa"/>
              <w:bottom w:w="43" w:type="dxa"/>
              <w:right w:w="43" w:type="dxa"/>
            </w:tcMar>
          </w:tcPr>
          <w:p w14:paraId="067C6D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90ECCA"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48D8FDB9" w14:textId="77777777" w:rsidR="00575AC3" w:rsidRPr="006D40F0" w:rsidRDefault="00575AC3" w:rsidP="006D40F0">
            <w:r w:rsidRPr="006D40F0">
              <w:t>Norges forskningsråd, nedsettes med</w:t>
            </w:r>
          </w:p>
        </w:tc>
        <w:tc>
          <w:tcPr>
            <w:tcW w:w="1400" w:type="dxa"/>
            <w:tcBorders>
              <w:top w:val="nil"/>
              <w:left w:val="nil"/>
              <w:bottom w:val="nil"/>
              <w:right w:val="nil"/>
            </w:tcBorders>
            <w:tcMar>
              <w:top w:w="128" w:type="dxa"/>
              <w:left w:w="43" w:type="dxa"/>
              <w:bottom w:w="43" w:type="dxa"/>
              <w:right w:w="43" w:type="dxa"/>
            </w:tcMar>
            <w:vAlign w:val="bottom"/>
          </w:tcPr>
          <w:p w14:paraId="478A71DB" w14:textId="77777777" w:rsidR="00575AC3" w:rsidRPr="006D40F0" w:rsidRDefault="00575AC3" w:rsidP="006D40F0">
            <w:r w:rsidRPr="006D40F0">
              <w:t>7 500 000</w:t>
            </w:r>
          </w:p>
        </w:tc>
      </w:tr>
      <w:tr w:rsidR="00DD49A7" w:rsidRPr="006D40F0" w14:paraId="4C5BB048" w14:textId="77777777">
        <w:trPr>
          <w:trHeight w:val="380"/>
        </w:trPr>
        <w:tc>
          <w:tcPr>
            <w:tcW w:w="680" w:type="dxa"/>
            <w:tcBorders>
              <w:top w:val="nil"/>
              <w:left w:val="nil"/>
              <w:bottom w:val="nil"/>
              <w:right w:val="nil"/>
            </w:tcBorders>
            <w:tcMar>
              <w:top w:w="128" w:type="dxa"/>
              <w:left w:w="43" w:type="dxa"/>
              <w:bottom w:w="43" w:type="dxa"/>
              <w:right w:w="43" w:type="dxa"/>
            </w:tcMar>
          </w:tcPr>
          <w:p w14:paraId="72B08D2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246C4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59FE4F" w14:textId="77777777" w:rsidR="00575AC3" w:rsidRPr="006D40F0" w:rsidRDefault="00575AC3" w:rsidP="006D40F0">
            <w:r w:rsidRPr="006D40F0">
              <w:t>fra kr 172 650 000 til kr 165 150 000</w:t>
            </w:r>
          </w:p>
        </w:tc>
        <w:tc>
          <w:tcPr>
            <w:tcW w:w="1400" w:type="dxa"/>
            <w:tcBorders>
              <w:top w:val="nil"/>
              <w:left w:val="nil"/>
              <w:bottom w:val="nil"/>
              <w:right w:val="nil"/>
            </w:tcBorders>
            <w:tcMar>
              <w:top w:w="128" w:type="dxa"/>
              <w:left w:w="43" w:type="dxa"/>
              <w:bottom w:w="43" w:type="dxa"/>
              <w:right w:w="43" w:type="dxa"/>
            </w:tcMar>
            <w:vAlign w:val="bottom"/>
          </w:tcPr>
          <w:p w14:paraId="317E10EA" w14:textId="77777777" w:rsidR="00575AC3" w:rsidRPr="006D40F0" w:rsidRDefault="00575AC3" w:rsidP="006D40F0"/>
        </w:tc>
      </w:tr>
      <w:tr w:rsidR="00DD49A7" w:rsidRPr="006D40F0" w14:paraId="23AD51F7" w14:textId="77777777">
        <w:trPr>
          <w:trHeight w:val="380"/>
        </w:trPr>
        <w:tc>
          <w:tcPr>
            <w:tcW w:w="680" w:type="dxa"/>
            <w:tcBorders>
              <w:top w:val="nil"/>
              <w:left w:val="nil"/>
              <w:bottom w:val="nil"/>
              <w:right w:val="nil"/>
            </w:tcBorders>
            <w:tcMar>
              <w:top w:w="128" w:type="dxa"/>
              <w:left w:w="43" w:type="dxa"/>
              <w:bottom w:w="43" w:type="dxa"/>
              <w:right w:w="43" w:type="dxa"/>
            </w:tcMar>
          </w:tcPr>
          <w:p w14:paraId="74869AB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EB23A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9C43D3F" w14:textId="77777777" w:rsidR="00575AC3" w:rsidRPr="006D40F0" w:rsidRDefault="00575AC3" w:rsidP="006D40F0">
            <w:r w:rsidRPr="006D40F0">
              <w:t>Tilskudd, nedsettes med</w:t>
            </w:r>
          </w:p>
        </w:tc>
        <w:tc>
          <w:tcPr>
            <w:tcW w:w="1400" w:type="dxa"/>
            <w:tcBorders>
              <w:top w:val="nil"/>
              <w:left w:val="nil"/>
              <w:bottom w:val="nil"/>
              <w:right w:val="nil"/>
            </w:tcBorders>
            <w:tcMar>
              <w:top w:w="128" w:type="dxa"/>
              <w:left w:w="43" w:type="dxa"/>
              <w:bottom w:w="43" w:type="dxa"/>
              <w:right w:w="43" w:type="dxa"/>
            </w:tcMar>
            <w:vAlign w:val="bottom"/>
          </w:tcPr>
          <w:p w14:paraId="586E89E7" w14:textId="77777777" w:rsidR="00575AC3" w:rsidRPr="006D40F0" w:rsidRDefault="00575AC3" w:rsidP="006D40F0">
            <w:r w:rsidRPr="006D40F0">
              <w:t>3 300 000</w:t>
            </w:r>
          </w:p>
        </w:tc>
      </w:tr>
      <w:tr w:rsidR="00DD49A7" w:rsidRPr="006D40F0" w14:paraId="3443A321" w14:textId="77777777">
        <w:trPr>
          <w:trHeight w:val="380"/>
        </w:trPr>
        <w:tc>
          <w:tcPr>
            <w:tcW w:w="680" w:type="dxa"/>
            <w:tcBorders>
              <w:top w:val="nil"/>
              <w:left w:val="nil"/>
              <w:bottom w:val="nil"/>
              <w:right w:val="nil"/>
            </w:tcBorders>
            <w:tcMar>
              <w:top w:w="128" w:type="dxa"/>
              <w:left w:w="43" w:type="dxa"/>
              <w:bottom w:w="43" w:type="dxa"/>
              <w:right w:w="43" w:type="dxa"/>
            </w:tcMar>
          </w:tcPr>
          <w:p w14:paraId="4B2E2B8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498A4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149A4C6" w14:textId="77777777" w:rsidR="00575AC3" w:rsidRPr="006D40F0" w:rsidRDefault="00575AC3" w:rsidP="006D40F0">
            <w:r w:rsidRPr="006D40F0">
              <w:t>fra kr 60 815 000 til kr 57 515 000</w:t>
            </w:r>
          </w:p>
        </w:tc>
        <w:tc>
          <w:tcPr>
            <w:tcW w:w="1400" w:type="dxa"/>
            <w:tcBorders>
              <w:top w:val="nil"/>
              <w:left w:val="nil"/>
              <w:bottom w:val="nil"/>
              <w:right w:val="nil"/>
            </w:tcBorders>
            <w:tcMar>
              <w:top w:w="128" w:type="dxa"/>
              <w:left w:w="43" w:type="dxa"/>
              <w:bottom w:w="43" w:type="dxa"/>
              <w:right w:w="43" w:type="dxa"/>
            </w:tcMar>
            <w:vAlign w:val="bottom"/>
          </w:tcPr>
          <w:p w14:paraId="71430C81" w14:textId="77777777" w:rsidR="00575AC3" w:rsidRPr="006D40F0" w:rsidRDefault="00575AC3" w:rsidP="006D40F0"/>
        </w:tc>
      </w:tr>
      <w:tr w:rsidR="00DD49A7" w:rsidRPr="006D40F0" w14:paraId="0CF19884" w14:textId="77777777">
        <w:trPr>
          <w:trHeight w:val="380"/>
        </w:trPr>
        <w:tc>
          <w:tcPr>
            <w:tcW w:w="680" w:type="dxa"/>
            <w:tcBorders>
              <w:top w:val="nil"/>
              <w:left w:val="nil"/>
              <w:bottom w:val="nil"/>
              <w:right w:val="nil"/>
            </w:tcBorders>
            <w:tcMar>
              <w:top w:w="128" w:type="dxa"/>
              <w:left w:w="43" w:type="dxa"/>
              <w:bottom w:w="43" w:type="dxa"/>
              <w:right w:w="43" w:type="dxa"/>
            </w:tcMar>
          </w:tcPr>
          <w:p w14:paraId="21D602FB" w14:textId="77777777" w:rsidR="00575AC3" w:rsidRPr="006D40F0" w:rsidRDefault="00575AC3" w:rsidP="006D40F0">
            <w:r w:rsidRPr="006D40F0">
              <w:lastRenderedPageBreak/>
              <w:t>605</w:t>
            </w:r>
          </w:p>
        </w:tc>
        <w:tc>
          <w:tcPr>
            <w:tcW w:w="680" w:type="dxa"/>
            <w:tcBorders>
              <w:top w:val="nil"/>
              <w:left w:val="nil"/>
              <w:bottom w:val="nil"/>
              <w:right w:val="nil"/>
            </w:tcBorders>
            <w:tcMar>
              <w:top w:w="128" w:type="dxa"/>
              <w:left w:w="43" w:type="dxa"/>
              <w:bottom w:w="43" w:type="dxa"/>
              <w:right w:w="43" w:type="dxa"/>
            </w:tcMar>
          </w:tcPr>
          <w:p w14:paraId="2A3D106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AC1D1D" w14:textId="77777777" w:rsidR="00575AC3" w:rsidRPr="006D40F0" w:rsidRDefault="00575AC3" w:rsidP="006D40F0">
            <w:r w:rsidRPr="006D40F0">
              <w:t>Arbeids- og velferdsetaten:</w:t>
            </w:r>
          </w:p>
        </w:tc>
        <w:tc>
          <w:tcPr>
            <w:tcW w:w="1400" w:type="dxa"/>
            <w:tcBorders>
              <w:top w:val="nil"/>
              <w:left w:val="nil"/>
              <w:bottom w:val="nil"/>
              <w:right w:val="nil"/>
            </w:tcBorders>
            <w:tcMar>
              <w:top w:w="128" w:type="dxa"/>
              <w:left w:w="43" w:type="dxa"/>
              <w:bottom w:w="43" w:type="dxa"/>
              <w:right w:w="43" w:type="dxa"/>
            </w:tcMar>
            <w:vAlign w:val="bottom"/>
          </w:tcPr>
          <w:p w14:paraId="7CE58A25" w14:textId="77777777" w:rsidR="00575AC3" w:rsidRPr="006D40F0" w:rsidRDefault="00575AC3" w:rsidP="006D40F0"/>
        </w:tc>
      </w:tr>
      <w:tr w:rsidR="00DD49A7" w:rsidRPr="006D40F0" w14:paraId="05C00684" w14:textId="77777777">
        <w:trPr>
          <w:trHeight w:val="380"/>
        </w:trPr>
        <w:tc>
          <w:tcPr>
            <w:tcW w:w="680" w:type="dxa"/>
            <w:tcBorders>
              <w:top w:val="nil"/>
              <w:left w:val="nil"/>
              <w:bottom w:val="nil"/>
              <w:right w:val="nil"/>
            </w:tcBorders>
            <w:tcMar>
              <w:top w:w="128" w:type="dxa"/>
              <w:left w:w="43" w:type="dxa"/>
              <w:bottom w:w="43" w:type="dxa"/>
              <w:right w:w="43" w:type="dxa"/>
            </w:tcMar>
          </w:tcPr>
          <w:p w14:paraId="2B74C9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A55EF2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DC3988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3BF878E" w14:textId="77777777" w:rsidR="00575AC3" w:rsidRPr="006D40F0" w:rsidRDefault="00575AC3" w:rsidP="006D40F0">
            <w:r w:rsidRPr="006D40F0">
              <w:t>103 700 000</w:t>
            </w:r>
          </w:p>
        </w:tc>
      </w:tr>
      <w:tr w:rsidR="00DD49A7" w:rsidRPr="006D40F0" w14:paraId="15DAE342" w14:textId="77777777">
        <w:trPr>
          <w:trHeight w:val="380"/>
        </w:trPr>
        <w:tc>
          <w:tcPr>
            <w:tcW w:w="680" w:type="dxa"/>
            <w:tcBorders>
              <w:top w:val="nil"/>
              <w:left w:val="nil"/>
              <w:bottom w:val="nil"/>
              <w:right w:val="nil"/>
            </w:tcBorders>
            <w:tcMar>
              <w:top w:w="128" w:type="dxa"/>
              <w:left w:w="43" w:type="dxa"/>
              <w:bottom w:w="43" w:type="dxa"/>
              <w:right w:w="43" w:type="dxa"/>
            </w:tcMar>
          </w:tcPr>
          <w:p w14:paraId="32C6A4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9A99AC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A3BB21" w14:textId="77777777" w:rsidR="00575AC3" w:rsidRPr="006D40F0" w:rsidRDefault="00575AC3" w:rsidP="006D40F0">
            <w:r w:rsidRPr="006D40F0">
              <w:t>fra kr 13 792 750 000 til kr 13 896 450 000</w:t>
            </w:r>
          </w:p>
        </w:tc>
        <w:tc>
          <w:tcPr>
            <w:tcW w:w="1400" w:type="dxa"/>
            <w:tcBorders>
              <w:top w:val="nil"/>
              <w:left w:val="nil"/>
              <w:bottom w:val="nil"/>
              <w:right w:val="nil"/>
            </w:tcBorders>
            <w:tcMar>
              <w:top w:w="128" w:type="dxa"/>
              <w:left w:w="43" w:type="dxa"/>
              <w:bottom w:w="43" w:type="dxa"/>
              <w:right w:w="43" w:type="dxa"/>
            </w:tcMar>
            <w:vAlign w:val="bottom"/>
          </w:tcPr>
          <w:p w14:paraId="064EBDFA" w14:textId="77777777" w:rsidR="00575AC3" w:rsidRPr="006D40F0" w:rsidRDefault="00575AC3" w:rsidP="006D40F0"/>
        </w:tc>
      </w:tr>
      <w:tr w:rsidR="00DD49A7" w:rsidRPr="006D40F0" w14:paraId="72DDED4E" w14:textId="77777777">
        <w:trPr>
          <w:trHeight w:val="380"/>
        </w:trPr>
        <w:tc>
          <w:tcPr>
            <w:tcW w:w="680" w:type="dxa"/>
            <w:tcBorders>
              <w:top w:val="nil"/>
              <w:left w:val="nil"/>
              <w:bottom w:val="nil"/>
              <w:right w:val="nil"/>
            </w:tcBorders>
            <w:tcMar>
              <w:top w:w="128" w:type="dxa"/>
              <w:left w:w="43" w:type="dxa"/>
              <w:bottom w:w="43" w:type="dxa"/>
              <w:right w:w="43" w:type="dxa"/>
            </w:tcMar>
          </w:tcPr>
          <w:p w14:paraId="094D20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EDAA41"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2EA97746" w14:textId="77777777" w:rsidR="00575AC3" w:rsidRPr="006D40F0" w:rsidRDefault="00575AC3" w:rsidP="006D40F0">
            <w:r w:rsidRPr="006D40F0">
              <w:t xml:space="preserve">Forsknings- og utredningsaktiviteter,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651956B" w14:textId="77777777" w:rsidR="00575AC3" w:rsidRPr="006D40F0" w:rsidRDefault="00575AC3" w:rsidP="006D40F0">
            <w:r w:rsidRPr="006D40F0">
              <w:t>7 500 000</w:t>
            </w:r>
          </w:p>
        </w:tc>
      </w:tr>
      <w:tr w:rsidR="00DD49A7" w:rsidRPr="006D40F0" w14:paraId="6F34F76A" w14:textId="77777777">
        <w:trPr>
          <w:trHeight w:val="380"/>
        </w:trPr>
        <w:tc>
          <w:tcPr>
            <w:tcW w:w="680" w:type="dxa"/>
            <w:tcBorders>
              <w:top w:val="nil"/>
              <w:left w:val="nil"/>
              <w:bottom w:val="nil"/>
              <w:right w:val="nil"/>
            </w:tcBorders>
            <w:tcMar>
              <w:top w:w="128" w:type="dxa"/>
              <w:left w:w="43" w:type="dxa"/>
              <w:bottom w:w="43" w:type="dxa"/>
              <w:right w:w="43" w:type="dxa"/>
            </w:tcMar>
          </w:tcPr>
          <w:p w14:paraId="46E5B57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6F278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44CB166" w14:textId="77777777" w:rsidR="00575AC3" w:rsidRPr="006D40F0" w:rsidRDefault="00575AC3" w:rsidP="006D40F0">
            <w:r w:rsidRPr="006D40F0">
              <w:t>fra kr 59 935 000 til kr 67 435 000</w:t>
            </w:r>
          </w:p>
        </w:tc>
        <w:tc>
          <w:tcPr>
            <w:tcW w:w="1400" w:type="dxa"/>
            <w:tcBorders>
              <w:top w:val="nil"/>
              <w:left w:val="nil"/>
              <w:bottom w:val="nil"/>
              <w:right w:val="nil"/>
            </w:tcBorders>
            <w:tcMar>
              <w:top w:w="128" w:type="dxa"/>
              <w:left w:w="43" w:type="dxa"/>
              <w:bottom w:w="43" w:type="dxa"/>
              <w:right w:w="43" w:type="dxa"/>
            </w:tcMar>
            <w:vAlign w:val="bottom"/>
          </w:tcPr>
          <w:p w14:paraId="4D3E6EFE" w14:textId="77777777" w:rsidR="00575AC3" w:rsidRPr="006D40F0" w:rsidRDefault="00575AC3" w:rsidP="006D40F0"/>
        </w:tc>
      </w:tr>
      <w:tr w:rsidR="00DD49A7" w:rsidRPr="006D40F0" w14:paraId="4E2253F5" w14:textId="77777777">
        <w:trPr>
          <w:trHeight w:val="380"/>
        </w:trPr>
        <w:tc>
          <w:tcPr>
            <w:tcW w:w="680" w:type="dxa"/>
            <w:tcBorders>
              <w:top w:val="nil"/>
              <w:left w:val="nil"/>
              <w:bottom w:val="nil"/>
              <w:right w:val="nil"/>
            </w:tcBorders>
            <w:tcMar>
              <w:top w:w="128" w:type="dxa"/>
              <w:left w:w="43" w:type="dxa"/>
              <w:bottom w:w="43" w:type="dxa"/>
              <w:right w:w="43" w:type="dxa"/>
            </w:tcMar>
          </w:tcPr>
          <w:p w14:paraId="5E0481FC" w14:textId="77777777" w:rsidR="00575AC3" w:rsidRPr="006D40F0" w:rsidRDefault="00575AC3" w:rsidP="006D40F0">
            <w:r w:rsidRPr="006D40F0">
              <w:t>606</w:t>
            </w:r>
          </w:p>
        </w:tc>
        <w:tc>
          <w:tcPr>
            <w:tcW w:w="680" w:type="dxa"/>
            <w:tcBorders>
              <w:top w:val="nil"/>
              <w:left w:val="nil"/>
              <w:bottom w:val="nil"/>
              <w:right w:val="nil"/>
            </w:tcBorders>
            <w:tcMar>
              <w:top w:w="128" w:type="dxa"/>
              <w:left w:w="43" w:type="dxa"/>
              <w:bottom w:w="43" w:type="dxa"/>
              <w:right w:w="43" w:type="dxa"/>
            </w:tcMar>
          </w:tcPr>
          <w:p w14:paraId="6DFB90B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EB9318" w14:textId="77777777" w:rsidR="00575AC3" w:rsidRPr="006D40F0" w:rsidRDefault="00575AC3" w:rsidP="006D40F0">
            <w:r w:rsidRPr="006D40F0">
              <w:t>Trygderetten:</w:t>
            </w:r>
          </w:p>
        </w:tc>
        <w:tc>
          <w:tcPr>
            <w:tcW w:w="1400" w:type="dxa"/>
            <w:tcBorders>
              <w:top w:val="nil"/>
              <w:left w:val="nil"/>
              <w:bottom w:val="nil"/>
              <w:right w:val="nil"/>
            </w:tcBorders>
            <w:tcMar>
              <w:top w:w="128" w:type="dxa"/>
              <w:left w:w="43" w:type="dxa"/>
              <w:bottom w:w="43" w:type="dxa"/>
              <w:right w:w="43" w:type="dxa"/>
            </w:tcMar>
            <w:vAlign w:val="bottom"/>
          </w:tcPr>
          <w:p w14:paraId="7676FF05" w14:textId="77777777" w:rsidR="00575AC3" w:rsidRPr="006D40F0" w:rsidRDefault="00575AC3" w:rsidP="006D40F0"/>
        </w:tc>
      </w:tr>
      <w:tr w:rsidR="00DD49A7" w:rsidRPr="006D40F0" w14:paraId="3B49530C" w14:textId="77777777">
        <w:trPr>
          <w:trHeight w:val="380"/>
        </w:trPr>
        <w:tc>
          <w:tcPr>
            <w:tcW w:w="680" w:type="dxa"/>
            <w:tcBorders>
              <w:top w:val="nil"/>
              <w:left w:val="nil"/>
              <w:bottom w:val="nil"/>
              <w:right w:val="nil"/>
            </w:tcBorders>
            <w:tcMar>
              <w:top w:w="128" w:type="dxa"/>
              <w:left w:w="43" w:type="dxa"/>
              <w:bottom w:w="43" w:type="dxa"/>
              <w:right w:w="43" w:type="dxa"/>
            </w:tcMar>
          </w:tcPr>
          <w:p w14:paraId="15FBC2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66988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8F5EDB9"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6DADB017" w14:textId="77777777" w:rsidR="00575AC3" w:rsidRPr="006D40F0" w:rsidRDefault="00575AC3" w:rsidP="006D40F0">
            <w:r w:rsidRPr="006D40F0">
              <w:t>1 000 000</w:t>
            </w:r>
          </w:p>
        </w:tc>
      </w:tr>
      <w:tr w:rsidR="00DD49A7" w:rsidRPr="006D40F0" w14:paraId="662F1DC2" w14:textId="77777777">
        <w:trPr>
          <w:trHeight w:val="380"/>
        </w:trPr>
        <w:tc>
          <w:tcPr>
            <w:tcW w:w="680" w:type="dxa"/>
            <w:tcBorders>
              <w:top w:val="nil"/>
              <w:left w:val="nil"/>
              <w:bottom w:val="nil"/>
              <w:right w:val="nil"/>
            </w:tcBorders>
            <w:tcMar>
              <w:top w:w="128" w:type="dxa"/>
              <w:left w:w="43" w:type="dxa"/>
              <w:bottom w:w="43" w:type="dxa"/>
              <w:right w:w="43" w:type="dxa"/>
            </w:tcMar>
          </w:tcPr>
          <w:p w14:paraId="0703D4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8F7E2C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C4066C" w14:textId="77777777" w:rsidR="00575AC3" w:rsidRPr="006D40F0" w:rsidRDefault="00575AC3" w:rsidP="006D40F0">
            <w:r w:rsidRPr="006D40F0">
              <w:t>fra kr 120 530 000 til kr 119 530 000</w:t>
            </w:r>
          </w:p>
        </w:tc>
        <w:tc>
          <w:tcPr>
            <w:tcW w:w="1400" w:type="dxa"/>
            <w:tcBorders>
              <w:top w:val="nil"/>
              <w:left w:val="nil"/>
              <w:bottom w:val="nil"/>
              <w:right w:val="nil"/>
            </w:tcBorders>
            <w:tcMar>
              <w:top w:w="128" w:type="dxa"/>
              <w:left w:w="43" w:type="dxa"/>
              <w:bottom w:w="43" w:type="dxa"/>
              <w:right w:w="43" w:type="dxa"/>
            </w:tcMar>
            <w:vAlign w:val="bottom"/>
          </w:tcPr>
          <w:p w14:paraId="33372910" w14:textId="77777777" w:rsidR="00575AC3" w:rsidRPr="006D40F0" w:rsidRDefault="00575AC3" w:rsidP="006D40F0"/>
        </w:tc>
      </w:tr>
      <w:tr w:rsidR="00DD49A7" w:rsidRPr="006D40F0" w14:paraId="61AD7C37" w14:textId="77777777">
        <w:trPr>
          <w:trHeight w:val="380"/>
        </w:trPr>
        <w:tc>
          <w:tcPr>
            <w:tcW w:w="680" w:type="dxa"/>
            <w:tcBorders>
              <w:top w:val="nil"/>
              <w:left w:val="nil"/>
              <w:bottom w:val="nil"/>
              <w:right w:val="nil"/>
            </w:tcBorders>
            <w:tcMar>
              <w:top w:w="128" w:type="dxa"/>
              <w:left w:w="43" w:type="dxa"/>
              <w:bottom w:w="43" w:type="dxa"/>
              <w:right w:w="43" w:type="dxa"/>
            </w:tcMar>
          </w:tcPr>
          <w:p w14:paraId="3895783D" w14:textId="77777777" w:rsidR="00575AC3" w:rsidRPr="006D40F0" w:rsidRDefault="00575AC3" w:rsidP="006D40F0">
            <w:r w:rsidRPr="006D40F0">
              <w:t>611</w:t>
            </w:r>
          </w:p>
        </w:tc>
        <w:tc>
          <w:tcPr>
            <w:tcW w:w="680" w:type="dxa"/>
            <w:tcBorders>
              <w:top w:val="nil"/>
              <w:left w:val="nil"/>
              <w:bottom w:val="nil"/>
              <w:right w:val="nil"/>
            </w:tcBorders>
            <w:tcMar>
              <w:top w:w="128" w:type="dxa"/>
              <w:left w:w="43" w:type="dxa"/>
              <w:bottom w:w="43" w:type="dxa"/>
              <w:right w:w="43" w:type="dxa"/>
            </w:tcMar>
          </w:tcPr>
          <w:p w14:paraId="5932910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F39836" w14:textId="77777777" w:rsidR="00575AC3" w:rsidRPr="006D40F0" w:rsidRDefault="00575AC3" w:rsidP="006D40F0">
            <w:r w:rsidRPr="006D40F0">
              <w:t>Pensjoner av statskassen:</w:t>
            </w:r>
          </w:p>
        </w:tc>
        <w:tc>
          <w:tcPr>
            <w:tcW w:w="1400" w:type="dxa"/>
            <w:tcBorders>
              <w:top w:val="nil"/>
              <w:left w:val="nil"/>
              <w:bottom w:val="nil"/>
              <w:right w:val="nil"/>
            </w:tcBorders>
            <w:tcMar>
              <w:top w:w="128" w:type="dxa"/>
              <w:left w:w="43" w:type="dxa"/>
              <w:bottom w:w="43" w:type="dxa"/>
              <w:right w:w="43" w:type="dxa"/>
            </w:tcMar>
            <w:vAlign w:val="bottom"/>
          </w:tcPr>
          <w:p w14:paraId="33230617" w14:textId="77777777" w:rsidR="00575AC3" w:rsidRPr="006D40F0" w:rsidRDefault="00575AC3" w:rsidP="006D40F0"/>
        </w:tc>
      </w:tr>
      <w:tr w:rsidR="00DD49A7" w:rsidRPr="006D40F0" w14:paraId="1377DBC5" w14:textId="77777777">
        <w:trPr>
          <w:trHeight w:val="380"/>
        </w:trPr>
        <w:tc>
          <w:tcPr>
            <w:tcW w:w="680" w:type="dxa"/>
            <w:tcBorders>
              <w:top w:val="nil"/>
              <w:left w:val="nil"/>
              <w:bottom w:val="nil"/>
              <w:right w:val="nil"/>
            </w:tcBorders>
            <w:tcMar>
              <w:top w:w="128" w:type="dxa"/>
              <w:left w:w="43" w:type="dxa"/>
              <w:bottom w:w="43" w:type="dxa"/>
              <w:right w:w="43" w:type="dxa"/>
            </w:tcMar>
          </w:tcPr>
          <w:p w14:paraId="57833E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FB932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E4A240E" w14:textId="77777777" w:rsidR="00575AC3" w:rsidRPr="006D40F0" w:rsidRDefault="00575AC3" w:rsidP="006D40F0">
            <w:r w:rsidRPr="006D40F0">
              <w:t xml:space="preserve">Driftsutgifter,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D55E67B" w14:textId="77777777" w:rsidR="00575AC3" w:rsidRPr="006D40F0" w:rsidRDefault="00575AC3" w:rsidP="006D40F0">
            <w:r w:rsidRPr="006D40F0">
              <w:t>500 000</w:t>
            </w:r>
          </w:p>
        </w:tc>
      </w:tr>
      <w:tr w:rsidR="00DD49A7" w:rsidRPr="006D40F0" w14:paraId="0C85F9C1" w14:textId="77777777">
        <w:trPr>
          <w:trHeight w:val="380"/>
        </w:trPr>
        <w:tc>
          <w:tcPr>
            <w:tcW w:w="680" w:type="dxa"/>
            <w:tcBorders>
              <w:top w:val="nil"/>
              <w:left w:val="nil"/>
              <w:bottom w:val="nil"/>
              <w:right w:val="nil"/>
            </w:tcBorders>
            <w:tcMar>
              <w:top w:w="128" w:type="dxa"/>
              <w:left w:w="43" w:type="dxa"/>
              <w:bottom w:w="43" w:type="dxa"/>
              <w:right w:w="43" w:type="dxa"/>
            </w:tcMar>
          </w:tcPr>
          <w:p w14:paraId="7836DB5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8ABE4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4B3744D" w14:textId="77777777" w:rsidR="00575AC3" w:rsidRPr="006D40F0" w:rsidRDefault="00575AC3" w:rsidP="006D40F0">
            <w:r w:rsidRPr="006D40F0">
              <w:t>fra kr 17 800 000 til kr 18 300 000</w:t>
            </w:r>
          </w:p>
        </w:tc>
        <w:tc>
          <w:tcPr>
            <w:tcW w:w="1400" w:type="dxa"/>
            <w:tcBorders>
              <w:top w:val="nil"/>
              <w:left w:val="nil"/>
              <w:bottom w:val="nil"/>
              <w:right w:val="nil"/>
            </w:tcBorders>
            <w:tcMar>
              <w:top w:w="128" w:type="dxa"/>
              <w:left w:w="43" w:type="dxa"/>
              <w:bottom w:w="43" w:type="dxa"/>
              <w:right w:w="43" w:type="dxa"/>
            </w:tcMar>
            <w:vAlign w:val="bottom"/>
          </w:tcPr>
          <w:p w14:paraId="33819034" w14:textId="77777777" w:rsidR="00575AC3" w:rsidRPr="006D40F0" w:rsidRDefault="00575AC3" w:rsidP="006D40F0"/>
        </w:tc>
      </w:tr>
      <w:tr w:rsidR="00DD49A7" w:rsidRPr="006D40F0" w14:paraId="19F65CDC" w14:textId="77777777">
        <w:trPr>
          <w:trHeight w:val="380"/>
        </w:trPr>
        <w:tc>
          <w:tcPr>
            <w:tcW w:w="680" w:type="dxa"/>
            <w:tcBorders>
              <w:top w:val="nil"/>
              <w:left w:val="nil"/>
              <w:bottom w:val="nil"/>
              <w:right w:val="nil"/>
            </w:tcBorders>
            <w:tcMar>
              <w:top w:w="128" w:type="dxa"/>
              <w:left w:w="43" w:type="dxa"/>
              <w:bottom w:w="43" w:type="dxa"/>
              <w:right w:w="43" w:type="dxa"/>
            </w:tcMar>
          </w:tcPr>
          <w:p w14:paraId="0ACB12F2" w14:textId="77777777" w:rsidR="00575AC3" w:rsidRPr="006D40F0" w:rsidRDefault="00575AC3" w:rsidP="006D40F0">
            <w:r w:rsidRPr="006D40F0">
              <w:t>612</w:t>
            </w:r>
          </w:p>
        </w:tc>
        <w:tc>
          <w:tcPr>
            <w:tcW w:w="680" w:type="dxa"/>
            <w:tcBorders>
              <w:top w:val="nil"/>
              <w:left w:val="nil"/>
              <w:bottom w:val="nil"/>
              <w:right w:val="nil"/>
            </w:tcBorders>
            <w:tcMar>
              <w:top w:w="128" w:type="dxa"/>
              <w:left w:w="43" w:type="dxa"/>
              <w:bottom w:w="43" w:type="dxa"/>
              <w:right w:w="43" w:type="dxa"/>
            </w:tcMar>
          </w:tcPr>
          <w:p w14:paraId="2BA2796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31718D7" w14:textId="77777777" w:rsidR="00575AC3" w:rsidRPr="006D40F0" w:rsidRDefault="00575AC3" w:rsidP="006D40F0">
            <w:r w:rsidRPr="006D40F0">
              <w:t>Tilskudd til Statens pensjonskasse:</w:t>
            </w:r>
          </w:p>
        </w:tc>
        <w:tc>
          <w:tcPr>
            <w:tcW w:w="1400" w:type="dxa"/>
            <w:tcBorders>
              <w:top w:val="nil"/>
              <w:left w:val="nil"/>
              <w:bottom w:val="nil"/>
              <w:right w:val="nil"/>
            </w:tcBorders>
            <w:tcMar>
              <w:top w:w="128" w:type="dxa"/>
              <w:left w:w="43" w:type="dxa"/>
              <w:bottom w:w="43" w:type="dxa"/>
              <w:right w:w="43" w:type="dxa"/>
            </w:tcMar>
            <w:vAlign w:val="bottom"/>
          </w:tcPr>
          <w:p w14:paraId="7820B616" w14:textId="77777777" w:rsidR="00575AC3" w:rsidRPr="006D40F0" w:rsidRDefault="00575AC3" w:rsidP="006D40F0"/>
        </w:tc>
      </w:tr>
      <w:tr w:rsidR="00DD49A7" w:rsidRPr="006D40F0" w14:paraId="6BFB4F50" w14:textId="77777777">
        <w:trPr>
          <w:trHeight w:val="380"/>
        </w:trPr>
        <w:tc>
          <w:tcPr>
            <w:tcW w:w="680" w:type="dxa"/>
            <w:tcBorders>
              <w:top w:val="nil"/>
              <w:left w:val="nil"/>
              <w:bottom w:val="nil"/>
              <w:right w:val="nil"/>
            </w:tcBorders>
            <w:tcMar>
              <w:top w:w="128" w:type="dxa"/>
              <w:left w:w="43" w:type="dxa"/>
              <w:bottom w:w="43" w:type="dxa"/>
              <w:right w:w="43" w:type="dxa"/>
            </w:tcMar>
          </w:tcPr>
          <w:p w14:paraId="1B5528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10177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D610460" w14:textId="77777777" w:rsidR="00575AC3" w:rsidRPr="006D40F0" w:rsidRDefault="00575AC3" w:rsidP="006D40F0">
            <w:r w:rsidRPr="006D40F0">
              <w:t xml:space="preserve">Driftsutgifter,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DF1B00A" w14:textId="77777777" w:rsidR="00575AC3" w:rsidRPr="006D40F0" w:rsidRDefault="00575AC3" w:rsidP="006D40F0">
            <w:r w:rsidRPr="006D40F0">
              <w:t>619 000 000</w:t>
            </w:r>
          </w:p>
        </w:tc>
      </w:tr>
      <w:tr w:rsidR="00DD49A7" w:rsidRPr="006D40F0" w14:paraId="21476060" w14:textId="77777777">
        <w:trPr>
          <w:trHeight w:val="380"/>
        </w:trPr>
        <w:tc>
          <w:tcPr>
            <w:tcW w:w="680" w:type="dxa"/>
            <w:tcBorders>
              <w:top w:val="nil"/>
              <w:left w:val="nil"/>
              <w:bottom w:val="nil"/>
              <w:right w:val="nil"/>
            </w:tcBorders>
            <w:tcMar>
              <w:top w:w="128" w:type="dxa"/>
              <w:left w:w="43" w:type="dxa"/>
              <w:bottom w:w="43" w:type="dxa"/>
              <w:right w:w="43" w:type="dxa"/>
            </w:tcMar>
          </w:tcPr>
          <w:p w14:paraId="231EAE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1DB54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DC0EC8A" w14:textId="77777777" w:rsidR="00575AC3" w:rsidRPr="006D40F0" w:rsidRDefault="00575AC3" w:rsidP="006D40F0">
            <w:r w:rsidRPr="006D40F0">
              <w:t>fra kr 10 228 000 000 til kr 9 609 000 000</w:t>
            </w:r>
          </w:p>
        </w:tc>
        <w:tc>
          <w:tcPr>
            <w:tcW w:w="1400" w:type="dxa"/>
            <w:tcBorders>
              <w:top w:val="nil"/>
              <w:left w:val="nil"/>
              <w:bottom w:val="nil"/>
              <w:right w:val="nil"/>
            </w:tcBorders>
            <w:tcMar>
              <w:top w:w="128" w:type="dxa"/>
              <w:left w:w="43" w:type="dxa"/>
              <w:bottom w:w="43" w:type="dxa"/>
              <w:right w:w="43" w:type="dxa"/>
            </w:tcMar>
            <w:vAlign w:val="bottom"/>
          </w:tcPr>
          <w:p w14:paraId="1D3F525C" w14:textId="77777777" w:rsidR="00575AC3" w:rsidRPr="006D40F0" w:rsidRDefault="00575AC3" w:rsidP="006D40F0"/>
        </w:tc>
      </w:tr>
      <w:tr w:rsidR="00DD49A7" w:rsidRPr="006D40F0" w14:paraId="428E5C20" w14:textId="77777777">
        <w:trPr>
          <w:trHeight w:val="640"/>
        </w:trPr>
        <w:tc>
          <w:tcPr>
            <w:tcW w:w="680" w:type="dxa"/>
            <w:tcBorders>
              <w:top w:val="nil"/>
              <w:left w:val="nil"/>
              <w:bottom w:val="nil"/>
              <w:right w:val="nil"/>
            </w:tcBorders>
            <w:tcMar>
              <w:top w:w="128" w:type="dxa"/>
              <w:left w:w="43" w:type="dxa"/>
              <w:bottom w:w="43" w:type="dxa"/>
              <w:right w:w="43" w:type="dxa"/>
            </w:tcMar>
          </w:tcPr>
          <w:p w14:paraId="4A490B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41A84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4E1D308" w14:textId="77777777" w:rsidR="00575AC3" w:rsidRPr="006D40F0" w:rsidRDefault="00575AC3" w:rsidP="006D40F0">
            <w:r w:rsidRPr="006D40F0">
              <w:t xml:space="preserve">For andre medlemmer av Statens pensjonskasse,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669C3EF" w14:textId="77777777" w:rsidR="00575AC3" w:rsidRPr="006D40F0" w:rsidRDefault="00575AC3" w:rsidP="006D40F0">
            <w:r w:rsidRPr="006D40F0">
              <w:t>8 000 000</w:t>
            </w:r>
          </w:p>
        </w:tc>
      </w:tr>
      <w:tr w:rsidR="00DD49A7" w:rsidRPr="006D40F0" w14:paraId="3DEDE743" w14:textId="77777777">
        <w:trPr>
          <w:trHeight w:val="380"/>
        </w:trPr>
        <w:tc>
          <w:tcPr>
            <w:tcW w:w="680" w:type="dxa"/>
            <w:tcBorders>
              <w:top w:val="nil"/>
              <w:left w:val="nil"/>
              <w:bottom w:val="nil"/>
              <w:right w:val="nil"/>
            </w:tcBorders>
            <w:tcMar>
              <w:top w:w="128" w:type="dxa"/>
              <w:left w:w="43" w:type="dxa"/>
              <w:bottom w:w="43" w:type="dxa"/>
              <w:right w:w="43" w:type="dxa"/>
            </w:tcMar>
          </w:tcPr>
          <w:p w14:paraId="6A7109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7BA2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079E55" w14:textId="77777777" w:rsidR="00575AC3" w:rsidRPr="006D40F0" w:rsidRDefault="00575AC3" w:rsidP="006D40F0">
            <w:r w:rsidRPr="006D40F0">
              <w:t>fra kr 92 000 000 til kr 84 000 000</w:t>
            </w:r>
          </w:p>
        </w:tc>
        <w:tc>
          <w:tcPr>
            <w:tcW w:w="1400" w:type="dxa"/>
            <w:tcBorders>
              <w:top w:val="nil"/>
              <w:left w:val="nil"/>
              <w:bottom w:val="nil"/>
              <w:right w:val="nil"/>
            </w:tcBorders>
            <w:tcMar>
              <w:top w:w="128" w:type="dxa"/>
              <w:left w:w="43" w:type="dxa"/>
              <w:bottom w:w="43" w:type="dxa"/>
              <w:right w:w="43" w:type="dxa"/>
            </w:tcMar>
            <w:vAlign w:val="bottom"/>
          </w:tcPr>
          <w:p w14:paraId="4E52149F" w14:textId="77777777" w:rsidR="00575AC3" w:rsidRPr="006D40F0" w:rsidRDefault="00575AC3" w:rsidP="006D40F0"/>
        </w:tc>
      </w:tr>
      <w:tr w:rsidR="00DD49A7" w:rsidRPr="006D40F0" w14:paraId="27E6F140" w14:textId="77777777">
        <w:trPr>
          <w:trHeight w:val="380"/>
        </w:trPr>
        <w:tc>
          <w:tcPr>
            <w:tcW w:w="680" w:type="dxa"/>
            <w:tcBorders>
              <w:top w:val="nil"/>
              <w:left w:val="nil"/>
              <w:bottom w:val="nil"/>
              <w:right w:val="nil"/>
            </w:tcBorders>
            <w:tcMar>
              <w:top w:w="128" w:type="dxa"/>
              <w:left w:w="43" w:type="dxa"/>
              <w:bottom w:w="43" w:type="dxa"/>
              <w:right w:w="43" w:type="dxa"/>
            </w:tcMar>
          </w:tcPr>
          <w:p w14:paraId="6ACDC476" w14:textId="77777777" w:rsidR="00575AC3" w:rsidRPr="006D40F0" w:rsidRDefault="00575AC3" w:rsidP="006D40F0">
            <w:r w:rsidRPr="006D40F0">
              <w:t>634</w:t>
            </w:r>
          </w:p>
        </w:tc>
        <w:tc>
          <w:tcPr>
            <w:tcW w:w="680" w:type="dxa"/>
            <w:tcBorders>
              <w:top w:val="nil"/>
              <w:left w:val="nil"/>
              <w:bottom w:val="nil"/>
              <w:right w:val="nil"/>
            </w:tcBorders>
            <w:tcMar>
              <w:top w:w="128" w:type="dxa"/>
              <w:left w:w="43" w:type="dxa"/>
              <w:bottom w:w="43" w:type="dxa"/>
              <w:right w:w="43" w:type="dxa"/>
            </w:tcMar>
          </w:tcPr>
          <w:p w14:paraId="72F6DBE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5E07B5" w14:textId="77777777" w:rsidR="00575AC3" w:rsidRPr="006D40F0" w:rsidRDefault="00575AC3" w:rsidP="006D40F0">
            <w:r w:rsidRPr="006D40F0">
              <w:t>Arbeidsmarkedstiltak:</w:t>
            </w:r>
          </w:p>
        </w:tc>
        <w:tc>
          <w:tcPr>
            <w:tcW w:w="1400" w:type="dxa"/>
            <w:tcBorders>
              <w:top w:val="nil"/>
              <w:left w:val="nil"/>
              <w:bottom w:val="nil"/>
              <w:right w:val="nil"/>
            </w:tcBorders>
            <w:tcMar>
              <w:top w:w="128" w:type="dxa"/>
              <w:left w:w="43" w:type="dxa"/>
              <w:bottom w:w="43" w:type="dxa"/>
              <w:right w:w="43" w:type="dxa"/>
            </w:tcMar>
            <w:vAlign w:val="bottom"/>
          </w:tcPr>
          <w:p w14:paraId="495A4A73" w14:textId="77777777" w:rsidR="00575AC3" w:rsidRPr="006D40F0" w:rsidRDefault="00575AC3" w:rsidP="006D40F0"/>
        </w:tc>
      </w:tr>
      <w:tr w:rsidR="00DD49A7" w:rsidRPr="006D40F0" w14:paraId="4D770361" w14:textId="77777777">
        <w:trPr>
          <w:trHeight w:val="380"/>
        </w:trPr>
        <w:tc>
          <w:tcPr>
            <w:tcW w:w="680" w:type="dxa"/>
            <w:tcBorders>
              <w:top w:val="nil"/>
              <w:left w:val="nil"/>
              <w:bottom w:val="nil"/>
              <w:right w:val="nil"/>
            </w:tcBorders>
            <w:tcMar>
              <w:top w:w="128" w:type="dxa"/>
              <w:left w:w="43" w:type="dxa"/>
              <w:bottom w:w="43" w:type="dxa"/>
              <w:right w:w="43" w:type="dxa"/>
            </w:tcMar>
          </w:tcPr>
          <w:p w14:paraId="61C1E51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7D7538"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7606E073" w14:textId="77777777" w:rsidR="00575AC3" w:rsidRPr="006D40F0" w:rsidRDefault="00575AC3" w:rsidP="006D40F0">
            <w:r w:rsidRPr="006D40F0">
              <w:t xml:space="preserve">Tiltak for arbeidssøkere,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0DD8654" w14:textId="77777777" w:rsidR="00575AC3" w:rsidRPr="006D40F0" w:rsidRDefault="00575AC3" w:rsidP="006D40F0">
            <w:r w:rsidRPr="006D40F0">
              <w:t>21 000 000</w:t>
            </w:r>
          </w:p>
        </w:tc>
      </w:tr>
      <w:tr w:rsidR="00DD49A7" w:rsidRPr="006D40F0" w14:paraId="74989BD3" w14:textId="77777777">
        <w:trPr>
          <w:trHeight w:val="380"/>
        </w:trPr>
        <w:tc>
          <w:tcPr>
            <w:tcW w:w="680" w:type="dxa"/>
            <w:tcBorders>
              <w:top w:val="nil"/>
              <w:left w:val="nil"/>
              <w:bottom w:val="nil"/>
              <w:right w:val="nil"/>
            </w:tcBorders>
            <w:tcMar>
              <w:top w:w="128" w:type="dxa"/>
              <w:left w:w="43" w:type="dxa"/>
              <w:bottom w:w="43" w:type="dxa"/>
              <w:right w:w="43" w:type="dxa"/>
            </w:tcMar>
          </w:tcPr>
          <w:p w14:paraId="69C989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A4B42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09FEE99" w14:textId="77777777" w:rsidR="00575AC3" w:rsidRPr="006D40F0" w:rsidRDefault="00575AC3" w:rsidP="006D40F0">
            <w:r w:rsidRPr="006D40F0">
              <w:t>fra kr 7 763 805 000 til kr 7 742 805 000</w:t>
            </w:r>
          </w:p>
        </w:tc>
        <w:tc>
          <w:tcPr>
            <w:tcW w:w="1400" w:type="dxa"/>
            <w:tcBorders>
              <w:top w:val="nil"/>
              <w:left w:val="nil"/>
              <w:bottom w:val="nil"/>
              <w:right w:val="nil"/>
            </w:tcBorders>
            <w:tcMar>
              <w:top w:w="128" w:type="dxa"/>
              <w:left w:w="43" w:type="dxa"/>
              <w:bottom w:w="43" w:type="dxa"/>
              <w:right w:w="43" w:type="dxa"/>
            </w:tcMar>
            <w:vAlign w:val="bottom"/>
          </w:tcPr>
          <w:p w14:paraId="6291207F" w14:textId="77777777" w:rsidR="00575AC3" w:rsidRPr="006D40F0" w:rsidRDefault="00575AC3" w:rsidP="006D40F0"/>
        </w:tc>
      </w:tr>
      <w:tr w:rsidR="00DD49A7" w:rsidRPr="006D40F0" w14:paraId="350E1C1E" w14:textId="77777777">
        <w:trPr>
          <w:trHeight w:val="380"/>
        </w:trPr>
        <w:tc>
          <w:tcPr>
            <w:tcW w:w="680" w:type="dxa"/>
            <w:tcBorders>
              <w:top w:val="nil"/>
              <w:left w:val="nil"/>
              <w:bottom w:val="nil"/>
              <w:right w:val="nil"/>
            </w:tcBorders>
            <w:tcMar>
              <w:top w:w="128" w:type="dxa"/>
              <w:left w:w="43" w:type="dxa"/>
              <w:bottom w:w="43" w:type="dxa"/>
              <w:right w:w="43" w:type="dxa"/>
            </w:tcMar>
          </w:tcPr>
          <w:p w14:paraId="1D9ED8E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F2E084"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0D9C0B50" w14:textId="77777777" w:rsidR="00575AC3" w:rsidRPr="006D40F0" w:rsidRDefault="00575AC3" w:rsidP="006D40F0">
            <w:r w:rsidRPr="006D40F0">
              <w:t>Tilskudd til arbeids- og utdanningsreiser, forhøyes med</w:t>
            </w:r>
          </w:p>
        </w:tc>
        <w:tc>
          <w:tcPr>
            <w:tcW w:w="1400" w:type="dxa"/>
            <w:tcBorders>
              <w:top w:val="nil"/>
              <w:left w:val="nil"/>
              <w:bottom w:val="nil"/>
              <w:right w:val="nil"/>
            </w:tcBorders>
            <w:tcMar>
              <w:top w:w="128" w:type="dxa"/>
              <w:left w:w="43" w:type="dxa"/>
              <w:bottom w:w="43" w:type="dxa"/>
              <w:right w:w="43" w:type="dxa"/>
            </w:tcMar>
            <w:vAlign w:val="bottom"/>
          </w:tcPr>
          <w:p w14:paraId="366AAA25" w14:textId="77777777" w:rsidR="00575AC3" w:rsidRPr="006D40F0" w:rsidRDefault="00575AC3" w:rsidP="006D40F0">
            <w:r w:rsidRPr="006D40F0">
              <w:t>16 000 000</w:t>
            </w:r>
          </w:p>
        </w:tc>
      </w:tr>
      <w:tr w:rsidR="00DD49A7" w:rsidRPr="006D40F0" w14:paraId="37BD2179" w14:textId="77777777">
        <w:trPr>
          <w:trHeight w:val="380"/>
        </w:trPr>
        <w:tc>
          <w:tcPr>
            <w:tcW w:w="680" w:type="dxa"/>
            <w:tcBorders>
              <w:top w:val="nil"/>
              <w:left w:val="nil"/>
              <w:bottom w:val="nil"/>
              <w:right w:val="nil"/>
            </w:tcBorders>
            <w:tcMar>
              <w:top w:w="128" w:type="dxa"/>
              <w:left w:w="43" w:type="dxa"/>
              <w:bottom w:w="43" w:type="dxa"/>
              <w:right w:w="43" w:type="dxa"/>
            </w:tcMar>
          </w:tcPr>
          <w:p w14:paraId="79597A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ADEAB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1191CB" w14:textId="77777777" w:rsidR="00575AC3" w:rsidRPr="006D40F0" w:rsidRDefault="00575AC3" w:rsidP="006D40F0">
            <w:r w:rsidRPr="006D40F0">
              <w:t>fra kr 90 720 000 til kr 106 720 000</w:t>
            </w:r>
          </w:p>
        </w:tc>
        <w:tc>
          <w:tcPr>
            <w:tcW w:w="1400" w:type="dxa"/>
            <w:tcBorders>
              <w:top w:val="nil"/>
              <w:left w:val="nil"/>
              <w:bottom w:val="nil"/>
              <w:right w:val="nil"/>
            </w:tcBorders>
            <w:tcMar>
              <w:top w:w="128" w:type="dxa"/>
              <w:left w:w="43" w:type="dxa"/>
              <w:bottom w:w="43" w:type="dxa"/>
              <w:right w:w="43" w:type="dxa"/>
            </w:tcMar>
            <w:vAlign w:val="bottom"/>
          </w:tcPr>
          <w:p w14:paraId="1412FE94" w14:textId="77777777" w:rsidR="00575AC3" w:rsidRPr="006D40F0" w:rsidRDefault="00575AC3" w:rsidP="006D40F0"/>
        </w:tc>
      </w:tr>
      <w:tr w:rsidR="00DD49A7" w:rsidRPr="006D40F0" w14:paraId="03ACB1C3" w14:textId="77777777">
        <w:trPr>
          <w:trHeight w:val="380"/>
        </w:trPr>
        <w:tc>
          <w:tcPr>
            <w:tcW w:w="680" w:type="dxa"/>
            <w:tcBorders>
              <w:top w:val="nil"/>
              <w:left w:val="nil"/>
              <w:bottom w:val="nil"/>
              <w:right w:val="nil"/>
            </w:tcBorders>
            <w:tcMar>
              <w:top w:w="128" w:type="dxa"/>
              <w:left w:w="43" w:type="dxa"/>
              <w:bottom w:w="43" w:type="dxa"/>
              <w:right w:w="43" w:type="dxa"/>
            </w:tcMar>
          </w:tcPr>
          <w:p w14:paraId="6DB9F1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16548FA"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75AD5032" w14:textId="77777777" w:rsidR="00575AC3" w:rsidRPr="006D40F0" w:rsidRDefault="00575AC3" w:rsidP="006D40F0">
            <w:r w:rsidRPr="006D40F0">
              <w:t>Funksjonsassistanse i arbeidslivet, forhøyes med</w:t>
            </w:r>
          </w:p>
        </w:tc>
        <w:tc>
          <w:tcPr>
            <w:tcW w:w="1400" w:type="dxa"/>
            <w:tcBorders>
              <w:top w:val="nil"/>
              <w:left w:val="nil"/>
              <w:bottom w:val="nil"/>
              <w:right w:val="nil"/>
            </w:tcBorders>
            <w:tcMar>
              <w:top w:w="128" w:type="dxa"/>
              <w:left w:w="43" w:type="dxa"/>
              <w:bottom w:w="43" w:type="dxa"/>
              <w:right w:w="43" w:type="dxa"/>
            </w:tcMar>
            <w:vAlign w:val="bottom"/>
          </w:tcPr>
          <w:p w14:paraId="14EA82E8" w14:textId="77777777" w:rsidR="00575AC3" w:rsidRPr="006D40F0" w:rsidRDefault="00575AC3" w:rsidP="006D40F0">
            <w:r w:rsidRPr="006D40F0">
              <w:t>5 000 000</w:t>
            </w:r>
          </w:p>
        </w:tc>
      </w:tr>
      <w:tr w:rsidR="00DD49A7" w:rsidRPr="006D40F0" w14:paraId="2AA2FDAF" w14:textId="77777777">
        <w:trPr>
          <w:trHeight w:val="380"/>
        </w:trPr>
        <w:tc>
          <w:tcPr>
            <w:tcW w:w="680" w:type="dxa"/>
            <w:tcBorders>
              <w:top w:val="nil"/>
              <w:left w:val="nil"/>
              <w:bottom w:val="nil"/>
              <w:right w:val="nil"/>
            </w:tcBorders>
            <w:tcMar>
              <w:top w:w="128" w:type="dxa"/>
              <w:left w:w="43" w:type="dxa"/>
              <w:bottom w:w="43" w:type="dxa"/>
              <w:right w:w="43" w:type="dxa"/>
            </w:tcMar>
          </w:tcPr>
          <w:p w14:paraId="132C31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66583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524463" w14:textId="77777777" w:rsidR="00575AC3" w:rsidRPr="006D40F0" w:rsidRDefault="00575AC3" w:rsidP="006D40F0">
            <w:r w:rsidRPr="006D40F0">
              <w:t>fra kr 119 110 000 til kr 124 110 000</w:t>
            </w:r>
          </w:p>
        </w:tc>
        <w:tc>
          <w:tcPr>
            <w:tcW w:w="1400" w:type="dxa"/>
            <w:tcBorders>
              <w:top w:val="nil"/>
              <w:left w:val="nil"/>
              <w:bottom w:val="nil"/>
              <w:right w:val="nil"/>
            </w:tcBorders>
            <w:tcMar>
              <w:top w:w="128" w:type="dxa"/>
              <w:left w:w="43" w:type="dxa"/>
              <w:bottom w:w="43" w:type="dxa"/>
              <w:right w:w="43" w:type="dxa"/>
            </w:tcMar>
            <w:vAlign w:val="bottom"/>
          </w:tcPr>
          <w:p w14:paraId="65167C14" w14:textId="77777777" w:rsidR="00575AC3" w:rsidRPr="006D40F0" w:rsidRDefault="00575AC3" w:rsidP="006D40F0"/>
        </w:tc>
      </w:tr>
      <w:tr w:rsidR="00DD49A7" w:rsidRPr="006D40F0" w14:paraId="4CC99C50" w14:textId="77777777">
        <w:trPr>
          <w:trHeight w:val="380"/>
        </w:trPr>
        <w:tc>
          <w:tcPr>
            <w:tcW w:w="680" w:type="dxa"/>
            <w:tcBorders>
              <w:top w:val="nil"/>
              <w:left w:val="nil"/>
              <w:bottom w:val="nil"/>
              <w:right w:val="nil"/>
            </w:tcBorders>
            <w:tcMar>
              <w:top w:w="128" w:type="dxa"/>
              <w:left w:w="43" w:type="dxa"/>
              <w:bottom w:w="43" w:type="dxa"/>
              <w:right w:w="43" w:type="dxa"/>
            </w:tcMar>
          </w:tcPr>
          <w:p w14:paraId="49EAE410" w14:textId="77777777" w:rsidR="00575AC3" w:rsidRPr="006D40F0" w:rsidRDefault="00575AC3" w:rsidP="006D40F0">
            <w:r w:rsidRPr="006D40F0">
              <w:t>635</w:t>
            </w:r>
          </w:p>
        </w:tc>
        <w:tc>
          <w:tcPr>
            <w:tcW w:w="680" w:type="dxa"/>
            <w:tcBorders>
              <w:top w:val="nil"/>
              <w:left w:val="nil"/>
              <w:bottom w:val="nil"/>
              <w:right w:val="nil"/>
            </w:tcBorders>
            <w:tcMar>
              <w:top w:w="128" w:type="dxa"/>
              <w:left w:w="43" w:type="dxa"/>
              <w:bottom w:w="43" w:type="dxa"/>
              <w:right w:w="43" w:type="dxa"/>
            </w:tcMar>
          </w:tcPr>
          <w:p w14:paraId="533C0A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608FA3" w14:textId="77777777" w:rsidR="00575AC3" w:rsidRPr="006D40F0" w:rsidRDefault="00575AC3" w:rsidP="006D40F0">
            <w:r w:rsidRPr="006D40F0">
              <w:t>Ventelønn:</w:t>
            </w:r>
          </w:p>
        </w:tc>
        <w:tc>
          <w:tcPr>
            <w:tcW w:w="1400" w:type="dxa"/>
            <w:tcBorders>
              <w:top w:val="nil"/>
              <w:left w:val="nil"/>
              <w:bottom w:val="nil"/>
              <w:right w:val="nil"/>
            </w:tcBorders>
            <w:tcMar>
              <w:top w:w="128" w:type="dxa"/>
              <w:left w:w="43" w:type="dxa"/>
              <w:bottom w:w="43" w:type="dxa"/>
              <w:right w:w="43" w:type="dxa"/>
            </w:tcMar>
            <w:vAlign w:val="bottom"/>
          </w:tcPr>
          <w:p w14:paraId="307327C6" w14:textId="77777777" w:rsidR="00575AC3" w:rsidRPr="006D40F0" w:rsidRDefault="00575AC3" w:rsidP="006D40F0"/>
        </w:tc>
      </w:tr>
      <w:tr w:rsidR="00DD49A7" w:rsidRPr="006D40F0" w14:paraId="07BDEDEE" w14:textId="77777777">
        <w:trPr>
          <w:trHeight w:val="380"/>
        </w:trPr>
        <w:tc>
          <w:tcPr>
            <w:tcW w:w="680" w:type="dxa"/>
            <w:tcBorders>
              <w:top w:val="nil"/>
              <w:left w:val="nil"/>
              <w:bottom w:val="nil"/>
              <w:right w:val="nil"/>
            </w:tcBorders>
            <w:tcMar>
              <w:top w:w="128" w:type="dxa"/>
              <w:left w:w="43" w:type="dxa"/>
              <w:bottom w:w="43" w:type="dxa"/>
              <w:right w:w="43" w:type="dxa"/>
            </w:tcMar>
          </w:tcPr>
          <w:p w14:paraId="6D7E8A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95DC6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2351017" w14:textId="77777777" w:rsidR="00575AC3" w:rsidRPr="006D40F0" w:rsidRDefault="00575AC3" w:rsidP="006D40F0">
            <w:r w:rsidRPr="006D40F0">
              <w:t xml:space="preserve">Driftsutgifter,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8B736CB" w14:textId="77777777" w:rsidR="00575AC3" w:rsidRPr="006D40F0" w:rsidRDefault="00575AC3" w:rsidP="006D40F0">
            <w:r w:rsidRPr="006D40F0">
              <w:t>1 000 000</w:t>
            </w:r>
          </w:p>
        </w:tc>
      </w:tr>
      <w:tr w:rsidR="00DD49A7" w:rsidRPr="006D40F0" w14:paraId="485DDFF6" w14:textId="77777777">
        <w:trPr>
          <w:trHeight w:val="380"/>
        </w:trPr>
        <w:tc>
          <w:tcPr>
            <w:tcW w:w="680" w:type="dxa"/>
            <w:tcBorders>
              <w:top w:val="nil"/>
              <w:left w:val="nil"/>
              <w:bottom w:val="nil"/>
              <w:right w:val="nil"/>
            </w:tcBorders>
            <w:tcMar>
              <w:top w:w="128" w:type="dxa"/>
              <w:left w:w="43" w:type="dxa"/>
              <w:bottom w:w="43" w:type="dxa"/>
              <w:right w:w="43" w:type="dxa"/>
            </w:tcMar>
          </w:tcPr>
          <w:p w14:paraId="1C5D71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D1108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751983" w14:textId="77777777" w:rsidR="00575AC3" w:rsidRPr="006D40F0" w:rsidRDefault="00575AC3" w:rsidP="006D40F0">
            <w:r w:rsidRPr="006D40F0">
              <w:t>fra kr 1 400 000 til kr 400 000</w:t>
            </w:r>
          </w:p>
        </w:tc>
        <w:tc>
          <w:tcPr>
            <w:tcW w:w="1400" w:type="dxa"/>
            <w:tcBorders>
              <w:top w:val="nil"/>
              <w:left w:val="nil"/>
              <w:bottom w:val="nil"/>
              <w:right w:val="nil"/>
            </w:tcBorders>
            <w:tcMar>
              <w:top w:w="128" w:type="dxa"/>
              <w:left w:w="43" w:type="dxa"/>
              <w:bottom w:w="43" w:type="dxa"/>
              <w:right w:w="43" w:type="dxa"/>
            </w:tcMar>
            <w:vAlign w:val="bottom"/>
          </w:tcPr>
          <w:p w14:paraId="39608F15" w14:textId="77777777" w:rsidR="00575AC3" w:rsidRPr="006D40F0" w:rsidRDefault="00575AC3" w:rsidP="006D40F0"/>
        </w:tc>
      </w:tr>
      <w:tr w:rsidR="00DD49A7" w:rsidRPr="006D40F0" w14:paraId="454B0035" w14:textId="77777777">
        <w:trPr>
          <w:trHeight w:val="380"/>
        </w:trPr>
        <w:tc>
          <w:tcPr>
            <w:tcW w:w="680" w:type="dxa"/>
            <w:tcBorders>
              <w:top w:val="nil"/>
              <w:left w:val="nil"/>
              <w:bottom w:val="nil"/>
              <w:right w:val="nil"/>
            </w:tcBorders>
            <w:tcMar>
              <w:top w:w="128" w:type="dxa"/>
              <w:left w:w="43" w:type="dxa"/>
              <w:bottom w:w="43" w:type="dxa"/>
              <w:right w:w="43" w:type="dxa"/>
            </w:tcMar>
          </w:tcPr>
          <w:p w14:paraId="5465B735" w14:textId="77777777" w:rsidR="00575AC3" w:rsidRPr="006D40F0" w:rsidRDefault="00575AC3" w:rsidP="006D40F0">
            <w:r w:rsidRPr="006D40F0">
              <w:t>646</w:t>
            </w:r>
          </w:p>
        </w:tc>
        <w:tc>
          <w:tcPr>
            <w:tcW w:w="680" w:type="dxa"/>
            <w:tcBorders>
              <w:top w:val="nil"/>
              <w:left w:val="nil"/>
              <w:bottom w:val="nil"/>
              <w:right w:val="nil"/>
            </w:tcBorders>
            <w:tcMar>
              <w:top w:w="128" w:type="dxa"/>
              <w:left w:w="43" w:type="dxa"/>
              <w:bottom w:w="43" w:type="dxa"/>
              <w:right w:w="43" w:type="dxa"/>
            </w:tcMar>
          </w:tcPr>
          <w:p w14:paraId="5D325A1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B755DC" w14:textId="77777777" w:rsidR="00575AC3" w:rsidRPr="006D40F0" w:rsidRDefault="00575AC3" w:rsidP="006D40F0">
            <w:r w:rsidRPr="006D40F0">
              <w:t>Pionerdykkere i Nordsjøen:</w:t>
            </w:r>
          </w:p>
        </w:tc>
        <w:tc>
          <w:tcPr>
            <w:tcW w:w="1400" w:type="dxa"/>
            <w:tcBorders>
              <w:top w:val="nil"/>
              <w:left w:val="nil"/>
              <w:bottom w:val="nil"/>
              <w:right w:val="nil"/>
            </w:tcBorders>
            <w:tcMar>
              <w:top w:w="128" w:type="dxa"/>
              <w:left w:w="43" w:type="dxa"/>
              <w:bottom w:w="43" w:type="dxa"/>
              <w:right w:w="43" w:type="dxa"/>
            </w:tcMar>
            <w:vAlign w:val="bottom"/>
          </w:tcPr>
          <w:p w14:paraId="6765BE86" w14:textId="77777777" w:rsidR="00575AC3" w:rsidRPr="006D40F0" w:rsidRDefault="00575AC3" w:rsidP="006D40F0"/>
        </w:tc>
      </w:tr>
      <w:tr w:rsidR="00DD49A7" w:rsidRPr="006D40F0" w14:paraId="2508C58A" w14:textId="77777777">
        <w:trPr>
          <w:trHeight w:val="380"/>
        </w:trPr>
        <w:tc>
          <w:tcPr>
            <w:tcW w:w="680" w:type="dxa"/>
            <w:tcBorders>
              <w:top w:val="nil"/>
              <w:left w:val="nil"/>
              <w:bottom w:val="nil"/>
              <w:right w:val="nil"/>
            </w:tcBorders>
            <w:tcMar>
              <w:top w:w="128" w:type="dxa"/>
              <w:left w:w="43" w:type="dxa"/>
              <w:bottom w:w="43" w:type="dxa"/>
              <w:right w:w="43" w:type="dxa"/>
            </w:tcMar>
          </w:tcPr>
          <w:p w14:paraId="6953CFD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58413E"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07CBC9D5" w14:textId="77777777" w:rsidR="00575AC3" w:rsidRPr="006D40F0" w:rsidRDefault="00575AC3" w:rsidP="006D40F0">
            <w:r w:rsidRPr="006D40F0">
              <w:t xml:space="preserve">Tilskudd,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00AAFD8" w14:textId="77777777" w:rsidR="00575AC3" w:rsidRPr="006D40F0" w:rsidRDefault="00575AC3" w:rsidP="006D40F0">
            <w:r w:rsidRPr="006D40F0">
              <w:t>300 000</w:t>
            </w:r>
          </w:p>
        </w:tc>
      </w:tr>
      <w:tr w:rsidR="00DD49A7" w:rsidRPr="006D40F0" w14:paraId="13C0F138" w14:textId="77777777">
        <w:trPr>
          <w:trHeight w:val="380"/>
        </w:trPr>
        <w:tc>
          <w:tcPr>
            <w:tcW w:w="680" w:type="dxa"/>
            <w:tcBorders>
              <w:top w:val="nil"/>
              <w:left w:val="nil"/>
              <w:bottom w:val="nil"/>
              <w:right w:val="nil"/>
            </w:tcBorders>
            <w:tcMar>
              <w:top w:w="128" w:type="dxa"/>
              <w:left w:w="43" w:type="dxa"/>
              <w:bottom w:w="43" w:type="dxa"/>
              <w:right w:w="43" w:type="dxa"/>
            </w:tcMar>
          </w:tcPr>
          <w:p w14:paraId="5C8F115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98A75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57CC88" w14:textId="77777777" w:rsidR="00575AC3" w:rsidRPr="006D40F0" w:rsidRDefault="00575AC3" w:rsidP="006D40F0">
            <w:r w:rsidRPr="006D40F0">
              <w:t>fra kr 1 325 000 til kr 1 625 000</w:t>
            </w:r>
          </w:p>
        </w:tc>
        <w:tc>
          <w:tcPr>
            <w:tcW w:w="1400" w:type="dxa"/>
            <w:tcBorders>
              <w:top w:val="nil"/>
              <w:left w:val="nil"/>
              <w:bottom w:val="nil"/>
              <w:right w:val="nil"/>
            </w:tcBorders>
            <w:tcMar>
              <w:top w:w="128" w:type="dxa"/>
              <w:left w:w="43" w:type="dxa"/>
              <w:bottom w:w="43" w:type="dxa"/>
              <w:right w:w="43" w:type="dxa"/>
            </w:tcMar>
            <w:vAlign w:val="bottom"/>
          </w:tcPr>
          <w:p w14:paraId="614E4BDB" w14:textId="77777777" w:rsidR="00575AC3" w:rsidRPr="006D40F0" w:rsidRDefault="00575AC3" w:rsidP="006D40F0"/>
        </w:tc>
      </w:tr>
      <w:tr w:rsidR="00DD49A7" w:rsidRPr="006D40F0" w14:paraId="46C5A5EC" w14:textId="77777777">
        <w:trPr>
          <w:trHeight w:val="380"/>
        </w:trPr>
        <w:tc>
          <w:tcPr>
            <w:tcW w:w="680" w:type="dxa"/>
            <w:tcBorders>
              <w:top w:val="nil"/>
              <w:left w:val="nil"/>
              <w:bottom w:val="nil"/>
              <w:right w:val="nil"/>
            </w:tcBorders>
            <w:tcMar>
              <w:top w:w="128" w:type="dxa"/>
              <w:left w:w="43" w:type="dxa"/>
              <w:bottom w:w="43" w:type="dxa"/>
              <w:right w:w="43" w:type="dxa"/>
            </w:tcMar>
          </w:tcPr>
          <w:p w14:paraId="6BF2B0F5" w14:textId="77777777" w:rsidR="00575AC3" w:rsidRPr="006D40F0" w:rsidRDefault="00575AC3" w:rsidP="006D40F0">
            <w:r w:rsidRPr="006D40F0">
              <w:t>648</w:t>
            </w:r>
          </w:p>
        </w:tc>
        <w:tc>
          <w:tcPr>
            <w:tcW w:w="680" w:type="dxa"/>
            <w:tcBorders>
              <w:top w:val="nil"/>
              <w:left w:val="nil"/>
              <w:bottom w:val="nil"/>
              <w:right w:val="nil"/>
            </w:tcBorders>
            <w:tcMar>
              <w:top w:w="128" w:type="dxa"/>
              <w:left w:w="43" w:type="dxa"/>
              <w:bottom w:w="43" w:type="dxa"/>
              <w:right w:w="43" w:type="dxa"/>
            </w:tcMar>
          </w:tcPr>
          <w:p w14:paraId="587B890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44020C" w14:textId="77777777" w:rsidR="00575AC3" w:rsidRPr="006D40F0" w:rsidRDefault="00575AC3" w:rsidP="006D40F0">
            <w:r w:rsidRPr="006D40F0">
              <w:t>Arbeidsretten, Riksmekleren mv.:</w:t>
            </w:r>
          </w:p>
        </w:tc>
        <w:tc>
          <w:tcPr>
            <w:tcW w:w="1400" w:type="dxa"/>
            <w:tcBorders>
              <w:top w:val="nil"/>
              <w:left w:val="nil"/>
              <w:bottom w:val="nil"/>
              <w:right w:val="nil"/>
            </w:tcBorders>
            <w:tcMar>
              <w:top w:w="128" w:type="dxa"/>
              <w:left w:w="43" w:type="dxa"/>
              <w:bottom w:w="43" w:type="dxa"/>
              <w:right w:w="43" w:type="dxa"/>
            </w:tcMar>
            <w:vAlign w:val="bottom"/>
          </w:tcPr>
          <w:p w14:paraId="4A0F448D" w14:textId="77777777" w:rsidR="00575AC3" w:rsidRPr="006D40F0" w:rsidRDefault="00575AC3" w:rsidP="006D40F0"/>
        </w:tc>
      </w:tr>
      <w:tr w:rsidR="00DD49A7" w:rsidRPr="006D40F0" w14:paraId="1B12E43C" w14:textId="77777777">
        <w:trPr>
          <w:trHeight w:val="380"/>
        </w:trPr>
        <w:tc>
          <w:tcPr>
            <w:tcW w:w="680" w:type="dxa"/>
            <w:tcBorders>
              <w:top w:val="nil"/>
              <w:left w:val="nil"/>
              <w:bottom w:val="nil"/>
              <w:right w:val="nil"/>
            </w:tcBorders>
            <w:tcMar>
              <w:top w:w="128" w:type="dxa"/>
              <w:left w:w="43" w:type="dxa"/>
              <w:bottom w:w="43" w:type="dxa"/>
              <w:right w:w="43" w:type="dxa"/>
            </w:tcMar>
          </w:tcPr>
          <w:p w14:paraId="277B1A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8AB59C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09FEE2D"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28107BE" w14:textId="77777777" w:rsidR="00575AC3" w:rsidRPr="006D40F0" w:rsidRDefault="00575AC3" w:rsidP="006D40F0">
            <w:r w:rsidRPr="006D40F0">
              <w:t>2 000 000</w:t>
            </w:r>
          </w:p>
        </w:tc>
      </w:tr>
      <w:tr w:rsidR="00DD49A7" w:rsidRPr="006D40F0" w14:paraId="3BEEBD99" w14:textId="77777777">
        <w:trPr>
          <w:trHeight w:val="380"/>
        </w:trPr>
        <w:tc>
          <w:tcPr>
            <w:tcW w:w="680" w:type="dxa"/>
            <w:tcBorders>
              <w:top w:val="nil"/>
              <w:left w:val="nil"/>
              <w:bottom w:val="nil"/>
              <w:right w:val="nil"/>
            </w:tcBorders>
            <w:tcMar>
              <w:top w:w="128" w:type="dxa"/>
              <w:left w:w="43" w:type="dxa"/>
              <w:bottom w:w="43" w:type="dxa"/>
              <w:right w:w="43" w:type="dxa"/>
            </w:tcMar>
          </w:tcPr>
          <w:p w14:paraId="3ECA8D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B5111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5DDA26" w14:textId="77777777" w:rsidR="00575AC3" w:rsidRPr="006D40F0" w:rsidRDefault="00575AC3" w:rsidP="006D40F0">
            <w:r w:rsidRPr="006D40F0">
              <w:t>fra kr 26 745 000 til kr 28 745 000</w:t>
            </w:r>
          </w:p>
        </w:tc>
        <w:tc>
          <w:tcPr>
            <w:tcW w:w="1400" w:type="dxa"/>
            <w:tcBorders>
              <w:top w:val="nil"/>
              <w:left w:val="nil"/>
              <w:bottom w:val="nil"/>
              <w:right w:val="nil"/>
            </w:tcBorders>
            <w:tcMar>
              <w:top w:w="128" w:type="dxa"/>
              <w:left w:w="43" w:type="dxa"/>
              <w:bottom w:w="43" w:type="dxa"/>
              <w:right w:w="43" w:type="dxa"/>
            </w:tcMar>
            <w:vAlign w:val="bottom"/>
          </w:tcPr>
          <w:p w14:paraId="6786DD90" w14:textId="77777777" w:rsidR="00575AC3" w:rsidRPr="006D40F0" w:rsidRDefault="00575AC3" w:rsidP="006D40F0"/>
        </w:tc>
      </w:tr>
      <w:tr w:rsidR="00DD49A7" w:rsidRPr="006D40F0" w14:paraId="5DB8A210" w14:textId="77777777">
        <w:trPr>
          <w:trHeight w:val="380"/>
        </w:trPr>
        <w:tc>
          <w:tcPr>
            <w:tcW w:w="680" w:type="dxa"/>
            <w:tcBorders>
              <w:top w:val="nil"/>
              <w:left w:val="nil"/>
              <w:bottom w:val="nil"/>
              <w:right w:val="nil"/>
            </w:tcBorders>
            <w:tcMar>
              <w:top w:w="128" w:type="dxa"/>
              <w:left w:w="43" w:type="dxa"/>
              <w:bottom w:w="43" w:type="dxa"/>
              <w:right w:w="43" w:type="dxa"/>
            </w:tcMar>
          </w:tcPr>
          <w:p w14:paraId="50EC59B8" w14:textId="77777777" w:rsidR="00575AC3" w:rsidRPr="006D40F0" w:rsidRDefault="00575AC3" w:rsidP="006D40F0">
            <w:r w:rsidRPr="006D40F0">
              <w:t>660</w:t>
            </w:r>
          </w:p>
        </w:tc>
        <w:tc>
          <w:tcPr>
            <w:tcW w:w="680" w:type="dxa"/>
            <w:tcBorders>
              <w:top w:val="nil"/>
              <w:left w:val="nil"/>
              <w:bottom w:val="nil"/>
              <w:right w:val="nil"/>
            </w:tcBorders>
            <w:tcMar>
              <w:top w:w="128" w:type="dxa"/>
              <w:left w:w="43" w:type="dxa"/>
              <w:bottom w:w="43" w:type="dxa"/>
              <w:right w:w="43" w:type="dxa"/>
            </w:tcMar>
          </w:tcPr>
          <w:p w14:paraId="163AB8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5B538CC" w14:textId="77777777" w:rsidR="00575AC3" w:rsidRPr="006D40F0" w:rsidRDefault="00575AC3" w:rsidP="006D40F0">
            <w:r w:rsidRPr="006D40F0">
              <w:t>Krigspensjon:</w:t>
            </w:r>
          </w:p>
        </w:tc>
        <w:tc>
          <w:tcPr>
            <w:tcW w:w="1400" w:type="dxa"/>
            <w:tcBorders>
              <w:top w:val="nil"/>
              <w:left w:val="nil"/>
              <w:bottom w:val="nil"/>
              <w:right w:val="nil"/>
            </w:tcBorders>
            <w:tcMar>
              <w:top w:w="128" w:type="dxa"/>
              <w:left w:w="43" w:type="dxa"/>
              <w:bottom w:w="43" w:type="dxa"/>
              <w:right w:w="43" w:type="dxa"/>
            </w:tcMar>
            <w:vAlign w:val="bottom"/>
          </w:tcPr>
          <w:p w14:paraId="7450E045" w14:textId="77777777" w:rsidR="00575AC3" w:rsidRPr="006D40F0" w:rsidRDefault="00575AC3" w:rsidP="006D40F0"/>
        </w:tc>
      </w:tr>
      <w:tr w:rsidR="00DD49A7" w:rsidRPr="006D40F0" w14:paraId="54D1353B" w14:textId="77777777">
        <w:trPr>
          <w:trHeight w:val="380"/>
        </w:trPr>
        <w:tc>
          <w:tcPr>
            <w:tcW w:w="680" w:type="dxa"/>
            <w:tcBorders>
              <w:top w:val="nil"/>
              <w:left w:val="nil"/>
              <w:bottom w:val="nil"/>
              <w:right w:val="nil"/>
            </w:tcBorders>
            <w:tcMar>
              <w:top w:w="128" w:type="dxa"/>
              <w:left w:w="43" w:type="dxa"/>
              <w:bottom w:w="43" w:type="dxa"/>
              <w:right w:w="43" w:type="dxa"/>
            </w:tcMar>
          </w:tcPr>
          <w:p w14:paraId="0F2E285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CE53FD"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E790E91" w14:textId="77777777" w:rsidR="00575AC3" w:rsidRPr="006D40F0" w:rsidRDefault="00575AC3" w:rsidP="006D40F0">
            <w:r w:rsidRPr="006D40F0">
              <w:t xml:space="preserve">Tilskudd, militære,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5309BAE" w14:textId="77777777" w:rsidR="00575AC3" w:rsidRPr="006D40F0" w:rsidRDefault="00575AC3" w:rsidP="006D40F0">
            <w:r w:rsidRPr="006D40F0">
              <w:t>3 000 000</w:t>
            </w:r>
          </w:p>
        </w:tc>
      </w:tr>
      <w:tr w:rsidR="00DD49A7" w:rsidRPr="006D40F0" w14:paraId="49332456" w14:textId="77777777">
        <w:trPr>
          <w:trHeight w:val="380"/>
        </w:trPr>
        <w:tc>
          <w:tcPr>
            <w:tcW w:w="680" w:type="dxa"/>
            <w:tcBorders>
              <w:top w:val="nil"/>
              <w:left w:val="nil"/>
              <w:bottom w:val="nil"/>
              <w:right w:val="nil"/>
            </w:tcBorders>
            <w:tcMar>
              <w:top w:w="128" w:type="dxa"/>
              <w:left w:w="43" w:type="dxa"/>
              <w:bottom w:w="43" w:type="dxa"/>
              <w:right w:w="43" w:type="dxa"/>
            </w:tcMar>
          </w:tcPr>
          <w:p w14:paraId="78F3FC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1DA80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C40D8D" w14:textId="77777777" w:rsidR="00575AC3" w:rsidRPr="006D40F0" w:rsidRDefault="00575AC3" w:rsidP="006D40F0">
            <w:r w:rsidRPr="006D40F0">
              <w:t>fra kr 26 000 000 til kr 23 000 000</w:t>
            </w:r>
          </w:p>
        </w:tc>
        <w:tc>
          <w:tcPr>
            <w:tcW w:w="1400" w:type="dxa"/>
            <w:tcBorders>
              <w:top w:val="nil"/>
              <w:left w:val="nil"/>
              <w:bottom w:val="nil"/>
              <w:right w:val="nil"/>
            </w:tcBorders>
            <w:tcMar>
              <w:top w:w="128" w:type="dxa"/>
              <w:left w:w="43" w:type="dxa"/>
              <w:bottom w:w="43" w:type="dxa"/>
              <w:right w:w="43" w:type="dxa"/>
            </w:tcMar>
            <w:vAlign w:val="bottom"/>
          </w:tcPr>
          <w:p w14:paraId="7348C179" w14:textId="77777777" w:rsidR="00575AC3" w:rsidRPr="006D40F0" w:rsidRDefault="00575AC3" w:rsidP="006D40F0"/>
        </w:tc>
      </w:tr>
      <w:tr w:rsidR="00DD49A7" w:rsidRPr="006D40F0" w14:paraId="62ACD0D3" w14:textId="77777777">
        <w:trPr>
          <w:trHeight w:val="380"/>
        </w:trPr>
        <w:tc>
          <w:tcPr>
            <w:tcW w:w="680" w:type="dxa"/>
            <w:tcBorders>
              <w:top w:val="nil"/>
              <w:left w:val="nil"/>
              <w:bottom w:val="nil"/>
              <w:right w:val="nil"/>
            </w:tcBorders>
            <w:tcMar>
              <w:top w:w="128" w:type="dxa"/>
              <w:left w:w="43" w:type="dxa"/>
              <w:bottom w:w="43" w:type="dxa"/>
              <w:right w:w="43" w:type="dxa"/>
            </w:tcMar>
          </w:tcPr>
          <w:p w14:paraId="4A05C7F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D43414"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9DEC0B4" w14:textId="77777777" w:rsidR="00575AC3" w:rsidRPr="006D40F0" w:rsidRDefault="00575AC3" w:rsidP="006D40F0">
            <w:r w:rsidRPr="006D40F0">
              <w:t xml:space="preserve">Tilskudd, sivile,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1938047" w14:textId="77777777" w:rsidR="00575AC3" w:rsidRPr="006D40F0" w:rsidRDefault="00575AC3" w:rsidP="006D40F0">
            <w:r w:rsidRPr="006D40F0">
              <w:t>1 000 000</w:t>
            </w:r>
          </w:p>
        </w:tc>
      </w:tr>
      <w:tr w:rsidR="00DD49A7" w:rsidRPr="006D40F0" w14:paraId="290171EE" w14:textId="77777777">
        <w:trPr>
          <w:trHeight w:val="380"/>
        </w:trPr>
        <w:tc>
          <w:tcPr>
            <w:tcW w:w="680" w:type="dxa"/>
            <w:tcBorders>
              <w:top w:val="nil"/>
              <w:left w:val="nil"/>
              <w:bottom w:val="nil"/>
              <w:right w:val="nil"/>
            </w:tcBorders>
            <w:tcMar>
              <w:top w:w="128" w:type="dxa"/>
              <w:left w:w="43" w:type="dxa"/>
              <w:bottom w:w="43" w:type="dxa"/>
              <w:right w:w="43" w:type="dxa"/>
            </w:tcMar>
          </w:tcPr>
          <w:p w14:paraId="1AD40E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44AF07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F76682" w14:textId="77777777" w:rsidR="00575AC3" w:rsidRPr="006D40F0" w:rsidRDefault="00575AC3" w:rsidP="006D40F0">
            <w:r w:rsidRPr="006D40F0">
              <w:t>fra kr 74 000 000 til kr 75 000 000</w:t>
            </w:r>
          </w:p>
        </w:tc>
        <w:tc>
          <w:tcPr>
            <w:tcW w:w="1400" w:type="dxa"/>
            <w:tcBorders>
              <w:top w:val="nil"/>
              <w:left w:val="nil"/>
              <w:bottom w:val="nil"/>
              <w:right w:val="nil"/>
            </w:tcBorders>
            <w:tcMar>
              <w:top w:w="128" w:type="dxa"/>
              <w:left w:w="43" w:type="dxa"/>
              <w:bottom w:w="43" w:type="dxa"/>
              <w:right w:w="43" w:type="dxa"/>
            </w:tcMar>
            <w:vAlign w:val="bottom"/>
          </w:tcPr>
          <w:p w14:paraId="0324774D" w14:textId="77777777" w:rsidR="00575AC3" w:rsidRPr="006D40F0" w:rsidRDefault="00575AC3" w:rsidP="006D40F0"/>
        </w:tc>
      </w:tr>
      <w:tr w:rsidR="00DD49A7" w:rsidRPr="006D40F0" w14:paraId="531A5CDC" w14:textId="77777777">
        <w:trPr>
          <w:trHeight w:val="380"/>
        </w:trPr>
        <w:tc>
          <w:tcPr>
            <w:tcW w:w="680" w:type="dxa"/>
            <w:tcBorders>
              <w:top w:val="nil"/>
              <w:left w:val="nil"/>
              <w:bottom w:val="nil"/>
              <w:right w:val="nil"/>
            </w:tcBorders>
            <w:tcMar>
              <w:top w:w="128" w:type="dxa"/>
              <w:left w:w="43" w:type="dxa"/>
              <w:bottom w:w="43" w:type="dxa"/>
              <w:right w:w="43" w:type="dxa"/>
            </w:tcMar>
          </w:tcPr>
          <w:p w14:paraId="377C90B4" w14:textId="77777777" w:rsidR="00575AC3" w:rsidRPr="006D40F0" w:rsidRDefault="00575AC3" w:rsidP="006D40F0">
            <w:r w:rsidRPr="006D40F0">
              <w:t>666</w:t>
            </w:r>
          </w:p>
        </w:tc>
        <w:tc>
          <w:tcPr>
            <w:tcW w:w="680" w:type="dxa"/>
            <w:tcBorders>
              <w:top w:val="nil"/>
              <w:left w:val="nil"/>
              <w:bottom w:val="nil"/>
              <w:right w:val="nil"/>
            </w:tcBorders>
            <w:tcMar>
              <w:top w:w="128" w:type="dxa"/>
              <w:left w:w="43" w:type="dxa"/>
              <w:bottom w:w="43" w:type="dxa"/>
              <w:right w:w="43" w:type="dxa"/>
            </w:tcMar>
          </w:tcPr>
          <w:p w14:paraId="40C820A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9AA480" w14:textId="77777777" w:rsidR="00575AC3" w:rsidRPr="006D40F0" w:rsidRDefault="00575AC3" w:rsidP="006D40F0">
            <w:r w:rsidRPr="006D40F0">
              <w:t>Avtalefestet pensjon (AFP):</w:t>
            </w:r>
          </w:p>
        </w:tc>
        <w:tc>
          <w:tcPr>
            <w:tcW w:w="1400" w:type="dxa"/>
            <w:tcBorders>
              <w:top w:val="nil"/>
              <w:left w:val="nil"/>
              <w:bottom w:val="nil"/>
              <w:right w:val="nil"/>
            </w:tcBorders>
            <w:tcMar>
              <w:top w:w="128" w:type="dxa"/>
              <w:left w:w="43" w:type="dxa"/>
              <w:bottom w:w="43" w:type="dxa"/>
              <w:right w:w="43" w:type="dxa"/>
            </w:tcMar>
            <w:vAlign w:val="bottom"/>
          </w:tcPr>
          <w:p w14:paraId="3FA5B4EA" w14:textId="77777777" w:rsidR="00575AC3" w:rsidRPr="006D40F0" w:rsidRDefault="00575AC3" w:rsidP="006D40F0"/>
        </w:tc>
      </w:tr>
      <w:tr w:rsidR="00DD49A7" w:rsidRPr="006D40F0" w14:paraId="31CF2F68" w14:textId="77777777">
        <w:trPr>
          <w:trHeight w:val="380"/>
        </w:trPr>
        <w:tc>
          <w:tcPr>
            <w:tcW w:w="680" w:type="dxa"/>
            <w:tcBorders>
              <w:top w:val="nil"/>
              <w:left w:val="nil"/>
              <w:bottom w:val="nil"/>
              <w:right w:val="nil"/>
            </w:tcBorders>
            <w:tcMar>
              <w:top w:w="128" w:type="dxa"/>
              <w:left w:w="43" w:type="dxa"/>
              <w:bottom w:w="43" w:type="dxa"/>
              <w:right w:w="43" w:type="dxa"/>
            </w:tcMar>
          </w:tcPr>
          <w:p w14:paraId="356934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0903CF"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4E3E3C2" w14:textId="77777777" w:rsidR="00575AC3" w:rsidRPr="006D40F0" w:rsidRDefault="00575AC3" w:rsidP="006D40F0">
            <w:r w:rsidRPr="006D40F0">
              <w:t xml:space="preserve">Tilskudd,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5A54EDD" w14:textId="77777777" w:rsidR="00575AC3" w:rsidRPr="006D40F0" w:rsidRDefault="00575AC3" w:rsidP="006D40F0">
            <w:r w:rsidRPr="006D40F0">
              <w:t>30 000 000</w:t>
            </w:r>
          </w:p>
        </w:tc>
      </w:tr>
      <w:tr w:rsidR="00DD49A7" w:rsidRPr="006D40F0" w14:paraId="6BE60AE1" w14:textId="77777777">
        <w:trPr>
          <w:trHeight w:val="380"/>
        </w:trPr>
        <w:tc>
          <w:tcPr>
            <w:tcW w:w="680" w:type="dxa"/>
            <w:tcBorders>
              <w:top w:val="nil"/>
              <w:left w:val="nil"/>
              <w:bottom w:val="nil"/>
              <w:right w:val="nil"/>
            </w:tcBorders>
            <w:tcMar>
              <w:top w:w="128" w:type="dxa"/>
              <w:left w:w="43" w:type="dxa"/>
              <w:bottom w:w="43" w:type="dxa"/>
              <w:right w:w="43" w:type="dxa"/>
            </w:tcMar>
          </w:tcPr>
          <w:p w14:paraId="745A685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60ECD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06A4F2A" w14:textId="77777777" w:rsidR="00575AC3" w:rsidRPr="006D40F0" w:rsidRDefault="00575AC3" w:rsidP="006D40F0">
            <w:r w:rsidRPr="006D40F0">
              <w:t>fra kr 3 990 000 000 til kr 4 020 000 000</w:t>
            </w:r>
          </w:p>
        </w:tc>
        <w:tc>
          <w:tcPr>
            <w:tcW w:w="1400" w:type="dxa"/>
            <w:tcBorders>
              <w:top w:val="nil"/>
              <w:left w:val="nil"/>
              <w:bottom w:val="nil"/>
              <w:right w:val="nil"/>
            </w:tcBorders>
            <w:tcMar>
              <w:top w:w="128" w:type="dxa"/>
              <w:left w:w="43" w:type="dxa"/>
              <w:bottom w:w="43" w:type="dxa"/>
              <w:right w:w="43" w:type="dxa"/>
            </w:tcMar>
            <w:vAlign w:val="bottom"/>
          </w:tcPr>
          <w:p w14:paraId="696BE967" w14:textId="77777777" w:rsidR="00575AC3" w:rsidRPr="006D40F0" w:rsidRDefault="00575AC3" w:rsidP="006D40F0"/>
        </w:tc>
      </w:tr>
      <w:tr w:rsidR="00DD49A7" w:rsidRPr="006D40F0" w14:paraId="45EC4068" w14:textId="77777777">
        <w:trPr>
          <w:trHeight w:val="380"/>
        </w:trPr>
        <w:tc>
          <w:tcPr>
            <w:tcW w:w="680" w:type="dxa"/>
            <w:tcBorders>
              <w:top w:val="nil"/>
              <w:left w:val="nil"/>
              <w:bottom w:val="nil"/>
              <w:right w:val="nil"/>
            </w:tcBorders>
            <w:tcMar>
              <w:top w:w="128" w:type="dxa"/>
              <w:left w:w="43" w:type="dxa"/>
              <w:bottom w:w="43" w:type="dxa"/>
              <w:right w:w="43" w:type="dxa"/>
            </w:tcMar>
          </w:tcPr>
          <w:p w14:paraId="733C3A3E" w14:textId="77777777" w:rsidR="00575AC3" w:rsidRPr="006D40F0" w:rsidRDefault="00575AC3" w:rsidP="006D40F0">
            <w:r w:rsidRPr="006D40F0">
              <w:t>667</w:t>
            </w:r>
          </w:p>
        </w:tc>
        <w:tc>
          <w:tcPr>
            <w:tcW w:w="680" w:type="dxa"/>
            <w:tcBorders>
              <w:top w:val="nil"/>
              <w:left w:val="nil"/>
              <w:bottom w:val="nil"/>
              <w:right w:val="nil"/>
            </w:tcBorders>
            <w:tcMar>
              <w:top w:w="128" w:type="dxa"/>
              <w:left w:w="43" w:type="dxa"/>
              <w:bottom w:w="43" w:type="dxa"/>
              <w:right w:w="43" w:type="dxa"/>
            </w:tcMar>
          </w:tcPr>
          <w:p w14:paraId="68935A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14206B" w14:textId="77777777" w:rsidR="00575AC3" w:rsidRPr="006D40F0" w:rsidRDefault="00575AC3" w:rsidP="006D40F0">
            <w:r w:rsidRPr="006D40F0">
              <w:t>Supplerende stønad:</w:t>
            </w:r>
          </w:p>
        </w:tc>
        <w:tc>
          <w:tcPr>
            <w:tcW w:w="1400" w:type="dxa"/>
            <w:tcBorders>
              <w:top w:val="nil"/>
              <w:left w:val="nil"/>
              <w:bottom w:val="nil"/>
              <w:right w:val="nil"/>
            </w:tcBorders>
            <w:tcMar>
              <w:top w:w="128" w:type="dxa"/>
              <w:left w:w="43" w:type="dxa"/>
              <w:bottom w:w="43" w:type="dxa"/>
              <w:right w:w="43" w:type="dxa"/>
            </w:tcMar>
            <w:vAlign w:val="bottom"/>
          </w:tcPr>
          <w:p w14:paraId="372C9F69" w14:textId="77777777" w:rsidR="00575AC3" w:rsidRPr="006D40F0" w:rsidRDefault="00575AC3" w:rsidP="006D40F0"/>
        </w:tc>
      </w:tr>
      <w:tr w:rsidR="00DD49A7" w:rsidRPr="006D40F0" w14:paraId="5EC5ACFD" w14:textId="77777777">
        <w:trPr>
          <w:trHeight w:val="640"/>
        </w:trPr>
        <w:tc>
          <w:tcPr>
            <w:tcW w:w="680" w:type="dxa"/>
            <w:tcBorders>
              <w:top w:val="nil"/>
              <w:left w:val="nil"/>
              <w:bottom w:val="nil"/>
              <w:right w:val="nil"/>
            </w:tcBorders>
            <w:tcMar>
              <w:top w:w="128" w:type="dxa"/>
              <w:left w:w="43" w:type="dxa"/>
              <w:bottom w:w="43" w:type="dxa"/>
              <w:right w:w="43" w:type="dxa"/>
            </w:tcMar>
          </w:tcPr>
          <w:p w14:paraId="136FB7A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E4CA9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73D1604" w14:textId="77777777" w:rsidR="00575AC3" w:rsidRPr="006D40F0" w:rsidRDefault="00575AC3" w:rsidP="006D40F0">
            <w:r w:rsidRPr="006D40F0">
              <w:t xml:space="preserve">Tilskudd til personer over 67 år med kort botid,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D826768" w14:textId="77777777" w:rsidR="00575AC3" w:rsidRPr="006D40F0" w:rsidRDefault="00575AC3" w:rsidP="006D40F0">
            <w:r w:rsidRPr="006D40F0">
              <w:t>15 000 000</w:t>
            </w:r>
          </w:p>
        </w:tc>
      </w:tr>
      <w:tr w:rsidR="00DD49A7" w:rsidRPr="006D40F0" w14:paraId="22E0F42F" w14:textId="77777777">
        <w:trPr>
          <w:trHeight w:val="380"/>
        </w:trPr>
        <w:tc>
          <w:tcPr>
            <w:tcW w:w="680" w:type="dxa"/>
            <w:tcBorders>
              <w:top w:val="nil"/>
              <w:left w:val="nil"/>
              <w:bottom w:val="nil"/>
              <w:right w:val="nil"/>
            </w:tcBorders>
            <w:tcMar>
              <w:top w:w="128" w:type="dxa"/>
              <w:left w:w="43" w:type="dxa"/>
              <w:bottom w:w="43" w:type="dxa"/>
              <w:right w:w="43" w:type="dxa"/>
            </w:tcMar>
          </w:tcPr>
          <w:p w14:paraId="608A463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B3AF4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F58ED39" w14:textId="77777777" w:rsidR="00575AC3" w:rsidRPr="006D40F0" w:rsidRDefault="00575AC3" w:rsidP="006D40F0">
            <w:r w:rsidRPr="006D40F0">
              <w:t>fra kr 400 000 000 til kr 385 000 000</w:t>
            </w:r>
          </w:p>
        </w:tc>
        <w:tc>
          <w:tcPr>
            <w:tcW w:w="1400" w:type="dxa"/>
            <w:tcBorders>
              <w:top w:val="nil"/>
              <w:left w:val="nil"/>
              <w:bottom w:val="nil"/>
              <w:right w:val="nil"/>
            </w:tcBorders>
            <w:tcMar>
              <w:top w:w="128" w:type="dxa"/>
              <w:left w:w="43" w:type="dxa"/>
              <w:bottom w:w="43" w:type="dxa"/>
              <w:right w:w="43" w:type="dxa"/>
            </w:tcMar>
            <w:vAlign w:val="bottom"/>
          </w:tcPr>
          <w:p w14:paraId="61916BC9" w14:textId="77777777" w:rsidR="00575AC3" w:rsidRPr="006D40F0" w:rsidRDefault="00575AC3" w:rsidP="006D40F0"/>
        </w:tc>
      </w:tr>
      <w:tr w:rsidR="00DD49A7" w:rsidRPr="006D40F0" w14:paraId="40902650" w14:textId="77777777">
        <w:trPr>
          <w:trHeight w:val="640"/>
        </w:trPr>
        <w:tc>
          <w:tcPr>
            <w:tcW w:w="680" w:type="dxa"/>
            <w:tcBorders>
              <w:top w:val="nil"/>
              <w:left w:val="nil"/>
              <w:bottom w:val="nil"/>
              <w:right w:val="nil"/>
            </w:tcBorders>
            <w:tcMar>
              <w:top w:w="128" w:type="dxa"/>
              <w:left w:w="43" w:type="dxa"/>
              <w:bottom w:w="43" w:type="dxa"/>
              <w:right w:w="43" w:type="dxa"/>
            </w:tcMar>
          </w:tcPr>
          <w:p w14:paraId="2B0473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D7CF47"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4637BF8B" w14:textId="77777777" w:rsidR="00575AC3" w:rsidRPr="006D40F0" w:rsidRDefault="00575AC3" w:rsidP="006D40F0">
            <w:r w:rsidRPr="006D40F0">
              <w:t xml:space="preserve">Tilskudd til uføre flyktninger med kort botid,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3BC0EC9" w14:textId="77777777" w:rsidR="00575AC3" w:rsidRPr="006D40F0" w:rsidRDefault="00575AC3" w:rsidP="006D40F0">
            <w:r w:rsidRPr="006D40F0">
              <w:t>12 000 000</w:t>
            </w:r>
          </w:p>
        </w:tc>
      </w:tr>
      <w:tr w:rsidR="00DD49A7" w:rsidRPr="006D40F0" w14:paraId="44BFE82C" w14:textId="77777777">
        <w:trPr>
          <w:trHeight w:val="380"/>
        </w:trPr>
        <w:tc>
          <w:tcPr>
            <w:tcW w:w="680" w:type="dxa"/>
            <w:tcBorders>
              <w:top w:val="nil"/>
              <w:left w:val="nil"/>
              <w:bottom w:val="nil"/>
              <w:right w:val="nil"/>
            </w:tcBorders>
            <w:tcMar>
              <w:top w:w="128" w:type="dxa"/>
              <w:left w:w="43" w:type="dxa"/>
              <w:bottom w:w="43" w:type="dxa"/>
              <w:right w:w="43" w:type="dxa"/>
            </w:tcMar>
          </w:tcPr>
          <w:p w14:paraId="751A97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8241B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3B7583" w14:textId="77777777" w:rsidR="00575AC3" w:rsidRPr="006D40F0" w:rsidRDefault="00575AC3" w:rsidP="006D40F0">
            <w:r w:rsidRPr="006D40F0">
              <w:t>fra kr 176 000 000 til kr 188 000 000</w:t>
            </w:r>
          </w:p>
        </w:tc>
        <w:tc>
          <w:tcPr>
            <w:tcW w:w="1400" w:type="dxa"/>
            <w:tcBorders>
              <w:top w:val="nil"/>
              <w:left w:val="nil"/>
              <w:bottom w:val="nil"/>
              <w:right w:val="nil"/>
            </w:tcBorders>
            <w:tcMar>
              <w:top w:w="128" w:type="dxa"/>
              <w:left w:w="43" w:type="dxa"/>
              <w:bottom w:w="43" w:type="dxa"/>
              <w:right w:w="43" w:type="dxa"/>
            </w:tcMar>
            <w:vAlign w:val="bottom"/>
          </w:tcPr>
          <w:p w14:paraId="5018068B" w14:textId="77777777" w:rsidR="00575AC3" w:rsidRPr="006D40F0" w:rsidRDefault="00575AC3" w:rsidP="006D40F0"/>
        </w:tc>
      </w:tr>
      <w:tr w:rsidR="00DD49A7" w:rsidRPr="006D40F0" w14:paraId="305B63D7" w14:textId="77777777">
        <w:trPr>
          <w:trHeight w:val="380"/>
        </w:trPr>
        <w:tc>
          <w:tcPr>
            <w:tcW w:w="680" w:type="dxa"/>
            <w:tcBorders>
              <w:top w:val="nil"/>
              <w:left w:val="nil"/>
              <w:bottom w:val="nil"/>
              <w:right w:val="nil"/>
            </w:tcBorders>
            <w:tcMar>
              <w:top w:w="128" w:type="dxa"/>
              <w:left w:w="43" w:type="dxa"/>
              <w:bottom w:w="43" w:type="dxa"/>
              <w:right w:w="43" w:type="dxa"/>
            </w:tcMar>
          </w:tcPr>
          <w:p w14:paraId="113ACC7C" w14:textId="77777777" w:rsidR="00575AC3" w:rsidRPr="006D40F0" w:rsidRDefault="00575AC3" w:rsidP="006D40F0">
            <w:r w:rsidRPr="006D40F0">
              <w:t>671</w:t>
            </w:r>
          </w:p>
        </w:tc>
        <w:tc>
          <w:tcPr>
            <w:tcW w:w="680" w:type="dxa"/>
            <w:tcBorders>
              <w:top w:val="nil"/>
              <w:left w:val="nil"/>
              <w:bottom w:val="nil"/>
              <w:right w:val="nil"/>
            </w:tcBorders>
            <w:tcMar>
              <w:top w:w="128" w:type="dxa"/>
              <w:left w:w="43" w:type="dxa"/>
              <w:bottom w:w="43" w:type="dxa"/>
              <w:right w:w="43" w:type="dxa"/>
            </w:tcMar>
          </w:tcPr>
          <w:p w14:paraId="17C3652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0B3951" w14:textId="77777777" w:rsidR="00575AC3" w:rsidRPr="006D40F0" w:rsidRDefault="00575AC3" w:rsidP="006D40F0">
            <w:r w:rsidRPr="006D40F0">
              <w:t>Bosetting av flyktninger og tiltak for innvandrere:</w:t>
            </w:r>
          </w:p>
        </w:tc>
        <w:tc>
          <w:tcPr>
            <w:tcW w:w="1400" w:type="dxa"/>
            <w:tcBorders>
              <w:top w:val="nil"/>
              <w:left w:val="nil"/>
              <w:bottom w:val="nil"/>
              <w:right w:val="nil"/>
            </w:tcBorders>
            <w:tcMar>
              <w:top w:w="128" w:type="dxa"/>
              <w:left w:w="43" w:type="dxa"/>
              <w:bottom w:w="43" w:type="dxa"/>
              <w:right w:w="43" w:type="dxa"/>
            </w:tcMar>
            <w:vAlign w:val="bottom"/>
          </w:tcPr>
          <w:p w14:paraId="4FA2B736" w14:textId="77777777" w:rsidR="00575AC3" w:rsidRPr="006D40F0" w:rsidRDefault="00575AC3" w:rsidP="006D40F0"/>
        </w:tc>
      </w:tr>
      <w:tr w:rsidR="00DD49A7" w:rsidRPr="006D40F0" w14:paraId="2C3E1AF4" w14:textId="77777777">
        <w:trPr>
          <w:trHeight w:val="380"/>
        </w:trPr>
        <w:tc>
          <w:tcPr>
            <w:tcW w:w="680" w:type="dxa"/>
            <w:tcBorders>
              <w:top w:val="nil"/>
              <w:left w:val="nil"/>
              <w:bottom w:val="nil"/>
              <w:right w:val="nil"/>
            </w:tcBorders>
            <w:tcMar>
              <w:top w:w="128" w:type="dxa"/>
              <w:left w:w="43" w:type="dxa"/>
              <w:bottom w:w="43" w:type="dxa"/>
              <w:right w:w="43" w:type="dxa"/>
            </w:tcMar>
          </w:tcPr>
          <w:p w14:paraId="3D12050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58844F"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19D8BA92" w14:textId="77777777" w:rsidR="00575AC3" w:rsidRPr="006D40F0" w:rsidRDefault="00575AC3" w:rsidP="006D40F0">
            <w:r w:rsidRPr="006D40F0">
              <w:t xml:space="preserve">Integreringstilskudd,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A7A2DDC" w14:textId="77777777" w:rsidR="00575AC3" w:rsidRPr="006D40F0" w:rsidRDefault="00575AC3" w:rsidP="006D40F0">
            <w:r w:rsidRPr="006D40F0">
              <w:t>500 671 000</w:t>
            </w:r>
          </w:p>
        </w:tc>
      </w:tr>
      <w:tr w:rsidR="00DD49A7" w:rsidRPr="006D40F0" w14:paraId="61919A45" w14:textId="77777777">
        <w:trPr>
          <w:trHeight w:val="380"/>
        </w:trPr>
        <w:tc>
          <w:tcPr>
            <w:tcW w:w="680" w:type="dxa"/>
            <w:tcBorders>
              <w:top w:val="nil"/>
              <w:left w:val="nil"/>
              <w:bottom w:val="nil"/>
              <w:right w:val="nil"/>
            </w:tcBorders>
            <w:tcMar>
              <w:top w:w="128" w:type="dxa"/>
              <w:left w:w="43" w:type="dxa"/>
              <w:bottom w:w="43" w:type="dxa"/>
              <w:right w:w="43" w:type="dxa"/>
            </w:tcMar>
          </w:tcPr>
          <w:p w14:paraId="659CC7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AA9D00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9F4E9F" w14:textId="77777777" w:rsidR="00575AC3" w:rsidRPr="006D40F0" w:rsidRDefault="00575AC3" w:rsidP="006D40F0">
            <w:r w:rsidRPr="006D40F0">
              <w:t>fra kr 23 627 135 000 til kr 23 126 464 000</w:t>
            </w:r>
          </w:p>
        </w:tc>
        <w:tc>
          <w:tcPr>
            <w:tcW w:w="1400" w:type="dxa"/>
            <w:tcBorders>
              <w:top w:val="nil"/>
              <w:left w:val="nil"/>
              <w:bottom w:val="nil"/>
              <w:right w:val="nil"/>
            </w:tcBorders>
            <w:tcMar>
              <w:top w:w="128" w:type="dxa"/>
              <w:left w:w="43" w:type="dxa"/>
              <w:bottom w:w="43" w:type="dxa"/>
              <w:right w:w="43" w:type="dxa"/>
            </w:tcMar>
            <w:vAlign w:val="bottom"/>
          </w:tcPr>
          <w:p w14:paraId="4D982A0A" w14:textId="77777777" w:rsidR="00575AC3" w:rsidRPr="006D40F0" w:rsidRDefault="00575AC3" w:rsidP="006D40F0"/>
        </w:tc>
      </w:tr>
      <w:tr w:rsidR="00DD49A7" w:rsidRPr="006D40F0" w14:paraId="7E2F9185" w14:textId="77777777">
        <w:trPr>
          <w:trHeight w:val="640"/>
        </w:trPr>
        <w:tc>
          <w:tcPr>
            <w:tcW w:w="680" w:type="dxa"/>
            <w:tcBorders>
              <w:top w:val="nil"/>
              <w:left w:val="nil"/>
              <w:bottom w:val="nil"/>
              <w:right w:val="nil"/>
            </w:tcBorders>
            <w:tcMar>
              <w:top w:w="128" w:type="dxa"/>
              <w:left w:w="43" w:type="dxa"/>
              <w:bottom w:w="43" w:type="dxa"/>
              <w:right w:w="43" w:type="dxa"/>
            </w:tcMar>
          </w:tcPr>
          <w:p w14:paraId="29D844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D055A0"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1B71C9B9" w14:textId="106E2B0B" w:rsidR="00575AC3" w:rsidRPr="006D40F0" w:rsidRDefault="00575AC3" w:rsidP="006D40F0">
            <w:r w:rsidRPr="006D40F0">
              <w:t>Særskilt tilskudd ved bosetting av enslige, mindreårige flyktninger,</w:t>
            </w:r>
            <w:r w:rsidR="006D40F0">
              <w:t xml:space="preserv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7547593" w14:textId="77777777" w:rsidR="00575AC3" w:rsidRPr="006D40F0" w:rsidRDefault="00575AC3" w:rsidP="006D40F0">
            <w:r w:rsidRPr="006D40F0">
              <w:t>26 313 000</w:t>
            </w:r>
          </w:p>
        </w:tc>
      </w:tr>
      <w:tr w:rsidR="00DD49A7" w:rsidRPr="006D40F0" w14:paraId="0792D19C" w14:textId="77777777">
        <w:trPr>
          <w:trHeight w:val="380"/>
        </w:trPr>
        <w:tc>
          <w:tcPr>
            <w:tcW w:w="680" w:type="dxa"/>
            <w:tcBorders>
              <w:top w:val="nil"/>
              <w:left w:val="nil"/>
              <w:bottom w:val="nil"/>
              <w:right w:val="nil"/>
            </w:tcBorders>
            <w:tcMar>
              <w:top w:w="128" w:type="dxa"/>
              <w:left w:w="43" w:type="dxa"/>
              <w:bottom w:w="43" w:type="dxa"/>
              <w:right w:w="43" w:type="dxa"/>
            </w:tcMar>
          </w:tcPr>
          <w:p w14:paraId="01EE84B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67366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9DFA6A" w14:textId="77777777" w:rsidR="00575AC3" w:rsidRPr="006D40F0" w:rsidRDefault="00575AC3" w:rsidP="006D40F0">
            <w:r w:rsidRPr="006D40F0">
              <w:t>fra kr 1 788 725 000 til kr 1 815 038 000</w:t>
            </w:r>
          </w:p>
        </w:tc>
        <w:tc>
          <w:tcPr>
            <w:tcW w:w="1400" w:type="dxa"/>
            <w:tcBorders>
              <w:top w:val="nil"/>
              <w:left w:val="nil"/>
              <w:bottom w:val="nil"/>
              <w:right w:val="nil"/>
            </w:tcBorders>
            <w:tcMar>
              <w:top w:w="128" w:type="dxa"/>
              <w:left w:w="43" w:type="dxa"/>
              <w:bottom w:w="43" w:type="dxa"/>
              <w:right w:w="43" w:type="dxa"/>
            </w:tcMar>
            <w:vAlign w:val="bottom"/>
          </w:tcPr>
          <w:p w14:paraId="379C7074" w14:textId="77777777" w:rsidR="00575AC3" w:rsidRPr="006D40F0" w:rsidRDefault="00575AC3" w:rsidP="006D40F0"/>
        </w:tc>
      </w:tr>
      <w:tr w:rsidR="00DD49A7" w:rsidRPr="006D40F0" w14:paraId="58AAC162" w14:textId="77777777">
        <w:trPr>
          <w:trHeight w:val="380"/>
        </w:trPr>
        <w:tc>
          <w:tcPr>
            <w:tcW w:w="680" w:type="dxa"/>
            <w:tcBorders>
              <w:top w:val="nil"/>
              <w:left w:val="nil"/>
              <w:bottom w:val="nil"/>
              <w:right w:val="nil"/>
            </w:tcBorders>
            <w:tcMar>
              <w:top w:w="128" w:type="dxa"/>
              <w:left w:w="43" w:type="dxa"/>
              <w:bottom w:w="43" w:type="dxa"/>
              <w:right w:w="43" w:type="dxa"/>
            </w:tcMar>
          </w:tcPr>
          <w:p w14:paraId="267FFB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DB8A70" w14:textId="77777777" w:rsidR="00575AC3" w:rsidRPr="006D40F0" w:rsidRDefault="00575AC3" w:rsidP="006D40F0">
            <w:r w:rsidRPr="006D40F0">
              <w:t>62</w:t>
            </w:r>
          </w:p>
        </w:tc>
        <w:tc>
          <w:tcPr>
            <w:tcW w:w="6800" w:type="dxa"/>
            <w:tcBorders>
              <w:top w:val="nil"/>
              <w:left w:val="nil"/>
              <w:bottom w:val="nil"/>
              <w:right w:val="nil"/>
            </w:tcBorders>
            <w:tcMar>
              <w:top w:w="128" w:type="dxa"/>
              <w:left w:w="43" w:type="dxa"/>
              <w:bottom w:w="43" w:type="dxa"/>
              <w:right w:w="43" w:type="dxa"/>
            </w:tcMar>
          </w:tcPr>
          <w:p w14:paraId="7F5AA820" w14:textId="77777777" w:rsidR="00575AC3" w:rsidRPr="006D40F0" w:rsidRDefault="00575AC3" w:rsidP="006D40F0">
            <w:r w:rsidRPr="006D40F0">
              <w:t>Kommunale integreringstiltak, nedsettes med</w:t>
            </w:r>
          </w:p>
        </w:tc>
        <w:tc>
          <w:tcPr>
            <w:tcW w:w="1400" w:type="dxa"/>
            <w:tcBorders>
              <w:top w:val="nil"/>
              <w:left w:val="nil"/>
              <w:bottom w:val="nil"/>
              <w:right w:val="nil"/>
            </w:tcBorders>
            <w:tcMar>
              <w:top w:w="128" w:type="dxa"/>
              <w:left w:w="43" w:type="dxa"/>
              <w:bottom w:w="43" w:type="dxa"/>
              <w:right w:w="43" w:type="dxa"/>
            </w:tcMar>
            <w:vAlign w:val="bottom"/>
          </w:tcPr>
          <w:p w14:paraId="53F0D1BA" w14:textId="77777777" w:rsidR="00575AC3" w:rsidRPr="006D40F0" w:rsidRDefault="00575AC3" w:rsidP="006D40F0">
            <w:r w:rsidRPr="006D40F0">
              <w:t>11 000 000</w:t>
            </w:r>
          </w:p>
        </w:tc>
      </w:tr>
      <w:tr w:rsidR="00DD49A7" w:rsidRPr="006D40F0" w14:paraId="59B93687" w14:textId="77777777">
        <w:trPr>
          <w:trHeight w:val="380"/>
        </w:trPr>
        <w:tc>
          <w:tcPr>
            <w:tcW w:w="680" w:type="dxa"/>
            <w:tcBorders>
              <w:top w:val="nil"/>
              <w:left w:val="nil"/>
              <w:bottom w:val="nil"/>
              <w:right w:val="nil"/>
            </w:tcBorders>
            <w:tcMar>
              <w:top w:w="128" w:type="dxa"/>
              <w:left w:w="43" w:type="dxa"/>
              <w:bottom w:w="43" w:type="dxa"/>
              <w:right w:w="43" w:type="dxa"/>
            </w:tcMar>
          </w:tcPr>
          <w:p w14:paraId="29C9AD4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08A2F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604CA6" w14:textId="77777777" w:rsidR="00575AC3" w:rsidRPr="006D40F0" w:rsidRDefault="00575AC3" w:rsidP="006D40F0">
            <w:r w:rsidRPr="006D40F0">
              <w:t>fra kr 291 393 000 til kr 280 393 000</w:t>
            </w:r>
          </w:p>
        </w:tc>
        <w:tc>
          <w:tcPr>
            <w:tcW w:w="1400" w:type="dxa"/>
            <w:tcBorders>
              <w:top w:val="nil"/>
              <w:left w:val="nil"/>
              <w:bottom w:val="nil"/>
              <w:right w:val="nil"/>
            </w:tcBorders>
            <w:tcMar>
              <w:top w:w="128" w:type="dxa"/>
              <w:left w:w="43" w:type="dxa"/>
              <w:bottom w:w="43" w:type="dxa"/>
              <w:right w:w="43" w:type="dxa"/>
            </w:tcMar>
            <w:vAlign w:val="bottom"/>
          </w:tcPr>
          <w:p w14:paraId="58694642" w14:textId="77777777" w:rsidR="00575AC3" w:rsidRPr="006D40F0" w:rsidRDefault="00575AC3" w:rsidP="006D40F0"/>
        </w:tc>
      </w:tr>
      <w:tr w:rsidR="00DD49A7" w:rsidRPr="006D40F0" w14:paraId="3424611E" w14:textId="77777777">
        <w:trPr>
          <w:trHeight w:val="380"/>
        </w:trPr>
        <w:tc>
          <w:tcPr>
            <w:tcW w:w="680" w:type="dxa"/>
            <w:tcBorders>
              <w:top w:val="nil"/>
              <w:left w:val="nil"/>
              <w:bottom w:val="nil"/>
              <w:right w:val="nil"/>
            </w:tcBorders>
            <w:tcMar>
              <w:top w:w="128" w:type="dxa"/>
              <w:left w:w="43" w:type="dxa"/>
              <w:bottom w:w="43" w:type="dxa"/>
              <w:right w:w="43" w:type="dxa"/>
            </w:tcMar>
          </w:tcPr>
          <w:p w14:paraId="316DD01B" w14:textId="77777777" w:rsidR="00575AC3" w:rsidRPr="006D40F0" w:rsidRDefault="00575AC3" w:rsidP="006D40F0">
            <w:r w:rsidRPr="006D40F0">
              <w:t>672</w:t>
            </w:r>
          </w:p>
        </w:tc>
        <w:tc>
          <w:tcPr>
            <w:tcW w:w="680" w:type="dxa"/>
            <w:tcBorders>
              <w:top w:val="nil"/>
              <w:left w:val="nil"/>
              <w:bottom w:val="nil"/>
              <w:right w:val="nil"/>
            </w:tcBorders>
            <w:tcMar>
              <w:top w:w="128" w:type="dxa"/>
              <w:left w:w="43" w:type="dxa"/>
              <w:bottom w:w="43" w:type="dxa"/>
              <w:right w:w="43" w:type="dxa"/>
            </w:tcMar>
          </w:tcPr>
          <w:p w14:paraId="5CD5675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EA2BAF" w14:textId="77777777" w:rsidR="00575AC3" w:rsidRPr="006D40F0" w:rsidRDefault="00575AC3" w:rsidP="006D40F0">
            <w:r w:rsidRPr="006D40F0">
              <w:t>Opplæring i norsk og samfunnskunnskap for voksne innvandrere:</w:t>
            </w:r>
          </w:p>
        </w:tc>
        <w:tc>
          <w:tcPr>
            <w:tcW w:w="1400" w:type="dxa"/>
            <w:tcBorders>
              <w:top w:val="nil"/>
              <w:left w:val="nil"/>
              <w:bottom w:val="nil"/>
              <w:right w:val="nil"/>
            </w:tcBorders>
            <w:tcMar>
              <w:top w:w="128" w:type="dxa"/>
              <w:left w:w="43" w:type="dxa"/>
              <w:bottom w:w="43" w:type="dxa"/>
              <w:right w:w="43" w:type="dxa"/>
            </w:tcMar>
            <w:vAlign w:val="bottom"/>
          </w:tcPr>
          <w:p w14:paraId="0F9A7919" w14:textId="77777777" w:rsidR="00575AC3" w:rsidRPr="006D40F0" w:rsidRDefault="00575AC3" w:rsidP="006D40F0"/>
        </w:tc>
      </w:tr>
      <w:tr w:rsidR="00DD49A7" w:rsidRPr="006D40F0" w14:paraId="0E6378A7" w14:textId="77777777">
        <w:trPr>
          <w:trHeight w:val="380"/>
        </w:trPr>
        <w:tc>
          <w:tcPr>
            <w:tcW w:w="680" w:type="dxa"/>
            <w:tcBorders>
              <w:top w:val="nil"/>
              <w:left w:val="nil"/>
              <w:bottom w:val="nil"/>
              <w:right w:val="nil"/>
            </w:tcBorders>
            <w:tcMar>
              <w:top w:w="128" w:type="dxa"/>
              <w:left w:w="43" w:type="dxa"/>
              <w:bottom w:w="43" w:type="dxa"/>
              <w:right w:w="43" w:type="dxa"/>
            </w:tcMar>
          </w:tcPr>
          <w:p w14:paraId="72AE8C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5A54DA"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D760489"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398F7B4" w14:textId="77777777" w:rsidR="00575AC3" w:rsidRPr="006D40F0" w:rsidRDefault="00575AC3" w:rsidP="006D40F0">
            <w:r w:rsidRPr="006D40F0">
              <w:t>10 000 000</w:t>
            </w:r>
          </w:p>
        </w:tc>
      </w:tr>
      <w:tr w:rsidR="00DD49A7" w:rsidRPr="006D40F0" w14:paraId="0008B093" w14:textId="77777777">
        <w:trPr>
          <w:trHeight w:val="380"/>
        </w:trPr>
        <w:tc>
          <w:tcPr>
            <w:tcW w:w="680" w:type="dxa"/>
            <w:tcBorders>
              <w:top w:val="nil"/>
              <w:left w:val="nil"/>
              <w:bottom w:val="nil"/>
              <w:right w:val="nil"/>
            </w:tcBorders>
            <w:tcMar>
              <w:top w:w="128" w:type="dxa"/>
              <w:left w:w="43" w:type="dxa"/>
              <w:bottom w:w="43" w:type="dxa"/>
              <w:right w:w="43" w:type="dxa"/>
            </w:tcMar>
          </w:tcPr>
          <w:p w14:paraId="191864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CEA7B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03E05B" w14:textId="77777777" w:rsidR="00575AC3" w:rsidRPr="006D40F0" w:rsidRDefault="00575AC3" w:rsidP="006D40F0">
            <w:r w:rsidRPr="006D40F0">
              <w:t>fra kr 85 665 000 til kr 95 665 000</w:t>
            </w:r>
          </w:p>
        </w:tc>
        <w:tc>
          <w:tcPr>
            <w:tcW w:w="1400" w:type="dxa"/>
            <w:tcBorders>
              <w:top w:val="nil"/>
              <w:left w:val="nil"/>
              <w:bottom w:val="nil"/>
              <w:right w:val="nil"/>
            </w:tcBorders>
            <w:tcMar>
              <w:top w:w="128" w:type="dxa"/>
              <w:left w:w="43" w:type="dxa"/>
              <w:bottom w:w="43" w:type="dxa"/>
              <w:right w:w="43" w:type="dxa"/>
            </w:tcMar>
            <w:vAlign w:val="bottom"/>
          </w:tcPr>
          <w:p w14:paraId="65C2DF98" w14:textId="77777777" w:rsidR="00575AC3" w:rsidRPr="006D40F0" w:rsidRDefault="00575AC3" w:rsidP="006D40F0"/>
        </w:tc>
      </w:tr>
      <w:tr w:rsidR="00DD49A7" w:rsidRPr="006D40F0" w14:paraId="2FCDC85E" w14:textId="77777777">
        <w:trPr>
          <w:trHeight w:val="640"/>
        </w:trPr>
        <w:tc>
          <w:tcPr>
            <w:tcW w:w="680" w:type="dxa"/>
            <w:tcBorders>
              <w:top w:val="nil"/>
              <w:left w:val="nil"/>
              <w:bottom w:val="nil"/>
              <w:right w:val="nil"/>
            </w:tcBorders>
            <w:tcMar>
              <w:top w:w="128" w:type="dxa"/>
              <w:left w:w="43" w:type="dxa"/>
              <w:bottom w:w="43" w:type="dxa"/>
              <w:right w:w="43" w:type="dxa"/>
            </w:tcMar>
          </w:tcPr>
          <w:p w14:paraId="686AAF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DC8364"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29A98765" w14:textId="77777777" w:rsidR="00575AC3" w:rsidRPr="006D40F0" w:rsidRDefault="00575AC3" w:rsidP="006D40F0">
            <w:r w:rsidRPr="006D40F0">
              <w:t>Tilskudd til opplæring i norsk og samfunnskunnskap for voksne innvandrere, forhøyes med</w:t>
            </w:r>
          </w:p>
        </w:tc>
        <w:tc>
          <w:tcPr>
            <w:tcW w:w="1400" w:type="dxa"/>
            <w:tcBorders>
              <w:top w:val="nil"/>
              <w:left w:val="nil"/>
              <w:bottom w:val="nil"/>
              <w:right w:val="nil"/>
            </w:tcBorders>
            <w:tcMar>
              <w:top w:w="128" w:type="dxa"/>
              <w:left w:w="43" w:type="dxa"/>
              <w:bottom w:w="43" w:type="dxa"/>
              <w:right w:w="43" w:type="dxa"/>
            </w:tcMar>
            <w:vAlign w:val="bottom"/>
          </w:tcPr>
          <w:p w14:paraId="67BBEF07" w14:textId="77777777" w:rsidR="00575AC3" w:rsidRPr="006D40F0" w:rsidRDefault="00575AC3" w:rsidP="006D40F0">
            <w:r w:rsidRPr="006D40F0">
              <w:t>21 226 000</w:t>
            </w:r>
          </w:p>
        </w:tc>
      </w:tr>
      <w:tr w:rsidR="00DD49A7" w:rsidRPr="006D40F0" w14:paraId="2574D219" w14:textId="77777777">
        <w:trPr>
          <w:trHeight w:val="380"/>
        </w:trPr>
        <w:tc>
          <w:tcPr>
            <w:tcW w:w="680" w:type="dxa"/>
            <w:tcBorders>
              <w:top w:val="nil"/>
              <w:left w:val="nil"/>
              <w:bottom w:val="nil"/>
              <w:right w:val="nil"/>
            </w:tcBorders>
            <w:tcMar>
              <w:top w:w="128" w:type="dxa"/>
              <w:left w:w="43" w:type="dxa"/>
              <w:bottom w:w="43" w:type="dxa"/>
              <w:right w:w="43" w:type="dxa"/>
            </w:tcMar>
          </w:tcPr>
          <w:p w14:paraId="048C9C6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592EF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56B1311" w14:textId="77777777" w:rsidR="00575AC3" w:rsidRPr="006D40F0" w:rsidRDefault="00575AC3" w:rsidP="006D40F0">
            <w:r w:rsidRPr="006D40F0">
              <w:t>fra kr 2 262 211 000 til kr 2 283 437 000</w:t>
            </w:r>
          </w:p>
        </w:tc>
        <w:tc>
          <w:tcPr>
            <w:tcW w:w="1400" w:type="dxa"/>
            <w:tcBorders>
              <w:top w:val="nil"/>
              <w:left w:val="nil"/>
              <w:bottom w:val="nil"/>
              <w:right w:val="nil"/>
            </w:tcBorders>
            <w:tcMar>
              <w:top w:w="128" w:type="dxa"/>
              <w:left w:w="43" w:type="dxa"/>
              <w:bottom w:w="43" w:type="dxa"/>
              <w:right w:w="43" w:type="dxa"/>
            </w:tcMar>
            <w:vAlign w:val="bottom"/>
          </w:tcPr>
          <w:p w14:paraId="27C75782" w14:textId="77777777" w:rsidR="00575AC3" w:rsidRPr="006D40F0" w:rsidRDefault="00575AC3" w:rsidP="006D40F0"/>
        </w:tc>
      </w:tr>
      <w:tr w:rsidR="00DD49A7" w:rsidRPr="006D40F0" w14:paraId="47B0263E" w14:textId="77777777">
        <w:trPr>
          <w:trHeight w:val="380"/>
        </w:trPr>
        <w:tc>
          <w:tcPr>
            <w:tcW w:w="680" w:type="dxa"/>
            <w:tcBorders>
              <w:top w:val="nil"/>
              <w:left w:val="nil"/>
              <w:bottom w:val="nil"/>
              <w:right w:val="nil"/>
            </w:tcBorders>
            <w:tcMar>
              <w:top w:w="128" w:type="dxa"/>
              <w:left w:w="43" w:type="dxa"/>
              <w:bottom w:w="43" w:type="dxa"/>
              <w:right w:w="43" w:type="dxa"/>
            </w:tcMar>
          </w:tcPr>
          <w:p w14:paraId="0DACC1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8B22F5"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6FC8E2D3" w14:textId="77777777" w:rsidR="00575AC3" w:rsidRPr="006D40F0" w:rsidRDefault="00575AC3" w:rsidP="006D40F0">
            <w:r w:rsidRPr="006D40F0">
              <w:t>Kompetansekartlegging i mottak før bosetting, forhøyes med</w:t>
            </w:r>
          </w:p>
        </w:tc>
        <w:tc>
          <w:tcPr>
            <w:tcW w:w="1400" w:type="dxa"/>
            <w:tcBorders>
              <w:top w:val="nil"/>
              <w:left w:val="nil"/>
              <w:bottom w:val="nil"/>
              <w:right w:val="nil"/>
            </w:tcBorders>
            <w:tcMar>
              <w:top w:w="128" w:type="dxa"/>
              <w:left w:w="43" w:type="dxa"/>
              <w:bottom w:w="43" w:type="dxa"/>
              <w:right w:w="43" w:type="dxa"/>
            </w:tcMar>
            <w:vAlign w:val="bottom"/>
          </w:tcPr>
          <w:p w14:paraId="08B29FFB" w14:textId="77777777" w:rsidR="00575AC3" w:rsidRPr="006D40F0" w:rsidRDefault="00575AC3" w:rsidP="006D40F0">
            <w:r w:rsidRPr="006D40F0">
              <w:t>115 000</w:t>
            </w:r>
          </w:p>
        </w:tc>
      </w:tr>
      <w:tr w:rsidR="00DD49A7" w:rsidRPr="006D40F0" w14:paraId="72BD1542" w14:textId="77777777">
        <w:trPr>
          <w:trHeight w:val="380"/>
        </w:trPr>
        <w:tc>
          <w:tcPr>
            <w:tcW w:w="680" w:type="dxa"/>
            <w:tcBorders>
              <w:top w:val="nil"/>
              <w:left w:val="nil"/>
              <w:bottom w:val="nil"/>
              <w:right w:val="nil"/>
            </w:tcBorders>
            <w:tcMar>
              <w:top w:w="128" w:type="dxa"/>
              <w:left w:w="43" w:type="dxa"/>
              <w:bottom w:w="43" w:type="dxa"/>
              <w:right w:w="43" w:type="dxa"/>
            </w:tcMar>
          </w:tcPr>
          <w:p w14:paraId="4BB7EB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E5567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325830" w14:textId="77777777" w:rsidR="00575AC3" w:rsidRPr="006D40F0" w:rsidRDefault="00575AC3" w:rsidP="006D40F0">
            <w:r w:rsidRPr="006D40F0">
              <w:t>fra kr 1 045 000 til kr 1 160 000</w:t>
            </w:r>
          </w:p>
        </w:tc>
        <w:tc>
          <w:tcPr>
            <w:tcW w:w="1400" w:type="dxa"/>
            <w:tcBorders>
              <w:top w:val="nil"/>
              <w:left w:val="nil"/>
              <w:bottom w:val="nil"/>
              <w:right w:val="nil"/>
            </w:tcBorders>
            <w:tcMar>
              <w:top w:w="128" w:type="dxa"/>
              <w:left w:w="43" w:type="dxa"/>
              <w:bottom w:w="43" w:type="dxa"/>
              <w:right w:w="43" w:type="dxa"/>
            </w:tcMar>
            <w:vAlign w:val="bottom"/>
          </w:tcPr>
          <w:p w14:paraId="0C6DFE2F" w14:textId="77777777" w:rsidR="00575AC3" w:rsidRPr="006D40F0" w:rsidRDefault="00575AC3" w:rsidP="006D40F0"/>
        </w:tc>
      </w:tr>
      <w:tr w:rsidR="00DD49A7" w:rsidRPr="006D40F0" w14:paraId="5EE74FF4" w14:textId="77777777">
        <w:trPr>
          <w:trHeight w:val="380"/>
        </w:trPr>
        <w:tc>
          <w:tcPr>
            <w:tcW w:w="680" w:type="dxa"/>
            <w:tcBorders>
              <w:top w:val="nil"/>
              <w:left w:val="nil"/>
              <w:bottom w:val="nil"/>
              <w:right w:val="nil"/>
            </w:tcBorders>
            <w:tcMar>
              <w:top w:w="128" w:type="dxa"/>
              <w:left w:w="43" w:type="dxa"/>
              <w:bottom w:w="43" w:type="dxa"/>
              <w:right w:w="43" w:type="dxa"/>
            </w:tcMar>
          </w:tcPr>
          <w:p w14:paraId="5AE56A0E" w14:textId="77777777" w:rsidR="00575AC3" w:rsidRPr="006D40F0" w:rsidRDefault="00575AC3" w:rsidP="006D40F0">
            <w:r w:rsidRPr="006D40F0">
              <w:t>700</w:t>
            </w:r>
          </w:p>
        </w:tc>
        <w:tc>
          <w:tcPr>
            <w:tcW w:w="680" w:type="dxa"/>
            <w:tcBorders>
              <w:top w:val="nil"/>
              <w:left w:val="nil"/>
              <w:bottom w:val="nil"/>
              <w:right w:val="nil"/>
            </w:tcBorders>
            <w:tcMar>
              <w:top w:w="128" w:type="dxa"/>
              <w:left w:w="43" w:type="dxa"/>
              <w:bottom w:w="43" w:type="dxa"/>
              <w:right w:w="43" w:type="dxa"/>
            </w:tcMar>
          </w:tcPr>
          <w:p w14:paraId="2E22764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B203770" w14:textId="77777777" w:rsidR="00575AC3" w:rsidRPr="006D40F0" w:rsidRDefault="00575AC3" w:rsidP="006D40F0">
            <w:r w:rsidRPr="006D40F0">
              <w:t>Helse- og omsorgsdepartementet:</w:t>
            </w:r>
          </w:p>
        </w:tc>
        <w:tc>
          <w:tcPr>
            <w:tcW w:w="1400" w:type="dxa"/>
            <w:tcBorders>
              <w:top w:val="nil"/>
              <w:left w:val="nil"/>
              <w:bottom w:val="nil"/>
              <w:right w:val="nil"/>
            </w:tcBorders>
            <w:tcMar>
              <w:top w:w="128" w:type="dxa"/>
              <w:left w:w="43" w:type="dxa"/>
              <w:bottom w:w="43" w:type="dxa"/>
              <w:right w:w="43" w:type="dxa"/>
            </w:tcMar>
            <w:vAlign w:val="bottom"/>
          </w:tcPr>
          <w:p w14:paraId="1DFBC5FD" w14:textId="77777777" w:rsidR="00575AC3" w:rsidRPr="006D40F0" w:rsidRDefault="00575AC3" w:rsidP="006D40F0"/>
        </w:tc>
      </w:tr>
      <w:tr w:rsidR="00DD49A7" w:rsidRPr="006D40F0" w14:paraId="4AF81AA2" w14:textId="77777777">
        <w:trPr>
          <w:trHeight w:val="380"/>
        </w:trPr>
        <w:tc>
          <w:tcPr>
            <w:tcW w:w="680" w:type="dxa"/>
            <w:tcBorders>
              <w:top w:val="nil"/>
              <w:left w:val="nil"/>
              <w:bottom w:val="nil"/>
              <w:right w:val="nil"/>
            </w:tcBorders>
            <w:tcMar>
              <w:top w:w="128" w:type="dxa"/>
              <w:left w:w="43" w:type="dxa"/>
              <w:bottom w:w="43" w:type="dxa"/>
              <w:right w:w="43" w:type="dxa"/>
            </w:tcMar>
          </w:tcPr>
          <w:p w14:paraId="6AF323B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AD5EA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213D672"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E16C7B3" w14:textId="77777777" w:rsidR="00575AC3" w:rsidRPr="006D40F0" w:rsidRDefault="00575AC3" w:rsidP="006D40F0">
            <w:r w:rsidRPr="006D40F0">
              <w:t>5 000 000</w:t>
            </w:r>
          </w:p>
        </w:tc>
      </w:tr>
      <w:tr w:rsidR="00DD49A7" w:rsidRPr="006D40F0" w14:paraId="75D1917C" w14:textId="77777777">
        <w:trPr>
          <w:trHeight w:val="380"/>
        </w:trPr>
        <w:tc>
          <w:tcPr>
            <w:tcW w:w="680" w:type="dxa"/>
            <w:tcBorders>
              <w:top w:val="nil"/>
              <w:left w:val="nil"/>
              <w:bottom w:val="nil"/>
              <w:right w:val="nil"/>
            </w:tcBorders>
            <w:tcMar>
              <w:top w:w="128" w:type="dxa"/>
              <w:left w:w="43" w:type="dxa"/>
              <w:bottom w:w="43" w:type="dxa"/>
              <w:right w:w="43" w:type="dxa"/>
            </w:tcMar>
          </w:tcPr>
          <w:p w14:paraId="2B2295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C9DD5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3C4AEA" w14:textId="77777777" w:rsidR="00575AC3" w:rsidRPr="006D40F0" w:rsidRDefault="00575AC3" w:rsidP="006D40F0">
            <w:r w:rsidRPr="006D40F0">
              <w:t>fra kr 299 351 000 til kr 304 351 000</w:t>
            </w:r>
          </w:p>
        </w:tc>
        <w:tc>
          <w:tcPr>
            <w:tcW w:w="1400" w:type="dxa"/>
            <w:tcBorders>
              <w:top w:val="nil"/>
              <w:left w:val="nil"/>
              <w:bottom w:val="nil"/>
              <w:right w:val="nil"/>
            </w:tcBorders>
            <w:tcMar>
              <w:top w:w="128" w:type="dxa"/>
              <w:left w:w="43" w:type="dxa"/>
              <w:bottom w:w="43" w:type="dxa"/>
              <w:right w:w="43" w:type="dxa"/>
            </w:tcMar>
            <w:vAlign w:val="bottom"/>
          </w:tcPr>
          <w:p w14:paraId="5B12A85B" w14:textId="77777777" w:rsidR="00575AC3" w:rsidRPr="006D40F0" w:rsidRDefault="00575AC3" w:rsidP="006D40F0"/>
        </w:tc>
      </w:tr>
      <w:tr w:rsidR="00DD49A7" w:rsidRPr="006D40F0" w14:paraId="11F56EA0" w14:textId="77777777">
        <w:trPr>
          <w:trHeight w:val="380"/>
        </w:trPr>
        <w:tc>
          <w:tcPr>
            <w:tcW w:w="680" w:type="dxa"/>
            <w:tcBorders>
              <w:top w:val="nil"/>
              <w:left w:val="nil"/>
              <w:bottom w:val="nil"/>
              <w:right w:val="nil"/>
            </w:tcBorders>
            <w:tcMar>
              <w:top w:w="128" w:type="dxa"/>
              <w:left w:w="43" w:type="dxa"/>
              <w:bottom w:w="43" w:type="dxa"/>
              <w:right w:w="43" w:type="dxa"/>
            </w:tcMar>
          </w:tcPr>
          <w:p w14:paraId="03C72781" w14:textId="77777777" w:rsidR="00575AC3" w:rsidRPr="006D40F0" w:rsidRDefault="00575AC3" w:rsidP="006D40F0">
            <w:r w:rsidRPr="006D40F0">
              <w:t>703</w:t>
            </w:r>
          </w:p>
        </w:tc>
        <w:tc>
          <w:tcPr>
            <w:tcW w:w="680" w:type="dxa"/>
            <w:tcBorders>
              <w:top w:val="nil"/>
              <w:left w:val="nil"/>
              <w:bottom w:val="nil"/>
              <w:right w:val="nil"/>
            </w:tcBorders>
            <w:tcMar>
              <w:top w:w="128" w:type="dxa"/>
              <w:left w:w="43" w:type="dxa"/>
              <w:bottom w:w="43" w:type="dxa"/>
              <w:right w:w="43" w:type="dxa"/>
            </w:tcMar>
          </w:tcPr>
          <w:p w14:paraId="0A43313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EC4E5E6" w14:textId="77777777" w:rsidR="00575AC3" w:rsidRPr="006D40F0" w:rsidRDefault="00575AC3" w:rsidP="006D40F0">
            <w:r w:rsidRPr="006D40F0">
              <w:t>Internasjonalt samarbeid:</w:t>
            </w:r>
          </w:p>
        </w:tc>
        <w:tc>
          <w:tcPr>
            <w:tcW w:w="1400" w:type="dxa"/>
            <w:tcBorders>
              <w:top w:val="nil"/>
              <w:left w:val="nil"/>
              <w:bottom w:val="nil"/>
              <w:right w:val="nil"/>
            </w:tcBorders>
            <w:tcMar>
              <w:top w:w="128" w:type="dxa"/>
              <w:left w:w="43" w:type="dxa"/>
              <w:bottom w:w="43" w:type="dxa"/>
              <w:right w:w="43" w:type="dxa"/>
            </w:tcMar>
            <w:vAlign w:val="bottom"/>
          </w:tcPr>
          <w:p w14:paraId="72B4823E" w14:textId="77777777" w:rsidR="00575AC3" w:rsidRPr="006D40F0" w:rsidRDefault="00575AC3" w:rsidP="006D40F0"/>
        </w:tc>
      </w:tr>
      <w:tr w:rsidR="00DD49A7" w:rsidRPr="006D40F0" w14:paraId="4DB553CD" w14:textId="77777777">
        <w:trPr>
          <w:trHeight w:val="380"/>
        </w:trPr>
        <w:tc>
          <w:tcPr>
            <w:tcW w:w="680" w:type="dxa"/>
            <w:tcBorders>
              <w:top w:val="nil"/>
              <w:left w:val="nil"/>
              <w:bottom w:val="nil"/>
              <w:right w:val="nil"/>
            </w:tcBorders>
            <w:tcMar>
              <w:top w:w="128" w:type="dxa"/>
              <w:left w:w="43" w:type="dxa"/>
              <w:bottom w:w="43" w:type="dxa"/>
              <w:right w:w="43" w:type="dxa"/>
            </w:tcMar>
          </w:tcPr>
          <w:p w14:paraId="0FA1AB6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390F2B"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007B76B" w14:textId="77777777" w:rsidR="00575AC3" w:rsidRPr="006D40F0" w:rsidRDefault="00575AC3" w:rsidP="006D40F0">
            <w:r w:rsidRPr="006D40F0">
              <w:t>Internasjonale organisasjoner, forhøyes med</w:t>
            </w:r>
          </w:p>
        </w:tc>
        <w:tc>
          <w:tcPr>
            <w:tcW w:w="1400" w:type="dxa"/>
            <w:tcBorders>
              <w:top w:val="nil"/>
              <w:left w:val="nil"/>
              <w:bottom w:val="nil"/>
              <w:right w:val="nil"/>
            </w:tcBorders>
            <w:tcMar>
              <w:top w:w="128" w:type="dxa"/>
              <w:left w:w="43" w:type="dxa"/>
              <w:bottom w:w="43" w:type="dxa"/>
              <w:right w:w="43" w:type="dxa"/>
            </w:tcMar>
            <w:vAlign w:val="bottom"/>
          </w:tcPr>
          <w:p w14:paraId="531452B2" w14:textId="77777777" w:rsidR="00575AC3" w:rsidRPr="006D40F0" w:rsidRDefault="00575AC3" w:rsidP="006D40F0">
            <w:r w:rsidRPr="006D40F0">
              <w:t>52 500 000</w:t>
            </w:r>
          </w:p>
        </w:tc>
      </w:tr>
      <w:tr w:rsidR="00DD49A7" w:rsidRPr="006D40F0" w14:paraId="5F97B863" w14:textId="77777777">
        <w:trPr>
          <w:trHeight w:val="380"/>
        </w:trPr>
        <w:tc>
          <w:tcPr>
            <w:tcW w:w="680" w:type="dxa"/>
            <w:tcBorders>
              <w:top w:val="nil"/>
              <w:left w:val="nil"/>
              <w:bottom w:val="nil"/>
              <w:right w:val="nil"/>
            </w:tcBorders>
            <w:tcMar>
              <w:top w:w="128" w:type="dxa"/>
              <w:left w:w="43" w:type="dxa"/>
              <w:bottom w:w="43" w:type="dxa"/>
              <w:right w:w="43" w:type="dxa"/>
            </w:tcMar>
          </w:tcPr>
          <w:p w14:paraId="405CB0D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EF9325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0D5F0A" w14:textId="77777777" w:rsidR="00575AC3" w:rsidRPr="006D40F0" w:rsidRDefault="00575AC3" w:rsidP="006D40F0">
            <w:r w:rsidRPr="006D40F0">
              <w:t>fra kr 271 917 000 til kr 324 417 000</w:t>
            </w:r>
          </w:p>
        </w:tc>
        <w:tc>
          <w:tcPr>
            <w:tcW w:w="1400" w:type="dxa"/>
            <w:tcBorders>
              <w:top w:val="nil"/>
              <w:left w:val="nil"/>
              <w:bottom w:val="nil"/>
              <w:right w:val="nil"/>
            </w:tcBorders>
            <w:tcMar>
              <w:top w:w="128" w:type="dxa"/>
              <w:left w:w="43" w:type="dxa"/>
              <w:bottom w:w="43" w:type="dxa"/>
              <w:right w:w="43" w:type="dxa"/>
            </w:tcMar>
            <w:vAlign w:val="bottom"/>
          </w:tcPr>
          <w:p w14:paraId="1103F341" w14:textId="77777777" w:rsidR="00575AC3" w:rsidRPr="006D40F0" w:rsidRDefault="00575AC3" w:rsidP="006D40F0"/>
        </w:tc>
      </w:tr>
      <w:tr w:rsidR="00DD49A7" w:rsidRPr="006D40F0" w14:paraId="603D51EC" w14:textId="77777777">
        <w:trPr>
          <w:trHeight w:val="380"/>
        </w:trPr>
        <w:tc>
          <w:tcPr>
            <w:tcW w:w="680" w:type="dxa"/>
            <w:tcBorders>
              <w:top w:val="nil"/>
              <w:left w:val="nil"/>
              <w:bottom w:val="nil"/>
              <w:right w:val="nil"/>
            </w:tcBorders>
            <w:tcMar>
              <w:top w:w="128" w:type="dxa"/>
              <w:left w:w="43" w:type="dxa"/>
              <w:bottom w:w="43" w:type="dxa"/>
              <w:right w:w="43" w:type="dxa"/>
            </w:tcMar>
          </w:tcPr>
          <w:p w14:paraId="5A899B82" w14:textId="77777777" w:rsidR="00575AC3" w:rsidRPr="006D40F0" w:rsidRDefault="00575AC3" w:rsidP="006D40F0">
            <w:r w:rsidRPr="006D40F0">
              <w:t>710</w:t>
            </w:r>
          </w:p>
        </w:tc>
        <w:tc>
          <w:tcPr>
            <w:tcW w:w="680" w:type="dxa"/>
            <w:tcBorders>
              <w:top w:val="nil"/>
              <w:left w:val="nil"/>
              <w:bottom w:val="nil"/>
              <w:right w:val="nil"/>
            </w:tcBorders>
            <w:tcMar>
              <w:top w:w="128" w:type="dxa"/>
              <w:left w:w="43" w:type="dxa"/>
              <w:bottom w:w="43" w:type="dxa"/>
              <w:right w:w="43" w:type="dxa"/>
            </w:tcMar>
          </w:tcPr>
          <w:p w14:paraId="6C1FB97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1C0CDD" w14:textId="77777777" w:rsidR="00575AC3" w:rsidRPr="006D40F0" w:rsidRDefault="00575AC3" w:rsidP="006D40F0">
            <w:r w:rsidRPr="006D40F0">
              <w:t>Vaksiner mv.:</w:t>
            </w:r>
          </w:p>
        </w:tc>
        <w:tc>
          <w:tcPr>
            <w:tcW w:w="1400" w:type="dxa"/>
            <w:tcBorders>
              <w:top w:val="nil"/>
              <w:left w:val="nil"/>
              <w:bottom w:val="nil"/>
              <w:right w:val="nil"/>
            </w:tcBorders>
            <w:tcMar>
              <w:top w:w="128" w:type="dxa"/>
              <w:left w:w="43" w:type="dxa"/>
              <w:bottom w:w="43" w:type="dxa"/>
              <w:right w:w="43" w:type="dxa"/>
            </w:tcMar>
            <w:vAlign w:val="bottom"/>
          </w:tcPr>
          <w:p w14:paraId="072637F4" w14:textId="77777777" w:rsidR="00575AC3" w:rsidRPr="006D40F0" w:rsidRDefault="00575AC3" w:rsidP="006D40F0"/>
        </w:tc>
      </w:tr>
      <w:tr w:rsidR="00DD49A7" w:rsidRPr="006D40F0" w14:paraId="7111054B" w14:textId="77777777">
        <w:trPr>
          <w:trHeight w:val="380"/>
        </w:trPr>
        <w:tc>
          <w:tcPr>
            <w:tcW w:w="680" w:type="dxa"/>
            <w:tcBorders>
              <w:top w:val="nil"/>
              <w:left w:val="nil"/>
              <w:bottom w:val="nil"/>
              <w:right w:val="nil"/>
            </w:tcBorders>
            <w:tcMar>
              <w:top w:w="128" w:type="dxa"/>
              <w:left w:w="43" w:type="dxa"/>
              <w:bottom w:w="43" w:type="dxa"/>
              <w:right w:w="43" w:type="dxa"/>
            </w:tcMar>
          </w:tcPr>
          <w:p w14:paraId="2B7CB3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F013FC"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3A3B8A15"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92D11D0" w14:textId="77777777" w:rsidR="00575AC3" w:rsidRPr="006D40F0" w:rsidRDefault="00575AC3" w:rsidP="006D40F0">
            <w:r w:rsidRPr="006D40F0">
              <w:t>8 000 000</w:t>
            </w:r>
          </w:p>
        </w:tc>
      </w:tr>
      <w:tr w:rsidR="00DD49A7" w:rsidRPr="006D40F0" w14:paraId="53D3ECAF" w14:textId="77777777">
        <w:trPr>
          <w:trHeight w:val="380"/>
        </w:trPr>
        <w:tc>
          <w:tcPr>
            <w:tcW w:w="680" w:type="dxa"/>
            <w:tcBorders>
              <w:top w:val="nil"/>
              <w:left w:val="nil"/>
              <w:bottom w:val="nil"/>
              <w:right w:val="nil"/>
            </w:tcBorders>
            <w:tcMar>
              <w:top w:w="128" w:type="dxa"/>
              <w:left w:w="43" w:type="dxa"/>
              <w:bottom w:w="43" w:type="dxa"/>
              <w:right w:w="43" w:type="dxa"/>
            </w:tcMar>
          </w:tcPr>
          <w:p w14:paraId="3504F8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CF289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54158D" w14:textId="77777777" w:rsidR="00575AC3" w:rsidRPr="006D40F0" w:rsidRDefault="00575AC3" w:rsidP="006D40F0">
            <w:r w:rsidRPr="006D40F0">
              <w:t>fra kr 296 402 000 til kr 288 402 000</w:t>
            </w:r>
          </w:p>
        </w:tc>
        <w:tc>
          <w:tcPr>
            <w:tcW w:w="1400" w:type="dxa"/>
            <w:tcBorders>
              <w:top w:val="nil"/>
              <w:left w:val="nil"/>
              <w:bottom w:val="nil"/>
              <w:right w:val="nil"/>
            </w:tcBorders>
            <w:tcMar>
              <w:top w:w="128" w:type="dxa"/>
              <w:left w:w="43" w:type="dxa"/>
              <w:bottom w:w="43" w:type="dxa"/>
              <w:right w:w="43" w:type="dxa"/>
            </w:tcMar>
            <w:vAlign w:val="bottom"/>
          </w:tcPr>
          <w:p w14:paraId="6CCB71A6" w14:textId="77777777" w:rsidR="00575AC3" w:rsidRPr="006D40F0" w:rsidRDefault="00575AC3" w:rsidP="006D40F0"/>
        </w:tc>
      </w:tr>
      <w:tr w:rsidR="00DD49A7" w:rsidRPr="006D40F0" w14:paraId="6EF16E62" w14:textId="77777777">
        <w:trPr>
          <w:trHeight w:val="380"/>
        </w:trPr>
        <w:tc>
          <w:tcPr>
            <w:tcW w:w="680" w:type="dxa"/>
            <w:tcBorders>
              <w:top w:val="nil"/>
              <w:left w:val="nil"/>
              <w:bottom w:val="nil"/>
              <w:right w:val="nil"/>
            </w:tcBorders>
            <w:tcMar>
              <w:top w:w="128" w:type="dxa"/>
              <w:left w:w="43" w:type="dxa"/>
              <w:bottom w:w="43" w:type="dxa"/>
              <w:right w:w="43" w:type="dxa"/>
            </w:tcMar>
          </w:tcPr>
          <w:p w14:paraId="042BC75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8A7526"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40BCFCE9" w14:textId="77777777" w:rsidR="00575AC3" w:rsidRPr="006D40F0" w:rsidRDefault="00575AC3" w:rsidP="006D40F0">
            <w:r w:rsidRPr="006D40F0">
              <w:t xml:space="preserve">Salgs- og beredskapsprodukter m.m.,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D3F42C6" w14:textId="77777777" w:rsidR="00575AC3" w:rsidRPr="006D40F0" w:rsidRDefault="00575AC3" w:rsidP="006D40F0">
            <w:r w:rsidRPr="006D40F0">
              <w:t>7 900 000</w:t>
            </w:r>
          </w:p>
        </w:tc>
      </w:tr>
      <w:tr w:rsidR="00DD49A7" w:rsidRPr="006D40F0" w14:paraId="339BA83D" w14:textId="77777777">
        <w:trPr>
          <w:trHeight w:val="380"/>
        </w:trPr>
        <w:tc>
          <w:tcPr>
            <w:tcW w:w="680" w:type="dxa"/>
            <w:tcBorders>
              <w:top w:val="nil"/>
              <w:left w:val="nil"/>
              <w:bottom w:val="nil"/>
              <w:right w:val="nil"/>
            </w:tcBorders>
            <w:tcMar>
              <w:top w:w="128" w:type="dxa"/>
              <w:left w:w="43" w:type="dxa"/>
              <w:bottom w:w="43" w:type="dxa"/>
              <w:right w:w="43" w:type="dxa"/>
            </w:tcMar>
          </w:tcPr>
          <w:p w14:paraId="3F24983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F1591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F2B326" w14:textId="77777777" w:rsidR="00575AC3" w:rsidRPr="006D40F0" w:rsidRDefault="00575AC3" w:rsidP="006D40F0">
            <w:r w:rsidRPr="006D40F0">
              <w:t>fra kr 221 809 000 til kr 229 709 000</w:t>
            </w:r>
          </w:p>
        </w:tc>
        <w:tc>
          <w:tcPr>
            <w:tcW w:w="1400" w:type="dxa"/>
            <w:tcBorders>
              <w:top w:val="nil"/>
              <w:left w:val="nil"/>
              <w:bottom w:val="nil"/>
              <w:right w:val="nil"/>
            </w:tcBorders>
            <w:tcMar>
              <w:top w:w="128" w:type="dxa"/>
              <w:left w:w="43" w:type="dxa"/>
              <w:bottom w:w="43" w:type="dxa"/>
              <w:right w:w="43" w:type="dxa"/>
            </w:tcMar>
            <w:vAlign w:val="bottom"/>
          </w:tcPr>
          <w:p w14:paraId="0BCF87DC" w14:textId="77777777" w:rsidR="00575AC3" w:rsidRPr="006D40F0" w:rsidRDefault="00575AC3" w:rsidP="006D40F0"/>
        </w:tc>
      </w:tr>
      <w:tr w:rsidR="00DD49A7" w:rsidRPr="006D40F0" w14:paraId="6A4E33FC" w14:textId="77777777">
        <w:trPr>
          <w:trHeight w:val="380"/>
        </w:trPr>
        <w:tc>
          <w:tcPr>
            <w:tcW w:w="680" w:type="dxa"/>
            <w:tcBorders>
              <w:top w:val="nil"/>
              <w:left w:val="nil"/>
              <w:bottom w:val="nil"/>
              <w:right w:val="nil"/>
            </w:tcBorders>
            <w:tcMar>
              <w:top w:w="128" w:type="dxa"/>
              <w:left w:w="43" w:type="dxa"/>
              <w:bottom w:w="43" w:type="dxa"/>
              <w:right w:w="43" w:type="dxa"/>
            </w:tcMar>
          </w:tcPr>
          <w:p w14:paraId="7591F12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DDE39F"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2D724545" w14:textId="77777777" w:rsidR="00575AC3" w:rsidRPr="006D40F0" w:rsidRDefault="00575AC3" w:rsidP="006D40F0">
            <w:r w:rsidRPr="006D40F0">
              <w:t xml:space="preserve">Vaksiner og vaksinasjon mot covid-19,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3D8414F" w14:textId="77777777" w:rsidR="00575AC3" w:rsidRPr="006D40F0" w:rsidRDefault="00575AC3" w:rsidP="006D40F0">
            <w:r w:rsidRPr="006D40F0">
              <w:t>78 600 000</w:t>
            </w:r>
          </w:p>
        </w:tc>
      </w:tr>
      <w:tr w:rsidR="00DD49A7" w:rsidRPr="006D40F0" w14:paraId="165FF6AB" w14:textId="77777777">
        <w:trPr>
          <w:trHeight w:val="380"/>
        </w:trPr>
        <w:tc>
          <w:tcPr>
            <w:tcW w:w="680" w:type="dxa"/>
            <w:tcBorders>
              <w:top w:val="nil"/>
              <w:left w:val="nil"/>
              <w:bottom w:val="nil"/>
              <w:right w:val="nil"/>
            </w:tcBorders>
            <w:tcMar>
              <w:top w:w="128" w:type="dxa"/>
              <w:left w:w="43" w:type="dxa"/>
              <w:bottom w:w="43" w:type="dxa"/>
              <w:right w:w="43" w:type="dxa"/>
            </w:tcMar>
          </w:tcPr>
          <w:p w14:paraId="552D44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B9438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5FBA28" w14:textId="77777777" w:rsidR="00575AC3" w:rsidRPr="006D40F0" w:rsidRDefault="00575AC3" w:rsidP="006D40F0">
            <w:r w:rsidRPr="006D40F0">
              <w:t>fra kr 115 000 000 til kr 193 600 000</w:t>
            </w:r>
          </w:p>
        </w:tc>
        <w:tc>
          <w:tcPr>
            <w:tcW w:w="1400" w:type="dxa"/>
            <w:tcBorders>
              <w:top w:val="nil"/>
              <w:left w:val="nil"/>
              <w:bottom w:val="nil"/>
              <w:right w:val="nil"/>
            </w:tcBorders>
            <w:tcMar>
              <w:top w:w="128" w:type="dxa"/>
              <w:left w:w="43" w:type="dxa"/>
              <w:bottom w:w="43" w:type="dxa"/>
              <w:right w:w="43" w:type="dxa"/>
            </w:tcMar>
            <w:vAlign w:val="bottom"/>
          </w:tcPr>
          <w:p w14:paraId="7D754188" w14:textId="77777777" w:rsidR="00575AC3" w:rsidRPr="006D40F0" w:rsidRDefault="00575AC3" w:rsidP="006D40F0"/>
        </w:tc>
      </w:tr>
      <w:tr w:rsidR="00DD49A7" w:rsidRPr="006D40F0" w14:paraId="49865EB7" w14:textId="77777777">
        <w:trPr>
          <w:trHeight w:val="380"/>
        </w:trPr>
        <w:tc>
          <w:tcPr>
            <w:tcW w:w="680" w:type="dxa"/>
            <w:tcBorders>
              <w:top w:val="nil"/>
              <w:left w:val="nil"/>
              <w:bottom w:val="nil"/>
              <w:right w:val="nil"/>
            </w:tcBorders>
            <w:tcMar>
              <w:top w:w="128" w:type="dxa"/>
              <w:left w:w="43" w:type="dxa"/>
              <w:bottom w:w="43" w:type="dxa"/>
              <w:right w:w="43" w:type="dxa"/>
            </w:tcMar>
          </w:tcPr>
          <w:p w14:paraId="7A86C620" w14:textId="77777777" w:rsidR="00575AC3" w:rsidRPr="006D40F0" w:rsidRDefault="00575AC3" w:rsidP="006D40F0">
            <w:r w:rsidRPr="006D40F0">
              <w:t>712</w:t>
            </w:r>
          </w:p>
        </w:tc>
        <w:tc>
          <w:tcPr>
            <w:tcW w:w="680" w:type="dxa"/>
            <w:tcBorders>
              <w:top w:val="nil"/>
              <w:left w:val="nil"/>
              <w:bottom w:val="nil"/>
              <w:right w:val="nil"/>
            </w:tcBorders>
            <w:tcMar>
              <w:top w:w="128" w:type="dxa"/>
              <w:left w:w="43" w:type="dxa"/>
              <w:bottom w:w="43" w:type="dxa"/>
              <w:right w:w="43" w:type="dxa"/>
            </w:tcMar>
          </w:tcPr>
          <w:p w14:paraId="1F6BA8D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38490C" w14:textId="77777777" w:rsidR="00575AC3" w:rsidRPr="006D40F0" w:rsidRDefault="00575AC3" w:rsidP="006D40F0">
            <w:r w:rsidRPr="006D40F0">
              <w:t>Bioteknologirådet:</w:t>
            </w:r>
          </w:p>
        </w:tc>
        <w:tc>
          <w:tcPr>
            <w:tcW w:w="1400" w:type="dxa"/>
            <w:tcBorders>
              <w:top w:val="nil"/>
              <w:left w:val="nil"/>
              <w:bottom w:val="nil"/>
              <w:right w:val="nil"/>
            </w:tcBorders>
            <w:tcMar>
              <w:top w:w="128" w:type="dxa"/>
              <w:left w:w="43" w:type="dxa"/>
              <w:bottom w:w="43" w:type="dxa"/>
              <w:right w:w="43" w:type="dxa"/>
            </w:tcMar>
            <w:vAlign w:val="bottom"/>
          </w:tcPr>
          <w:p w14:paraId="0A571326" w14:textId="77777777" w:rsidR="00575AC3" w:rsidRPr="006D40F0" w:rsidRDefault="00575AC3" w:rsidP="006D40F0"/>
        </w:tc>
      </w:tr>
      <w:tr w:rsidR="00DD49A7" w:rsidRPr="006D40F0" w14:paraId="687AA37F" w14:textId="77777777">
        <w:trPr>
          <w:trHeight w:val="380"/>
        </w:trPr>
        <w:tc>
          <w:tcPr>
            <w:tcW w:w="680" w:type="dxa"/>
            <w:tcBorders>
              <w:top w:val="nil"/>
              <w:left w:val="nil"/>
              <w:bottom w:val="nil"/>
              <w:right w:val="nil"/>
            </w:tcBorders>
            <w:tcMar>
              <w:top w:w="128" w:type="dxa"/>
              <w:left w:w="43" w:type="dxa"/>
              <w:bottom w:w="43" w:type="dxa"/>
              <w:right w:w="43" w:type="dxa"/>
            </w:tcMar>
          </w:tcPr>
          <w:p w14:paraId="42EC66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20E5A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31794B5"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7AB0B773" w14:textId="77777777" w:rsidR="00575AC3" w:rsidRPr="006D40F0" w:rsidRDefault="00575AC3" w:rsidP="006D40F0">
            <w:r w:rsidRPr="006D40F0">
              <w:t>50 000</w:t>
            </w:r>
          </w:p>
        </w:tc>
      </w:tr>
      <w:tr w:rsidR="00DD49A7" w:rsidRPr="006D40F0" w14:paraId="4DB69312" w14:textId="77777777">
        <w:trPr>
          <w:trHeight w:val="380"/>
        </w:trPr>
        <w:tc>
          <w:tcPr>
            <w:tcW w:w="680" w:type="dxa"/>
            <w:tcBorders>
              <w:top w:val="nil"/>
              <w:left w:val="nil"/>
              <w:bottom w:val="nil"/>
              <w:right w:val="nil"/>
            </w:tcBorders>
            <w:tcMar>
              <w:top w:w="128" w:type="dxa"/>
              <w:left w:w="43" w:type="dxa"/>
              <w:bottom w:w="43" w:type="dxa"/>
              <w:right w:w="43" w:type="dxa"/>
            </w:tcMar>
          </w:tcPr>
          <w:p w14:paraId="43DF2E8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09DB3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2CDBAC" w14:textId="77777777" w:rsidR="00575AC3" w:rsidRPr="006D40F0" w:rsidRDefault="00575AC3" w:rsidP="006D40F0">
            <w:r w:rsidRPr="006D40F0">
              <w:t>fra kr 14 040 000 til kr 13 990 000</w:t>
            </w:r>
          </w:p>
        </w:tc>
        <w:tc>
          <w:tcPr>
            <w:tcW w:w="1400" w:type="dxa"/>
            <w:tcBorders>
              <w:top w:val="nil"/>
              <w:left w:val="nil"/>
              <w:bottom w:val="nil"/>
              <w:right w:val="nil"/>
            </w:tcBorders>
            <w:tcMar>
              <w:top w:w="128" w:type="dxa"/>
              <w:left w:w="43" w:type="dxa"/>
              <w:bottom w:w="43" w:type="dxa"/>
              <w:right w:w="43" w:type="dxa"/>
            </w:tcMar>
            <w:vAlign w:val="bottom"/>
          </w:tcPr>
          <w:p w14:paraId="78F442E0" w14:textId="77777777" w:rsidR="00575AC3" w:rsidRPr="006D40F0" w:rsidRDefault="00575AC3" w:rsidP="006D40F0"/>
        </w:tc>
      </w:tr>
      <w:tr w:rsidR="00DD49A7" w:rsidRPr="006D40F0" w14:paraId="7B93AAD0" w14:textId="77777777">
        <w:trPr>
          <w:trHeight w:val="380"/>
        </w:trPr>
        <w:tc>
          <w:tcPr>
            <w:tcW w:w="680" w:type="dxa"/>
            <w:tcBorders>
              <w:top w:val="nil"/>
              <w:left w:val="nil"/>
              <w:bottom w:val="nil"/>
              <w:right w:val="nil"/>
            </w:tcBorders>
            <w:tcMar>
              <w:top w:w="128" w:type="dxa"/>
              <w:left w:w="43" w:type="dxa"/>
              <w:bottom w:w="43" w:type="dxa"/>
              <w:right w:w="43" w:type="dxa"/>
            </w:tcMar>
          </w:tcPr>
          <w:p w14:paraId="7034F194" w14:textId="77777777" w:rsidR="00575AC3" w:rsidRPr="006D40F0" w:rsidRDefault="00575AC3" w:rsidP="006D40F0">
            <w:r w:rsidRPr="006D40F0">
              <w:t>714</w:t>
            </w:r>
          </w:p>
        </w:tc>
        <w:tc>
          <w:tcPr>
            <w:tcW w:w="680" w:type="dxa"/>
            <w:tcBorders>
              <w:top w:val="nil"/>
              <w:left w:val="nil"/>
              <w:bottom w:val="nil"/>
              <w:right w:val="nil"/>
            </w:tcBorders>
            <w:tcMar>
              <w:top w:w="128" w:type="dxa"/>
              <w:left w:w="43" w:type="dxa"/>
              <w:bottom w:w="43" w:type="dxa"/>
              <w:right w:w="43" w:type="dxa"/>
            </w:tcMar>
          </w:tcPr>
          <w:p w14:paraId="3A24A5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DB53CF" w14:textId="77777777" w:rsidR="00575AC3" w:rsidRPr="006D40F0" w:rsidRDefault="00575AC3" w:rsidP="006D40F0">
            <w:r w:rsidRPr="006D40F0">
              <w:t>Folkehelse:</w:t>
            </w:r>
          </w:p>
        </w:tc>
        <w:tc>
          <w:tcPr>
            <w:tcW w:w="1400" w:type="dxa"/>
            <w:tcBorders>
              <w:top w:val="nil"/>
              <w:left w:val="nil"/>
              <w:bottom w:val="nil"/>
              <w:right w:val="nil"/>
            </w:tcBorders>
            <w:tcMar>
              <w:top w:w="128" w:type="dxa"/>
              <w:left w:w="43" w:type="dxa"/>
              <w:bottom w:w="43" w:type="dxa"/>
              <w:right w:w="43" w:type="dxa"/>
            </w:tcMar>
            <w:vAlign w:val="bottom"/>
          </w:tcPr>
          <w:p w14:paraId="3B2AFF5F" w14:textId="77777777" w:rsidR="00575AC3" w:rsidRPr="006D40F0" w:rsidRDefault="00575AC3" w:rsidP="006D40F0"/>
        </w:tc>
      </w:tr>
      <w:tr w:rsidR="00DD49A7" w:rsidRPr="006D40F0" w14:paraId="27305B5E" w14:textId="77777777">
        <w:trPr>
          <w:trHeight w:val="640"/>
        </w:trPr>
        <w:tc>
          <w:tcPr>
            <w:tcW w:w="680" w:type="dxa"/>
            <w:tcBorders>
              <w:top w:val="nil"/>
              <w:left w:val="nil"/>
              <w:bottom w:val="nil"/>
              <w:right w:val="nil"/>
            </w:tcBorders>
            <w:tcMar>
              <w:top w:w="128" w:type="dxa"/>
              <w:left w:w="43" w:type="dxa"/>
              <w:bottom w:w="43" w:type="dxa"/>
              <w:right w:w="43" w:type="dxa"/>
            </w:tcMar>
          </w:tcPr>
          <w:p w14:paraId="6B0CDC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7247BF"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6376319" w14:textId="77777777" w:rsidR="00575AC3" w:rsidRPr="006D40F0" w:rsidRDefault="00575AC3" w:rsidP="006D40F0">
            <w:r w:rsidRPr="006D40F0">
              <w:t xml:space="preserve">Spesielle driftsutgifter, </w:t>
            </w:r>
            <w:r w:rsidRPr="00575AC3">
              <w:rPr>
                <w:rStyle w:val="kursiv"/>
              </w:rPr>
              <w:t>kan overføres, kan nyttes under postene 70, 74 og 79</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35E18176" w14:textId="77777777" w:rsidR="00575AC3" w:rsidRPr="006D40F0" w:rsidRDefault="00575AC3" w:rsidP="006D40F0">
            <w:r w:rsidRPr="006D40F0">
              <w:t>8 600 000</w:t>
            </w:r>
          </w:p>
        </w:tc>
      </w:tr>
      <w:tr w:rsidR="00DD49A7" w:rsidRPr="006D40F0" w14:paraId="3EC0F88F" w14:textId="77777777">
        <w:trPr>
          <w:trHeight w:val="380"/>
        </w:trPr>
        <w:tc>
          <w:tcPr>
            <w:tcW w:w="680" w:type="dxa"/>
            <w:tcBorders>
              <w:top w:val="nil"/>
              <w:left w:val="nil"/>
              <w:bottom w:val="nil"/>
              <w:right w:val="nil"/>
            </w:tcBorders>
            <w:tcMar>
              <w:top w:w="128" w:type="dxa"/>
              <w:left w:w="43" w:type="dxa"/>
              <w:bottom w:w="43" w:type="dxa"/>
              <w:right w:w="43" w:type="dxa"/>
            </w:tcMar>
          </w:tcPr>
          <w:p w14:paraId="052DF4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00F41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2A06427" w14:textId="77777777" w:rsidR="00575AC3" w:rsidRPr="006D40F0" w:rsidRDefault="00575AC3" w:rsidP="006D40F0">
            <w:r w:rsidRPr="006D40F0">
              <w:t>fra kr 120 362 000 til kr 128 962 000</w:t>
            </w:r>
          </w:p>
        </w:tc>
        <w:tc>
          <w:tcPr>
            <w:tcW w:w="1400" w:type="dxa"/>
            <w:tcBorders>
              <w:top w:val="nil"/>
              <w:left w:val="nil"/>
              <w:bottom w:val="nil"/>
              <w:right w:val="nil"/>
            </w:tcBorders>
            <w:tcMar>
              <w:top w:w="128" w:type="dxa"/>
              <w:left w:w="43" w:type="dxa"/>
              <w:bottom w:w="43" w:type="dxa"/>
              <w:right w:w="43" w:type="dxa"/>
            </w:tcMar>
            <w:vAlign w:val="bottom"/>
          </w:tcPr>
          <w:p w14:paraId="0E2F118D" w14:textId="77777777" w:rsidR="00575AC3" w:rsidRPr="006D40F0" w:rsidRDefault="00575AC3" w:rsidP="006D40F0"/>
        </w:tc>
      </w:tr>
      <w:tr w:rsidR="00DD49A7" w:rsidRPr="006D40F0" w14:paraId="4D381922" w14:textId="77777777">
        <w:trPr>
          <w:trHeight w:val="380"/>
        </w:trPr>
        <w:tc>
          <w:tcPr>
            <w:tcW w:w="680" w:type="dxa"/>
            <w:tcBorders>
              <w:top w:val="nil"/>
              <w:left w:val="nil"/>
              <w:bottom w:val="nil"/>
              <w:right w:val="nil"/>
            </w:tcBorders>
            <w:tcMar>
              <w:top w:w="128" w:type="dxa"/>
              <w:left w:w="43" w:type="dxa"/>
              <w:bottom w:w="43" w:type="dxa"/>
              <w:right w:w="43" w:type="dxa"/>
            </w:tcMar>
          </w:tcPr>
          <w:p w14:paraId="0C0C517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9E92C1"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1170E35D" w14:textId="77777777" w:rsidR="00575AC3" w:rsidRPr="006D40F0" w:rsidRDefault="00575AC3" w:rsidP="006D40F0">
            <w:r w:rsidRPr="006D40F0">
              <w:t>Gebyrfinansierte ordninger, nedsettes med</w:t>
            </w:r>
          </w:p>
        </w:tc>
        <w:tc>
          <w:tcPr>
            <w:tcW w:w="1400" w:type="dxa"/>
            <w:tcBorders>
              <w:top w:val="nil"/>
              <w:left w:val="nil"/>
              <w:bottom w:val="nil"/>
              <w:right w:val="nil"/>
            </w:tcBorders>
            <w:tcMar>
              <w:top w:w="128" w:type="dxa"/>
              <w:left w:w="43" w:type="dxa"/>
              <w:bottom w:w="43" w:type="dxa"/>
              <w:right w:w="43" w:type="dxa"/>
            </w:tcMar>
            <w:vAlign w:val="bottom"/>
          </w:tcPr>
          <w:p w14:paraId="32CF13D1" w14:textId="77777777" w:rsidR="00575AC3" w:rsidRPr="006D40F0" w:rsidRDefault="00575AC3" w:rsidP="006D40F0">
            <w:r w:rsidRPr="006D40F0">
              <w:t>1 400 000</w:t>
            </w:r>
          </w:p>
        </w:tc>
      </w:tr>
      <w:tr w:rsidR="00DD49A7" w:rsidRPr="006D40F0" w14:paraId="73C64F49" w14:textId="77777777">
        <w:trPr>
          <w:trHeight w:val="380"/>
        </w:trPr>
        <w:tc>
          <w:tcPr>
            <w:tcW w:w="680" w:type="dxa"/>
            <w:tcBorders>
              <w:top w:val="nil"/>
              <w:left w:val="nil"/>
              <w:bottom w:val="nil"/>
              <w:right w:val="nil"/>
            </w:tcBorders>
            <w:tcMar>
              <w:top w:w="128" w:type="dxa"/>
              <w:left w:w="43" w:type="dxa"/>
              <w:bottom w:w="43" w:type="dxa"/>
              <w:right w:w="43" w:type="dxa"/>
            </w:tcMar>
          </w:tcPr>
          <w:p w14:paraId="7C290FE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53257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D15AD0" w14:textId="77777777" w:rsidR="00575AC3" w:rsidRPr="006D40F0" w:rsidRDefault="00575AC3" w:rsidP="006D40F0">
            <w:r w:rsidRPr="006D40F0">
              <w:t>fra kr 33 041 000 til kr 31 641 000</w:t>
            </w:r>
          </w:p>
        </w:tc>
        <w:tc>
          <w:tcPr>
            <w:tcW w:w="1400" w:type="dxa"/>
            <w:tcBorders>
              <w:top w:val="nil"/>
              <w:left w:val="nil"/>
              <w:bottom w:val="nil"/>
              <w:right w:val="nil"/>
            </w:tcBorders>
            <w:tcMar>
              <w:top w:w="128" w:type="dxa"/>
              <w:left w:w="43" w:type="dxa"/>
              <w:bottom w:w="43" w:type="dxa"/>
              <w:right w:w="43" w:type="dxa"/>
            </w:tcMar>
            <w:vAlign w:val="bottom"/>
          </w:tcPr>
          <w:p w14:paraId="0895BED3" w14:textId="77777777" w:rsidR="00575AC3" w:rsidRPr="006D40F0" w:rsidRDefault="00575AC3" w:rsidP="006D40F0"/>
        </w:tc>
      </w:tr>
      <w:tr w:rsidR="00DD49A7" w:rsidRPr="006D40F0" w14:paraId="1CFEF099" w14:textId="77777777">
        <w:trPr>
          <w:trHeight w:val="380"/>
        </w:trPr>
        <w:tc>
          <w:tcPr>
            <w:tcW w:w="680" w:type="dxa"/>
            <w:tcBorders>
              <w:top w:val="nil"/>
              <w:left w:val="nil"/>
              <w:bottom w:val="nil"/>
              <w:right w:val="nil"/>
            </w:tcBorders>
            <w:tcMar>
              <w:top w:w="128" w:type="dxa"/>
              <w:left w:w="43" w:type="dxa"/>
              <w:bottom w:w="43" w:type="dxa"/>
              <w:right w:w="43" w:type="dxa"/>
            </w:tcMar>
          </w:tcPr>
          <w:p w14:paraId="19DC8AE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CA4CB0"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37ECC452" w14:textId="77777777" w:rsidR="00575AC3" w:rsidRPr="006D40F0" w:rsidRDefault="00575AC3" w:rsidP="006D40F0">
            <w:r w:rsidRPr="006D40F0">
              <w:t xml:space="preserve">Kommunale tiltak, </w:t>
            </w:r>
            <w:r w:rsidRPr="00575AC3">
              <w:rPr>
                <w:rStyle w:val="kursiv"/>
              </w:rPr>
              <w:t>kan overføres, kan nyttes under post 21,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134431A" w14:textId="77777777" w:rsidR="00575AC3" w:rsidRPr="006D40F0" w:rsidRDefault="00575AC3" w:rsidP="006D40F0">
            <w:r w:rsidRPr="006D40F0">
              <w:t>1 000 000</w:t>
            </w:r>
          </w:p>
        </w:tc>
      </w:tr>
      <w:tr w:rsidR="00DD49A7" w:rsidRPr="006D40F0" w14:paraId="541E9094" w14:textId="77777777">
        <w:trPr>
          <w:trHeight w:val="380"/>
        </w:trPr>
        <w:tc>
          <w:tcPr>
            <w:tcW w:w="680" w:type="dxa"/>
            <w:tcBorders>
              <w:top w:val="nil"/>
              <w:left w:val="nil"/>
              <w:bottom w:val="nil"/>
              <w:right w:val="nil"/>
            </w:tcBorders>
            <w:tcMar>
              <w:top w:w="128" w:type="dxa"/>
              <w:left w:w="43" w:type="dxa"/>
              <w:bottom w:w="43" w:type="dxa"/>
              <w:right w:w="43" w:type="dxa"/>
            </w:tcMar>
          </w:tcPr>
          <w:p w14:paraId="7B60E13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ADE2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CB1D2E" w14:textId="77777777" w:rsidR="00575AC3" w:rsidRPr="006D40F0" w:rsidRDefault="00575AC3" w:rsidP="006D40F0">
            <w:r w:rsidRPr="006D40F0">
              <w:t>fra kr 96 118 000 til kr 95 118 000</w:t>
            </w:r>
          </w:p>
        </w:tc>
        <w:tc>
          <w:tcPr>
            <w:tcW w:w="1400" w:type="dxa"/>
            <w:tcBorders>
              <w:top w:val="nil"/>
              <w:left w:val="nil"/>
              <w:bottom w:val="nil"/>
              <w:right w:val="nil"/>
            </w:tcBorders>
            <w:tcMar>
              <w:top w:w="128" w:type="dxa"/>
              <w:left w:w="43" w:type="dxa"/>
              <w:bottom w:w="43" w:type="dxa"/>
              <w:right w:w="43" w:type="dxa"/>
            </w:tcMar>
            <w:vAlign w:val="bottom"/>
          </w:tcPr>
          <w:p w14:paraId="2E2B746F" w14:textId="77777777" w:rsidR="00575AC3" w:rsidRPr="006D40F0" w:rsidRDefault="00575AC3" w:rsidP="006D40F0"/>
        </w:tc>
      </w:tr>
      <w:tr w:rsidR="00DD49A7" w:rsidRPr="006D40F0" w14:paraId="6ECAB758" w14:textId="77777777">
        <w:trPr>
          <w:trHeight w:val="640"/>
        </w:trPr>
        <w:tc>
          <w:tcPr>
            <w:tcW w:w="680" w:type="dxa"/>
            <w:tcBorders>
              <w:top w:val="nil"/>
              <w:left w:val="nil"/>
              <w:bottom w:val="nil"/>
              <w:right w:val="nil"/>
            </w:tcBorders>
            <w:tcMar>
              <w:top w:w="128" w:type="dxa"/>
              <w:left w:w="43" w:type="dxa"/>
              <w:bottom w:w="43" w:type="dxa"/>
              <w:right w:w="43" w:type="dxa"/>
            </w:tcMar>
          </w:tcPr>
          <w:p w14:paraId="339D57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3F469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3484023F" w14:textId="77777777" w:rsidR="00575AC3" w:rsidRPr="006D40F0" w:rsidRDefault="00575AC3" w:rsidP="006D40F0">
            <w:r w:rsidRPr="006D40F0">
              <w:t xml:space="preserve">Rusmiddeltiltak mv., </w:t>
            </w:r>
            <w:r w:rsidRPr="00575AC3">
              <w:rPr>
                <w:rStyle w:val="kursiv"/>
              </w:rPr>
              <w:t>kan overføres, kan nyttes under post 21,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756FA3C" w14:textId="77777777" w:rsidR="00575AC3" w:rsidRPr="006D40F0" w:rsidRDefault="00575AC3" w:rsidP="006D40F0">
            <w:r w:rsidRPr="006D40F0">
              <w:t>12 500 000</w:t>
            </w:r>
          </w:p>
        </w:tc>
      </w:tr>
      <w:tr w:rsidR="00DD49A7" w:rsidRPr="006D40F0" w14:paraId="260542E2" w14:textId="77777777">
        <w:trPr>
          <w:trHeight w:val="380"/>
        </w:trPr>
        <w:tc>
          <w:tcPr>
            <w:tcW w:w="680" w:type="dxa"/>
            <w:tcBorders>
              <w:top w:val="nil"/>
              <w:left w:val="nil"/>
              <w:bottom w:val="nil"/>
              <w:right w:val="nil"/>
            </w:tcBorders>
            <w:tcMar>
              <w:top w:w="128" w:type="dxa"/>
              <w:left w:w="43" w:type="dxa"/>
              <w:bottom w:w="43" w:type="dxa"/>
              <w:right w:w="43" w:type="dxa"/>
            </w:tcMar>
          </w:tcPr>
          <w:p w14:paraId="71E8AC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23C6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9318D6" w14:textId="77777777" w:rsidR="00575AC3" w:rsidRPr="006D40F0" w:rsidRDefault="00575AC3" w:rsidP="006D40F0">
            <w:r w:rsidRPr="006D40F0">
              <w:t>fra kr 205 504 000 til kr 193 004 000</w:t>
            </w:r>
          </w:p>
        </w:tc>
        <w:tc>
          <w:tcPr>
            <w:tcW w:w="1400" w:type="dxa"/>
            <w:tcBorders>
              <w:top w:val="nil"/>
              <w:left w:val="nil"/>
              <w:bottom w:val="nil"/>
              <w:right w:val="nil"/>
            </w:tcBorders>
            <w:tcMar>
              <w:top w:w="128" w:type="dxa"/>
              <w:left w:w="43" w:type="dxa"/>
              <w:bottom w:w="43" w:type="dxa"/>
              <w:right w:w="43" w:type="dxa"/>
            </w:tcMar>
            <w:vAlign w:val="bottom"/>
          </w:tcPr>
          <w:p w14:paraId="172CA010" w14:textId="77777777" w:rsidR="00575AC3" w:rsidRPr="006D40F0" w:rsidRDefault="00575AC3" w:rsidP="006D40F0"/>
        </w:tc>
      </w:tr>
      <w:tr w:rsidR="00DD49A7" w:rsidRPr="006D40F0" w14:paraId="53B1CA9C" w14:textId="77777777">
        <w:trPr>
          <w:trHeight w:val="380"/>
        </w:trPr>
        <w:tc>
          <w:tcPr>
            <w:tcW w:w="680" w:type="dxa"/>
            <w:tcBorders>
              <w:top w:val="nil"/>
              <w:left w:val="nil"/>
              <w:bottom w:val="nil"/>
              <w:right w:val="nil"/>
            </w:tcBorders>
            <w:tcMar>
              <w:top w:w="128" w:type="dxa"/>
              <w:left w:w="43" w:type="dxa"/>
              <w:bottom w:w="43" w:type="dxa"/>
              <w:right w:w="43" w:type="dxa"/>
            </w:tcMar>
          </w:tcPr>
          <w:p w14:paraId="32E38D0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A51BFB"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7F2F43FF" w14:textId="77777777" w:rsidR="00575AC3" w:rsidRPr="006D40F0" w:rsidRDefault="00575AC3" w:rsidP="006D40F0">
            <w:r w:rsidRPr="006D40F0">
              <w:t xml:space="preserve">Andre tilskudd, </w:t>
            </w:r>
            <w:r w:rsidRPr="00575AC3">
              <w:rPr>
                <w:rStyle w:val="kursiv"/>
              </w:rPr>
              <w:t>kan overføres, kan nyttes under post 21,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3508958" w14:textId="77777777" w:rsidR="00575AC3" w:rsidRPr="006D40F0" w:rsidRDefault="00575AC3" w:rsidP="006D40F0">
            <w:r w:rsidRPr="006D40F0">
              <w:t>2 000 000</w:t>
            </w:r>
          </w:p>
        </w:tc>
      </w:tr>
      <w:tr w:rsidR="00DD49A7" w:rsidRPr="006D40F0" w14:paraId="362BCBE2" w14:textId="77777777">
        <w:trPr>
          <w:trHeight w:val="380"/>
        </w:trPr>
        <w:tc>
          <w:tcPr>
            <w:tcW w:w="680" w:type="dxa"/>
            <w:tcBorders>
              <w:top w:val="nil"/>
              <w:left w:val="nil"/>
              <w:bottom w:val="nil"/>
              <w:right w:val="nil"/>
            </w:tcBorders>
            <w:tcMar>
              <w:top w:w="128" w:type="dxa"/>
              <w:left w:w="43" w:type="dxa"/>
              <w:bottom w:w="43" w:type="dxa"/>
              <w:right w:w="43" w:type="dxa"/>
            </w:tcMar>
          </w:tcPr>
          <w:p w14:paraId="66B6B4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28968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23724A" w14:textId="77777777" w:rsidR="00575AC3" w:rsidRPr="006D40F0" w:rsidRDefault="00575AC3" w:rsidP="006D40F0">
            <w:r w:rsidRPr="006D40F0">
              <w:t>fra kr 69 372 000 til kr 67 372 000</w:t>
            </w:r>
          </w:p>
        </w:tc>
        <w:tc>
          <w:tcPr>
            <w:tcW w:w="1400" w:type="dxa"/>
            <w:tcBorders>
              <w:top w:val="nil"/>
              <w:left w:val="nil"/>
              <w:bottom w:val="nil"/>
              <w:right w:val="nil"/>
            </w:tcBorders>
            <w:tcMar>
              <w:top w:w="128" w:type="dxa"/>
              <w:left w:w="43" w:type="dxa"/>
              <w:bottom w:w="43" w:type="dxa"/>
              <w:right w:w="43" w:type="dxa"/>
            </w:tcMar>
            <w:vAlign w:val="bottom"/>
          </w:tcPr>
          <w:p w14:paraId="34E45208" w14:textId="77777777" w:rsidR="00575AC3" w:rsidRPr="006D40F0" w:rsidRDefault="00575AC3" w:rsidP="006D40F0"/>
        </w:tc>
      </w:tr>
      <w:tr w:rsidR="00DD49A7" w:rsidRPr="006D40F0" w14:paraId="288C2266" w14:textId="77777777">
        <w:trPr>
          <w:trHeight w:val="380"/>
        </w:trPr>
        <w:tc>
          <w:tcPr>
            <w:tcW w:w="680" w:type="dxa"/>
            <w:tcBorders>
              <w:top w:val="nil"/>
              <w:left w:val="nil"/>
              <w:bottom w:val="nil"/>
              <w:right w:val="nil"/>
            </w:tcBorders>
            <w:tcMar>
              <w:top w:w="128" w:type="dxa"/>
              <w:left w:w="43" w:type="dxa"/>
              <w:bottom w:w="43" w:type="dxa"/>
              <w:right w:w="43" w:type="dxa"/>
            </w:tcMar>
          </w:tcPr>
          <w:p w14:paraId="493961D0" w14:textId="77777777" w:rsidR="00575AC3" w:rsidRPr="006D40F0" w:rsidRDefault="00575AC3" w:rsidP="006D40F0">
            <w:r w:rsidRPr="006D40F0">
              <w:lastRenderedPageBreak/>
              <w:t>732</w:t>
            </w:r>
          </w:p>
        </w:tc>
        <w:tc>
          <w:tcPr>
            <w:tcW w:w="680" w:type="dxa"/>
            <w:tcBorders>
              <w:top w:val="nil"/>
              <w:left w:val="nil"/>
              <w:bottom w:val="nil"/>
              <w:right w:val="nil"/>
            </w:tcBorders>
            <w:tcMar>
              <w:top w:w="128" w:type="dxa"/>
              <w:left w:w="43" w:type="dxa"/>
              <w:bottom w:w="43" w:type="dxa"/>
              <w:right w:w="43" w:type="dxa"/>
            </w:tcMar>
          </w:tcPr>
          <w:p w14:paraId="396A31B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0137EE" w14:textId="77777777" w:rsidR="00575AC3" w:rsidRPr="006D40F0" w:rsidRDefault="00575AC3" w:rsidP="006D40F0">
            <w:r w:rsidRPr="006D40F0">
              <w:t>Regionale helseforetak:</w:t>
            </w:r>
          </w:p>
        </w:tc>
        <w:tc>
          <w:tcPr>
            <w:tcW w:w="1400" w:type="dxa"/>
            <w:tcBorders>
              <w:top w:val="nil"/>
              <w:left w:val="nil"/>
              <w:bottom w:val="nil"/>
              <w:right w:val="nil"/>
            </w:tcBorders>
            <w:tcMar>
              <w:top w:w="128" w:type="dxa"/>
              <w:left w:w="43" w:type="dxa"/>
              <w:bottom w:w="43" w:type="dxa"/>
              <w:right w:w="43" w:type="dxa"/>
            </w:tcMar>
            <w:vAlign w:val="bottom"/>
          </w:tcPr>
          <w:p w14:paraId="5BCB7D20" w14:textId="77777777" w:rsidR="00575AC3" w:rsidRPr="006D40F0" w:rsidRDefault="00575AC3" w:rsidP="006D40F0"/>
        </w:tc>
      </w:tr>
      <w:tr w:rsidR="00DD49A7" w:rsidRPr="006D40F0" w14:paraId="07C8425D" w14:textId="77777777">
        <w:trPr>
          <w:trHeight w:val="380"/>
        </w:trPr>
        <w:tc>
          <w:tcPr>
            <w:tcW w:w="680" w:type="dxa"/>
            <w:tcBorders>
              <w:top w:val="nil"/>
              <w:left w:val="nil"/>
              <w:bottom w:val="nil"/>
              <w:right w:val="nil"/>
            </w:tcBorders>
            <w:tcMar>
              <w:top w:w="128" w:type="dxa"/>
              <w:left w:w="43" w:type="dxa"/>
              <w:bottom w:w="43" w:type="dxa"/>
              <w:right w:w="43" w:type="dxa"/>
            </w:tcMar>
          </w:tcPr>
          <w:p w14:paraId="23105A8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6CCA3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996D1DB"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9FDC701" w14:textId="77777777" w:rsidR="00575AC3" w:rsidRPr="006D40F0" w:rsidRDefault="00575AC3" w:rsidP="006D40F0">
            <w:r w:rsidRPr="006D40F0">
              <w:t>50 000 000</w:t>
            </w:r>
          </w:p>
        </w:tc>
      </w:tr>
      <w:tr w:rsidR="00DD49A7" w:rsidRPr="006D40F0" w14:paraId="1B38ED30" w14:textId="77777777">
        <w:trPr>
          <w:trHeight w:val="380"/>
        </w:trPr>
        <w:tc>
          <w:tcPr>
            <w:tcW w:w="680" w:type="dxa"/>
            <w:tcBorders>
              <w:top w:val="nil"/>
              <w:left w:val="nil"/>
              <w:bottom w:val="nil"/>
              <w:right w:val="nil"/>
            </w:tcBorders>
            <w:tcMar>
              <w:top w:w="128" w:type="dxa"/>
              <w:left w:w="43" w:type="dxa"/>
              <w:bottom w:w="43" w:type="dxa"/>
              <w:right w:w="43" w:type="dxa"/>
            </w:tcMar>
          </w:tcPr>
          <w:p w14:paraId="28A6AAD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F42D9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865BB0" w14:textId="77777777" w:rsidR="00575AC3" w:rsidRPr="006D40F0" w:rsidRDefault="00575AC3" w:rsidP="006D40F0">
            <w:r w:rsidRPr="006D40F0">
              <w:t>fra kr 20 731 000 til kr 70 731 000</w:t>
            </w:r>
          </w:p>
        </w:tc>
        <w:tc>
          <w:tcPr>
            <w:tcW w:w="1400" w:type="dxa"/>
            <w:tcBorders>
              <w:top w:val="nil"/>
              <w:left w:val="nil"/>
              <w:bottom w:val="nil"/>
              <w:right w:val="nil"/>
            </w:tcBorders>
            <w:tcMar>
              <w:top w:w="128" w:type="dxa"/>
              <w:left w:w="43" w:type="dxa"/>
              <w:bottom w:w="43" w:type="dxa"/>
              <w:right w:w="43" w:type="dxa"/>
            </w:tcMar>
            <w:vAlign w:val="bottom"/>
          </w:tcPr>
          <w:p w14:paraId="63785A9C" w14:textId="77777777" w:rsidR="00575AC3" w:rsidRPr="006D40F0" w:rsidRDefault="00575AC3" w:rsidP="006D40F0"/>
        </w:tc>
      </w:tr>
      <w:tr w:rsidR="00DD49A7" w:rsidRPr="006D40F0" w14:paraId="4AEE4C39" w14:textId="77777777">
        <w:trPr>
          <w:trHeight w:val="640"/>
        </w:trPr>
        <w:tc>
          <w:tcPr>
            <w:tcW w:w="680" w:type="dxa"/>
            <w:tcBorders>
              <w:top w:val="nil"/>
              <w:left w:val="nil"/>
              <w:bottom w:val="nil"/>
              <w:right w:val="nil"/>
            </w:tcBorders>
            <w:tcMar>
              <w:top w:w="128" w:type="dxa"/>
              <w:left w:w="43" w:type="dxa"/>
              <w:bottom w:w="43" w:type="dxa"/>
              <w:right w:w="43" w:type="dxa"/>
            </w:tcMar>
          </w:tcPr>
          <w:p w14:paraId="71F00E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59AFBF"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8B80423" w14:textId="77777777" w:rsidR="00575AC3" w:rsidRPr="006D40F0" w:rsidRDefault="00575AC3" w:rsidP="006D40F0">
            <w:r w:rsidRPr="006D40F0">
              <w:t xml:space="preserve">Særskilte tilskudd, </w:t>
            </w:r>
            <w:r w:rsidRPr="00575AC3">
              <w:rPr>
                <w:rStyle w:val="kursiv"/>
              </w:rPr>
              <w:t>kan overføres, kan nyttes under postene 72, 73, 74 og 75</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16836CB6" w14:textId="77777777" w:rsidR="00575AC3" w:rsidRPr="006D40F0" w:rsidRDefault="00575AC3" w:rsidP="006D40F0">
            <w:r w:rsidRPr="006D40F0">
              <w:t>840 000 000</w:t>
            </w:r>
          </w:p>
        </w:tc>
      </w:tr>
      <w:tr w:rsidR="00DD49A7" w:rsidRPr="006D40F0" w14:paraId="19322079" w14:textId="77777777">
        <w:trPr>
          <w:trHeight w:val="380"/>
        </w:trPr>
        <w:tc>
          <w:tcPr>
            <w:tcW w:w="680" w:type="dxa"/>
            <w:tcBorders>
              <w:top w:val="nil"/>
              <w:left w:val="nil"/>
              <w:bottom w:val="nil"/>
              <w:right w:val="nil"/>
            </w:tcBorders>
            <w:tcMar>
              <w:top w:w="128" w:type="dxa"/>
              <w:left w:w="43" w:type="dxa"/>
              <w:bottom w:w="43" w:type="dxa"/>
              <w:right w:w="43" w:type="dxa"/>
            </w:tcMar>
          </w:tcPr>
          <w:p w14:paraId="32EEF2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E6C43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01A4CF" w14:textId="77777777" w:rsidR="00575AC3" w:rsidRPr="006D40F0" w:rsidRDefault="00575AC3" w:rsidP="006D40F0">
            <w:r w:rsidRPr="006D40F0">
              <w:t>fra kr 2 564 629 000 til kr 3 404 629 000</w:t>
            </w:r>
          </w:p>
        </w:tc>
        <w:tc>
          <w:tcPr>
            <w:tcW w:w="1400" w:type="dxa"/>
            <w:tcBorders>
              <w:top w:val="nil"/>
              <w:left w:val="nil"/>
              <w:bottom w:val="nil"/>
              <w:right w:val="nil"/>
            </w:tcBorders>
            <w:tcMar>
              <w:top w:w="128" w:type="dxa"/>
              <w:left w:w="43" w:type="dxa"/>
              <w:bottom w:w="43" w:type="dxa"/>
              <w:right w:w="43" w:type="dxa"/>
            </w:tcMar>
            <w:vAlign w:val="bottom"/>
          </w:tcPr>
          <w:p w14:paraId="351C493B" w14:textId="77777777" w:rsidR="00575AC3" w:rsidRPr="006D40F0" w:rsidRDefault="00575AC3" w:rsidP="006D40F0"/>
        </w:tc>
      </w:tr>
      <w:tr w:rsidR="00DD49A7" w:rsidRPr="006D40F0" w14:paraId="6E098E08" w14:textId="77777777">
        <w:trPr>
          <w:trHeight w:val="380"/>
        </w:trPr>
        <w:tc>
          <w:tcPr>
            <w:tcW w:w="680" w:type="dxa"/>
            <w:tcBorders>
              <w:top w:val="nil"/>
              <w:left w:val="nil"/>
              <w:bottom w:val="nil"/>
              <w:right w:val="nil"/>
            </w:tcBorders>
            <w:tcMar>
              <w:top w:w="128" w:type="dxa"/>
              <w:left w:w="43" w:type="dxa"/>
              <w:bottom w:w="43" w:type="dxa"/>
              <w:right w:w="43" w:type="dxa"/>
            </w:tcMar>
          </w:tcPr>
          <w:p w14:paraId="331472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8279A7"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5281CFF6" w14:textId="77777777" w:rsidR="00575AC3" w:rsidRPr="006D40F0" w:rsidRDefault="00575AC3" w:rsidP="006D40F0">
            <w:r w:rsidRPr="006D40F0">
              <w:t xml:space="preserve">Basisbevilgning Helse Sør-Øst RHF,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913F778" w14:textId="77777777" w:rsidR="00575AC3" w:rsidRPr="006D40F0" w:rsidRDefault="00575AC3" w:rsidP="006D40F0">
            <w:r w:rsidRPr="006D40F0">
              <w:t>1 113 400 000</w:t>
            </w:r>
          </w:p>
        </w:tc>
      </w:tr>
      <w:tr w:rsidR="00DD49A7" w:rsidRPr="006D40F0" w14:paraId="04D3BCEE" w14:textId="77777777">
        <w:trPr>
          <w:trHeight w:val="380"/>
        </w:trPr>
        <w:tc>
          <w:tcPr>
            <w:tcW w:w="680" w:type="dxa"/>
            <w:tcBorders>
              <w:top w:val="nil"/>
              <w:left w:val="nil"/>
              <w:bottom w:val="nil"/>
              <w:right w:val="nil"/>
            </w:tcBorders>
            <w:tcMar>
              <w:top w:w="128" w:type="dxa"/>
              <w:left w:w="43" w:type="dxa"/>
              <w:bottom w:w="43" w:type="dxa"/>
              <w:right w:w="43" w:type="dxa"/>
            </w:tcMar>
          </w:tcPr>
          <w:p w14:paraId="7F9AC8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FCAAA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B2C7F18" w14:textId="77777777" w:rsidR="00575AC3" w:rsidRPr="006D40F0" w:rsidRDefault="00575AC3" w:rsidP="006D40F0">
            <w:r w:rsidRPr="006D40F0">
              <w:t>fra kr 76 032 508 000 til kr 77 145 908 000</w:t>
            </w:r>
          </w:p>
        </w:tc>
        <w:tc>
          <w:tcPr>
            <w:tcW w:w="1400" w:type="dxa"/>
            <w:tcBorders>
              <w:top w:val="nil"/>
              <w:left w:val="nil"/>
              <w:bottom w:val="nil"/>
              <w:right w:val="nil"/>
            </w:tcBorders>
            <w:tcMar>
              <w:top w:w="128" w:type="dxa"/>
              <w:left w:w="43" w:type="dxa"/>
              <w:bottom w:w="43" w:type="dxa"/>
              <w:right w:w="43" w:type="dxa"/>
            </w:tcMar>
            <w:vAlign w:val="bottom"/>
          </w:tcPr>
          <w:p w14:paraId="0514AA3E" w14:textId="77777777" w:rsidR="00575AC3" w:rsidRPr="006D40F0" w:rsidRDefault="00575AC3" w:rsidP="006D40F0"/>
        </w:tc>
      </w:tr>
      <w:tr w:rsidR="00DD49A7" w:rsidRPr="006D40F0" w14:paraId="3E03FDD7" w14:textId="77777777">
        <w:trPr>
          <w:trHeight w:val="380"/>
        </w:trPr>
        <w:tc>
          <w:tcPr>
            <w:tcW w:w="680" w:type="dxa"/>
            <w:tcBorders>
              <w:top w:val="nil"/>
              <w:left w:val="nil"/>
              <w:bottom w:val="nil"/>
              <w:right w:val="nil"/>
            </w:tcBorders>
            <w:tcMar>
              <w:top w:w="128" w:type="dxa"/>
              <w:left w:w="43" w:type="dxa"/>
              <w:bottom w:w="43" w:type="dxa"/>
              <w:right w:w="43" w:type="dxa"/>
            </w:tcMar>
          </w:tcPr>
          <w:p w14:paraId="4A03B6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8F575C"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1517234A" w14:textId="77777777" w:rsidR="00575AC3" w:rsidRPr="006D40F0" w:rsidRDefault="00575AC3" w:rsidP="006D40F0">
            <w:r w:rsidRPr="006D40F0">
              <w:t xml:space="preserve">Basisbevilgning Helse Vest RHF,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3B19092" w14:textId="77777777" w:rsidR="00575AC3" w:rsidRPr="006D40F0" w:rsidRDefault="00575AC3" w:rsidP="006D40F0">
            <w:r w:rsidRPr="006D40F0">
              <w:t>393 000 000</w:t>
            </w:r>
          </w:p>
        </w:tc>
      </w:tr>
      <w:tr w:rsidR="00DD49A7" w:rsidRPr="006D40F0" w14:paraId="0F83C9AA" w14:textId="77777777">
        <w:trPr>
          <w:trHeight w:val="380"/>
        </w:trPr>
        <w:tc>
          <w:tcPr>
            <w:tcW w:w="680" w:type="dxa"/>
            <w:tcBorders>
              <w:top w:val="nil"/>
              <w:left w:val="nil"/>
              <w:bottom w:val="nil"/>
              <w:right w:val="nil"/>
            </w:tcBorders>
            <w:tcMar>
              <w:top w:w="128" w:type="dxa"/>
              <w:left w:w="43" w:type="dxa"/>
              <w:bottom w:w="43" w:type="dxa"/>
              <w:right w:w="43" w:type="dxa"/>
            </w:tcMar>
          </w:tcPr>
          <w:p w14:paraId="3A2E01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0C3B9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55B6B6" w14:textId="77777777" w:rsidR="00575AC3" w:rsidRPr="006D40F0" w:rsidRDefault="00575AC3" w:rsidP="006D40F0">
            <w:r w:rsidRPr="006D40F0">
              <w:t>fra kr 26 840 189 000 til kr 27 233 189 000</w:t>
            </w:r>
          </w:p>
        </w:tc>
        <w:tc>
          <w:tcPr>
            <w:tcW w:w="1400" w:type="dxa"/>
            <w:tcBorders>
              <w:top w:val="nil"/>
              <w:left w:val="nil"/>
              <w:bottom w:val="nil"/>
              <w:right w:val="nil"/>
            </w:tcBorders>
            <w:tcMar>
              <w:top w:w="128" w:type="dxa"/>
              <w:left w:w="43" w:type="dxa"/>
              <w:bottom w:w="43" w:type="dxa"/>
              <w:right w:w="43" w:type="dxa"/>
            </w:tcMar>
            <w:vAlign w:val="bottom"/>
          </w:tcPr>
          <w:p w14:paraId="454F552F" w14:textId="77777777" w:rsidR="00575AC3" w:rsidRPr="006D40F0" w:rsidRDefault="00575AC3" w:rsidP="006D40F0"/>
        </w:tc>
      </w:tr>
      <w:tr w:rsidR="00DD49A7" w:rsidRPr="006D40F0" w14:paraId="12B717F6" w14:textId="77777777">
        <w:trPr>
          <w:trHeight w:val="380"/>
        </w:trPr>
        <w:tc>
          <w:tcPr>
            <w:tcW w:w="680" w:type="dxa"/>
            <w:tcBorders>
              <w:top w:val="nil"/>
              <w:left w:val="nil"/>
              <w:bottom w:val="nil"/>
              <w:right w:val="nil"/>
            </w:tcBorders>
            <w:tcMar>
              <w:top w:w="128" w:type="dxa"/>
              <w:left w:w="43" w:type="dxa"/>
              <w:bottom w:w="43" w:type="dxa"/>
              <w:right w:w="43" w:type="dxa"/>
            </w:tcMar>
          </w:tcPr>
          <w:p w14:paraId="4DDC2D3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BF6223"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5324934F" w14:textId="77777777" w:rsidR="00575AC3" w:rsidRPr="006D40F0" w:rsidRDefault="00575AC3" w:rsidP="006D40F0">
            <w:r w:rsidRPr="006D40F0">
              <w:t xml:space="preserve">Basisbevilgning Helse Midt-Norge RHF,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D341930" w14:textId="77777777" w:rsidR="00575AC3" w:rsidRPr="006D40F0" w:rsidRDefault="00575AC3" w:rsidP="006D40F0">
            <w:r w:rsidRPr="006D40F0">
              <w:t>291 700 000</w:t>
            </w:r>
          </w:p>
        </w:tc>
      </w:tr>
      <w:tr w:rsidR="00DD49A7" w:rsidRPr="006D40F0" w14:paraId="3F83F81F" w14:textId="77777777">
        <w:trPr>
          <w:trHeight w:val="380"/>
        </w:trPr>
        <w:tc>
          <w:tcPr>
            <w:tcW w:w="680" w:type="dxa"/>
            <w:tcBorders>
              <w:top w:val="nil"/>
              <w:left w:val="nil"/>
              <w:bottom w:val="nil"/>
              <w:right w:val="nil"/>
            </w:tcBorders>
            <w:tcMar>
              <w:top w:w="128" w:type="dxa"/>
              <w:left w:w="43" w:type="dxa"/>
              <w:bottom w:w="43" w:type="dxa"/>
              <w:right w:w="43" w:type="dxa"/>
            </w:tcMar>
          </w:tcPr>
          <w:p w14:paraId="151F03D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E265C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668E7B" w14:textId="77777777" w:rsidR="00575AC3" w:rsidRPr="006D40F0" w:rsidRDefault="00575AC3" w:rsidP="006D40F0">
            <w:r w:rsidRPr="006D40F0">
              <w:t>fra kr 19 922 744 000 til kr 20 214 444 000</w:t>
            </w:r>
          </w:p>
        </w:tc>
        <w:tc>
          <w:tcPr>
            <w:tcW w:w="1400" w:type="dxa"/>
            <w:tcBorders>
              <w:top w:val="nil"/>
              <w:left w:val="nil"/>
              <w:bottom w:val="nil"/>
              <w:right w:val="nil"/>
            </w:tcBorders>
            <w:tcMar>
              <w:top w:w="128" w:type="dxa"/>
              <w:left w:w="43" w:type="dxa"/>
              <w:bottom w:w="43" w:type="dxa"/>
              <w:right w:w="43" w:type="dxa"/>
            </w:tcMar>
            <w:vAlign w:val="bottom"/>
          </w:tcPr>
          <w:p w14:paraId="0A74D7B5" w14:textId="77777777" w:rsidR="00575AC3" w:rsidRPr="006D40F0" w:rsidRDefault="00575AC3" w:rsidP="006D40F0"/>
        </w:tc>
      </w:tr>
      <w:tr w:rsidR="00DD49A7" w:rsidRPr="006D40F0" w14:paraId="4947555A" w14:textId="77777777">
        <w:trPr>
          <w:trHeight w:val="380"/>
        </w:trPr>
        <w:tc>
          <w:tcPr>
            <w:tcW w:w="680" w:type="dxa"/>
            <w:tcBorders>
              <w:top w:val="nil"/>
              <w:left w:val="nil"/>
              <w:bottom w:val="nil"/>
              <w:right w:val="nil"/>
            </w:tcBorders>
            <w:tcMar>
              <w:top w:w="128" w:type="dxa"/>
              <w:left w:w="43" w:type="dxa"/>
              <w:bottom w:w="43" w:type="dxa"/>
              <w:right w:w="43" w:type="dxa"/>
            </w:tcMar>
          </w:tcPr>
          <w:p w14:paraId="44D28E0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9FC1C4"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77D95584" w14:textId="77777777" w:rsidR="00575AC3" w:rsidRPr="006D40F0" w:rsidRDefault="00575AC3" w:rsidP="006D40F0">
            <w:r w:rsidRPr="006D40F0">
              <w:t xml:space="preserve">Basisbevilgning Helse Nord RHF,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7B29692" w14:textId="77777777" w:rsidR="00575AC3" w:rsidRPr="006D40F0" w:rsidRDefault="00575AC3" w:rsidP="006D40F0">
            <w:r w:rsidRPr="006D40F0">
              <w:t>251 900 000</w:t>
            </w:r>
          </w:p>
        </w:tc>
      </w:tr>
      <w:tr w:rsidR="00DD49A7" w:rsidRPr="006D40F0" w14:paraId="43CA29C1" w14:textId="77777777">
        <w:trPr>
          <w:trHeight w:val="380"/>
        </w:trPr>
        <w:tc>
          <w:tcPr>
            <w:tcW w:w="680" w:type="dxa"/>
            <w:tcBorders>
              <w:top w:val="nil"/>
              <w:left w:val="nil"/>
              <w:bottom w:val="nil"/>
              <w:right w:val="nil"/>
            </w:tcBorders>
            <w:tcMar>
              <w:top w:w="128" w:type="dxa"/>
              <w:left w:w="43" w:type="dxa"/>
              <w:bottom w:w="43" w:type="dxa"/>
              <w:right w:w="43" w:type="dxa"/>
            </w:tcMar>
          </w:tcPr>
          <w:p w14:paraId="50A230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2280F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BB2D0C" w14:textId="77777777" w:rsidR="00575AC3" w:rsidRPr="006D40F0" w:rsidRDefault="00575AC3" w:rsidP="006D40F0">
            <w:r w:rsidRPr="006D40F0">
              <w:t>fra kr 17 203 337 000 til kr 17 455 237 000</w:t>
            </w:r>
          </w:p>
        </w:tc>
        <w:tc>
          <w:tcPr>
            <w:tcW w:w="1400" w:type="dxa"/>
            <w:tcBorders>
              <w:top w:val="nil"/>
              <w:left w:val="nil"/>
              <w:bottom w:val="nil"/>
              <w:right w:val="nil"/>
            </w:tcBorders>
            <w:tcMar>
              <w:top w:w="128" w:type="dxa"/>
              <w:left w:w="43" w:type="dxa"/>
              <w:bottom w:w="43" w:type="dxa"/>
              <w:right w:w="43" w:type="dxa"/>
            </w:tcMar>
            <w:vAlign w:val="bottom"/>
          </w:tcPr>
          <w:p w14:paraId="16BBF59C" w14:textId="77777777" w:rsidR="00575AC3" w:rsidRPr="006D40F0" w:rsidRDefault="00575AC3" w:rsidP="006D40F0"/>
        </w:tc>
      </w:tr>
      <w:tr w:rsidR="00DD49A7" w:rsidRPr="006D40F0" w14:paraId="52A75074" w14:textId="77777777">
        <w:trPr>
          <w:trHeight w:val="640"/>
        </w:trPr>
        <w:tc>
          <w:tcPr>
            <w:tcW w:w="680" w:type="dxa"/>
            <w:tcBorders>
              <w:top w:val="nil"/>
              <w:left w:val="nil"/>
              <w:bottom w:val="nil"/>
              <w:right w:val="nil"/>
            </w:tcBorders>
            <w:tcMar>
              <w:top w:w="128" w:type="dxa"/>
              <w:left w:w="43" w:type="dxa"/>
              <w:bottom w:w="43" w:type="dxa"/>
              <w:right w:w="43" w:type="dxa"/>
            </w:tcMar>
          </w:tcPr>
          <w:p w14:paraId="3DB0A0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19F5A5" w14:textId="77777777" w:rsidR="00575AC3" w:rsidRPr="006D40F0" w:rsidRDefault="00575AC3" w:rsidP="006D40F0">
            <w:r w:rsidRPr="006D40F0">
              <w:t>77</w:t>
            </w:r>
          </w:p>
        </w:tc>
        <w:tc>
          <w:tcPr>
            <w:tcW w:w="6800" w:type="dxa"/>
            <w:tcBorders>
              <w:top w:val="nil"/>
              <w:left w:val="nil"/>
              <w:bottom w:val="nil"/>
              <w:right w:val="nil"/>
            </w:tcBorders>
            <w:tcMar>
              <w:top w:w="128" w:type="dxa"/>
              <w:left w:w="43" w:type="dxa"/>
              <w:bottom w:w="43" w:type="dxa"/>
              <w:right w:w="43" w:type="dxa"/>
            </w:tcMar>
          </w:tcPr>
          <w:p w14:paraId="4AF17D1A" w14:textId="77777777" w:rsidR="00575AC3" w:rsidRPr="006D40F0" w:rsidRDefault="00575AC3" w:rsidP="006D40F0">
            <w:r w:rsidRPr="006D40F0">
              <w:t xml:space="preserve">Laboratorie- og radiologiske undersøkelser,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D593732" w14:textId="77777777" w:rsidR="00575AC3" w:rsidRPr="006D40F0" w:rsidRDefault="00575AC3" w:rsidP="006D40F0">
            <w:r w:rsidRPr="006D40F0">
              <w:t>142 000 000</w:t>
            </w:r>
          </w:p>
        </w:tc>
      </w:tr>
      <w:tr w:rsidR="00DD49A7" w:rsidRPr="006D40F0" w14:paraId="3F981001" w14:textId="77777777">
        <w:trPr>
          <w:trHeight w:val="380"/>
        </w:trPr>
        <w:tc>
          <w:tcPr>
            <w:tcW w:w="680" w:type="dxa"/>
            <w:tcBorders>
              <w:top w:val="nil"/>
              <w:left w:val="nil"/>
              <w:bottom w:val="nil"/>
              <w:right w:val="nil"/>
            </w:tcBorders>
            <w:tcMar>
              <w:top w:w="128" w:type="dxa"/>
              <w:left w:w="43" w:type="dxa"/>
              <w:bottom w:w="43" w:type="dxa"/>
              <w:right w:w="43" w:type="dxa"/>
            </w:tcMar>
          </w:tcPr>
          <w:p w14:paraId="77C6636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E1656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1FAFBCD" w14:textId="77777777" w:rsidR="00575AC3" w:rsidRPr="006D40F0" w:rsidRDefault="00575AC3" w:rsidP="006D40F0">
            <w:r w:rsidRPr="006D40F0">
              <w:t>fra kr 4 187 644 000 til kr 4 329 644 000</w:t>
            </w:r>
          </w:p>
        </w:tc>
        <w:tc>
          <w:tcPr>
            <w:tcW w:w="1400" w:type="dxa"/>
            <w:tcBorders>
              <w:top w:val="nil"/>
              <w:left w:val="nil"/>
              <w:bottom w:val="nil"/>
              <w:right w:val="nil"/>
            </w:tcBorders>
            <w:tcMar>
              <w:top w:w="128" w:type="dxa"/>
              <w:left w:w="43" w:type="dxa"/>
              <w:bottom w:w="43" w:type="dxa"/>
              <w:right w:w="43" w:type="dxa"/>
            </w:tcMar>
            <w:vAlign w:val="bottom"/>
          </w:tcPr>
          <w:p w14:paraId="049ABED8" w14:textId="77777777" w:rsidR="00575AC3" w:rsidRPr="006D40F0" w:rsidRDefault="00575AC3" w:rsidP="006D40F0"/>
        </w:tc>
      </w:tr>
      <w:tr w:rsidR="00DD49A7" w:rsidRPr="006D40F0" w14:paraId="2CE9E3B4" w14:textId="77777777">
        <w:trPr>
          <w:trHeight w:val="380"/>
        </w:trPr>
        <w:tc>
          <w:tcPr>
            <w:tcW w:w="680" w:type="dxa"/>
            <w:tcBorders>
              <w:top w:val="nil"/>
              <w:left w:val="nil"/>
              <w:bottom w:val="nil"/>
              <w:right w:val="nil"/>
            </w:tcBorders>
            <w:tcMar>
              <w:top w:w="128" w:type="dxa"/>
              <w:left w:w="43" w:type="dxa"/>
              <w:bottom w:w="43" w:type="dxa"/>
              <w:right w:w="43" w:type="dxa"/>
            </w:tcMar>
          </w:tcPr>
          <w:p w14:paraId="47AABE4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532B78" w14:textId="77777777" w:rsidR="00575AC3" w:rsidRPr="006D40F0" w:rsidRDefault="00575AC3" w:rsidP="006D40F0">
            <w:r w:rsidRPr="006D40F0">
              <w:t>86</w:t>
            </w:r>
          </w:p>
        </w:tc>
        <w:tc>
          <w:tcPr>
            <w:tcW w:w="6800" w:type="dxa"/>
            <w:tcBorders>
              <w:top w:val="nil"/>
              <w:left w:val="nil"/>
              <w:bottom w:val="nil"/>
              <w:right w:val="nil"/>
            </w:tcBorders>
            <w:tcMar>
              <w:top w:w="128" w:type="dxa"/>
              <w:left w:w="43" w:type="dxa"/>
              <w:bottom w:w="43" w:type="dxa"/>
              <w:right w:w="43" w:type="dxa"/>
            </w:tcMar>
          </w:tcPr>
          <w:p w14:paraId="1DB78DD6" w14:textId="77777777" w:rsidR="00575AC3" w:rsidRPr="006D40F0" w:rsidRDefault="00575AC3" w:rsidP="006D40F0">
            <w:r w:rsidRPr="006D40F0">
              <w:t>Driftskreditter, nedsettes med</w:t>
            </w:r>
          </w:p>
        </w:tc>
        <w:tc>
          <w:tcPr>
            <w:tcW w:w="1400" w:type="dxa"/>
            <w:tcBorders>
              <w:top w:val="nil"/>
              <w:left w:val="nil"/>
              <w:bottom w:val="nil"/>
              <w:right w:val="nil"/>
            </w:tcBorders>
            <w:tcMar>
              <w:top w:w="128" w:type="dxa"/>
              <w:left w:w="43" w:type="dxa"/>
              <w:bottom w:w="43" w:type="dxa"/>
              <w:right w:w="43" w:type="dxa"/>
            </w:tcMar>
            <w:vAlign w:val="bottom"/>
          </w:tcPr>
          <w:p w14:paraId="25C90C4E" w14:textId="77777777" w:rsidR="00575AC3" w:rsidRPr="006D40F0" w:rsidRDefault="00575AC3" w:rsidP="006D40F0">
            <w:r w:rsidRPr="006D40F0">
              <w:t>805 000 000</w:t>
            </w:r>
          </w:p>
        </w:tc>
      </w:tr>
      <w:tr w:rsidR="00DD49A7" w:rsidRPr="006D40F0" w14:paraId="415678C1" w14:textId="77777777">
        <w:trPr>
          <w:trHeight w:val="380"/>
        </w:trPr>
        <w:tc>
          <w:tcPr>
            <w:tcW w:w="680" w:type="dxa"/>
            <w:tcBorders>
              <w:top w:val="nil"/>
              <w:left w:val="nil"/>
              <w:bottom w:val="nil"/>
              <w:right w:val="nil"/>
            </w:tcBorders>
            <w:tcMar>
              <w:top w:w="128" w:type="dxa"/>
              <w:left w:w="43" w:type="dxa"/>
              <w:bottom w:w="43" w:type="dxa"/>
              <w:right w:w="43" w:type="dxa"/>
            </w:tcMar>
          </w:tcPr>
          <w:p w14:paraId="23D142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E8D8D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D28BC9" w14:textId="77777777" w:rsidR="00575AC3" w:rsidRPr="006D40F0" w:rsidRDefault="00575AC3" w:rsidP="006D40F0">
            <w:r w:rsidRPr="006D40F0">
              <w:t>fra kr 6 118 000 000 til kr 5 313 000 000</w:t>
            </w:r>
          </w:p>
        </w:tc>
        <w:tc>
          <w:tcPr>
            <w:tcW w:w="1400" w:type="dxa"/>
            <w:tcBorders>
              <w:top w:val="nil"/>
              <w:left w:val="nil"/>
              <w:bottom w:val="nil"/>
              <w:right w:val="nil"/>
            </w:tcBorders>
            <w:tcMar>
              <w:top w:w="128" w:type="dxa"/>
              <w:left w:w="43" w:type="dxa"/>
              <w:bottom w:w="43" w:type="dxa"/>
              <w:right w:w="43" w:type="dxa"/>
            </w:tcMar>
            <w:vAlign w:val="bottom"/>
          </w:tcPr>
          <w:p w14:paraId="20499143" w14:textId="77777777" w:rsidR="00575AC3" w:rsidRPr="006D40F0" w:rsidRDefault="00575AC3" w:rsidP="006D40F0"/>
        </w:tc>
      </w:tr>
      <w:tr w:rsidR="00DD49A7" w:rsidRPr="006D40F0" w14:paraId="1628F118" w14:textId="77777777">
        <w:trPr>
          <w:trHeight w:val="380"/>
        </w:trPr>
        <w:tc>
          <w:tcPr>
            <w:tcW w:w="680" w:type="dxa"/>
            <w:tcBorders>
              <w:top w:val="nil"/>
              <w:left w:val="nil"/>
              <w:bottom w:val="nil"/>
              <w:right w:val="nil"/>
            </w:tcBorders>
            <w:tcMar>
              <w:top w:w="128" w:type="dxa"/>
              <w:left w:w="43" w:type="dxa"/>
              <w:bottom w:w="43" w:type="dxa"/>
              <w:right w:w="43" w:type="dxa"/>
            </w:tcMar>
          </w:tcPr>
          <w:p w14:paraId="2D634D8B" w14:textId="77777777" w:rsidR="00575AC3" w:rsidRPr="006D40F0" w:rsidRDefault="00575AC3" w:rsidP="006D40F0">
            <w:r w:rsidRPr="006D40F0">
              <w:t>740</w:t>
            </w:r>
          </w:p>
        </w:tc>
        <w:tc>
          <w:tcPr>
            <w:tcW w:w="680" w:type="dxa"/>
            <w:tcBorders>
              <w:top w:val="nil"/>
              <w:left w:val="nil"/>
              <w:bottom w:val="nil"/>
              <w:right w:val="nil"/>
            </w:tcBorders>
            <w:tcMar>
              <w:top w:w="128" w:type="dxa"/>
              <w:left w:w="43" w:type="dxa"/>
              <w:bottom w:w="43" w:type="dxa"/>
              <w:right w:w="43" w:type="dxa"/>
            </w:tcMar>
          </w:tcPr>
          <w:p w14:paraId="55A2A7A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05DF65" w14:textId="77777777" w:rsidR="00575AC3" w:rsidRPr="006D40F0" w:rsidRDefault="00575AC3" w:rsidP="006D40F0">
            <w:r w:rsidRPr="006D40F0">
              <w:t>Helsedirektoratet:</w:t>
            </w:r>
          </w:p>
        </w:tc>
        <w:tc>
          <w:tcPr>
            <w:tcW w:w="1400" w:type="dxa"/>
            <w:tcBorders>
              <w:top w:val="nil"/>
              <w:left w:val="nil"/>
              <w:bottom w:val="nil"/>
              <w:right w:val="nil"/>
            </w:tcBorders>
            <w:tcMar>
              <w:top w:w="128" w:type="dxa"/>
              <w:left w:w="43" w:type="dxa"/>
              <w:bottom w:w="43" w:type="dxa"/>
              <w:right w:w="43" w:type="dxa"/>
            </w:tcMar>
            <w:vAlign w:val="bottom"/>
          </w:tcPr>
          <w:p w14:paraId="685814F5" w14:textId="77777777" w:rsidR="00575AC3" w:rsidRPr="006D40F0" w:rsidRDefault="00575AC3" w:rsidP="006D40F0"/>
        </w:tc>
      </w:tr>
      <w:tr w:rsidR="00DD49A7" w:rsidRPr="006D40F0" w14:paraId="7EE028B3" w14:textId="77777777">
        <w:trPr>
          <w:trHeight w:val="380"/>
        </w:trPr>
        <w:tc>
          <w:tcPr>
            <w:tcW w:w="680" w:type="dxa"/>
            <w:tcBorders>
              <w:top w:val="nil"/>
              <w:left w:val="nil"/>
              <w:bottom w:val="nil"/>
              <w:right w:val="nil"/>
            </w:tcBorders>
            <w:tcMar>
              <w:top w:w="128" w:type="dxa"/>
              <w:left w:w="43" w:type="dxa"/>
              <w:bottom w:w="43" w:type="dxa"/>
              <w:right w:w="43" w:type="dxa"/>
            </w:tcMar>
          </w:tcPr>
          <w:p w14:paraId="3BB5E36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E1133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4AC4044"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2F2A2527" w14:textId="77777777" w:rsidR="00575AC3" w:rsidRPr="006D40F0" w:rsidRDefault="00575AC3" w:rsidP="006D40F0">
            <w:r w:rsidRPr="006D40F0">
              <w:t>18 840 000</w:t>
            </w:r>
          </w:p>
        </w:tc>
      </w:tr>
      <w:tr w:rsidR="00DD49A7" w:rsidRPr="006D40F0" w14:paraId="2D28BD0B" w14:textId="77777777">
        <w:trPr>
          <w:trHeight w:val="380"/>
        </w:trPr>
        <w:tc>
          <w:tcPr>
            <w:tcW w:w="680" w:type="dxa"/>
            <w:tcBorders>
              <w:top w:val="nil"/>
              <w:left w:val="nil"/>
              <w:bottom w:val="nil"/>
              <w:right w:val="nil"/>
            </w:tcBorders>
            <w:tcMar>
              <w:top w:w="128" w:type="dxa"/>
              <w:left w:w="43" w:type="dxa"/>
              <w:bottom w:w="43" w:type="dxa"/>
              <w:right w:w="43" w:type="dxa"/>
            </w:tcMar>
          </w:tcPr>
          <w:p w14:paraId="78864B9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0DF3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3B09DD" w14:textId="77777777" w:rsidR="00575AC3" w:rsidRPr="006D40F0" w:rsidRDefault="00575AC3" w:rsidP="006D40F0">
            <w:r w:rsidRPr="006D40F0">
              <w:t>fra kr 1 538 891 000 til kr 1 520 051 000</w:t>
            </w:r>
          </w:p>
        </w:tc>
        <w:tc>
          <w:tcPr>
            <w:tcW w:w="1400" w:type="dxa"/>
            <w:tcBorders>
              <w:top w:val="nil"/>
              <w:left w:val="nil"/>
              <w:bottom w:val="nil"/>
              <w:right w:val="nil"/>
            </w:tcBorders>
            <w:tcMar>
              <w:top w:w="128" w:type="dxa"/>
              <w:left w:w="43" w:type="dxa"/>
              <w:bottom w:w="43" w:type="dxa"/>
              <w:right w:w="43" w:type="dxa"/>
            </w:tcMar>
            <w:vAlign w:val="bottom"/>
          </w:tcPr>
          <w:p w14:paraId="48F65507" w14:textId="77777777" w:rsidR="00575AC3" w:rsidRPr="006D40F0" w:rsidRDefault="00575AC3" w:rsidP="006D40F0"/>
        </w:tc>
      </w:tr>
      <w:tr w:rsidR="00DD49A7" w:rsidRPr="006D40F0" w14:paraId="7E0471A4" w14:textId="77777777">
        <w:trPr>
          <w:trHeight w:val="380"/>
        </w:trPr>
        <w:tc>
          <w:tcPr>
            <w:tcW w:w="680" w:type="dxa"/>
            <w:tcBorders>
              <w:top w:val="nil"/>
              <w:left w:val="nil"/>
              <w:bottom w:val="nil"/>
              <w:right w:val="nil"/>
            </w:tcBorders>
            <w:tcMar>
              <w:top w:w="128" w:type="dxa"/>
              <w:left w:w="43" w:type="dxa"/>
              <w:bottom w:w="43" w:type="dxa"/>
              <w:right w:w="43" w:type="dxa"/>
            </w:tcMar>
          </w:tcPr>
          <w:p w14:paraId="0EE91E2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355DE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3A607488"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1636AC9" w14:textId="77777777" w:rsidR="00575AC3" w:rsidRPr="006D40F0" w:rsidRDefault="00575AC3" w:rsidP="006D40F0">
            <w:r w:rsidRPr="006D40F0">
              <w:t>120 000 000</w:t>
            </w:r>
          </w:p>
        </w:tc>
      </w:tr>
      <w:tr w:rsidR="00DD49A7" w:rsidRPr="006D40F0" w14:paraId="696D6D63" w14:textId="77777777">
        <w:trPr>
          <w:trHeight w:val="380"/>
        </w:trPr>
        <w:tc>
          <w:tcPr>
            <w:tcW w:w="680" w:type="dxa"/>
            <w:tcBorders>
              <w:top w:val="nil"/>
              <w:left w:val="nil"/>
              <w:bottom w:val="nil"/>
              <w:right w:val="nil"/>
            </w:tcBorders>
            <w:tcMar>
              <w:top w:w="128" w:type="dxa"/>
              <w:left w:w="43" w:type="dxa"/>
              <w:bottom w:w="43" w:type="dxa"/>
              <w:right w:w="43" w:type="dxa"/>
            </w:tcMar>
          </w:tcPr>
          <w:p w14:paraId="0B888B8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5C8F2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EBD8D4" w14:textId="77777777" w:rsidR="00575AC3" w:rsidRPr="006D40F0" w:rsidRDefault="00575AC3" w:rsidP="006D40F0">
            <w:r w:rsidRPr="006D40F0">
              <w:t>fra kr 123 091 000 til kr 243 091 000</w:t>
            </w:r>
          </w:p>
        </w:tc>
        <w:tc>
          <w:tcPr>
            <w:tcW w:w="1400" w:type="dxa"/>
            <w:tcBorders>
              <w:top w:val="nil"/>
              <w:left w:val="nil"/>
              <w:bottom w:val="nil"/>
              <w:right w:val="nil"/>
            </w:tcBorders>
            <w:tcMar>
              <w:top w:w="128" w:type="dxa"/>
              <w:left w:w="43" w:type="dxa"/>
              <w:bottom w:w="43" w:type="dxa"/>
              <w:right w:w="43" w:type="dxa"/>
            </w:tcMar>
            <w:vAlign w:val="bottom"/>
          </w:tcPr>
          <w:p w14:paraId="77EA0FCF" w14:textId="77777777" w:rsidR="00575AC3" w:rsidRPr="006D40F0" w:rsidRDefault="00575AC3" w:rsidP="006D40F0"/>
        </w:tc>
      </w:tr>
      <w:tr w:rsidR="00DD49A7" w:rsidRPr="006D40F0" w14:paraId="466C84FC" w14:textId="77777777">
        <w:trPr>
          <w:trHeight w:val="380"/>
        </w:trPr>
        <w:tc>
          <w:tcPr>
            <w:tcW w:w="680" w:type="dxa"/>
            <w:tcBorders>
              <w:top w:val="nil"/>
              <w:left w:val="nil"/>
              <w:bottom w:val="nil"/>
              <w:right w:val="nil"/>
            </w:tcBorders>
            <w:tcMar>
              <w:top w:w="128" w:type="dxa"/>
              <w:left w:w="43" w:type="dxa"/>
              <w:bottom w:w="43" w:type="dxa"/>
              <w:right w:w="43" w:type="dxa"/>
            </w:tcMar>
          </w:tcPr>
          <w:p w14:paraId="260A4C1A" w14:textId="77777777" w:rsidR="00575AC3" w:rsidRPr="006D40F0" w:rsidRDefault="00575AC3" w:rsidP="006D40F0">
            <w:r w:rsidRPr="006D40F0">
              <w:t>741</w:t>
            </w:r>
          </w:p>
        </w:tc>
        <w:tc>
          <w:tcPr>
            <w:tcW w:w="680" w:type="dxa"/>
            <w:tcBorders>
              <w:top w:val="nil"/>
              <w:left w:val="nil"/>
              <w:bottom w:val="nil"/>
              <w:right w:val="nil"/>
            </w:tcBorders>
            <w:tcMar>
              <w:top w:w="128" w:type="dxa"/>
              <w:left w:w="43" w:type="dxa"/>
              <w:bottom w:w="43" w:type="dxa"/>
              <w:right w:w="43" w:type="dxa"/>
            </w:tcMar>
          </w:tcPr>
          <w:p w14:paraId="741652D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73FFCF" w14:textId="77777777" w:rsidR="00575AC3" w:rsidRPr="006D40F0" w:rsidRDefault="00575AC3" w:rsidP="006D40F0">
            <w:r w:rsidRPr="006D40F0">
              <w:t>Norsk pasientskadeerstatning:</w:t>
            </w:r>
          </w:p>
        </w:tc>
        <w:tc>
          <w:tcPr>
            <w:tcW w:w="1400" w:type="dxa"/>
            <w:tcBorders>
              <w:top w:val="nil"/>
              <w:left w:val="nil"/>
              <w:bottom w:val="nil"/>
              <w:right w:val="nil"/>
            </w:tcBorders>
            <w:tcMar>
              <w:top w:w="128" w:type="dxa"/>
              <w:left w:w="43" w:type="dxa"/>
              <w:bottom w:w="43" w:type="dxa"/>
              <w:right w:w="43" w:type="dxa"/>
            </w:tcMar>
            <w:vAlign w:val="bottom"/>
          </w:tcPr>
          <w:p w14:paraId="5829609E" w14:textId="77777777" w:rsidR="00575AC3" w:rsidRPr="006D40F0" w:rsidRDefault="00575AC3" w:rsidP="006D40F0"/>
        </w:tc>
      </w:tr>
      <w:tr w:rsidR="00DD49A7" w:rsidRPr="006D40F0" w14:paraId="1A941656" w14:textId="77777777">
        <w:trPr>
          <w:trHeight w:val="380"/>
        </w:trPr>
        <w:tc>
          <w:tcPr>
            <w:tcW w:w="680" w:type="dxa"/>
            <w:tcBorders>
              <w:top w:val="nil"/>
              <w:left w:val="nil"/>
              <w:bottom w:val="nil"/>
              <w:right w:val="nil"/>
            </w:tcBorders>
            <w:tcMar>
              <w:top w:w="128" w:type="dxa"/>
              <w:left w:w="43" w:type="dxa"/>
              <w:bottom w:w="43" w:type="dxa"/>
              <w:right w:w="43" w:type="dxa"/>
            </w:tcMar>
          </w:tcPr>
          <w:p w14:paraId="4C368D7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DEDB5C"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7924849"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41EC1FFD" w14:textId="77777777" w:rsidR="00575AC3" w:rsidRPr="006D40F0" w:rsidRDefault="00575AC3" w:rsidP="006D40F0">
            <w:r w:rsidRPr="006D40F0">
              <w:t>250 000</w:t>
            </w:r>
          </w:p>
        </w:tc>
      </w:tr>
      <w:tr w:rsidR="00DD49A7" w:rsidRPr="006D40F0" w14:paraId="56F1914B" w14:textId="77777777">
        <w:trPr>
          <w:trHeight w:val="380"/>
        </w:trPr>
        <w:tc>
          <w:tcPr>
            <w:tcW w:w="680" w:type="dxa"/>
            <w:tcBorders>
              <w:top w:val="nil"/>
              <w:left w:val="nil"/>
              <w:bottom w:val="nil"/>
              <w:right w:val="nil"/>
            </w:tcBorders>
            <w:tcMar>
              <w:top w:w="128" w:type="dxa"/>
              <w:left w:w="43" w:type="dxa"/>
              <w:bottom w:w="43" w:type="dxa"/>
              <w:right w:w="43" w:type="dxa"/>
            </w:tcMar>
          </w:tcPr>
          <w:p w14:paraId="3E29AA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7FA2E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988787" w14:textId="77777777" w:rsidR="00575AC3" w:rsidRPr="006D40F0" w:rsidRDefault="00575AC3" w:rsidP="006D40F0">
            <w:r w:rsidRPr="006D40F0">
              <w:t>fra kr 248 422 000 til kr 248 172 000</w:t>
            </w:r>
          </w:p>
        </w:tc>
        <w:tc>
          <w:tcPr>
            <w:tcW w:w="1400" w:type="dxa"/>
            <w:tcBorders>
              <w:top w:val="nil"/>
              <w:left w:val="nil"/>
              <w:bottom w:val="nil"/>
              <w:right w:val="nil"/>
            </w:tcBorders>
            <w:tcMar>
              <w:top w:w="128" w:type="dxa"/>
              <w:left w:w="43" w:type="dxa"/>
              <w:bottom w:w="43" w:type="dxa"/>
              <w:right w:w="43" w:type="dxa"/>
            </w:tcMar>
            <w:vAlign w:val="bottom"/>
          </w:tcPr>
          <w:p w14:paraId="7C940E32" w14:textId="77777777" w:rsidR="00575AC3" w:rsidRPr="006D40F0" w:rsidRDefault="00575AC3" w:rsidP="006D40F0"/>
        </w:tc>
      </w:tr>
      <w:tr w:rsidR="00DD49A7" w:rsidRPr="006D40F0" w14:paraId="6EBC4F99" w14:textId="77777777">
        <w:trPr>
          <w:trHeight w:val="380"/>
        </w:trPr>
        <w:tc>
          <w:tcPr>
            <w:tcW w:w="680" w:type="dxa"/>
            <w:tcBorders>
              <w:top w:val="nil"/>
              <w:left w:val="nil"/>
              <w:bottom w:val="nil"/>
              <w:right w:val="nil"/>
            </w:tcBorders>
            <w:tcMar>
              <w:top w:w="128" w:type="dxa"/>
              <w:left w:w="43" w:type="dxa"/>
              <w:bottom w:w="43" w:type="dxa"/>
              <w:right w:w="43" w:type="dxa"/>
            </w:tcMar>
          </w:tcPr>
          <w:p w14:paraId="0C5FD147" w14:textId="77777777" w:rsidR="00575AC3" w:rsidRPr="006D40F0" w:rsidRDefault="00575AC3" w:rsidP="006D40F0">
            <w:r w:rsidRPr="006D40F0">
              <w:t>742</w:t>
            </w:r>
          </w:p>
        </w:tc>
        <w:tc>
          <w:tcPr>
            <w:tcW w:w="680" w:type="dxa"/>
            <w:tcBorders>
              <w:top w:val="nil"/>
              <w:left w:val="nil"/>
              <w:bottom w:val="nil"/>
              <w:right w:val="nil"/>
            </w:tcBorders>
            <w:tcMar>
              <w:top w:w="128" w:type="dxa"/>
              <w:left w:w="43" w:type="dxa"/>
              <w:bottom w:w="43" w:type="dxa"/>
              <w:right w:w="43" w:type="dxa"/>
            </w:tcMar>
          </w:tcPr>
          <w:p w14:paraId="52EC3AE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B9C8CE7" w14:textId="77777777" w:rsidR="00575AC3" w:rsidRPr="006D40F0" w:rsidRDefault="00575AC3" w:rsidP="006D40F0">
            <w:r w:rsidRPr="006D40F0">
              <w:t>Nasjonalt klageorgan for helsetjenesten:</w:t>
            </w:r>
          </w:p>
        </w:tc>
        <w:tc>
          <w:tcPr>
            <w:tcW w:w="1400" w:type="dxa"/>
            <w:tcBorders>
              <w:top w:val="nil"/>
              <w:left w:val="nil"/>
              <w:bottom w:val="nil"/>
              <w:right w:val="nil"/>
            </w:tcBorders>
            <w:tcMar>
              <w:top w:w="128" w:type="dxa"/>
              <w:left w:w="43" w:type="dxa"/>
              <w:bottom w:w="43" w:type="dxa"/>
              <w:right w:w="43" w:type="dxa"/>
            </w:tcMar>
            <w:vAlign w:val="bottom"/>
          </w:tcPr>
          <w:p w14:paraId="4FD663B7" w14:textId="77777777" w:rsidR="00575AC3" w:rsidRPr="006D40F0" w:rsidRDefault="00575AC3" w:rsidP="006D40F0"/>
        </w:tc>
      </w:tr>
      <w:tr w:rsidR="00DD49A7" w:rsidRPr="006D40F0" w14:paraId="2675577F" w14:textId="77777777">
        <w:trPr>
          <w:trHeight w:val="380"/>
        </w:trPr>
        <w:tc>
          <w:tcPr>
            <w:tcW w:w="680" w:type="dxa"/>
            <w:tcBorders>
              <w:top w:val="nil"/>
              <w:left w:val="nil"/>
              <w:bottom w:val="nil"/>
              <w:right w:val="nil"/>
            </w:tcBorders>
            <w:tcMar>
              <w:top w:w="128" w:type="dxa"/>
              <w:left w:w="43" w:type="dxa"/>
              <w:bottom w:w="43" w:type="dxa"/>
              <w:right w:w="43" w:type="dxa"/>
            </w:tcMar>
          </w:tcPr>
          <w:p w14:paraId="4946A4E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3129B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71AAF6C"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75C87675" w14:textId="77777777" w:rsidR="00575AC3" w:rsidRPr="006D40F0" w:rsidRDefault="00575AC3" w:rsidP="006D40F0">
            <w:r w:rsidRPr="006D40F0">
              <w:t>250 000</w:t>
            </w:r>
          </w:p>
        </w:tc>
      </w:tr>
      <w:tr w:rsidR="00DD49A7" w:rsidRPr="006D40F0" w14:paraId="66F79C37" w14:textId="77777777">
        <w:trPr>
          <w:trHeight w:val="380"/>
        </w:trPr>
        <w:tc>
          <w:tcPr>
            <w:tcW w:w="680" w:type="dxa"/>
            <w:tcBorders>
              <w:top w:val="nil"/>
              <w:left w:val="nil"/>
              <w:bottom w:val="nil"/>
              <w:right w:val="nil"/>
            </w:tcBorders>
            <w:tcMar>
              <w:top w:w="128" w:type="dxa"/>
              <w:left w:w="43" w:type="dxa"/>
              <w:bottom w:w="43" w:type="dxa"/>
              <w:right w:w="43" w:type="dxa"/>
            </w:tcMar>
          </w:tcPr>
          <w:p w14:paraId="7EAA79A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0ADA2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610C1F" w14:textId="77777777" w:rsidR="00575AC3" w:rsidRPr="006D40F0" w:rsidRDefault="00575AC3" w:rsidP="006D40F0">
            <w:r w:rsidRPr="006D40F0">
              <w:t>fra kr 188 514 000 til kr 188 264 000</w:t>
            </w:r>
          </w:p>
        </w:tc>
        <w:tc>
          <w:tcPr>
            <w:tcW w:w="1400" w:type="dxa"/>
            <w:tcBorders>
              <w:top w:val="nil"/>
              <w:left w:val="nil"/>
              <w:bottom w:val="nil"/>
              <w:right w:val="nil"/>
            </w:tcBorders>
            <w:tcMar>
              <w:top w:w="128" w:type="dxa"/>
              <w:left w:w="43" w:type="dxa"/>
              <w:bottom w:w="43" w:type="dxa"/>
              <w:right w:w="43" w:type="dxa"/>
            </w:tcMar>
            <w:vAlign w:val="bottom"/>
          </w:tcPr>
          <w:p w14:paraId="2A1AF361" w14:textId="77777777" w:rsidR="00575AC3" w:rsidRPr="006D40F0" w:rsidRDefault="00575AC3" w:rsidP="006D40F0"/>
        </w:tc>
      </w:tr>
      <w:tr w:rsidR="00DD49A7" w:rsidRPr="006D40F0" w14:paraId="6D3CBFD4" w14:textId="77777777">
        <w:trPr>
          <w:trHeight w:val="380"/>
        </w:trPr>
        <w:tc>
          <w:tcPr>
            <w:tcW w:w="680" w:type="dxa"/>
            <w:tcBorders>
              <w:top w:val="nil"/>
              <w:left w:val="nil"/>
              <w:bottom w:val="nil"/>
              <w:right w:val="nil"/>
            </w:tcBorders>
            <w:tcMar>
              <w:top w:w="128" w:type="dxa"/>
              <w:left w:w="43" w:type="dxa"/>
              <w:bottom w:w="43" w:type="dxa"/>
              <w:right w:w="43" w:type="dxa"/>
            </w:tcMar>
          </w:tcPr>
          <w:p w14:paraId="4430CADD" w14:textId="77777777" w:rsidR="00575AC3" w:rsidRPr="006D40F0" w:rsidRDefault="00575AC3" w:rsidP="006D40F0">
            <w:r w:rsidRPr="006D40F0">
              <w:t>745</w:t>
            </w:r>
          </w:p>
        </w:tc>
        <w:tc>
          <w:tcPr>
            <w:tcW w:w="680" w:type="dxa"/>
            <w:tcBorders>
              <w:top w:val="nil"/>
              <w:left w:val="nil"/>
              <w:bottom w:val="nil"/>
              <w:right w:val="nil"/>
            </w:tcBorders>
            <w:tcMar>
              <w:top w:w="128" w:type="dxa"/>
              <w:left w:w="43" w:type="dxa"/>
              <w:bottom w:w="43" w:type="dxa"/>
              <w:right w:w="43" w:type="dxa"/>
            </w:tcMar>
          </w:tcPr>
          <w:p w14:paraId="1EE354C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39387B" w14:textId="77777777" w:rsidR="00575AC3" w:rsidRPr="006D40F0" w:rsidRDefault="00575AC3" w:rsidP="006D40F0">
            <w:r w:rsidRPr="006D40F0">
              <w:t>Folkehelseinstituttet:</w:t>
            </w:r>
          </w:p>
        </w:tc>
        <w:tc>
          <w:tcPr>
            <w:tcW w:w="1400" w:type="dxa"/>
            <w:tcBorders>
              <w:top w:val="nil"/>
              <w:left w:val="nil"/>
              <w:bottom w:val="nil"/>
              <w:right w:val="nil"/>
            </w:tcBorders>
            <w:tcMar>
              <w:top w:w="128" w:type="dxa"/>
              <w:left w:w="43" w:type="dxa"/>
              <w:bottom w:w="43" w:type="dxa"/>
              <w:right w:w="43" w:type="dxa"/>
            </w:tcMar>
            <w:vAlign w:val="bottom"/>
          </w:tcPr>
          <w:p w14:paraId="383891C3" w14:textId="77777777" w:rsidR="00575AC3" w:rsidRPr="006D40F0" w:rsidRDefault="00575AC3" w:rsidP="006D40F0"/>
        </w:tc>
      </w:tr>
      <w:tr w:rsidR="00DD49A7" w:rsidRPr="006D40F0" w14:paraId="226DB6E8" w14:textId="77777777">
        <w:trPr>
          <w:trHeight w:val="380"/>
        </w:trPr>
        <w:tc>
          <w:tcPr>
            <w:tcW w:w="680" w:type="dxa"/>
            <w:tcBorders>
              <w:top w:val="nil"/>
              <w:left w:val="nil"/>
              <w:bottom w:val="nil"/>
              <w:right w:val="nil"/>
            </w:tcBorders>
            <w:tcMar>
              <w:top w:w="128" w:type="dxa"/>
              <w:left w:w="43" w:type="dxa"/>
              <w:bottom w:w="43" w:type="dxa"/>
              <w:right w:w="43" w:type="dxa"/>
            </w:tcMar>
          </w:tcPr>
          <w:p w14:paraId="4E9807A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69564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91F8A6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A0D7C7D" w14:textId="77777777" w:rsidR="00575AC3" w:rsidRPr="006D40F0" w:rsidRDefault="00575AC3" w:rsidP="006D40F0">
            <w:r w:rsidRPr="006D40F0">
              <w:t>15 600 000</w:t>
            </w:r>
          </w:p>
        </w:tc>
      </w:tr>
      <w:tr w:rsidR="00DD49A7" w:rsidRPr="006D40F0" w14:paraId="5436C537" w14:textId="77777777">
        <w:trPr>
          <w:trHeight w:val="380"/>
        </w:trPr>
        <w:tc>
          <w:tcPr>
            <w:tcW w:w="680" w:type="dxa"/>
            <w:tcBorders>
              <w:top w:val="nil"/>
              <w:left w:val="nil"/>
              <w:bottom w:val="nil"/>
              <w:right w:val="nil"/>
            </w:tcBorders>
            <w:tcMar>
              <w:top w:w="128" w:type="dxa"/>
              <w:left w:w="43" w:type="dxa"/>
              <w:bottom w:w="43" w:type="dxa"/>
              <w:right w:w="43" w:type="dxa"/>
            </w:tcMar>
          </w:tcPr>
          <w:p w14:paraId="660EA0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31F28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31EC73" w14:textId="77777777" w:rsidR="00575AC3" w:rsidRPr="006D40F0" w:rsidRDefault="00575AC3" w:rsidP="006D40F0">
            <w:r w:rsidRPr="006D40F0">
              <w:t>fra kr 1 488 121 000 til kr 1 503 721 000</w:t>
            </w:r>
          </w:p>
        </w:tc>
        <w:tc>
          <w:tcPr>
            <w:tcW w:w="1400" w:type="dxa"/>
            <w:tcBorders>
              <w:top w:val="nil"/>
              <w:left w:val="nil"/>
              <w:bottom w:val="nil"/>
              <w:right w:val="nil"/>
            </w:tcBorders>
            <w:tcMar>
              <w:top w:w="128" w:type="dxa"/>
              <w:left w:w="43" w:type="dxa"/>
              <w:bottom w:w="43" w:type="dxa"/>
              <w:right w:w="43" w:type="dxa"/>
            </w:tcMar>
            <w:vAlign w:val="bottom"/>
          </w:tcPr>
          <w:p w14:paraId="1B48D597" w14:textId="77777777" w:rsidR="00575AC3" w:rsidRPr="006D40F0" w:rsidRDefault="00575AC3" w:rsidP="006D40F0"/>
        </w:tc>
      </w:tr>
      <w:tr w:rsidR="00DD49A7" w:rsidRPr="006D40F0" w14:paraId="4AA1A8DC" w14:textId="77777777">
        <w:trPr>
          <w:trHeight w:val="380"/>
        </w:trPr>
        <w:tc>
          <w:tcPr>
            <w:tcW w:w="680" w:type="dxa"/>
            <w:tcBorders>
              <w:top w:val="nil"/>
              <w:left w:val="nil"/>
              <w:bottom w:val="nil"/>
              <w:right w:val="nil"/>
            </w:tcBorders>
            <w:tcMar>
              <w:top w:w="128" w:type="dxa"/>
              <w:left w:w="43" w:type="dxa"/>
              <w:bottom w:w="43" w:type="dxa"/>
              <w:right w:w="43" w:type="dxa"/>
            </w:tcMar>
          </w:tcPr>
          <w:p w14:paraId="5438B4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635E6F"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52A993F"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E45E652" w14:textId="77777777" w:rsidR="00575AC3" w:rsidRPr="006D40F0" w:rsidRDefault="00575AC3" w:rsidP="006D40F0">
            <w:r w:rsidRPr="006D40F0">
              <w:t>92 800 000</w:t>
            </w:r>
          </w:p>
        </w:tc>
      </w:tr>
      <w:tr w:rsidR="00DD49A7" w:rsidRPr="006D40F0" w14:paraId="39310F01" w14:textId="77777777">
        <w:trPr>
          <w:trHeight w:val="380"/>
        </w:trPr>
        <w:tc>
          <w:tcPr>
            <w:tcW w:w="680" w:type="dxa"/>
            <w:tcBorders>
              <w:top w:val="nil"/>
              <w:left w:val="nil"/>
              <w:bottom w:val="nil"/>
              <w:right w:val="nil"/>
            </w:tcBorders>
            <w:tcMar>
              <w:top w:w="128" w:type="dxa"/>
              <w:left w:w="43" w:type="dxa"/>
              <w:bottom w:w="43" w:type="dxa"/>
              <w:right w:w="43" w:type="dxa"/>
            </w:tcMar>
          </w:tcPr>
          <w:p w14:paraId="36D7EE4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DD7C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FEDD406" w14:textId="77777777" w:rsidR="00575AC3" w:rsidRPr="006D40F0" w:rsidRDefault="00575AC3" w:rsidP="006D40F0">
            <w:r w:rsidRPr="006D40F0">
              <w:t>fra kr 173 657 000 til kr 266 457 000</w:t>
            </w:r>
          </w:p>
        </w:tc>
        <w:tc>
          <w:tcPr>
            <w:tcW w:w="1400" w:type="dxa"/>
            <w:tcBorders>
              <w:top w:val="nil"/>
              <w:left w:val="nil"/>
              <w:bottom w:val="nil"/>
              <w:right w:val="nil"/>
            </w:tcBorders>
            <w:tcMar>
              <w:top w:w="128" w:type="dxa"/>
              <w:left w:w="43" w:type="dxa"/>
              <w:bottom w:w="43" w:type="dxa"/>
              <w:right w:w="43" w:type="dxa"/>
            </w:tcMar>
            <w:vAlign w:val="bottom"/>
          </w:tcPr>
          <w:p w14:paraId="31EBABF8" w14:textId="77777777" w:rsidR="00575AC3" w:rsidRPr="006D40F0" w:rsidRDefault="00575AC3" w:rsidP="006D40F0"/>
        </w:tc>
      </w:tr>
      <w:tr w:rsidR="00DD49A7" w:rsidRPr="006D40F0" w14:paraId="18B14B28" w14:textId="77777777">
        <w:trPr>
          <w:trHeight w:val="380"/>
        </w:trPr>
        <w:tc>
          <w:tcPr>
            <w:tcW w:w="680" w:type="dxa"/>
            <w:tcBorders>
              <w:top w:val="nil"/>
              <w:left w:val="nil"/>
              <w:bottom w:val="nil"/>
              <w:right w:val="nil"/>
            </w:tcBorders>
            <w:tcMar>
              <w:top w:w="128" w:type="dxa"/>
              <w:left w:w="43" w:type="dxa"/>
              <w:bottom w:w="43" w:type="dxa"/>
              <w:right w:w="43" w:type="dxa"/>
            </w:tcMar>
          </w:tcPr>
          <w:p w14:paraId="2A195EE6" w14:textId="77777777" w:rsidR="00575AC3" w:rsidRPr="006D40F0" w:rsidRDefault="00575AC3" w:rsidP="006D40F0">
            <w:r w:rsidRPr="006D40F0">
              <w:t>746</w:t>
            </w:r>
          </w:p>
        </w:tc>
        <w:tc>
          <w:tcPr>
            <w:tcW w:w="680" w:type="dxa"/>
            <w:tcBorders>
              <w:top w:val="nil"/>
              <w:left w:val="nil"/>
              <w:bottom w:val="nil"/>
              <w:right w:val="nil"/>
            </w:tcBorders>
            <w:tcMar>
              <w:top w:w="128" w:type="dxa"/>
              <w:left w:w="43" w:type="dxa"/>
              <w:bottom w:w="43" w:type="dxa"/>
              <w:right w:w="43" w:type="dxa"/>
            </w:tcMar>
          </w:tcPr>
          <w:p w14:paraId="2A5A669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1F4C54" w14:textId="77777777" w:rsidR="00575AC3" w:rsidRPr="006D40F0" w:rsidRDefault="00575AC3" w:rsidP="006D40F0">
            <w:r w:rsidRPr="006D40F0">
              <w:t>Direktoratet for medisinske produkter:</w:t>
            </w:r>
          </w:p>
        </w:tc>
        <w:tc>
          <w:tcPr>
            <w:tcW w:w="1400" w:type="dxa"/>
            <w:tcBorders>
              <w:top w:val="nil"/>
              <w:left w:val="nil"/>
              <w:bottom w:val="nil"/>
              <w:right w:val="nil"/>
            </w:tcBorders>
            <w:tcMar>
              <w:top w:w="128" w:type="dxa"/>
              <w:left w:w="43" w:type="dxa"/>
              <w:bottom w:w="43" w:type="dxa"/>
              <w:right w:w="43" w:type="dxa"/>
            </w:tcMar>
            <w:vAlign w:val="bottom"/>
          </w:tcPr>
          <w:p w14:paraId="70C034AA" w14:textId="77777777" w:rsidR="00575AC3" w:rsidRPr="006D40F0" w:rsidRDefault="00575AC3" w:rsidP="006D40F0"/>
        </w:tc>
      </w:tr>
      <w:tr w:rsidR="00DD49A7" w:rsidRPr="006D40F0" w14:paraId="5183E01A" w14:textId="77777777">
        <w:trPr>
          <w:trHeight w:val="380"/>
        </w:trPr>
        <w:tc>
          <w:tcPr>
            <w:tcW w:w="680" w:type="dxa"/>
            <w:tcBorders>
              <w:top w:val="nil"/>
              <w:left w:val="nil"/>
              <w:bottom w:val="nil"/>
              <w:right w:val="nil"/>
            </w:tcBorders>
            <w:tcMar>
              <w:top w:w="128" w:type="dxa"/>
              <w:left w:w="43" w:type="dxa"/>
              <w:bottom w:w="43" w:type="dxa"/>
              <w:right w:w="43" w:type="dxa"/>
            </w:tcMar>
          </w:tcPr>
          <w:p w14:paraId="649CF87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F61E7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0FB9E83"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FFCD4FD" w14:textId="77777777" w:rsidR="00575AC3" w:rsidRPr="006D40F0" w:rsidRDefault="00575AC3" w:rsidP="006D40F0">
            <w:r w:rsidRPr="006D40F0">
              <w:t>13 340 000</w:t>
            </w:r>
          </w:p>
        </w:tc>
      </w:tr>
      <w:tr w:rsidR="00DD49A7" w:rsidRPr="006D40F0" w14:paraId="095FD25A" w14:textId="77777777">
        <w:trPr>
          <w:trHeight w:val="380"/>
        </w:trPr>
        <w:tc>
          <w:tcPr>
            <w:tcW w:w="680" w:type="dxa"/>
            <w:tcBorders>
              <w:top w:val="nil"/>
              <w:left w:val="nil"/>
              <w:bottom w:val="nil"/>
              <w:right w:val="nil"/>
            </w:tcBorders>
            <w:tcMar>
              <w:top w:w="128" w:type="dxa"/>
              <w:left w:w="43" w:type="dxa"/>
              <w:bottom w:w="43" w:type="dxa"/>
              <w:right w:w="43" w:type="dxa"/>
            </w:tcMar>
          </w:tcPr>
          <w:p w14:paraId="4B3918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69911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EFF440" w14:textId="77777777" w:rsidR="00575AC3" w:rsidRPr="006D40F0" w:rsidRDefault="00575AC3" w:rsidP="006D40F0">
            <w:r w:rsidRPr="006D40F0">
              <w:t>fra kr 429 548 000 til kr 442 888 000</w:t>
            </w:r>
          </w:p>
        </w:tc>
        <w:tc>
          <w:tcPr>
            <w:tcW w:w="1400" w:type="dxa"/>
            <w:tcBorders>
              <w:top w:val="nil"/>
              <w:left w:val="nil"/>
              <w:bottom w:val="nil"/>
              <w:right w:val="nil"/>
            </w:tcBorders>
            <w:tcMar>
              <w:top w:w="128" w:type="dxa"/>
              <w:left w:w="43" w:type="dxa"/>
              <w:bottom w:w="43" w:type="dxa"/>
              <w:right w:w="43" w:type="dxa"/>
            </w:tcMar>
            <w:vAlign w:val="bottom"/>
          </w:tcPr>
          <w:p w14:paraId="747A0D5E" w14:textId="77777777" w:rsidR="00575AC3" w:rsidRPr="006D40F0" w:rsidRDefault="00575AC3" w:rsidP="006D40F0"/>
        </w:tc>
      </w:tr>
      <w:tr w:rsidR="00DD49A7" w:rsidRPr="006D40F0" w14:paraId="071C4EF5" w14:textId="77777777">
        <w:trPr>
          <w:trHeight w:val="380"/>
        </w:trPr>
        <w:tc>
          <w:tcPr>
            <w:tcW w:w="680" w:type="dxa"/>
            <w:tcBorders>
              <w:top w:val="nil"/>
              <w:left w:val="nil"/>
              <w:bottom w:val="nil"/>
              <w:right w:val="nil"/>
            </w:tcBorders>
            <w:tcMar>
              <w:top w:w="128" w:type="dxa"/>
              <w:left w:w="43" w:type="dxa"/>
              <w:bottom w:w="43" w:type="dxa"/>
              <w:right w:w="43" w:type="dxa"/>
            </w:tcMar>
          </w:tcPr>
          <w:p w14:paraId="3C157C45" w14:textId="77777777" w:rsidR="00575AC3" w:rsidRPr="006D40F0" w:rsidRDefault="00575AC3" w:rsidP="006D40F0">
            <w:r w:rsidRPr="006D40F0">
              <w:t>747</w:t>
            </w:r>
          </w:p>
        </w:tc>
        <w:tc>
          <w:tcPr>
            <w:tcW w:w="680" w:type="dxa"/>
            <w:tcBorders>
              <w:top w:val="nil"/>
              <w:left w:val="nil"/>
              <w:bottom w:val="nil"/>
              <w:right w:val="nil"/>
            </w:tcBorders>
            <w:tcMar>
              <w:top w:w="128" w:type="dxa"/>
              <w:left w:w="43" w:type="dxa"/>
              <w:bottom w:w="43" w:type="dxa"/>
              <w:right w:w="43" w:type="dxa"/>
            </w:tcMar>
          </w:tcPr>
          <w:p w14:paraId="1F4D380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6B8A5B" w14:textId="77777777" w:rsidR="00575AC3" w:rsidRPr="006D40F0" w:rsidRDefault="00575AC3" w:rsidP="006D40F0">
            <w:r w:rsidRPr="006D40F0">
              <w:t>Direktoratet for strålevern og atomsikkerhet:</w:t>
            </w:r>
          </w:p>
        </w:tc>
        <w:tc>
          <w:tcPr>
            <w:tcW w:w="1400" w:type="dxa"/>
            <w:tcBorders>
              <w:top w:val="nil"/>
              <w:left w:val="nil"/>
              <w:bottom w:val="nil"/>
              <w:right w:val="nil"/>
            </w:tcBorders>
            <w:tcMar>
              <w:top w:w="128" w:type="dxa"/>
              <w:left w:w="43" w:type="dxa"/>
              <w:bottom w:w="43" w:type="dxa"/>
              <w:right w:w="43" w:type="dxa"/>
            </w:tcMar>
            <w:vAlign w:val="bottom"/>
          </w:tcPr>
          <w:p w14:paraId="68A7C423" w14:textId="77777777" w:rsidR="00575AC3" w:rsidRPr="006D40F0" w:rsidRDefault="00575AC3" w:rsidP="006D40F0"/>
        </w:tc>
      </w:tr>
      <w:tr w:rsidR="00DD49A7" w:rsidRPr="006D40F0" w14:paraId="5E137978" w14:textId="77777777">
        <w:trPr>
          <w:trHeight w:val="380"/>
        </w:trPr>
        <w:tc>
          <w:tcPr>
            <w:tcW w:w="680" w:type="dxa"/>
            <w:tcBorders>
              <w:top w:val="nil"/>
              <w:left w:val="nil"/>
              <w:bottom w:val="nil"/>
              <w:right w:val="nil"/>
            </w:tcBorders>
            <w:tcMar>
              <w:top w:w="128" w:type="dxa"/>
              <w:left w:w="43" w:type="dxa"/>
              <w:bottom w:w="43" w:type="dxa"/>
              <w:right w:w="43" w:type="dxa"/>
            </w:tcMar>
          </w:tcPr>
          <w:p w14:paraId="640DB11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50BAD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01DB0DD"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E16DC6F" w14:textId="77777777" w:rsidR="00575AC3" w:rsidRPr="006D40F0" w:rsidRDefault="00575AC3" w:rsidP="006D40F0">
            <w:r w:rsidRPr="006D40F0">
              <w:t>2 950 000</w:t>
            </w:r>
          </w:p>
        </w:tc>
      </w:tr>
      <w:tr w:rsidR="00DD49A7" w:rsidRPr="006D40F0" w14:paraId="00A49B48" w14:textId="77777777">
        <w:trPr>
          <w:trHeight w:val="380"/>
        </w:trPr>
        <w:tc>
          <w:tcPr>
            <w:tcW w:w="680" w:type="dxa"/>
            <w:tcBorders>
              <w:top w:val="nil"/>
              <w:left w:val="nil"/>
              <w:bottom w:val="nil"/>
              <w:right w:val="nil"/>
            </w:tcBorders>
            <w:tcMar>
              <w:top w:w="128" w:type="dxa"/>
              <w:left w:w="43" w:type="dxa"/>
              <w:bottom w:w="43" w:type="dxa"/>
              <w:right w:w="43" w:type="dxa"/>
            </w:tcMar>
          </w:tcPr>
          <w:p w14:paraId="2C27E70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1D7E49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2697343" w14:textId="77777777" w:rsidR="00575AC3" w:rsidRPr="006D40F0" w:rsidRDefault="00575AC3" w:rsidP="006D40F0">
            <w:r w:rsidRPr="006D40F0">
              <w:t>fra kr 172 686 000 til kr 175 636 000</w:t>
            </w:r>
          </w:p>
        </w:tc>
        <w:tc>
          <w:tcPr>
            <w:tcW w:w="1400" w:type="dxa"/>
            <w:tcBorders>
              <w:top w:val="nil"/>
              <w:left w:val="nil"/>
              <w:bottom w:val="nil"/>
              <w:right w:val="nil"/>
            </w:tcBorders>
            <w:tcMar>
              <w:top w:w="128" w:type="dxa"/>
              <w:left w:w="43" w:type="dxa"/>
              <w:bottom w:w="43" w:type="dxa"/>
              <w:right w:w="43" w:type="dxa"/>
            </w:tcMar>
            <w:vAlign w:val="bottom"/>
          </w:tcPr>
          <w:p w14:paraId="4277953A" w14:textId="77777777" w:rsidR="00575AC3" w:rsidRPr="006D40F0" w:rsidRDefault="00575AC3" w:rsidP="006D40F0"/>
        </w:tc>
      </w:tr>
      <w:tr w:rsidR="00DD49A7" w:rsidRPr="006D40F0" w14:paraId="04D37BC2" w14:textId="77777777">
        <w:trPr>
          <w:trHeight w:val="380"/>
        </w:trPr>
        <w:tc>
          <w:tcPr>
            <w:tcW w:w="680" w:type="dxa"/>
            <w:tcBorders>
              <w:top w:val="nil"/>
              <w:left w:val="nil"/>
              <w:bottom w:val="nil"/>
              <w:right w:val="nil"/>
            </w:tcBorders>
            <w:tcMar>
              <w:top w:w="128" w:type="dxa"/>
              <w:left w:w="43" w:type="dxa"/>
              <w:bottom w:w="43" w:type="dxa"/>
              <w:right w:w="43" w:type="dxa"/>
            </w:tcMar>
          </w:tcPr>
          <w:p w14:paraId="45E5B807" w14:textId="77777777" w:rsidR="00575AC3" w:rsidRPr="006D40F0" w:rsidRDefault="00575AC3" w:rsidP="006D40F0">
            <w:r w:rsidRPr="006D40F0">
              <w:t>748</w:t>
            </w:r>
          </w:p>
        </w:tc>
        <w:tc>
          <w:tcPr>
            <w:tcW w:w="680" w:type="dxa"/>
            <w:tcBorders>
              <w:top w:val="nil"/>
              <w:left w:val="nil"/>
              <w:bottom w:val="nil"/>
              <w:right w:val="nil"/>
            </w:tcBorders>
            <w:tcMar>
              <w:top w:w="128" w:type="dxa"/>
              <w:left w:w="43" w:type="dxa"/>
              <w:bottom w:w="43" w:type="dxa"/>
              <w:right w:w="43" w:type="dxa"/>
            </w:tcMar>
          </w:tcPr>
          <w:p w14:paraId="18D1B8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901D9A" w14:textId="77777777" w:rsidR="00575AC3" w:rsidRPr="006D40F0" w:rsidRDefault="00575AC3" w:rsidP="006D40F0">
            <w:r w:rsidRPr="006D40F0">
              <w:t>Statens helsetilsyn:</w:t>
            </w:r>
          </w:p>
        </w:tc>
        <w:tc>
          <w:tcPr>
            <w:tcW w:w="1400" w:type="dxa"/>
            <w:tcBorders>
              <w:top w:val="nil"/>
              <w:left w:val="nil"/>
              <w:bottom w:val="nil"/>
              <w:right w:val="nil"/>
            </w:tcBorders>
            <w:tcMar>
              <w:top w:w="128" w:type="dxa"/>
              <w:left w:w="43" w:type="dxa"/>
              <w:bottom w:w="43" w:type="dxa"/>
              <w:right w:w="43" w:type="dxa"/>
            </w:tcMar>
            <w:vAlign w:val="bottom"/>
          </w:tcPr>
          <w:p w14:paraId="73CC6F37" w14:textId="77777777" w:rsidR="00575AC3" w:rsidRPr="006D40F0" w:rsidRDefault="00575AC3" w:rsidP="006D40F0"/>
        </w:tc>
      </w:tr>
      <w:tr w:rsidR="00DD49A7" w:rsidRPr="006D40F0" w14:paraId="752BF9A4" w14:textId="77777777">
        <w:trPr>
          <w:trHeight w:val="380"/>
        </w:trPr>
        <w:tc>
          <w:tcPr>
            <w:tcW w:w="680" w:type="dxa"/>
            <w:tcBorders>
              <w:top w:val="nil"/>
              <w:left w:val="nil"/>
              <w:bottom w:val="nil"/>
              <w:right w:val="nil"/>
            </w:tcBorders>
            <w:tcMar>
              <w:top w:w="128" w:type="dxa"/>
              <w:left w:w="43" w:type="dxa"/>
              <w:bottom w:w="43" w:type="dxa"/>
              <w:right w:w="43" w:type="dxa"/>
            </w:tcMar>
          </w:tcPr>
          <w:p w14:paraId="403F6EC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8AD0EA"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47D996B"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717373BC" w14:textId="77777777" w:rsidR="00575AC3" w:rsidRPr="006D40F0" w:rsidRDefault="00575AC3" w:rsidP="006D40F0">
            <w:r w:rsidRPr="006D40F0">
              <w:t>250 000</w:t>
            </w:r>
          </w:p>
        </w:tc>
      </w:tr>
      <w:tr w:rsidR="00DD49A7" w:rsidRPr="006D40F0" w14:paraId="598CF867" w14:textId="77777777">
        <w:trPr>
          <w:trHeight w:val="380"/>
        </w:trPr>
        <w:tc>
          <w:tcPr>
            <w:tcW w:w="680" w:type="dxa"/>
            <w:tcBorders>
              <w:top w:val="nil"/>
              <w:left w:val="nil"/>
              <w:bottom w:val="nil"/>
              <w:right w:val="nil"/>
            </w:tcBorders>
            <w:tcMar>
              <w:top w:w="128" w:type="dxa"/>
              <w:left w:w="43" w:type="dxa"/>
              <w:bottom w:w="43" w:type="dxa"/>
              <w:right w:w="43" w:type="dxa"/>
            </w:tcMar>
          </w:tcPr>
          <w:p w14:paraId="3314FC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2D075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7FF77E" w14:textId="77777777" w:rsidR="00575AC3" w:rsidRPr="006D40F0" w:rsidRDefault="00575AC3" w:rsidP="006D40F0">
            <w:r w:rsidRPr="006D40F0">
              <w:t>fra kr 184 385 000 til kr 184 135 000</w:t>
            </w:r>
          </w:p>
        </w:tc>
        <w:tc>
          <w:tcPr>
            <w:tcW w:w="1400" w:type="dxa"/>
            <w:tcBorders>
              <w:top w:val="nil"/>
              <w:left w:val="nil"/>
              <w:bottom w:val="nil"/>
              <w:right w:val="nil"/>
            </w:tcBorders>
            <w:tcMar>
              <w:top w:w="128" w:type="dxa"/>
              <w:left w:w="43" w:type="dxa"/>
              <w:bottom w:w="43" w:type="dxa"/>
              <w:right w:w="43" w:type="dxa"/>
            </w:tcMar>
            <w:vAlign w:val="bottom"/>
          </w:tcPr>
          <w:p w14:paraId="3946508D" w14:textId="77777777" w:rsidR="00575AC3" w:rsidRPr="006D40F0" w:rsidRDefault="00575AC3" w:rsidP="006D40F0"/>
        </w:tc>
      </w:tr>
      <w:tr w:rsidR="00DD49A7" w:rsidRPr="006D40F0" w14:paraId="0277DF44" w14:textId="77777777">
        <w:trPr>
          <w:trHeight w:val="380"/>
        </w:trPr>
        <w:tc>
          <w:tcPr>
            <w:tcW w:w="680" w:type="dxa"/>
            <w:tcBorders>
              <w:top w:val="nil"/>
              <w:left w:val="nil"/>
              <w:bottom w:val="nil"/>
              <w:right w:val="nil"/>
            </w:tcBorders>
            <w:tcMar>
              <w:top w:w="128" w:type="dxa"/>
              <w:left w:w="43" w:type="dxa"/>
              <w:bottom w:w="43" w:type="dxa"/>
              <w:right w:w="43" w:type="dxa"/>
            </w:tcMar>
          </w:tcPr>
          <w:p w14:paraId="102276B1" w14:textId="77777777" w:rsidR="00575AC3" w:rsidRPr="006D40F0" w:rsidRDefault="00575AC3" w:rsidP="006D40F0">
            <w:r w:rsidRPr="006D40F0">
              <w:t>749</w:t>
            </w:r>
          </w:p>
        </w:tc>
        <w:tc>
          <w:tcPr>
            <w:tcW w:w="680" w:type="dxa"/>
            <w:tcBorders>
              <w:top w:val="nil"/>
              <w:left w:val="nil"/>
              <w:bottom w:val="nil"/>
              <w:right w:val="nil"/>
            </w:tcBorders>
            <w:tcMar>
              <w:top w:w="128" w:type="dxa"/>
              <w:left w:w="43" w:type="dxa"/>
              <w:bottom w:w="43" w:type="dxa"/>
              <w:right w:w="43" w:type="dxa"/>
            </w:tcMar>
          </w:tcPr>
          <w:p w14:paraId="15300DA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88F06C" w14:textId="77777777" w:rsidR="00575AC3" w:rsidRPr="006D40F0" w:rsidRDefault="00575AC3" w:rsidP="006D40F0">
            <w:r w:rsidRPr="006D40F0">
              <w:t>Statens undersøkelseskommisjon for helse- og omsorgstjenesten:</w:t>
            </w:r>
          </w:p>
        </w:tc>
        <w:tc>
          <w:tcPr>
            <w:tcW w:w="1400" w:type="dxa"/>
            <w:tcBorders>
              <w:top w:val="nil"/>
              <w:left w:val="nil"/>
              <w:bottom w:val="nil"/>
              <w:right w:val="nil"/>
            </w:tcBorders>
            <w:tcMar>
              <w:top w:w="128" w:type="dxa"/>
              <w:left w:w="43" w:type="dxa"/>
              <w:bottom w:w="43" w:type="dxa"/>
              <w:right w:w="43" w:type="dxa"/>
            </w:tcMar>
            <w:vAlign w:val="bottom"/>
          </w:tcPr>
          <w:p w14:paraId="737C4BE1" w14:textId="77777777" w:rsidR="00575AC3" w:rsidRPr="006D40F0" w:rsidRDefault="00575AC3" w:rsidP="006D40F0"/>
        </w:tc>
      </w:tr>
      <w:tr w:rsidR="00DD49A7" w:rsidRPr="006D40F0" w14:paraId="2F69CB7D" w14:textId="77777777">
        <w:trPr>
          <w:trHeight w:val="380"/>
        </w:trPr>
        <w:tc>
          <w:tcPr>
            <w:tcW w:w="680" w:type="dxa"/>
            <w:tcBorders>
              <w:top w:val="nil"/>
              <w:left w:val="nil"/>
              <w:bottom w:val="nil"/>
              <w:right w:val="nil"/>
            </w:tcBorders>
            <w:tcMar>
              <w:top w:w="128" w:type="dxa"/>
              <w:left w:w="43" w:type="dxa"/>
              <w:bottom w:w="43" w:type="dxa"/>
              <w:right w:w="43" w:type="dxa"/>
            </w:tcMar>
          </w:tcPr>
          <w:p w14:paraId="4BBCF62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3C878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C27D720"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2F74D05A" w14:textId="77777777" w:rsidR="00575AC3" w:rsidRPr="006D40F0" w:rsidRDefault="00575AC3" w:rsidP="006D40F0">
            <w:r w:rsidRPr="006D40F0">
              <w:t>50 000</w:t>
            </w:r>
          </w:p>
        </w:tc>
      </w:tr>
      <w:tr w:rsidR="00DD49A7" w:rsidRPr="006D40F0" w14:paraId="699F847B" w14:textId="77777777">
        <w:trPr>
          <w:trHeight w:val="380"/>
        </w:trPr>
        <w:tc>
          <w:tcPr>
            <w:tcW w:w="680" w:type="dxa"/>
            <w:tcBorders>
              <w:top w:val="nil"/>
              <w:left w:val="nil"/>
              <w:bottom w:val="nil"/>
              <w:right w:val="nil"/>
            </w:tcBorders>
            <w:tcMar>
              <w:top w:w="128" w:type="dxa"/>
              <w:left w:w="43" w:type="dxa"/>
              <w:bottom w:w="43" w:type="dxa"/>
              <w:right w:w="43" w:type="dxa"/>
            </w:tcMar>
          </w:tcPr>
          <w:p w14:paraId="08B036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1960E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A7AB14" w14:textId="77777777" w:rsidR="00575AC3" w:rsidRPr="006D40F0" w:rsidRDefault="00575AC3" w:rsidP="006D40F0">
            <w:r w:rsidRPr="006D40F0">
              <w:t>fra kr 44 226 000 til kr 44 176 000</w:t>
            </w:r>
          </w:p>
        </w:tc>
        <w:tc>
          <w:tcPr>
            <w:tcW w:w="1400" w:type="dxa"/>
            <w:tcBorders>
              <w:top w:val="nil"/>
              <w:left w:val="nil"/>
              <w:bottom w:val="nil"/>
              <w:right w:val="nil"/>
            </w:tcBorders>
            <w:tcMar>
              <w:top w:w="128" w:type="dxa"/>
              <w:left w:w="43" w:type="dxa"/>
              <w:bottom w:w="43" w:type="dxa"/>
              <w:right w:w="43" w:type="dxa"/>
            </w:tcMar>
            <w:vAlign w:val="bottom"/>
          </w:tcPr>
          <w:p w14:paraId="065AEF6B" w14:textId="77777777" w:rsidR="00575AC3" w:rsidRPr="006D40F0" w:rsidRDefault="00575AC3" w:rsidP="006D40F0"/>
        </w:tc>
      </w:tr>
      <w:tr w:rsidR="00DD49A7" w:rsidRPr="006D40F0" w14:paraId="58EB20F7" w14:textId="77777777">
        <w:trPr>
          <w:trHeight w:val="380"/>
        </w:trPr>
        <w:tc>
          <w:tcPr>
            <w:tcW w:w="680" w:type="dxa"/>
            <w:tcBorders>
              <w:top w:val="nil"/>
              <w:left w:val="nil"/>
              <w:bottom w:val="nil"/>
              <w:right w:val="nil"/>
            </w:tcBorders>
            <w:tcMar>
              <w:top w:w="128" w:type="dxa"/>
              <w:left w:w="43" w:type="dxa"/>
              <w:bottom w:w="43" w:type="dxa"/>
              <w:right w:w="43" w:type="dxa"/>
            </w:tcMar>
          </w:tcPr>
          <w:p w14:paraId="27AA4DC2" w14:textId="77777777" w:rsidR="00575AC3" w:rsidRPr="006D40F0" w:rsidRDefault="00575AC3" w:rsidP="006D40F0">
            <w:r w:rsidRPr="006D40F0">
              <w:t>761</w:t>
            </w:r>
          </w:p>
        </w:tc>
        <w:tc>
          <w:tcPr>
            <w:tcW w:w="680" w:type="dxa"/>
            <w:tcBorders>
              <w:top w:val="nil"/>
              <w:left w:val="nil"/>
              <w:bottom w:val="nil"/>
              <w:right w:val="nil"/>
            </w:tcBorders>
            <w:tcMar>
              <w:top w:w="128" w:type="dxa"/>
              <w:left w:w="43" w:type="dxa"/>
              <w:bottom w:w="43" w:type="dxa"/>
              <w:right w:w="43" w:type="dxa"/>
            </w:tcMar>
          </w:tcPr>
          <w:p w14:paraId="4B75D49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6A22F1" w14:textId="77777777" w:rsidR="00575AC3" w:rsidRPr="006D40F0" w:rsidRDefault="00575AC3" w:rsidP="006D40F0">
            <w:r w:rsidRPr="006D40F0">
              <w:t>Omsorgstjeneste:</w:t>
            </w:r>
          </w:p>
        </w:tc>
        <w:tc>
          <w:tcPr>
            <w:tcW w:w="1400" w:type="dxa"/>
            <w:tcBorders>
              <w:top w:val="nil"/>
              <w:left w:val="nil"/>
              <w:bottom w:val="nil"/>
              <w:right w:val="nil"/>
            </w:tcBorders>
            <w:tcMar>
              <w:top w:w="128" w:type="dxa"/>
              <w:left w:w="43" w:type="dxa"/>
              <w:bottom w:w="43" w:type="dxa"/>
              <w:right w:w="43" w:type="dxa"/>
            </w:tcMar>
            <w:vAlign w:val="bottom"/>
          </w:tcPr>
          <w:p w14:paraId="3CCB28DB" w14:textId="77777777" w:rsidR="00575AC3" w:rsidRPr="006D40F0" w:rsidRDefault="00575AC3" w:rsidP="006D40F0"/>
        </w:tc>
      </w:tr>
      <w:tr w:rsidR="00DD49A7" w:rsidRPr="006D40F0" w14:paraId="1ECB6DBC" w14:textId="77777777">
        <w:trPr>
          <w:trHeight w:val="380"/>
        </w:trPr>
        <w:tc>
          <w:tcPr>
            <w:tcW w:w="680" w:type="dxa"/>
            <w:tcBorders>
              <w:top w:val="nil"/>
              <w:left w:val="nil"/>
              <w:bottom w:val="nil"/>
              <w:right w:val="nil"/>
            </w:tcBorders>
            <w:tcMar>
              <w:top w:w="128" w:type="dxa"/>
              <w:left w:w="43" w:type="dxa"/>
              <w:bottom w:w="43" w:type="dxa"/>
              <w:right w:w="43" w:type="dxa"/>
            </w:tcMar>
          </w:tcPr>
          <w:p w14:paraId="4F5C98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54ED28" w14:textId="77777777" w:rsidR="00575AC3" w:rsidRPr="006D40F0" w:rsidRDefault="00575AC3" w:rsidP="006D40F0">
            <w:r w:rsidRPr="006D40F0">
              <w:t>64</w:t>
            </w:r>
          </w:p>
        </w:tc>
        <w:tc>
          <w:tcPr>
            <w:tcW w:w="6800" w:type="dxa"/>
            <w:tcBorders>
              <w:top w:val="nil"/>
              <w:left w:val="nil"/>
              <w:bottom w:val="nil"/>
              <w:right w:val="nil"/>
            </w:tcBorders>
            <w:tcMar>
              <w:top w:w="128" w:type="dxa"/>
              <w:left w:w="43" w:type="dxa"/>
              <w:bottom w:w="43" w:type="dxa"/>
              <w:right w:w="43" w:type="dxa"/>
            </w:tcMar>
          </w:tcPr>
          <w:p w14:paraId="0B1AD726" w14:textId="77777777" w:rsidR="00575AC3" w:rsidRPr="006D40F0" w:rsidRDefault="00575AC3" w:rsidP="006D40F0">
            <w:r w:rsidRPr="006D40F0">
              <w:t>Kompensasjon for renter og avdrag, forhøyes med</w:t>
            </w:r>
          </w:p>
        </w:tc>
        <w:tc>
          <w:tcPr>
            <w:tcW w:w="1400" w:type="dxa"/>
            <w:tcBorders>
              <w:top w:val="nil"/>
              <w:left w:val="nil"/>
              <w:bottom w:val="nil"/>
              <w:right w:val="nil"/>
            </w:tcBorders>
            <w:tcMar>
              <w:top w:w="128" w:type="dxa"/>
              <w:left w:w="43" w:type="dxa"/>
              <w:bottom w:w="43" w:type="dxa"/>
              <w:right w:w="43" w:type="dxa"/>
            </w:tcMar>
            <w:vAlign w:val="bottom"/>
          </w:tcPr>
          <w:p w14:paraId="1FBC8873" w14:textId="77777777" w:rsidR="00575AC3" w:rsidRPr="006D40F0" w:rsidRDefault="00575AC3" w:rsidP="006D40F0">
            <w:r w:rsidRPr="006D40F0">
              <w:t>62 800 000</w:t>
            </w:r>
          </w:p>
        </w:tc>
      </w:tr>
      <w:tr w:rsidR="00DD49A7" w:rsidRPr="006D40F0" w14:paraId="48FA4A01" w14:textId="77777777">
        <w:trPr>
          <w:trHeight w:val="380"/>
        </w:trPr>
        <w:tc>
          <w:tcPr>
            <w:tcW w:w="680" w:type="dxa"/>
            <w:tcBorders>
              <w:top w:val="nil"/>
              <w:left w:val="nil"/>
              <w:bottom w:val="nil"/>
              <w:right w:val="nil"/>
            </w:tcBorders>
            <w:tcMar>
              <w:top w:w="128" w:type="dxa"/>
              <w:left w:w="43" w:type="dxa"/>
              <w:bottom w:w="43" w:type="dxa"/>
              <w:right w:w="43" w:type="dxa"/>
            </w:tcMar>
          </w:tcPr>
          <w:p w14:paraId="7D3D837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EA231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51B4C7" w14:textId="77777777" w:rsidR="00575AC3" w:rsidRPr="006D40F0" w:rsidRDefault="00575AC3" w:rsidP="006D40F0">
            <w:r w:rsidRPr="006D40F0">
              <w:t>fra kr 916 600 000 til kr 979 400 000</w:t>
            </w:r>
          </w:p>
        </w:tc>
        <w:tc>
          <w:tcPr>
            <w:tcW w:w="1400" w:type="dxa"/>
            <w:tcBorders>
              <w:top w:val="nil"/>
              <w:left w:val="nil"/>
              <w:bottom w:val="nil"/>
              <w:right w:val="nil"/>
            </w:tcBorders>
            <w:tcMar>
              <w:top w:w="128" w:type="dxa"/>
              <w:left w:w="43" w:type="dxa"/>
              <w:bottom w:w="43" w:type="dxa"/>
              <w:right w:w="43" w:type="dxa"/>
            </w:tcMar>
            <w:vAlign w:val="bottom"/>
          </w:tcPr>
          <w:p w14:paraId="7990F455" w14:textId="77777777" w:rsidR="00575AC3" w:rsidRPr="006D40F0" w:rsidRDefault="00575AC3" w:rsidP="006D40F0"/>
        </w:tc>
      </w:tr>
      <w:tr w:rsidR="00DD49A7" w:rsidRPr="006D40F0" w14:paraId="095199A3" w14:textId="77777777">
        <w:trPr>
          <w:trHeight w:val="380"/>
        </w:trPr>
        <w:tc>
          <w:tcPr>
            <w:tcW w:w="680" w:type="dxa"/>
            <w:tcBorders>
              <w:top w:val="nil"/>
              <w:left w:val="nil"/>
              <w:bottom w:val="nil"/>
              <w:right w:val="nil"/>
            </w:tcBorders>
            <w:tcMar>
              <w:top w:w="128" w:type="dxa"/>
              <w:left w:w="43" w:type="dxa"/>
              <w:bottom w:w="43" w:type="dxa"/>
              <w:right w:w="43" w:type="dxa"/>
            </w:tcMar>
          </w:tcPr>
          <w:p w14:paraId="44F5DC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70DC0E9"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55AE7473" w14:textId="77777777" w:rsidR="00575AC3" w:rsidRPr="006D40F0" w:rsidRDefault="00575AC3" w:rsidP="006D40F0">
            <w:r w:rsidRPr="006D40F0">
              <w:t>Særlige omsorgsbehov, forhøyes med</w:t>
            </w:r>
          </w:p>
        </w:tc>
        <w:tc>
          <w:tcPr>
            <w:tcW w:w="1400" w:type="dxa"/>
            <w:tcBorders>
              <w:top w:val="nil"/>
              <w:left w:val="nil"/>
              <w:bottom w:val="nil"/>
              <w:right w:val="nil"/>
            </w:tcBorders>
            <w:tcMar>
              <w:top w:w="128" w:type="dxa"/>
              <w:left w:w="43" w:type="dxa"/>
              <w:bottom w:w="43" w:type="dxa"/>
              <w:right w:w="43" w:type="dxa"/>
            </w:tcMar>
            <w:vAlign w:val="bottom"/>
          </w:tcPr>
          <w:p w14:paraId="20B63666" w14:textId="77777777" w:rsidR="00575AC3" w:rsidRPr="006D40F0" w:rsidRDefault="00575AC3" w:rsidP="006D40F0">
            <w:r w:rsidRPr="006D40F0">
              <w:t>3 000 000</w:t>
            </w:r>
          </w:p>
        </w:tc>
      </w:tr>
      <w:tr w:rsidR="00DD49A7" w:rsidRPr="006D40F0" w14:paraId="1708C209" w14:textId="77777777">
        <w:trPr>
          <w:trHeight w:val="380"/>
        </w:trPr>
        <w:tc>
          <w:tcPr>
            <w:tcW w:w="680" w:type="dxa"/>
            <w:tcBorders>
              <w:top w:val="nil"/>
              <w:left w:val="nil"/>
              <w:bottom w:val="nil"/>
              <w:right w:val="nil"/>
            </w:tcBorders>
            <w:tcMar>
              <w:top w:w="128" w:type="dxa"/>
              <w:left w:w="43" w:type="dxa"/>
              <w:bottom w:w="43" w:type="dxa"/>
              <w:right w:w="43" w:type="dxa"/>
            </w:tcMar>
          </w:tcPr>
          <w:p w14:paraId="1A7FA6A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2852F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03BDD2" w14:textId="77777777" w:rsidR="00575AC3" w:rsidRPr="006D40F0" w:rsidRDefault="00575AC3" w:rsidP="006D40F0">
            <w:r w:rsidRPr="006D40F0">
              <w:t>fra kr 51 359 000 til kr 54 359 000</w:t>
            </w:r>
          </w:p>
        </w:tc>
        <w:tc>
          <w:tcPr>
            <w:tcW w:w="1400" w:type="dxa"/>
            <w:tcBorders>
              <w:top w:val="nil"/>
              <w:left w:val="nil"/>
              <w:bottom w:val="nil"/>
              <w:right w:val="nil"/>
            </w:tcBorders>
            <w:tcMar>
              <w:top w:w="128" w:type="dxa"/>
              <w:left w:w="43" w:type="dxa"/>
              <w:bottom w:w="43" w:type="dxa"/>
              <w:right w:w="43" w:type="dxa"/>
            </w:tcMar>
            <w:vAlign w:val="bottom"/>
          </w:tcPr>
          <w:p w14:paraId="1696174E" w14:textId="77777777" w:rsidR="00575AC3" w:rsidRPr="006D40F0" w:rsidRDefault="00575AC3" w:rsidP="006D40F0"/>
        </w:tc>
      </w:tr>
      <w:tr w:rsidR="00DD49A7" w:rsidRPr="006D40F0" w14:paraId="4722988B" w14:textId="77777777">
        <w:trPr>
          <w:trHeight w:val="380"/>
        </w:trPr>
        <w:tc>
          <w:tcPr>
            <w:tcW w:w="680" w:type="dxa"/>
            <w:tcBorders>
              <w:top w:val="nil"/>
              <w:left w:val="nil"/>
              <w:bottom w:val="nil"/>
              <w:right w:val="nil"/>
            </w:tcBorders>
            <w:tcMar>
              <w:top w:w="128" w:type="dxa"/>
              <w:left w:w="43" w:type="dxa"/>
              <w:bottom w:w="43" w:type="dxa"/>
              <w:right w:w="43" w:type="dxa"/>
            </w:tcMar>
          </w:tcPr>
          <w:p w14:paraId="46089DAC" w14:textId="77777777" w:rsidR="00575AC3" w:rsidRPr="006D40F0" w:rsidRDefault="00575AC3" w:rsidP="006D40F0">
            <w:r w:rsidRPr="006D40F0">
              <w:t>762</w:t>
            </w:r>
          </w:p>
        </w:tc>
        <w:tc>
          <w:tcPr>
            <w:tcW w:w="680" w:type="dxa"/>
            <w:tcBorders>
              <w:top w:val="nil"/>
              <w:left w:val="nil"/>
              <w:bottom w:val="nil"/>
              <w:right w:val="nil"/>
            </w:tcBorders>
            <w:tcMar>
              <w:top w:w="128" w:type="dxa"/>
              <w:left w:w="43" w:type="dxa"/>
              <w:bottom w:w="43" w:type="dxa"/>
              <w:right w:w="43" w:type="dxa"/>
            </w:tcMar>
          </w:tcPr>
          <w:p w14:paraId="5395B77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1ACEE62" w14:textId="77777777" w:rsidR="00575AC3" w:rsidRPr="006D40F0" w:rsidRDefault="00575AC3" w:rsidP="006D40F0">
            <w:r w:rsidRPr="006D40F0">
              <w:t>Primærhelsetjeneste:</w:t>
            </w:r>
          </w:p>
        </w:tc>
        <w:tc>
          <w:tcPr>
            <w:tcW w:w="1400" w:type="dxa"/>
            <w:tcBorders>
              <w:top w:val="nil"/>
              <w:left w:val="nil"/>
              <w:bottom w:val="nil"/>
              <w:right w:val="nil"/>
            </w:tcBorders>
            <w:tcMar>
              <w:top w:w="128" w:type="dxa"/>
              <w:left w:w="43" w:type="dxa"/>
              <w:bottom w:w="43" w:type="dxa"/>
              <w:right w:w="43" w:type="dxa"/>
            </w:tcMar>
            <w:vAlign w:val="bottom"/>
          </w:tcPr>
          <w:p w14:paraId="5241F360" w14:textId="77777777" w:rsidR="00575AC3" w:rsidRPr="006D40F0" w:rsidRDefault="00575AC3" w:rsidP="006D40F0"/>
        </w:tc>
      </w:tr>
      <w:tr w:rsidR="00DD49A7" w:rsidRPr="006D40F0" w14:paraId="2D78F16A" w14:textId="77777777">
        <w:trPr>
          <w:trHeight w:val="380"/>
        </w:trPr>
        <w:tc>
          <w:tcPr>
            <w:tcW w:w="680" w:type="dxa"/>
            <w:tcBorders>
              <w:top w:val="nil"/>
              <w:left w:val="nil"/>
              <w:bottom w:val="nil"/>
              <w:right w:val="nil"/>
            </w:tcBorders>
            <w:tcMar>
              <w:top w:w="128" w:type="dxa"/>
              <w:left w:w="43" w:type="dxa"/>
              <w:bottom w:w="43" w:type="dxa"/>
              <w:right w:w="43" w:type="dxa"/>
            </w:tcMar>
          </w:tcPr>
          <w:p w14:paraId="1542F13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2C1029" w14:textId="77777777" w:rsidR="00575AC3" w:rsidRPr="006D40F0" w:rsidRDefault="00575AC3" w:rsidP="006D40F0">
            <w:r w:rsidRPr="006D40F0">
              <w:t>63</w:t>
            </w:r>
          </w:p>
        </w:tc>
        <w:tc>
          <w:tcPr>
            <w:tcW w:w="6800" w:type="dxa"/>
            <w:tcBorders>
              <w:top w:val="nil"/>
              <w:left w:val="nil"/>
              <w:bottom w:val="nil"/>
              <w:right w:val="nil"/>
            </w:tcBorders>
            <w:tcMar>
              <w:top w:w="128" w:type="dxa"/>
              <w:left w:w="43" w:type="dxa"/>
              <w:bottom w:w="43" w:type="dxa"/>
              <w:right w:w="43" w:type="dxa"/>
            </w:tcMar>
          </w:tcPr>
          <w:p w14:paraId="6974DE8B" w14:textId="77777777" w:rsidR="00575AC3" w:rsidRPr="006D40F0" w:rsidRDefault="00575AC3" w:rsidP="006D40F0">
            <w:r w:rsidRPr="006D40F0">
              <w:t>Allmennlegetjenester, nedsettes med</w:t>
            </w:r>
          </w:p>
        </w:tc>
        <w:tc>
          <w:tcPr>
            <w:tcW w:w="1400" w:type="dxa"/>
            <w:tcBorders>
              <w:top w:val="nil"/>
              <w:left w:val="nil"/>
              <w:bottom w:val="nil"/>
              <w:right w:val="nil"/>
            </w:tcBorders>
            <w:tcMar>
              <w:top w:w="128" w:type="dxa"/>
              <w:left w:w="43" w:type="dxa"/>
              <w:bottom w:w="43" w:type="dxa"/>
              <w:right w:w="43" w:type="dxa"/>
            </w:tcMar>
            <w:vAlign w:val="bottom"/>
          </w:tcPr>
          <w:p w14:paraId="438A58AE" w14:textId="77777777" w:rsidR="00575AC3" w:rsidRPr="006D40F0" w:rsidRDefault="00575AC3" w:rsidP="006D40F0">
            <w:r w:rsidRPr="006D40F0">
              <w:t>23 000 000</w:t>
            </w:r>
          </w:p>
        </w:tc>
      </w:tr>
      <w:tr w:rsidR="00DD49A7" w:rsidRPr="006D40F0" w14:paraId="643CAD9A" w14:textId="77777777">
        <w:trPr>
          <w:trHeight w:val="380"/>
        </w:trPr>
        <w:tc>
          <w:tcPr>
            <w:tcW w:w="680" w:type="dxa"/>
            <w:tcBorders>
              <w:top w:val="nil"/>
              <w:left w:val="nil"/>
              <w:bottom w:val="nil"/>
              <w:right w:val="nil"/>
            </w:tcBorders>
            <w:tcMar>
              <w:top w:w="128" w:type="dxa"/>
              <w:left w:w="43" w:type="dxa"/>
              <w:bottom w:w="43" w:type="dxa"/>
              <w:right w:w="43" w:type="dxa"/>
            </w:tcMar>
          </w:tcPr>
          <w:p w14:paraId="13D2400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F03D0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628E50" w14:textId="77777777" w:rsidR="00575AC3" w:rsidRPr="006D40F0" w:rsidRDefault="00575AC3" w:rsidP="006D40F0">
            <w:r w:rsidRPr="006D40F0">
              <w:t>fra kr 715 802 000 til kr 692 802 000</w:t>
            </w:r>
          </w:p>
        </w:tc>
        <w:tc>
          <w:tcPr>
            <w:tcW w:w="1400" w:type="dxa"/>
            <w:tcBorders>
              <w:top w:val="nil"/>
              <w:left w:val="nil"/>
              <w:bottom w:val="nil"/>
              <w:right w:val="nil"/>
            </w:tcBorders>
            <w:tcMar>
              <w:top w:w="128" w:type="dxa"/>
              <w:left w:w="43" w:type="dxa"/>
              <w:bottom w:w="43" w:type="dxa"/>
              <w:right w:w="43" w:type="dxa"/>
            </w:tcMar>
            <w:vAlign w:val="bottom"/>
          </w:tcPr>
          <w:p w14:paraId="09FA5933" w14:textId="77777777" w:rsidR="00575AC3" w:rsidRPr="006D40F0" w:rsidRDefault="00575AC3" w:rsidP="006D40F0"/>
        </w:tc>
      </w:tr>
      <w:tr w:rsidR="00DD49A7" w:rsidRPr="006D40F0" w14:paraId="5374F242" w14:textId="77777777">
        <w:trPr>
          <w:trHeight w:val="380"/>
        </w:trPr>
        <w:tc>
          <w:tcPr>
            <w:tcW w:w="680" w:type="dxa"/>
            <w:tcBorders>
              <w:top w:val="nil"/>
              <w:left w:val="nil"/>
              <w:bottom w:val="nil"/>
              <w:right w:val="nil"/>
            </w:tcBorders>
            <w:tcMar>
              <w:top w:w="128" w:type="dxa"/>
              <w:left w:w="43" w:type="dxa"/>
              <w:bottom w:w="43" w:type="dxa"/>
              <w:right w:w="43" w:type="dxa"/>
            </w:tcMar>
          </w:tcPr>
          <w:p w14:paraId="06DCD00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246EC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0BAE63D" w14:textId="77777777" w:rsidR="00575AC3" w:rsidRPr="006D40F0" w:rsidRDefault="00575AC3" w:rsidP="006D40F0">
            <w:r w:rsidRPr="006D40F0">
              <w:t xml:space="preserve">Tilskudd, </w:t>
            </w:r>
            <w:r w:rsidRPr="00575AC3">
              <w:rPr>
                <w:rStyle w:val="kursiv"/>
              </w:rPr>
              <w:t>kan nyttes under post 21,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D1FAE77" w14:textId="77777777" w:rsidR="00575AC3" w:rsidRPr="006D40F0" w:rsidRDefault="00575AC3" w:rsidP="006D40F0">
            <w:r w:rsidRPr="006D40F0">
              <w:t>17 600 000</w:t>
            </w:r>
          </w:p>
        </w:tc>
      </w:tr>
      <w:tr w:rsidR="00DD49A7" w:rsidRPr="006D40F0" w14:paraId="03573E35" w14:textId="77777777">
        <w:trPr>
          <w:trHeight w:val="380"/>
        </w:trPr>
        <w:tc>
          <w:tcPr>
            <w:tcW w:w="680" w:type="dxa"/>
            <w:tcBorders>
              <w:top w:val="nil"/>
              <w:left w:val="nil"/>
              <w:bottom w:val="nil"/>
              <w:right w:val="nil"/>
            </w:tcBorders>
            <w:tcMar>
              <w:top w:w="128" w:type="dxa"/>
              <w:left w:w="43" w:type="dxa"/>
              <w:bottom w:w="43" w:type="dxa"/>
              <w:right w:w="43" w:type="dxa"/>
            </w:tcMar>
          </w:tcPr>
          <w:p w14:paraId="487E9E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917E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B8E8A4" w14:textId="77777777" w:rsidR="00575AC3" w:rsidRPr="006D40F0" w:rsidRDefault="00575AC3" w:rsidP="006D40F0">
            <w:r w:rsidRPr="006D40F0">
              <w:t>fra kr 93 869 000 til kr 111 469 000</w:t>
            </w:r>
          </w:p>
        </w:tc>
        <w:tc>
          <w:tcPr>
            <w:tcW w:w="1400" w:type="dxa"/>
            <w:tcBorders>
              <w:top w:val="nil"/>
              <w:left w:val="nil"/>
              <w:bottom w:val="nil"/>
              <w:right w:val="nil"/>
            </w:tcBorders>
            <w:tcMar>
              <w:top w:w="128" w:type="dxa"/>
              <w:left w:w="43" w:type="dxa"/>
              <w:bottom w:w="43" w:type="dxa"/>
              <w:right w:w="43" w:type="dxa"/>
            </w:tcMar>
            <w:vAlign w:val="bottom"/>
          </w:tcPr>
          <w:p w14:paraId="34C1A156" w14:textId="77777777" w:rsidR="00575AC3" w:rsidRPr="006D40F0" w:rsidRDefault="00575AC3" w:rsidP="006D40F0"/>
        </w:tc>
      </w:tr>
      <w:tr w:rsidR="00DD49A7" w:rsidRPr="006D40F0" w14:paraId="6102864C" w14:textId="77777777">
        <w:trPr>
          <w:trHeight w:val="380"/>
        </w:trPr>
        <w:tc>
          <w:tcPr>
            <w:tcW w:w="680" w:type="dxa"/>
            <w:tcBorders>
              <w:top w:val="nil"/>
              <w:left w:val="nil"/>
              <w:bottom w:val="nil"/>
              <w:right w:val="nil"/>
            </w:tcBorders>
            <w:tcMar>
              <w:top w:w="128" w:type="dxa"/>
              <w:left w:w="43" w:type="dxa"/>
              <w:bottom w:w="43" w:type="dxa"/>
              <w:right w:w="43" w:type="dxa"/>
            </w:tcMar>
          </w:tcPr>
          <w:p w14:paraId="44FA2230" w14:textId="77777777" w:rsidR="00575AC3" w:rsidRPr="006D40F0" w:rsidRDefault="00575AC3" w:rsidP="006D40F0">
            <w:r w:rsidRPr="006D40F0">
              <w:t>765</w:t>
            </w:r>
          </w:p>
        </w:tc>
        <w:tc>
          <w:tcPr>
            <w:tcW w:w="680" w:type="dxa"/>
            <w:tcBorders>
              <w:top w:val="nil"/>
              <w:left w:val="nil"/>
              <w:bottom w:val="nil"/>
              <w:right w:val="nil"/>
            </w:tcBorders>
            <w:tcMar>
              <w:top w:w="128" w:type="dxa"/>
              <w:left w:w="43" w:type="dxa"/>
              <w:bottom w:w="43" w:type="dxa"/>
              <w:right w:w="43" w:type="dxa"/>
            </w:tcMar>
          </w:tcPr>
          <w:p w14:paraId="4AFE685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CF6012A" w14:textId="77777777" w:rsidR="00575AC3" w:rsidRPr="006D40F0" w:rsidRDefault="00575AC3" w:rsidP="006D40F0">
            <w:r w:rsidRPr="006D40F0">
              <w:t>Psykisk helse, rus og vold:</w:t>
            </w:r>
          </w:p>
        </w:tc>
        <w:tc>
          <w:tcPr>
            <w:tcW w:w="1400" w:type="dxa"/>
            <w:tcBorders>
              <w:top w:val="nil"/>
              <w:left w:val="nil"/>
              <w:bottom w:val="nil"/>
              <w:right w:val="nil"/>
            </w:tcBorders>
            <w:tcMar>
              <w:top w:w="128" w:type="dxa"/>
              <w:left w:w="43" w:type="dxa"/>
              <w:bottom w:w="43" w:type="dxa"/>
              <w:right w:w="43" w:type="dxa"/>
            </w:tcMar>
            <w:vAlign w:val="bottom"/>
          </w:tcPr>
          <w:p w14:paraId="24977224" w14:textId="77777777" w:rsidR="00575AC3" w:rsidRPr="006D40F0" w:rsidRDefault="00575AC3" w:rsidP="006D40F0"/>
        </w:tc>
      </w:tr>
      <w:tr w:rsidR="00DD49A7" w:rsidRPr="006D40F0" w14:paraId="730C2BC9" w14:textId="77777777">
        <w:trPr>
          <w:trHeight w:val="640"/>
        </w:trPr>
        <w:tc>
          <w:tcPr>
            <w:tcW w:w="680" w:type="dxa"/>
            <w:tcBorders>
              <w:top w:val="nil"/>
              <w:left w:val="nil"/>
              <w:bottom w:val="nil"/>
              <w:right w:val="nil"/>
            </w:tcBorders>
            <w:tcMar>
              <w:top w:w="128" w:type="dxa"/>
              <w:left w:w="43" w:type="dxa"/>
              <w:bottom w:w="43" w:type="dxa"/>
              <w:right w:w="43" w:type="dxa"/>
            </w:tcMar>
          </w:tcPr>
          <w:p w14:paraId="38E70CC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E292E7"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192A6284" w14:textId="77777777" w:rsidR="00575AC3" w:rsidRPr="006D40F0" w:rsidRDefault="00575AC3" w:rsidP="006D40F0">
            <w:r w:rsidRPr="006D40F0">
              <w:t xml:space="preserve">Spesielle driftsutgifter, </w:t>
            </w:r>
            <w:r w:rsidRPr="00575AC3">
              <w:rPr>
                <w:rStyle w:val="kursiv"/>
              </w:rPr>
              <w:t>kan overføres, kan nyttes under post 72,</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A121715" w14:textId="77777777" w:rsidR="00575AC3" w:rsidRPr="006D40F0" w:rsidRDefault="00575AC3" w:rsidP="006D40F0">
            <w:r w:rsidRPr="006D40F0">
              <w:t>6 000 000</w:t>
            </w:r>
          </w:p>
        </w:tc>
      </w:tr>
      <w:tr w:rsidR="00DD49A7" w:rsidRPr="006D40F0" w14:paraId="3A3B5397" w14:textId="77777777">
        <w:trPr>
          <w:trHeight w:val="380"/>
        </w:trPr>
        <w:tc>
          <w:tcPr>
            <w:tcW w:w="680" w:type="dxa"/>
            <w:tcBorders>
              <w:top w:val="nil"/>
              <w:left w:val="nil"/>
              <w:bottom w:val="nil"/>
              <w:right w:val="nil"/>
            </w:tcBorders>
            <w:tcMar>
              <w:top w:w="128" w:type="dxa"/>
              <w:left w:w="43" w:type="dxa"/>
              <w:bottom w:w="43" w:type="dxa"/>
              <w:right w:w="43" w:type="dxa"/>
            </w:tcMar>
          </w:tcPr>
          <w:p w14:paraId="34F8AF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7E7B4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4C717D" w14:textId="77777777" w:rsidR="00575AC3" w:rsidRPr="006D40F0" w:rsidRDefault="00575AC3" w:rsidP="006D40F0">
            <w:r w:rsidRPr="006D40F0">
              <w:t>fra kr 217 811 000 til kr 211 811 000</w:t>
            </w:r>
          </w:p>
        </w:tc>
        <w:tc>
          <w:tcPr>
            <w:tcW w:w="1400" w:type="dxa"/>
            <w:tcBorders>
              <w:top w:val="nil"/>
              <w:left w:val="nil"/>
              <w:bottom w:val="nil"/>
              <w:right w:val="nil"/>
            </w:tcBorders>
            <w:tcMar>
              <w:top w:w="128" w:type="dxa"/>
              <w:left w:w="43" w:type="dxa"/>
              <w:bottom w:w="43" w:type="dxa"/>
              <w:right w:w="43" w:type="dxa"/>
            </w:tcMar>
            <w:vAlign w:val="bottom"/>
          </w:tcPr>
          <w:p w14:paraId="1DAABDAD" w14:textId="77777777" w:rsidR="00575AC3" w:rsidRPr="006D40F0" w:rsidRDefault="00575AC3" w:rsidP="006D40F0"/>
        </w:tc>
      </w:tr>
      <w:tr w:rsidR="00DD49A7" w:rsidRPr="006D40F0" w14:paraId="783B9906" w14:textId="77777777">
        <w:trPr>
          <w:trHeight w:val="380"/>
        </w:trPr>
        <w:tc>
          <w:tcPr>
            <w:tcW w:w="680" w:type="dxa"/>
            <w:tcBorders>
              <w:top w:val="nil"/>
              <w:left w:val="nil"/>
              <w:bottom w:val="nil"/>
              <w:right w:val="nil"/>
            </w:tcBorders>
            <w:tcMar>
              <w:top w:w="128" w:type="dxa"/>
              <w:left w:w="43" w:type="dxa"/>
              <w:bottom w:w="43" w:type="dxa"/>
              <w:right w:w="43" w:type="dxa"/>
            </w:tcMar>
          </w:tcPr>
          <w:p w14:paraId="110295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1F1110"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61DE6E00" w14:textId="77777777" w:rsidR="00575AC3" w:rsidRPr="006D40F0" w:rsidRDefault="00575AC3" w:rsidP="006D40F0">
            <w:r w:rsidRPr="006D40F0">
              <w:t xml:space="preserve">Kompetansesentre,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D2ED203" w14:textId="77777777" w:rsidR="00575AC3" w:rsidRPr="006D40F0" w:rsidRDefault="00575AC3" w:rsidP="006D40F0">
            <w:r w:rsidRPr="006D40F0">
              <w:t>6 000 000</w:t>
            </w:r>
          </w:p>
        </w:tc>
      </w:tr>
      <w:tr w:rsidR="00DD49A7" w:rsidRPr="006D40F0" w14:paraId="64E96920" w14:textId="77777777">
        <w:trPr>
          <w:trHeight w:val="380"/>
        </w:trPr>
        <w:tc>
          <w:tcPr>
            <w:tcW w:w="680" w:type="dxa"/>
            <w:tcBorders>
              <w:top w:val="nil"/>
              <w:left w:val="nil"/>
              <w:bottom w:val="nil"/>
              <w:right w:val="nil"/>
            </w:tcBorders>
            <w:tcMar>
              <w:top w:w="128" w:type="dxa"/>
              <w:left w:w="43" w:type="dxa"/>
              <w:bottom w:w="43" w:type="dxa"/>
              <w:right w:w="43" w:type="dxa"/>
            </w:tcMar>
          </w:tcPr>
          <w:p w14:paraId="216A768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5158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C9A3AB" w14:textId="77777777" w:rsidR="00575AC3" w:rsidRPr="006D40F0" w:rsidRDefault="00575AC3" w:rsidP="006D40F0">
            <w:r w:rsidRPr="006D40F0">
              <w:t>fra kr 388 119 000 til kr 394 119 000</w:t>
            </w:r>
          </w:p>
        </w:tc>
        <w:tc>
          <w:tcPr>
            <w:tcW w:w="1400" w:type="dxa"/>
            <w:tcBorders>
              <w:top w:val="nil"/>
              <w:left w:val="nil"/>
              <w:bottom w:val="nil"/>
              <w:right w:val="nil"/>
            </w:tcBorders>
            <w:tcMar>
              <w:top w:w="128" w:type="dxa"/>
              <w:left w:w="43" w:type="dxa"/>
              <w:bottom w:w="43" w:type="dxa"/>
              <w:right w:w="43" w:type="dxa"/>
            </w:tcMar>
            <w:vAlign w:val="bottom"/>
          </w:tcPr>
          <w:p w14:paraId="7D98AB1D" w14:textId="77777777" w:rsidR="00575AC3" w:rsidRPr="006D40F0" w:rsidRDefault="00575AC3" w:rsidP="006D40F0"/>
        </w:tc>
      </w:tr>
      <w:tr w:rsidR="00DD49A7" w:rsidRPr="006D40F0" w14:paraId="77028417" w14:textId="77777777">
        <w:trPr>
          <w:trHeight w:val="380"/>
        </w:trPr>
        <w:tc>
          <w:tcPr>
            <w:tcW w:w="680" w:type="dxa"/>
            <w:tcBorders>
              <w:top w:val="nil"/>
              <w:left w:val="nil"/>
              <w:bottom w:val="nil"/>
              <w:right w:val="nil"/>
            </w:tcBorders>
            <w:tcMar>
              <w:top w:w="128" w:type="dxa"/>
              <w:left w:w="43" w:type="dxa"/>
              <w:bottom w:w="43" w:type="dxa"/>
              <w:right w:w="43" w:type="dxa"/>
            </w:tcMar>
          </w:tcPr>
          <w:p w14:paraId="6972D88C" w14:textId="77777777" w:rsidR="00575AC3" w:rsidRPr="006D40F0" w:rsidRDefault="00575AC3" w:rsidP="006D40F0">
            <w:r w:rsidRPr="006D40F0">
              <w:t>783</w:t>
            </w:r>
          </w:p>
        </w:tc>
        <w:tc>
          <w:tcPr>
            <w:tcW w:w="680" w:type="dxa"/>
            <w:tcBorders>
              <w:top w:val="nil"/>
              <w:left w:val="nil"/>
              <w:bottom w:val="nil"/>
              <w:right w:val="nil"/>
            </w:tcBorders>
            <w:tcMar>
              <w:top w:w="128" w:type="dxa"/>
              <w:left w:w="43" w:type="dxa"/>
              <w:bottom w:w="43" w:type="dxa"/>
              <w:right w:w="43" w:type="dxa"/>
            </w:tcMar>
          </w:tcPr>
          <w:p w14:paraId="75EA709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EE22C1" w14:textId="77777777" w:rsidR="00575AC3" w:rsidRPr="006D40F0" w:rsidRDefault="00575AC3" w:rsidP="006D40F0">
            <w:r w:rsidRPr="006D40F0">
              <w:t>Personell:</w:t>
            </w:r>
          </w:p>
        </w:tc>
        <w:tc>
          <w:tcPr>
            <w:tcW w:w="1400" w:type="dxa"/>
            <w:tcBorders>
              <w:top w:val="nil"/>
              <w:left w:val="nil"/>
              <w:bottom w:val="nil"/>
              <w:right w:val="nil"/>
            </w:tcBorders>
            <w:tcMar>
              <w:top w:w="128" w:type="dxa"/>
              <w:left w:w="43" w:type="dxa"/>
              <w:bottom w:w="43" w:type="dxa"/>
              <w:right w:w="43" w:type="dxa"/>
            </w:tcMar>
            <w:vAlign w:val="bottom"/>
          </w:tcPr>
          <w:p w14:paraId="73B80E1E" w14:textId="77777777" w:rsidR="00575AC3" w:rsidRPr="006D40F0" w:rsidRDefault="00575AC3" w:rsidP="006D40F0"/>
        </w:tc>
      </w:tr>
      <w:tr w:rsidR="00DD49A7" w:rsidRPr="006D40F0" w14:paraId="328A1284" w14:textId="77777777">
        <w:trPr>
          <w:trHeight w:val="380"/>
        </w:trPr>
        <w:tc>
          <w:tcPr>
            <w:tcW w:w="680" w:type="dxa"/>
            <w:tcBorders>
              <w:top w:val="nil"/>
              <w:left w:val="nil"/>
              <w:bottom w:val="nil"/>
              <w:right w:val="nil"/>
            </w:tcBorders>
            <w:tcMar>
              <w:top w:w="128" w:type="dxa"/>
              <w:left w:w="43" w:type="dxa"/>
              <w:bottom w:w="43" w:type="dxa"/>
              <w:right w:w="43" w:type="dxa"/>
            </w:tcMar>
          </w:tcPr>
          <w:p w14:paraId="3692557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E5EB2F"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5D7C36F3" w14:textId="77777777" w:rsidR="00575AC3" w:rsidRPr="006D40F0" w:rsidRDefault="00575AC3" w:rsidP="006D40F0">
            <w:r w:rsidRPr="006D40F0">
              <w:t xml:space="preserve">Andre tilskudd, </w:t>
            </w:r>
            <w:r w:rsidRPr="00575AC3">
              <w:rPr>
                <w:rStyle w:val="kursiv"/>
              </w:rPr>
              <w:t>kan nyttes under post 21,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154F00F" w14:textId="77777777" w:rsidR="00575AC3" w:rsidRPr="006D40F0" w:rsidRDefault="00575AC3" w:rsidP="006D40F0">
            <w:r w:rsidRPr="006D40F0">
              <w:t>13 500 000</w:t>
            </w:r>
          </w:p>
        </w:tc>
      </w:tr>
      <w:tr w:rsidR="00DD49A7" w:rsidRPr="006D40F0" w14:paraId="04E465FA" w14:textId="77777777">
        <w:trPr>
          <w:trHeight w:val="380"/>
        </w:trPr>
        <w:tc>
          <w:tcPr>
            <w:tcW w:w="680" w:type="dxa"/>
            <w:tcBorders>
              <w:top w:val="nil"/>
              <w:left w:val="nil"/>
              <w:bottom w:val="nil"/>
              <w:right w:val="nil"/>
            </w:tcBorders>
            <w:tcMar>
              <w:top w:w="128" w:type="dxa"/>
              <w:left w:w="43" w:type="dxa"/>
              <w:bottom w:w="43" w:type="dxa"/>
              <w:right w:w="43" w:type="dxa"/>
            </w:tcMar>
          </w:tcPr>
          <w:p w14:paraId="75F52C1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9A967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F0B202" w14:textId="77777777" w:rsidR="00575AC3" w:rsidRPr="006D40F0" w:rsidRDefault="00575AC3" w:rsidP="006D40F0">
            <w:r w:rsidRPr="006D40F0">
              <w:t>fra kr 47 295 000 til kr 33 795 000</w:t>
            </w:r>
          </w:p>
        </w:tc>
        <w:tc>
          <w:tcPr>
            <w:tcW w:w="1400" w:type="dxa"/>
            <w:tcBorders>
              <w:top w:val="nil"/>
              <w:left w:val="nil"/>
              <w:bottom w:val="nil"/>
              <w:right w:val="nil"/>
            </w:tcBorders>
            <w:tcMar>
              <w:top w:w="128" w:type="dxa"/>
              <w:left w:w="43" w:type="dxa"/>
              <w:bottom w:w="43" w:type="dxa"/>
              <w:right w:w="43" w:type="dxa"/>
            </w:tcMar>
            <w:vAlign w:val="bottom"/>
          </w:tcPr>
          <w:p w14:paraId="76E9DD86" w14:textId="77777777" w:rsidR="00575AC3" w:rsidRPr="006D40F0" w:rsidRDefault="00575AC3" w:rsidP="006D40F0"/>
        </w:tc>
      </w:tr>
      <w:tr w:rsidR="00DD49A7" w:rsidRPr="006D40F0" w14:paraId="5D19E87F" w14:textId="77777777">
        <w:trPr>
          <w:trHeight w:val="380"/>
        </w:trPr>
        <w:tc>
          <w:tcPr>
            <w:tcW w:w="680" w:type="dxa"/>
            <w:tcBorders>
              <w:top w:val="nil"/>
              <w:left w:val="nil"/>
              <w:bottom w:val="nil"/>
              <w:right w:val="nil"/>
            </w:tcBorders>
            <w:tcMar>
              <w:top w:w="128" w:type="dxa"/>
              <w:left w:w="43" w:type="dxa"/>
              <w:bottom w:w="43" w:type="dxa"/>
              <w:right w:w="43" w:type="dxa"/>
            </w:tcMar>
          </w:tcPr>
          <w:p w14:paraId="4928EAE2" w14:textId="77777777" w:rsidR="00575AC3" w:rsidRPr="006D40F0" w:rsidRDefault="00575AC3" w:rsidP="006D40F0">
            <w:r w:rsidRPr="006D40F0">
              <w:t>840</w:t>
            </w:r>
          </w:p>
        </w:tc>
        <w:tc>
          <w:tcPr>
            <w:tcW w:w="680" w:type="dxa"/>
            <w:tcBorders>
              <w:top w:val="nil"/>
              <w:left w:val="nil"/>
              <w:bottom w:val="nil"/>
              <w:right w:val="nil"/>
            </w:tcBorders>
            <w:tcMar>
              <w:top w:w="128" w:type="dxa"/>
              <w:left w:w="43" w:type="dxa"/>
              <w:bottom w:w="43" w:type="dxa"/>
              <w:right w:w="43" w:type="dxa"/>
            </w:tcMar>
          </w:tcPr>
          <w:p w14:paraId="41C7A9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B9E0CE" w14:textId="77777777" w:rsidR="00575AC3" w:rsidRPr="006D40F0" w:rsidRDefault="00575AC3" w:rsidP="006D40F0">
            <w:r w:rsidRPr="006D40F0">
              <w:t>Tiltak mot vold og overgrep:</w:t>
            </w:r>
          </w:p>
        </w:tc>
        <w:tc>
          <w:tcPr>
            <w:tcW w:w="1400" w:type="dxa"/>
            <w:tcBorders>
              <w:top w:val="nil"/>
              <w:left w:val="nil"/>
              <w:bottom w:val="nil"/>
              <w:right w:val="nil"/>
            </w:tcBorders>
            <w:tcMar>
              <w:top w:w="128" w:type="dxa"/>
              <w:left w:w="43" w:type="dxa"/>
              <w:bottom w:w="43" w:type="dxa"/>
              <w:right w:w="43" w:type="dxa"/>
            </w:tcMar>
            <w:vAlign w:val="bottom"/>
          </w:tcPr>
          <w:p w14:paraId="2CF20E43" w14:textId="77777777" w:rsidR="00575AC3" w:rsidRPr="006D40F0" w:rsidRDefault="00575AC3" w:rsidP="006D40F0"/>
        </w:tc>
      </w:tr>
      <w:tr w:rsidR="00DD49A7" w:rsidRPr="006D40F0" w14:paraId="1D20C2AD" w14:textId="77777777">
        <w:trPr>
          <w:trHeight w:val="640"/>
        </w:trPr>
        <w:tc>
          <w:tcPr>
            <w:tcW w:w="680" w:type="dxa"/>
            <w:tcBorders>
              <w:top w:val="nil"/>
              <w:left w:val="nil"/>
              <w:bottom w:val="nil"/>
              <w:right w:val="nil"/>
            </w:tcBorders>
            <w:tcMar>
              <w:top w:w="128" w:type="dxa"/>
              <w:left w:w="43" w:type="dxa"/>
              <w:bottom w:w="43" w:type="dxa"/>
              <w:right w:w="43" w:type="dxa"/>
            </w:tcMar>
          </w:tcPr>
          <w:p w14:paraId="45F926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5652CC"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4B31EA5" w14:textId="77777777" w:rsidR="00575AC3" w:rsidRPr="006D40F0" w:rsidRDefault="00575AC3" w:rsidP="006D40F0">
            <w:r w:rsidRPr="006D40F0">
              <w:t xml:space="preserve">Spesielle driftsutgifter, </w:t>
            </w:r>
            <w:r w:rsidRPr="00575AC3">
              <w:rPr>
                <w:rStyle w:val="kursiv"/>
              </w:rPr>
              <w:t>kan nyttes under post 70 og kap. 846, post 62,</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6AB852C" w14:textId="77777777" w:rsidR="00575AC3" w:rsidRPr="006D40F0" w:rsidRDefault="00575AC3" w:rsidP="006D40F0">
            <w:r w:rsidRPr="006D40F0">
              <w:t>5 000 000</w:t>
            </w:r>
          </w:p>
        </w:tc>
      </w:tr>
      <w:tr w:rsidR="00DD49A7" w:rsidRPr="006D40F0" w14:paraId="5160D789" w14:textId="77777777">
        <w:trPr>
          <w:trHeight w:val="380"/>
        </w:trPr>
        <w:tc>
          <w:tcPr>
            <w:tcW w:w="680" w:type="dxa"/>
            <w:tcBorders>
              <w:top w:val="nil"/>
              <w:left w:val="nil"/>
              <w:bottom w:val="nil"/>
              <w:right w:val="nil"/>
            </w:tcBorders>
            <w:tcMar>
              <w:top w:w="128" w:type="dxa"/>
              <w:left w:w="43" w:type="dxa"/>
              <w:bottom w:w="43" w:type="dxa"/>
              <w:right w:w="43" w:type="dxa"/>
            </w:tcMar>
          </w:tcPr>
          <w:p w14:paraId="0CD92A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4377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564150" w14:textId="77777777" w:rsidR="00575AC3" w:rsidRPr="006D40F0" w:rsidRDefault="00575AC3" w:rsidP="006D40F0">
            <w:r w:rsidRPr="006D40F0">
              <w:t>fra kr 31 774 000 til kr 26 774 000</w:t>
            </w:r>
          </w:p>
        </w:tc>
        <w:tc>
          <w:tcPr>
            <w:tcW w:w="1400" w:type="dxa"/>
            <w:tcBorders>
              <w:top w:val="nil"/>
              <w:left w:val="nil"/>
              <w:bottom w:val="nil"/>
              <w:right w:val="nil"/>
            </w:tcBorders>
            <w:tcMar>
              <w:top w:w="128" w:type="dxa"/>
              <w:left w:w="43" w:type="dxa"/>
              <w:bottom w:w="43" w:type="dxa"/>
              <w:right w:w="43" w:type="dxa"/>
            </w:tcMar>
            <w:vAlign w:val="bottom"/>
          </w:tcPr>
          <w:p w14:paraId="1514933A" w14:textId="77777777" w:rsidR="00575AC3" w:rsidRPr="006D40F0" w:rsidRDefault="00575AC3" w:rsidP="006D40F0"/>
        </w:tc>
      </w:tr>
      <w:tr w:rsidR="00DD49A7" w:rsidRPr="006D40F0" w14:paraId="6E8506B8" w14:textId="77777777">
        <w:trPr>
          <w:trHeight w:val="640"/>
        </w:trPr>
        <w:tc>
          <w:tcPr>
            <w:tcW w:w="680" w:type="dxa"/>
            <w:tcBorders>
              <w:top w:val="nil"/>
              <w:left w:val="nil"/>
              <w:bottom w:val="nil"/>
              <w:right w:val="nil"/>
            </w:tcBorders>
            <w:tcMar>
              <w:top w:w="128" w:type="dxa"/>
              <w:left w:w="43" w:type="dxa"/>
              <w:bottom w:w="43" w:type="dxa"/>
              <w:right w:w="43" w:type="dxa"/>
            </w:tcMar>
          </w:tcPr>
          <w:p w14:paraId="0B3976D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90E84D"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02CB5C6" w14:textId="77777777" w:rsidR="00575AC3" w:rsidRPr="006D40F0" w:rsidRDefault="00575AC3" w:rsidP="006D40F0">
            <w:r w:rsidRPr="006D40F0">
              <w:t xml:space="preserve">Tilskudd til voldsforebyggende tiltak mv., </w:t>
            </w:r>
            <w:r w:rsidRPr="00575AC3">
              <w:rPr>
                <w:rStyle w:val="kursiv"/>
              </w:rPr>
              <w:t>kan nyttes under post 21 og post 61 og kap. 858, post 1</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7E466B08" w14:textId="77777777" w:rsidR="00575AC3" w:rsidRPr="006D40F0" w:rsidRDefault="00575AC3" w:rsidP="006D40F0">
            <w:r w:rsidRPr="006D40F0">
              <w:t>5 000 000</w:t>
            </w:r>
          </w:p>
        </w:tc>
      </w:tr>
      <w:tr w:rsidR="00DD49A7" w:rsidRPr="006D40F0" w14:paraId="623F9DE3" w14:textId="77777777">
        <w:trPr>
          <w:trHeight w:val="380"/>
        </w:trPr>
        <w:tc>
          <w:tcPr>
            <w:tcW w:w="680" w:type="dxa"/>
            <w:tcBorders>
              <w:top w:val="nil"/>
              <w:left w:val="nil"/>
              <w:bottom w:val="nil"/>
              <w:right w:val="nil"/>
            </w:tcBorders>
            <w:tcMar>
              <w:top w:w="128" w:type="dxa"/>
              <w:left w:w="43" w:type="dxa"/>
              <w:bottom w:w="43" w:type="dxa"/>
              <w:right w:w="43" w:type="dxa"/>
            </w:tcMar>
          </w:tcPr>
          <w:p w14:paraId="005FA1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C671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FA2117" w14:textId="77777777" w:rsidR="00575AC3" w:rsidRPr="006D40F0" w:rsidRDefault="00575AC3" w:rsidP="006D40F0">
            <w:r w:rsidRPr="006D40F0">
              <w:t>fra kr 144 720 000 til kr 149 720 000</w:t>
            </w:r>
          </w:p>
        </w:tc>
        <w:tc>
          <w:tcPr>
            <w:tcW w:w="1400" w:type="dxa"/>
            <w:tcBorders>
              <w:top w:val="nil"/>
              <w:left w:val="nil"/>
              <w:bottom w:val="nil"/>
              <w:right w:val="nil"/>
            </w:tcBorders>
            <w:tcMar>
              <w:top w:w="128" w:type="dxa"/>
              <w:left w:w="43" w:type="dxa"/>
              <w:bottom w:w="43" w:type="dxa"/>
              <w:right w:w="43" w:type="dxa"/>
            </w:tcMar>
            <w:vAlign w:val="bottom"/>
          </w:tcPr>
          <w:p w14:paraId="58D443F3" w14:textId="77777777" w:rsidR="00575AC3" w:rsidRPr="006D40F0" w:rsidRDefault="00575AC3" w:rsidP="006D40F0"/>
        </w:tc>
      </w:tr>
      <w:tr w:rsidR="00DD49A7" w:rsidRPr="006D40F0" w14:paraId="0B544352" w14:textId="77777777">
        <w:trPr>
          <w:trHeight w:val="380"/>
        </w:trPr>
        <w:tc>
          <w:tcPr>
            <w:tcW w:w="680" w:type="dxa"/>
            <w:tcBorders>
              <w:top w:val="nil"/>
              <w:left w:val="nil"/>
              <w:bottom w:val="nil"/>
              <w:right w:val="nil"/>
            </w:tcBorders>
            <w:tcMar>
              <w:top w:w="128" w:type="dxa"/>
              <w:left w:w="43" w:type="dxa"/>
              <w:bottom w:w="43" w:type="dxa"/>
              <w:right w:w="43" w:type="dxa"/>
            </w:tcMar>
          </w:tcPr>
          <w:p w14:paraId="3D98FAC9" w14:textId="77777777" w:rsidR="00575AC3" w:rsidRPr="006D40F0" w:rsidRDefault="00575AC3" w:rsidP="006D40F0">
            <w:r w:rsidRPr="006D40F0">
              <w:t>843</w:t>
            </w:r>
          </w:p>
        </w:tc>
        <w:tc>
          <w:tcPr>
            <w:tcW w:w="680" w:type="dxa"/>
            <w:tcBorders>
              <w:top w:val="nil"/>
              <w:left w:val="nil"/>
              <w:bottom w:val="nil"/>
              <w:right w:val="nil"/>
            </w:tcBorders>
            <w:tcMar>
              <w:top w:w="128" w:type="dxa"/>
              <w:left w:w="43" w:type="dxa"/>
              <w:bottom w:w="43" w:type="dxa"/>
              <w:right w:w="43" w:type="dxa"/>
            </w:tcMar>
          </w:tcPr>
          <w:p w14:paraId="30D9CB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5C4AB1" w14:textId="77777777" w:rsidR="00575AC3" w:rsidRPr="006D40F0" w:rsidRDefault="00575AC3" w:rsidP="006D40F0">
            <w:r w:rsidRPr="006D40F0">
              <w:t>Adopsjonsstøtte:</w:t>
            </w:r>
          </w:p>
        </w:tc>
        <w:tc>
          <w:tcPr>
            <w:tcW w:w="1400" w:type="dxa"/>
            <w:tcBorders>
              <w:top w:val="nil"/>
              <w:left w:val="nil"/>
              <w:bottom w:val="nil"/>
              <w:right w:val="nil"/>
            </w:tcBorders>
            <w:tcMar>
              <w:top w:w="128" w:type="dxa"/>
              <w:left w:w="43" w:type="dxa"/>
              <w:bottom w:w="43" w:type="dxa"/>
              <w:right w:w="43" w:type="dxa"/>
            </w:tcMar>
            <w:vAlign w:val="bottom"/>
          </w:tcPr>
          <w:p w14:paraId="25AA24D8" w14:textId="77777777" w:rsidR="00575AC3" w:rsidRPr="006D40F0" w:rsidRDefault="00575AC3" w:rsidP="006D40F0"/>
        </w:tc>
      </w:tr>
      <w:tr w:rsidR="00DD49A7" w:rsidRPr="006D40F0" w14:paraId="3F334172" w14:textId="77777777">
        <w:trPr>
          <w:trHeight w:val="640"/>
        </w:trPr>
        <w:tc>
          <w:tcPr>
            <w:tcW w:w="680" w:type="dxa"/>
            <w:tcBorders>
              <w:top w:val="nil"/>
              <w:left w:val="nil"/>
              <w:bottom w:val="nil"/>
              <w:right w:val="nil"/>
            </w:tcBorders>
            <w:tcMar>
              <w:top w:w="128" w:type="dxa"/>
              <w:left w:w="43" w:type="dxa"/>
              <w:bottom w:w="43" w:type="dxa"/>
              <w:right w:w="43" w:type="dxa"/>
            </w:tcMar>
          </w:tcPr>
          <w:p w14:paraId="3AA753E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4A2706"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7C7D8CF" w14:textId="77777777" w:rsidR="00575AC3" w:rsidRPr="006D40F0" w:rsidRDefault="00575AC3" w:rsidP="006D40F0">
            <w:r w:rsidRPr="006D40F0">
              <w:t xml:space="preserve">Tilskudd til foreldre som adopterer barn fra utlandet,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8D56FEA" w14:textId="77777777" w:rsidR="00575AC3" w:rsidRPr="006D40F0" w:rsidRDefault="00575AC3" w:rsidP="006D40F0">
            <w:r w:rsidRPr="006D40F0">
              <w:t>1 900 000</w:t>
            </w:r>
          </w:p>
        </w:tc>
      </w:tr>
      <w:tr w:rsidR="00DD49A7" w:rsidRPr="006D40F0" w14:paraId="36E21E69" w14:textId="77777777">
        <w:trPr>
          <w:trHeight w:val="380"/>
        </w:trPr>
        <w:tc>
          <w:tcPr>
            <w:tcW w:w="680" w:type="dxa"/>
            <w:tcBorders>
              <w:top w:val="nil"/>
              <w:left w:val="nil"/>
              <w:bottom w:val="nil"/>
              <w:right w:val="nil"/>
            </w:tcBorders>
            <w:tcMar>
              <w:top w:w="128" w:type="dxa"/>
              <w:left w:w="43" w:type="dxa"/>
              <w:bottom w:w="43" w:type="dxa"/>
              <w:right w:w="43" w:type="dxa"/>
            </w:tcMar>
          </w:tcPr>
          <w:p w14:paraId="2C62794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8D42C0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A90292" w14:textId="77777777" w:rsidR="00575AC3" w:rsidRPr="006D40F0" w:rsidRDefault="00575AC3" w:rsidP="006D40F0">
            <w:r w:rsidRPr="006D40F0">
              <w:t>fra kr 7 900 000 til kr 6 000 000</w:t>
            </w:r>
          </w:p>
        </w:tc>
        <w:tc>
          <w:tcPr>
            <w:tcW w:w="1400" w:type="dxa"/>
            <w:tcBorders>
              <w:top w:val="nil"/>
              <w:left w:val="nil"/>
              <w:bottom w:val="nil"/>
              <w:right w:val="nil"/>
            </w:tcBorders>
            <w:tcMar>
              <w:top w:w="128" w:type="dxa"/>
              <w:left w:w="43" w:type="dxa"/>
              <w:bottom w:w="43" w:type="dxa"/>
              <w:right w:w="43" w:type="dxa"/>
            </w:tcMar>
            <w:vAlign w:val="bottom"/>
          </w:tcPr>
          <w:p w14:paraId="14D47D93" w14:textId="77777777" w:rsidR="00575AC3" w:rsidRPr="006D40F0" w:rsidRDefault="00575AC3" w:rsidP="006D40F0"/>
        </w:tc>
      </w:tr>
      <w:tr w:rsidR="00DD49A7" w:rsidRPr="006D40F0" w14:paraId="1DD55423" w14:textId="77777777">
        <w:trPr>
          <w:trHeight w:val="380"/>
        </w:trPr>
        <w:tc>
          <w:tcPr>
            <w:tcW w:w="680" w:type="dxa"/>
            <w:tcBorders>
              <w:top w:val="nil"/>
              <w:left w:val="nil"/>
              <w:bottom w:val="nil"/>
              <w:right w:val="nil"/>
            </w:tcBorders>
            <w:tcMar>
              <w:top w:w="128" w:type="dxa"/>
              <w:left w:w="43" w:type="dxa"/>
              <w:bottom w:w="43" w:type="dxa"/>
              <w:right w:w="43" w:type="dxa"/>
            </w:tcMar>
          </w:tcPr>
          <w:p w14:paraId="1BB569DA" w14:textId="77777777" w:rsidR="00575AC3" w:rsidRPr="006D40F0" w:rsidRDefault="00575AC3" w:rsidP="006D40F0">
            <w:r w:rsidRPr="006D40F0">
              <w:t>844</w:t>
            </w:r>
          </w:p>
        </w:tc>
        <w:tc>
          <w:tcPr>
            <w:tcW w:w="680" w:type="dxa"/>
            <w:tcBorders>
              <w:top w:val="nil"/>
              <w:left w:val="nil"/>
              <w:bottom w:val="nil"/>
              <w:right w:val="nil"/>
            </w:tcBorders>
            <w:tcMar>
              <w:top w:w="128" w:type="dxa"/>
              <w:left w:w="43" w:type="dxa"/>
              <w:bottom w:w="43" w:type="dxa"/>
              <w:right w:w="43" w:type="dxa"/>
            </w:tcMar>
          </w:tcPr>
          <w:p w14:paraId="19AAA38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4FD831" w14:textId="77777777" w:rsidR="00575AC3" w:rsidRPr="006D40F0" w:rsidRDefault="00575AC3" w:rsidP="006D40F0">
            <w:r w:rsidRPr="006D40F0">
              <w:t>Kontantstøtte:</w:t>
            </w:r>
          </w:p>
        </w:tc>
        <w:tc>
          <w:tcPr>
            <w:tcW w:w="1400" w:type="dxa"/>
            <w:tcBorders>
              <w:top w:val="nil"/>
              <w:left w:val="nil"/>
              <w:bottom w:val="nil"/>
              <w:right w:val="nil"/>
            </w:tcBorders>
            <w:tcMar>
              <w:top w:w="128" w:type="dxa"/>
              <w:left w:w="43" w:type="dxa"/>
              <w:bottom w:w="43" w:type="dxa"/>
              <w:right w:w="43" w:type="dxa"/>
            </w:tcMar>
            <w:vAlign w:val="bottom"/>
          </w:tcPr>
          <w:p w14:paraId="0C25B675" w14:textId="77777777" w:rsidR="00575AC3" w:rsidRPr="006D40F0" w:rsidRDefault="00575AC3" w:rsidP="006D40F0"/>
        </w:tc>
      </w:tr>
      <w:tr w:rsidR="00DD49A7" w:rsidRPr="006D40F0" w14:paraId="7E6633AB" w14:textId="77777777">
        <w:trPr>
          <w:trHeight w:val="380"/>
        </w:trPr>
        <w:tc>
          <w:tcPr>
            <w:tcW w:w="680" w:type="dxa"/>
            <w:tcBorders>
              <w:top w:val="nil"/>
              <w:left w:val="nil"/>
              <w:bottom w:val="nil"/>
              <w:right w:val="nil"/>
            </w:tcBorders>
            <w:tcMar>
              <w:top w:w="128" w:type="dxa"/>
              <w:left w:w="43" w:type="dxa"/>
              <w:bottom w:w="43" w:type="dxa"/>
              <w:right w:w="43" w:type="dxa"/>
            </w:tcMar>
          </w:tcPr>
          <w:p w14:paraId="1C098D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973E7A"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644A5B1" w14:textId="77777777" w:rsidR="00575AC3" w:rsidRPr="006D40F0" w:rsidRDefault="00575AC3" w:rsidP="006D40F0">
            <w:r w:rsidRPr="006D40F0">
              <w:t xml:space="preserve">Tilskudd,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29522D6" w14:textId="77777777" w:rsidR="00575AC3" w:rsidRPr="006D40F0" w:rsidRDefault="00575AC3" w:rsidP="006D40F0">
            <w:r w:rsidRPr="006D40F0">
              <w:t>6 290 000</w:t>
            </w:r>
          </w:p>
        </w:tc>
      </w:tr>
      <w:tr w:rsidR="00DD49A7" w:rsidRPr="006D40F0" w14:paraId="09436554" w14:textId="77777777">
        <w:trPr>
          <w:trHeight w:val="380"/>
        </w:trPr>
        <w:tc>
          <w:tcPr>
            <w:tcW w:w="680" w:type="dxa"/>
            <w:tcBorders>
              <w:top w:val="nil"/>
              <w:left w:val="nil"/>
              <w:bottom w:val="nil"/>
              <w:right w:val="nil"/>
            </w:tcBorders>
            <w:tcMar>
              <w:top w:w="128" w:type="dxa"/>
              <w:left w:w="43" w:type="dxa"/>
              <w:bottom w:w="43" w:type="dxa"/>
              <w:right w:w="43" w:type="dxa"/>
            </w:tcMar>
          </w:tcPr>
          <w:p w14:paraId="31D935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EE541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1BFEEB" w14:textId="77777777" w:rsidR="00575AC3" w:rsidRPr="006D40F0" w:rsidRDefault="00575AC3" w:rsidP="006D40F0">
            <w:r w:rsidRPr="006D40F0">
              <w:t>fra kr 913 710 000 til kr 920 000 000</w:t>
            </w:r>
          </w:p>
        </w:tc>
        <w:tc>
          <w:tcPr>
            <w:tcW w:w="1400" w:type="dxa"/>
            <w:tcBorders>
              <w:top w:val="nil"/>
              <w:left w:val="nil"/>
              <w:bottom w:val="nil"/>
              <w:right w:val="nil"/>
            </w:tcBorders>
            <w:tcMar>
              <w:top w:w="128" w:type="dxa"/>
              <w:left w:w="43" w:type="dxa"/>
              <w:bottom w:w="43" w:type="dxa"/>
              <w:right w:w="43" w:type="dxa"/>
            </w:tcMar>
            <w:vAlign w:val="bottom"/>
          </w:tcPr>
          <w:p w14:paraId="2B0F6932" w14:textId="77777777" w:rsidR="00575AC3" w:rsidRPr="006D40F0" w:rsidRDefault="00575AC3" w:rsidP="006D40F0"/>
        </w:tc>
      </w:tr>
      <w:tr w:rsidR="00DD49A7" w:rsidRPr="006D40F0" w14:paraId="485D3E63" w14:textId="77777777">
        <w:trPr>
          <w:trHeight w:val="380"/>
        </w:trPr>
        <w:tc>
          <w:tcPr>
            <w:tcW w:w="680" w:type="dxa"/>
            <w:tcBorders>
              <w:top w:val="nil"/>
              <w:left w:val="nil"/>
              <w:bottom w:val="nil"/>
              <w:right w:val="nil"/>
            </w:tcBorders>
            <w:tcMar>
              <w:top w:w="128" w:type="dxa"/>
              <w:left w:w="43" w:type="dxa"/>
              <w:bottom w:w="43" w:type="dxa"/>
              <w:right w:w="43" w:type="dxa"/>
            </w:tcMar>
          </w:tcPr>
          <w:p w14:paraId="799309E6" w14:textId="77777777" w:rsidR="00575AC3" w:rsidRPr="006D40F0" w:rsidRDefault="00575AC3" w:rsidP="006D40F0">
            <w:r w:rsidRPr="006D40F0">
              <w:t>845</w:t>
            </w:r>
          </w:p>
        </w:tc>
        <w:tc>
          <w:tcPr>
            <w:tcW w:w="680" w:type="dxa"/>
            <w:tcBorders>
              <w:top w:val="nil"/>
              <w:left w:val="nil"/>
              <w:bottom w:val="nil"/>
              <w:right w:val="nil"/>
            </w:tcBorders>
            <w:tcMar>
              <w:top w:w="128" w:type="dxa"/>
              <w:left w:w="43" w:type="dxa"/>
              <w:bottom w:w="43" w:type="dxa"/>
              <w:right w:w="43" w:type="dxa"/>
            </w:tcMar>
          </w:tcPr>
          <w:p w14:paraId="18EFBA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C7749F" w14:textId="77777777" w:rsidR="00575AC3" w:rsidRPr="006D40F0" w:rsidRDefault="00575AC3" w:rsidP="006D40F0">
            <w:r w:rsidRPr="006D40F0">
              <w:t>Barnetrygd:</w:t>
            </w:r>
          </w:p>
        </w:tc>
        <w:tc>
          <w:tcPr>
            <w:tcW w:w="1400" w:type="dxa"/>
            <w:tcBorders>
              <w:top w:val="nil"/>
              <w:left w:val="nil"/>
              <w:bottom w:val="nil"/>
              <w:right w:val="nil"/>
            </w:tcBorders>
            <w:tcMar>
              <w:top w:w="128" w:type="dxa"/>
              <w:left w:w="43" w:type="dxa"/>
              <w:bottom w:w="43" w:type="dxa"/>
              <w:right w:w="43" w:type="dxa"/>
            </w:tcMar>
            <w:vAlign w:val="bottom"/>
          </w:tcPr>
          <w:p w14:paraId="61D1CAC8" w14:textId="77777777" w:rsidR="00575AC3" w:rsidRPr="006D40F0" w:rsidRDefault="00575AC3" w:rsidP="006D40F0"/>
        </w:tc>
      </w:tr>
      <w:tr w:rsidR="00DD49A7" w:rsidRPr="006D40F0" w14:paraId="103F524F" w14:textId="77777777">
        <w:trPr>
          <w:trHeight w:val="380"/>
        </w:trPr>
        <w:tc>
          <w:tcPr>
            <w:tcW w:w="680" w:type="dxa"/>
            <w:tcBorders>
              <w:top w:val="nil"/>
              <w:left w:val="nil"/>
              <w:bottom w:val="nil"/>
              <w:right w:val="nil"/>
            </w:tcBorders>
            <w:tcMar>
              <w:top w:w="128" w:type="dxa"/>
              <w:left w:w="43" w:type="dxa"/>
              <w:bottom w:w="43" w:type="dxa"/>
              <w:right w:w="43" w:type="dxa"/>
            </w:tcMar>
          </w:tcPr>
          <w:p w14:paraId="3C2F2C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D42127"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D08D4D8" w14:textId="77777777" w:rsidR="00575AC3" w:rsidRPr="006D40F0" w:rsidRDefault="00575AC3" w:rsidP="006D40F0">
            <w:r w:rsidRPr="006D40F0">
              <w:t xml:space="preserve">Tilskudd,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6DA5016" w14:textId="77777777" w:rsidR="00575AC3" w:rsidRPr="006D40F0" w:rsidRDefault="00575AC3" w:rsidP="006D40F0">
            <w:r w:rsidRPr="006D40F0">
              <w:t>903 000 000</w:t>
            </w:r>
          </w:p>
        </w:tc>
      </w:tr>
      <w:tr w:rsidR="00DD49A7" w:rsidRPr="006D40F0" w14:paraId="76FA87A4" w14:textId="77777777">
        <w:trPr>
          <w:trHeight w:val="380"/>
        </w:trPr>
        <w:tc>
          <w:tcPr>
            <w:tcW w:w="680" w:type="dxa"/>
            <w:tcBorders>
              <w:top w:val="nil"/>
              <w:left w:val="nil"/>
              <w:bottom w:val="nil"/>
              <w:right w:val="nil"/>
            </w:tcBorders>
            <w:tcMar>
              <w:top w:w="128" w:type="dxa"/>
              <w:left w:w="43" w:type="dxa"/>
              <w:bottom w:w="43" w:type="dxa"/>
              <w:right w:w="43" w:type="dxa"/>
            </w:tcMar>
          </w:tcPr>
          <w:p w14:paraId="68454CE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A4409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4DBDD0" w14:textId="77777777" w:rsidR="00575AC3" w:rsidRPr="006D40F0" w:rsidRDefault="00575AC3" w:rsidP="006D40F0">
            <w:r w:rsidRPr="006D40F0">
              <w:t>fra kr 25 731 000 000 til kr 24 828 000 000</w:t>
            </w:r>
          </w:p>
        </w:tc>
        <w:tc>
          <w:tcPr>
            <w:tcW w:w="1400" w:type="dxa"/>
            <w:tcBorders>
              <w:top w:val="nil"/>
              <w:left w:val="nil"/>
              <w:bottom w:val="nil"/>
              <w:right w:val="nil"/>
            </w:tcBorders>
            <w:tcMar>
              <w:top w:w="128" w:type="dxa"/>
              <w:left w:w="43" w:type="dxa"/>
              <w:bottom w:w="43" w:type="dxa"/>
              <w:right w:w="43" w:type="dxa"/>
            </w:tcMar>
            <w:vAlign w:val="bottom"/>
          </w:tcPr>
          <w:p w14:paraId="4677A4D0" w14:textId="77777777" w:rsidR="00575AC3" w:rsidRPr="006D40F0" w:rsidRDefault="00575AC3" w:rsidP="006D40F0"/>
        </w:tc>
      </w:tr>
      <w:tr w:rsidR="00DD49A7" w:rsidRPr="006D40F0" w14:paraId="73A5FCBC" w14:textId="77777777">
        <w:trPr>
          <w:trHeight w:val="380"/>
        </w:trPr>
        <w:tc>
          <w:tcPr>
            <w:tcW w:w="680" w:type="dxa"/>
            <w:tcBorders>
              <w:top w:val="nil"/>
              <w:left w:val="nil"/>
              <w:bottom w:val="nil"/>
              <w:right w:val="nil"/>
            </w:tcBorders>
            <w:tcMar>
              <w:top w:w="128" w:type="dxa"/>
              <w:left w:w="43" w:type="dxa"/>
              <w:bottom w:w="43" w:type="dxa"/>
              <w:right w:w="43" w:type="dxa"/>
            </w:tcMar>
          </w:tcPr>
          <w:p w14:paraId="043294BE" w14:textId="77777777" w:rsidR="00575AC3" w:rsidRPr="006D40F0" w:rsidRDefault="00575AC3" w:rsidP="006D40F0">
            <w:r w:rsidRPr="006D40F0">
              <w:t>854</w:t>
            </w:r>
          </w:p>
        </w:tc>
        <w:tc>
          <w:tcPr>
            <w:tcW w:w="680" w:type="dxa"/>
            <w:tcBorders>
              <w:top w:val="nil"/>
              <w:left w:val="nil"/>
              <w:bottom w:val="nil"/>
              <w:right w:val="nil"/>
            </w:tcBorders>
            <w:tcMar>
              <w:top w:w="128" w:type="dxa"/>
              <w:left w:w="43" w:type="dxa"/>
              <w:bottom w:w="43" w:type="dxa"/>
              <w:right w:w="43" w:type="dxa"/>
            </w:tcMar>
          </w:tcPr>
          <w:p w14:paraId="238101B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2C526E" w14:textId="77777777" w:rsidR="00575AC3" w:rsidRPr="006D40F0" w:rsidRDefault="00575AC3" w:rsidP="006D40F0">
            <w:r w:rsidRPr="006D40F0">
              <w:t>Tiltak i barne- og ungdomsvernet:</w:t>
            </w:r>
          </w:p>
        </w:tc>
        <w:tc>
          <w:tcPr>
            <w:tcW w:w="1400" w:type="dxa"/>
            <w:tcBorders>
              <w:top w:val="nil"/>
              <w:left w:val="nil"/>
              <w:bottom w:val="nil"/>
              <w:right w:val="nil"/>
            </w:tcBorders>
            <w:tcMar>
              <w:top w:w="128" w:type="dxa"/>
              <w:left w:w="43" w:type="dxa"/>
              <w:bottom w:w="43" w:type="dxa"/>
              <w:right w:w="43" w:type="dxa"/>
            </w:tcMar>
            <w:vAlign w:val="bottom"/>
          </w:tcPr>
          <w:p w14:paraId="6A630439" w14:textId="77777777" w:rsidR="00575AC3" w:rsidRPr="006D40F0" w:rsidRDefault="00575AC3" w:rsidP="006D40F0"/>
        </w:tc>
      </w:tr>
      <w:tr w:rsidR="00DD49A7" w:rsidRPr="006D40F0" w14:paraId="1050CAB5" w14:textId="77777777">
        <w:trPr>
          <w:trHeight w:val="380"/>
        </w:trPr>
        <w:tc>
          <w:tcPr>
            <w:tcW w:w="680" w:type="dxa"/>
            <w:tcBorders>
              <w:top w:val="nil"/>
              <w:left w:val="nil"/>
              <w:bottom w:val="nil"/>
              <w:right w:val="nil"/>
            </w:tcBorders>
            <w:tcMar>
              <w:top w:w="128" w:type="dxa"/>
              <w:left w:w="43" w:type="dxa"/>
              <w:bottom w:w="43" w:type="dxa"/>
              <w:right w:w="43" w:type="dxa"/>
            </w:tcMar>
          </w:tcPr>
          <w:p w14:paraId="41DDA61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38B80F"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DFA0824" w14:textId="77777777" w:rsidR="00575AC3" w:rsidRPr="006D40F0" w:rsidRDefault="00575AC3" w:rsidP="006D40F0">
            <w:r w:rsidRPr="006D40F0">
              <w:t>Spesielle 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C172E1D" w14:textId="77777777" w:rsidR="00575AC3" w:rsidRPr="006D40F0" w:rsidRDefault="00575AC3" w:rsidP="006D40F0">
            <w:r w:rsidRPr="006D40F0">
              <w:t>3 231 000</w:t>
            </w:r>
          </w:p>
        </w:tc>
      </w:tr>
      <w:tr w:rsidR="00DD49A7" w:rsidRPr="006D40F0" w14:paraId="35FA16EE" w14:textId="77777777">
        <w:trPr>
          <w:trHeight w:val="380"/>
        </w:trPr>
        <w:tc>
          <w:tcPr>
            <w:tcW w:w="680" w:type="dxa"/>
            <w:tcBorders>
              <w:top w:val="nil"/>
              <w:left w:val="nil"/>
              <w:bottom w:val="nil"/>
              <w:right w:val="nil"/>
            </w:tcBorders>
            <w:tcMar>
              <w:top w:w="128" w:type="dxa"/>
              <w:left w:w="43" w:type="dxa"/>
              <w:bottom w:w="43" w:type="dxa"/>
              <w:right w:w="43" w:type="dxa"/>
            </w:tcMar>
          </w:tcPr>
          <w:p w14:paraId="067D2F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9E138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60B52E" w14:textId="77777777" w:rsidR="00575AC3" w:rsidRPr="006D40F0" w:rsidRDefault="00575AC3" w:rsidP="006D40F0">
            <w:r w:rsidRPr="006D40F0">
              <w:t>fra kr 53 045 000 til kr 56 276 000</w:t>
            </w:r>
          </w:p>
        </w:tc>
        <w:tc>
          <w:tcPr>
            <w:tcW w:w="1400" w:type="dxa"/>
            <w:tcBorders>
              <w:top w:val="nil"/>
              <w:left w:val="nil"/>
              <w:bottom w:val="nil"/>
              <w:right w:val="nil"/>
            </w:tcBorders>
            <w:tcMar>
              <w:top w:w="128" w:type="dxa"/>
              <w:left w:w="43" w:type="dxa"/>
              <w:bottom w:w="43" w:type="dxa"/>
              <w:right w:w="43" w:type="dxa"/>
            </w:tcMar>
            <w:vAlign w:val="bottom"/>
          </w:tcPr>
          <w:p w14:paraId="7B137EF2" w14:textId="77777777" w:rsidR="00575AC3" w:rsidRPr="006D40F0" w:rsidRDefault="00575AC3" w:rsidP="006D40F0"/>
        </w:tc>
      </w:tr>
      <w:tr w:rsidR="00DD49A7" w:rsidRPr="006D40F0" w14:paraId="5D39BA84" w14:textId="77777777">
        <w:trPr>
          <w:trHeight w:val="380"/>
        </w:trPr>
        <w:tc>
          <w:tcPr>
            <w:tcW w:w="680" w:type="dxa"/>
            <w:tcBorders>
              <w:top w:val="nil"/>
              <w:left w:val="nil"/>
              <w:bottom w:val="nil"/>
              <w:right w:val="nil"/>
            </w:tcBorders>
            <w:tcMar>
              <w:top w:w="128" w:type="dxa"/>
              <w:left w:w="43" w:type="dxa"/>
              <w:bottom w:w="43" w:type="dxa"/>
              <w:right w:w="43" w:type="dxa"/>
            </w:tcMar>
          </w:tcPr>
          <w:p w14:paraId="564E7C9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0F1F7A"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0B3744A5" w14:textId="77777777" w:rsidR="00575AC3" w:rsidRPr="006D40F0" w:rsidRDefault="00575AC3" w:rsidP="006D40F0">
            <w:r w:rsidRPr="006D40F0">
              <w:t>Utvikling i kommunene, nedsettes med</w:t>
            </w:r>
          </w:p>
        </w:tc>
        <w:tc>
          <w:tcPr>
            <w:tcW w:w="1400" w:type="dxa"/>
            <w:tcBorders>
              <w:top w:val="nil"/>
              <w:left w:val="nil"/>
              <w:bottom w:val="nil"/>
              <w:right w:val="nil"/>
            </w:tcBorders>
            <w:tcMar>
              <w:top w:w="128" w:type="dxa"/>
              <w:left w:w="43" w:type="dxa"/>
              <w:bottom w:w="43" w:type="dxa"/>
              <w:right w:w="43" w:type="dxa"/>
            </w:tcMar>
            <w:vAlign w:val="bottom"/>
          </w:tcPr>
          <w:p w14:paraId="62511FB1" w14:textId="77777777" w:rsidR="00575AC3" w:rsidRPr="006D40F0" w:rsidRDefault="00575AC3" w:rsidP="006D40F0">
            <w:r w:rsidRPr="006D40F0">
              <w:t>1 291 000</w:t>
            </w:r>
          </w:p>
        </w:tc>
      </w:tr>
      <w:tr w:rsidR="00DD49A7" w:rsidRPr="006D40F0" w14:paraId="429FF824" w14:textId="77777777">
        <w:trPr>
          <w:trHeight w:val="380"/>
        </w:trPr>
        <w:tc>
          <w:tcPr>
            <w:tcW w:w="680" w:type="dxa"/>
            <w:tcBorders>
              <w:top w:val="nil"/>
              <w:left w:val="nil"/>
              <w:bottom w:val="nil"/>
              <w:right w:val="nil"/>
            </w:tcBorders>
            <w:tcMar>
              <w:top w:w="128" w:type="dxa"/>
              <w:left w:w="43" w:type="dxa"/>
              <w:bottom w:w="43" w:type="dxa"/>
              <w:right w:w="43" w:type="dxa"/>
            </w:tcMar>
          </w:tcPr>
          <w:p w14:paraId="0AB5456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34460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6F4A91" w14:textId="77777777" w:rsidR="00575AC3" w:rsidRPr="006D40F0" w:rsidRDefault="00575AC3" w:rsidP="006D40F0">
            <w:r w:rsidRPr="006D40F0">
              <w:t>fra kr 71 264 000 til kr 69 973 000</w:t>
            </w:r>
          </w:p>
        </w:tc>
        <w:tc>
          <w:tcPr>
            <w:tcW w:w="1400" w:type="dxa"/>
            <w:tcBorders>
              <w:top w:val="nil"/>
              <w:left w:val="nil"/>
              <w:bottom w:val="nil"/>
              <w:right w:val="nil"/>
            </w:tcBorders>
            <w:tcMar>
              <w:top w:w="128" w:type="dxa"/>
              <w:left w:w="43" w:type="dxa"/>
              <w:bottom w:w="43" w:type="dxa"/>
              <w:right w:w="43" w:type="dxa"/>
            </w:tcMar>
            <w:vAlign w:val="bottom"/>
          </w:tcPr>
          <w:p w14:paraId="578C7637" w14:textId="77777777" w:rsidR="00575AC3" w:rsidRPr="006D40F0" w:rsidRDefault="00575AC3" w:rsidP="006D40F0"/>
        </w:tc>
      </w:tr>
      <w:tr w:rsidR="00DD49A7" w:rsidRPr="006D40F0" w14:paraId="2F16DAAB" w14:textId="77777777">
        <w:trPr>
          <w:trHeight w:val="380"/>
        </w:trPr>
        <w:tc>
          <w:tcPr>
            <w:tcW w:w="680" w:type="dxa"/>
            <w:tcBorders>
              <w:top w:val="nil"/>
              <w:left w:val="nil"/>
              <w:bottom w:val="nil"/>
              <w:right w:val="nil"/>
            </w:tcBorders>
            <w:tcMar>
              <w:top w:w="128" w:type="dxa"/>
              <w:left w:w="43" w:type="dxa"/>
              <w:bottom w:w="43" w:type="dxa"/>
              <w:right w:w="43" w:type="dxa"/>
            </w:tcMar>
          </w:tcPr>
          <w:p w14:paraId="0DFF66F5" w14:textId="77777777" w:rsidR="00575AC3" w:rsidRPr="006D40F0" w:rsidRDefault="00575AC3" w:rsidP="006D40F0">
            <w:r w:rsidRPr="006D40F0">
              <w:t>855</w:t>
            </w:r>
          </w:p>
        </w:tc>
        <w:tc>
          <w:tcPr>
            <w:tcW w:w="680" w:type="dxa"/>
            <w:tcBorders>
              <w:top w:val="nil"/>
              <w:left w:val="nil"/>
              <w:bottom w:val="nil"/>
              <w:right w:val="nil"/>
            </w:tcBorders>
            <w:tcMar>
              <w:top w:w="128" w:type="dxa"/>
              <w:left w:w="43" w:type="dxa"/>
              <w:bottom w:w="43" w:type="dxa"/>
              <w:right w:w="43" w:type="dxa"/>
            </w:tcMar>
          </w:tcPr>
          <w:p w14:paraId="1A1D6B5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5ACCEFC" w14:textId="77777777" w:rsidR="00575AC3" w:rsidRPr="006D40F0" w:rsidRDefault="00575AC3" w:rsidP="006D40F0">
            <w:r w:rsidRPr="006D40F0">
              <w:t>Statlig forvaltning av barnevernet:</w:t>
            </w:r>
          </w:p>
        </w:tc>
        <w:tc>
          <w:tcPr>
            <w:tcW w:w="1400" w:type="dxa"/>
            <w:tcBorders>
              <w:top w:val="nil"/>
              <w:left w:val="nil"/>
              <w:bottom w:val="nil"/>
              <w:right w:val="nil"/>
            </w:tcBorders>
            <w:tcMar>
              <w:top w:w="128" w:type="dxa"/>
              <w:left w:w="43" w:type="dxa"/>
              <w:bottom w:w="43" w:type="dxa"/>
              <w:right w:w="43" w:type="dxa"/>
            </w:tcMar>
            <w:vAlign w:val="bottom"/>
          </w:tcPr>
          <w:p w14:paraId="018D9196" w14:textId="77777777" w:rsidR="00575AC3" w:rsidRPr="006D40F0" w:rsidRDefault="00575AC3" w:rsidP="006D40F0"/>
        </w:tc>
      </w:tr>
      <w:tr w:rsidR="00DD49A7" w:rsidRPr="006D40F0" w14:paraId="238BD819" w14:textId="77777777">
        <w:trPr>
          <w:trHeight w:val="380"/>
        </w:trPr>
        <w:tc>
          <w:tcPr>
            <w:tcW w:w="680" w:type="dxa"/>
            <w:tcBorders>
              <w:top w:val="nil"/>
              <w:left w:val="nil"/>
              <w:bottom w:val="nil"/>
              <w:right w:val="nil"/>
            </w:tcBorders>
            <w:tcMar>
              <w:top w:w="128" w:type="dxa"/>
              <w:left w:w="43" w:type="dxa"/>
              <w:bottom w:w="43" w:type="dxa"/>
              <w:right w:w="43" w:type="dxa"/>
            </w:tcMar>
          </w:tcPr>
          <w:p w14:paraId="1ACFAE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5DF58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BA13DC8" w14:textId="77777777" w:rsidR="00575AC3" w:rsidRPr="006D40F0" w:rsidRDefault="00575AC3" w:rsidP="006D40F0">
            <w:r w:rsidRPr="006D40F0">
              <w:t xml:space="preserve">Driftsutgifter, </w:t>
            </w:r>
            <w:r w:rsidRPr="00575AC3">
              <w:rPr>
                <w:rStyle w:val="kursiv"/>
              </w:rPr>
              <w:t>kan nyttes under post 22,</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3CBFBE8" w14:textId="77777777" w:rsidR="00575AC3" w:rsidRPr="006D40F0" w:rsidRDefault="00575AC3" w:rsidP="006D40F0">
            <w:r w:rsidRPr="006D40F0">
              <w:t>6 060 000</w:t>
            </w:r>
          </w:p>
        </w:tc>
      </w:tr>
      <w:tr w:rsidR="00DD49A7" w:rsidRPr="006D40F0" w14:paraId="25B27CD1" w14:textId="77777777">
        <w:trPr>
          <w:trHeight w:val="380"/>
        </w:trPr>
        <w:tc>
          <w:tcPr>
            <w:tcW w:w="680" w:type="dxa"/>
            <w:tcBorders>
              <w:top w:val="nil"/>
              <w:left w:val="nil"/>
              <w:bottom w:val="nil"/>
              <w:right w:val="nil"/>
            </w:tcBorders>
            <w:tcMar>
              <w:top w:w="128" w:type="dxa"/>
              <w:left w:w="43" w:type="dxa"/>
              <w:bottom w:w="43" w:type="dxa"/>
              <w:right w:w="43" w:type="dxa"/>
            </w:tcMar>
          </w:tcPr>
          <w:p w14:paraId="46EE0C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73A64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BE25F8" w14:textId="77777777" w:rsidR="00575AC3" w:rsidRPr="006D40F0" w:rsidRDefault="00575AC3" w:rsidP="006D40F0">
            <w:r w:rsidRPr="006D40F0">
              <w:t>fra kr 4 518 812 000 til kr 4 524 872 000</w:t>
            </w:r>
          </w:p>
        </w:tc>
        <w:tc>
          <w:tcPr>
            <w:tcW w:w="1400" w:type="dxa"/>
            <w:tcBorders>
              <w:top w:val="nil"/>
              <w:left w:val="nil"/>
              <w:bottom w:val="nil"/>
              <w:right w:val="nil"/>
            </w:tcBorders>
            <w:tcMar>
              <w:top w:w="128" w:type="dxa"/>
              <w:left w:w="43" w:type="dxa"/>
              <w:bottom w:w="43" w:type="dxa"/>
              <w:right w:w="43" w:type="dxa"/>
            </w:tcMar>
            <w:vAlign w:val="bottom"/>
          </w:tcPr>
          <w:p w14:paraId="09C35577" w14:textId="77777777" w:rsidR="00575AC3" w:rsidRPr="006D40F0" w:rsidRDefault="00575AC3" w:rsidP="006D40F0"/>
        </w:tc>
      </w:tr>
      <w:tr w:rsidR="00DD49A7" w:rsidRPr="006D40F0" w14:paraId="350B62B7" w14:textId="77777777">
        <w:trPr>
          <w:trHeight w:val="640"/>
        </w:trPr>
        <w:tc>
          <w:tcPr>
            <w:tcW w:w="680" w:type="dxa"/>
            <w:tcBorders>
              <w:top w:val="nil"/>
              <w:left w:val="nil"/>
              <w:bottom w:val="nil"/>
              <w:right w:val="nil"/>
            </w:tcBorders>
            <w:tcMar>
              <w:top w:w="128" w:type="dxa"/>
              <w:left w:w="43" w:type="dxa"/>
              <w:bottom w:w="43" w:type="dxa"/>
              <w:right w:w="43" w:type="dxa"/>
            </w:tcMar>
          </w:tcPr>
          <w:p w14:paraId="4B6B15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22A71B"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5A7197D7" w14:textId="77777777" w:rsidR="00575AC3" w:rsidRPr="006D40F0" w:rsidRDefault="00575AC3" w:rsidP="006D40F0">
            <w:r w:rsidRPr="006D40F0">
              <w:t xml:space="preserve">Kjøp av private barnevernstjenester, </w:t>
            </w:r>
            <w:r w:rsidRPr="00575AC3">
              <w:rPr>
                <w:rStyle w:val="kursiv"/>
              </w:rPr>
              <w:t>kan nyttes under post 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2DAF58F" w14:textId="77777777" w:rsidR="00575AC3" w:rsidRPr="006D40F0" w:rsidRDefault="00575AC3" w:rsidP="006D40F0">
            <w:r w:rsidRPr="006D40F0">
              <w:t>142 000 000</w:t>
            </w:r>
          </w:p>
        </w:tc>
      </w:tr>
      <w:tr w:rsidR="00DD49A7" w:rsidRPr="006D40F0" w14:paraId="5FC51DA4" w14:textId="77777777">
        <w:trPr>
          <w:trHeight w:val="380"/>
        </w:trPr>
        <w:tc>
          <w:tcPr>
            <w:tcW w:w="680" w:type="dxa"/>
            <w:tcBorders>
              <w:top w:val="nil"/>
              <w:left w:val="nil"/>
              <w:bottom w:val="nil"/>
              <w:right w:val="nil"/>
            </w:tcBorders>
            <w:tcMar>
              <w:top w:w="128" w:type="dxa"/>
              <w:left w:w="43" w:type="dxa"/>
              <w:bottom w:w="43" w:type="dxa"/>
              <w:right w:w="43" w:type="dxa"/>
            </w:tcMar>
          </w:tcPr>
          <w:p w14:paraId="10D6D2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4EF3A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E5DDB5" w14:textId="77777777" w:rsidR="00575AC3" w:rsidRPr="006D40F0" w:rsidRDefault="00575AC3" w:rsidP="006D40F0">
            <w:r w:rsidRPr="006D40F0">
              <w:t>fra kr 3 576 857 000 til kr 3 718 857 000</w:t>
            </w:r>
          </w:p>
        </w:tc>
        <w:tc>
          <w:tcPr>
            <w:tcW w:w="1400" w:type="dxa"/>
            <w:tcBorders>
              <w:top w:val="nil"/>
              <w:left w:val="nil"/>
              <w:bottom w:val="nil"/>
              <w:right w:val="nil"/>
            </w:tcBorders>
            <w:tcMar>
              <w:top w:w="128" w:type="dxa"/>
              <w:left w:w="43" w:type="dxa"/>
              <w:bottom w:w="43" w:type="dxa"/>
              <w:right w:w="43" w:type="dxa"/>
            </w:tcMar>
            <w:vAlign w:val="bottom"/>
          </w:tcPr>
          <w:p w14:paraId="5C771748" w14:textId="77777777" w:rsidR="00575AC3" w:rsidRPr="006D40F0" w:rsidRDefault="00575AC3" w:rsidP="006D40F0"/>
        </w:tc>
      </w:tr>
      <w:tr w:rsidR="00DD49A7" w:rsidRPr="006D40F0" w14:paraId="6DB22FD0" w14:textId="77777777">
        <w:trPr>
          <w:trHeight w:val="380"/>
        </w:trPr>
        <w:tc>
          <w:tcPr>
            <w:tcW w:w="680" w:type="dxa"/>
            <w:tcBorders>
              <w:top w:val="nil"/>
              <w:left w:val="nil"/>
              <w:bottom w:val="nil"/>
              <w:right w:val="nil"/>
            </w:tcBorders>
            <w:tcMar>
              <w:top w:w="128" w:type="dxa"/>
              <w:left w:w="43" w:type="dxa"/>
              <w:bottom w:w="43" w:type="dxa"/>
              <w:right w:w="43" w:type="dxa"/>
            </w:tcMar>
          </w:tcPr>
          <w:p w14:paraId="280EF96B" w14:textId="77777777" w:rsidR="00575AC3" w:rsidRPr="006D40F0" w:rsidRDefault="00575AC3" w:rsidP="006D40F0">
            <w:r w:rsidRPr="006D40F0">
              <w:lastRenderedPageBreak/>
              <w:t>856</w:t>
            </w:r>
          </w:p>
        </w:tc>
        <w:tc>
          <w:tcPr>
            <w:tcW w:w="680" w:type="dxa"/>
            <w:tcBorders>
              <w:top w:val="nil"/>
              <w:left w:val="nil"/>
              <w:bottom w:val="nil"/>
              <w:right w:val="nil"/>
            </w:tcBorders>
            <w:tcMar>
              <w:top w:w="128" w:type="dxa"/>
              <w:left w:w="43" w:type="dxa"/>
              <w:bottom w:w="43" w:type="dxa"/>
              <w:right w:w="43" w:type="dxa"/>
            </w:tcMar>
          </w:tcPr>
          <w:p w14:paraId="6183335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569184" w14:textId="77777777" w:rsidR="00575AC3" w:rsidRPr="006D40F0" w:rsidRDefault="00575AC3" w:rsidP="006D40F0">
            <w:r w:rsidRPr="006D40F0">
              <w:t>Barnevernets omsorgssenter for enslige, mindreårige asylsøkere:</w:t>
            </w:r>
          </w:p>
        </w:tc>
        <w:tc>
          <w:tcPr>
            <w:tcW w:w="1400" w:type="dxa"/>
            <w:tcBorders>
              <w:top w:val="nil"/>
              <w:left w:val="nil"/>
              <w:bottom w:val="nil"/>
              <w:right w:val="nil"/>
            </w:tcBorders>
            <w:tcMar>
              <w:top w:w="128" w:type="dxa"/>
              <w:left w:w="43" w:type="dxa"/>
              <w:bottom w:w="43" w:type="dxa"/>
              <w:right w:w="43" w:type="dxa"/>
            </w:tcMar>
            <w:vAlign w:val="bottom"/>
          </w:tcPr>
          <w:p w14:paraId="71192BCC" w14:textId="77777777" w:rsidR="00575AC3" w:rsidRPr="006D40F0" w:rsidRDefault="00575AC3" w:rsidP="006D40F0"/>
        </w:tc>
      </w:tr>
      <w:tr w:rsidR="00DD49A7" w:rsidRPr="006D40F0" w14:paraId="7A9BD855" w14:textId="77777777">
        <w:trPr>
          <w:trHeight w:val="380"/>
        </w:trPr>
        <w:tc>
          <w:tcPr>
            <w:tcW w:w="680" w:type="dxa"/>
            <w:tcBorders>
              <w:top w:val="nil"/>
              <w:left w:val="nil"/>
              <w:bottom w:val="nil"/>
              <w:right w:val="nil"/>
            </w:tcBorders>
            <w:tcMar>
              <w:top w:w="128" w:type="dxa"/>
              <w:left w:w="43" w:type="dxa"/>
              <w:bottom w:w="43" w:type="dxa"/>
              <w:right w:w="43" w:type="dxa"/>
            </w:tcMar>
          </w:tcPr>
          <w:p w14:paraId="67E129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129AE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8CD6B09" w14:textId="77777777" w:rsidR="00575AC3" w:rsidRPr="006D40F0" w:rsidRDefault="00575AC3" w:rsidP="006D40F0">
            <w:r w:rsidRPr="006D40F0">
              <w:t xml:space="preserve">Driftsutgifter, </w:t>
            </w:r>
            <w:r w:rsidRPr="00575AC3">
              <w:rPr>
                <w:rStyle w:val="kursiv"/>
              </w:rPr>
              <w:t>kan nyttes under post 22,</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B8FE6F4" w14:textId="77777777" w:rsidR="00575AC3" w:rsidRPr="006D40F0" w:rsidRDefault="00575AC3" w:rsidP="006D40F0">
            <w:r w:rsidRPr="006D40F0">
              <w:t>318 493 000</w:t>
            </w:r>
          </w:p>
        </w:tc>
      </w:tr>
      <w:tr w:rsidR="00DD49A7" w:rsidRPr="006D40F0" w14:paraId="38C38437" w14:textId="77777777">
        <w:trPr>
          <w:trHeight w:val="380"/>
        </w:trPr>
        <w:tc>
          <w:tcPr>
            <w:tcW w:w="680" w:type="dxa"/>
            <w:tcBorders>
              <w:top w:val="nil"/>
              <w:left w:val="nil"/>
              <w:bottom w:val="nil"/>
              <w:right w:val="nil"/>
            </w:tcBorders>
            <w:tcMar>
              <w:top w:w="128" w:type="dxa"/>
              <w:left w:w="43" w:type="dxa"/>
              <w:bottom w:w="43" w:type="dxa"/>
              <w:right w:w="43" w:type="dxa"/>
            </w:tcMar>
          </w:tcPr>
          <w:p w14:paraId="47C72F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83016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DAA6E3" w14:textId="77777777" w:rsidR="00575AC3" w:rsidRPr="006D40F0" w:rsidRDefault="00575AC3" w:rsidP="006D40F0">
            <w:r w:rsidRPr="006D40F0">
              <w:t>fra kr 468 235 000 til kr 149 742 000</w:t>
            </w:r>
          </w:p>
        </w:tc>
        <w:tc>
          <w:tcPr>
            <w:tcW w:w="1400" w:type="dxa"/>
            <w:tcBorders>
              <w:top w:val="nil"/>
              <w:left w:val="nil"/>
              <w:bottom w:val="nil"/>
              <w:right w:val="nil"/>
            </w:tcBorders>
            <w:tcMar>
              <w:top w:w="128" w:type="dxa"/>
              <w:left w:w="43" w:type="dxa"/>
              <w:bottom w:w="43" w:type="dxa"/>
              <w:right w:w="43" w:type="dxa"/>
            </w:tcMar>
            <w:vAlign w:val="bottom"/>
          </w:tcPr>
          <w:p w14:paraId="224128B6" w14:textId="77777777" w:rsidR="00575AC3" w:rsidRPr="006D40F0" w:rsidRDefault="00575AC3" w:rsidP="006D40F0"/>
        </w:tc>
      </w:tr>
      <w:tr w:rsidR="00DD49A7" w:rsidRPr="006D40F0" w14:paraId="10D49453" w14:textId="77777777">
        <w:trPr>
          <w:trHeight w:val="640"/>
        </w:trPr>
        <w:tc>
          <w:tcPr>
            <w:tcW w:w="680" w:type="dxa"/>
            <w:tcBorders>
              <w:top w:val="nil"/>
              <w:left w:val="nil"/>
              <w:bottom w:val="nil"/>
              <w:right w:val="nil"/>
            </w:tcBorders>
            <w:tcMar>
              <w:top w:w="128" w:type="dxa"/>
              <w:left w:w="43" w:type="dxa"/>
              <w:bottom w:w="43" w:type="dxa"/>
              <w:right w:w="43" w:type="dxa"/>
            </w:tcMar>
          </w:tcPr>
          <w:p w14:paraId="3FB4115D"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7A0AFF63"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12F47AAB" w14:textId="77777777" w:rsidR="00575AC3" w:rsidRPr="006D40F0" w:rsidRDefault="00575AC3" w:rsidP="006D40F0">
            <w:r w:rsidRPr="006D40F0">
              <w:t xml:space="preserve">Kjøp av plasser i private omsorgssentre, </w:t>
            </w:r>
            <w:r w:rsidRPr="00575AC3">
              <w:rPr>
                <w:rStyle w:val="kursiv"/>
              </w:rPr>
              <w:t>kan nyttes under post 1,</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4812B5C8" w14:textId="77777777" w:rsidR="00575AC3" w:rsidRPr="006D40F0" w:rsidRDefault="00575AC3" w:rsidP="006D40F0">
            <w:r w:rsidRPr="006D40F0">
              <w:t>338 184 000</w:t>
            </w:r>
          </w:p>
        </w:tc>
      </w:tr>
      <w:tr w:rsidR="00DD49A7" w:rsidRPr="006D40F0" w14:paraId="2A30A58D" w14:textId="77777777">
        <w:trPr>
          <w:trHeight w:val="640"/>
        </w:trPr>
        <w:tc>
          <w:tcPr>
            <w:tcW w:w="680" w:type="dxa"/>
            <w:tcBorders>
              <w:top w:val="nil"/>
              <w:left w:val="nil"/>
              <w:bottom w:val="nil"/>
              <w:right w:val="nil"/>
            </w:tcBorders>
            <w:tcMar>
              <w:top w:w="128" w:type="dxa"/>
              <w:left w:w="43" w:type="dxa"/>
              <w:bottom w:w="43" w:type="dxa"/>
              <w:right w:w="43" w:type="dxa"/>
            </w:tcMar>
          </w:tcPr>
          <w:p w14:paraId="464ADF63" w14:textId="77777777" w:rsidR="00575AC3" w:rsidRPr="006D40F0" w:rsidRDefault="00575AC3" w:rsidP="006D40F0">
            <w:r w:rsidRPr="006D40F0">
              <w:t>858</w:t>
            </w:r>
          </w:p>
        </w:tc>
        <w:tc>
          <w:tcPr>
            <w:tcW w:w="680" w:type="dxa"/>
            <w:tcBorders>
              <w:top w:val="nil"/>
              <w:left w:val="nil"/>
              <w:bottom w:val="nil"/>
              <w:right w:val="nil"/>
            </w:tcBorders>
            <w:tcMar>
              <w:top w:w="128" w:type="dxa"/>
              <w:left w:w="43" w:type="dxa"/>
              <w:bottom w:w="43" w:type="dxa"/>
              <w:right w:w="43" w:type="dxa"/>
            </w:tcMar>
          </w:tcPr>
          <w:p w14:paraId="4168AB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83C74F" w14:textId="77777777" w:rsidR="00575AC3" w:rsidRPr="006D40F0" w:rsidRDefault="00575AC3" w:rsidP="006D40F0">
            <w:r w:rsidRPr="006D40F0">
              <w:t>Barne-, ungdoms- og familiedirektoratet og fellesfunksjoner i Barne-, ungdoms- og familieetaten:</w:t>
            </w:r>
          </w:p>
        </w:tc>
        <w:tc>
          <w:tcPr>
            <w:tcW w:w="1400" w:type="dxa"/>
            <w:tcBorders>
              <w:top w:val="nil"/>
              <w:left w:val="nil"/>
              <w:bottom w:val="nil"/>
              <w:right w:val="nil"/>
            </w:tcBorders>
            <w:tcMar>
              <w:top w:w="128" w:type="dxa"/>
              <w:left w:w="43" w:type="dxa"/>
              <w:bottom w:w="43" w:type="dxa"/>
              <w:right w:w="43" w:type="dxa"/>
            </w:tcMar>
            <w:vAlign w:val="bottom"/>
          </w:tcPr>
          <w:p w14:paraId="45821371" w14:textId="77777777" w:rsidR="00575AC3" w:rsidRPr="006D40F0" w:rsidRDefault="00575AC3" w:rsidP="006D40F0"/>
        </w:tc>
      </w:tr>
      <w:tr w:rsidR="00DD49A7" w:rsidRPr="006D40F0" w14:paraId="177229FF" w14:textId="77777777">
        <w:trPr>
          <w:trHeight w:val="380"/>
        </w:trPr>
        <w:tc>
          <w:tcPr>
            <w:tcW w:w="680" w:type="dxa"/>
            <w:tcBorders>
              <w:top w:val="nil"/>
              <w:left w:val="nil"/>
              <w:bottom w:val="nil"/>
              <w:right w:val="nil"/>
            </w:tcBorders>
            <w:tcMar>
              <w:top w:w="128" w:type="dxa"/>
              <w:left w:w="43" w:type="dxa"/>
              <w:bottom w:w="43" w:type="dxa"/>
              <w:right w:w="43" w:type="dxa"/>
            </w:tcMar>
          </w:tcPr>
          <w:p w14:paraId="274BE15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10E5F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4538F13"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4A48AEA" w14:textId="77777777" w:rsidR="00575AC3" w:rsidRPr="006D40F0" w:rsidRDefault="00575AC3" w:rsidP="006D40F0">
            <w:r w:rsidRPr="006D40F0">
              <w:t>1 000 000</w:t>
            </w:r>
          </w:p>
        </w:tc>
      </w:tr>
      <w:tr w:rsidR="00DD49A7" w:rsidRPr="006D40F0" w14:paraId="2B42E082" w14:textId="77777777">
        <w:trPr>
          <w:trHeight w:val="380"/>
        </w:trPr>
        <w:tc>
          <w:tcPr>
            <w:tcW w:w="680" w:type="dxa"/>
            <w:tcBorders>
              <w:top w:val="nil"/>
              <w:left w:val="nil"/>
              <w:bottom w:val="nil"/>
              <w:right w:val="nil"/>
            </w:tcBorders>
            <w:tcMar>
              <w:top w:w="128" w:type="dxa"/>
              <w:left w:w="43" w:type="dxa"/>
              <w:bottom w:w="43" w:type="dxa"/>
              <w:right w:w="43" w:type="dxa"/>
            </w:tcMar>
          </w:tcPr>
          <w:p w14:paraId="11C1E0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C2BF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41E2B7" w14:textId="77777777" w:rsidR="00575AC3" w:rsidRPr="006D40F0" w:rsidRDefault="00575AC3" w:rsidP="006D40F0">
            <w:r w:rsidRPr="006D40F0">
              <w:t>fra kr 651 388 000 til kr 652 388 000</w:t>
            </w:r>
          </w:p>
        </w:tc>
        <w:tc>
          <w:tcPr>
            <w:tcW w:w="1400" w:type="dxa"/>
            <w:tcBorders>
              <w:top w:val="nil"/>
              <w:left w:val="nil"/>
              <w:bottom w:val="nil"/>
              <w:right w:val="nil"/>
            </w:tcBorders>
            <w:tcMar>
              <w:top w:w="128" w:type="dxa"/>
              <w:left w:w="43" w:type="dxa"/>
              <w:bottom w:w="43" w:type="dxa"/>
              <w:right w:w="43" w:type="dxa"/>
            </w:tcMar>
            <w:vAlign w:val="bottom"/>
          </w:tcPr>
          <w:p w14:paraId="19A35D66" w14:textId="77777777" w:rsidR="00575AC3" w:rsidRPr="006D40F0" w:rsidRDefault="00575AC3" w:rsidP="006D40F0"/>
        </w:tc>
      </w:tr>
      <w:tr w:rsidR="00DD49A7" w:rsidRPr="006D40F0" w14:paraId="0D7ACA3C" w14:textId="77777777">
        <w:trPr>
          <w:trHeight w:val="380"/>
        </w:trPr>
        <w:tc>
          <w:tcPr>
            <w:tcW w:w="680" w:type="dxa"/>
            <w:tcBorders>
              <w:top w:val="nil"/>
              <w:left w:val="nil"/>
              <w:bottom w:val="nil"/>
              <w:right w:val="nil"/>
            </w:tcBorders>
            <w:tcMar>
              <w:top w:w="128" w:type="dxa"/>
              <w:left w:w="43" w:type="dxa"/>
              <w:bottom w:w="43" w:type="dxa"/>
              <w:right w:w="43" w:type="dxa"/>
            </w:tcMar>
          </w:tcPr>
          <w:p w14:paraId="3FAB9585" w14:textId="77777777" w:rsidR="00575AC3" w:rsidRPr="006D40F0" w:rsidRDefault="00575AC3" w:rsidP="006D40F0">
            <w:r w:rsidRPr="006D40F0">
              <w:t>868</w:t>
            </w:r>
          </w:p>
        </w:tc>
        <w:tc>
          <w:tcPr>
            <w:tcW w:w="680" w:type="dxa"/>
            <w:tcBorders>
              <w:top w:val="nil"/>
              <w:left w:val="nil"/>
              <w:bottom w:val="nil"/>
              <w:right w:val="nil"/>
            </w:tcBorders>
            <w:tcMar>
              <w:top w:w="128" w:type="dxa"/>
              <w:left w:w="43" w:type="dxa"/>
              <w:bottom w:w="43" w:type="dxa"/>
              <w:right w:w="43" w:type="dxa"/>
            </w:tcMar>
          </w:tcPr>
          <w:p w14:paraId="3493F54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362041" w14:textId="77777777" w:rsidR="00575AC3" w:rsidRPr="006D40F0" w:rsidRDefault="00575AC3" w:rsidP="006D40F0">
            <w:r w:rsidRPr="006D40F0">
              <w:t>Forbrukertilsynet:</w:t>
            </w:r>
          </w:p>
        </w:tc>
        <w:tc>
          <w:tcPr>
            <w:tcW w:w="1400" w:type="dxa"/>
            <w:tcBorders>
              <w:top w:val="nil"/>
              <w:left w:val="nil"/>
              <w:bottom w:val="nil"/>
              <w:right w:val="nil"/>
            </w:tcBorders>
            <w:tcMar>
              <w:top w:w="128" w:type="dxa"/>
              <w:left w:w="43" w:type="dxa"/>
              <w:bottom w:w="43" w:type="dxa"/>
              <w:right w:w="43" w:type="dxa"/>
            </w:tcMar>
            <w:vAlign w:val="bottom"/>
          </w:tcPr>
          <w:p w14:paraId="56802791" w14:textId="77777777" w:rsidR="00575AC3" w:rsidRPr="006D40F0" w:rsidRDefault="00575AC3" w:rsidP="006D40F0"/>
        </w:tc>
      </w:tr>
      <w:tr w:rsidR="00DD49A7" w:rsidRPr="006D40F0" w14:paraId="1D7B91D5" w14:textId="77777777">
        <w:trPr>
          <w:trHeight w:val="380"/>
        </w:trPr>
        <w:tc>
          <w:tcPr>
            <w:tcW w:w="680" w:type="dxa"/>
            <w:tcBorders>
              <w:top w:val="nil"/>
              <w:left w:val="nil"/>
              <w:bottom w:val="nil"/>
              <w:right w:val="nil"/>
            </w:tcBorders>
            <w:tcMar>
              <w:top w:w="128" w:type="dxa"/>
              <w:left w:w="43" w:type="dxa"/>
              <w:bottom w:w="43" w:type="dxa"/>
              <w:right w:w="43" w:type="dxa"/>
            </w:tcMar>
          </w:tcPr>
          <w:p w14:paraId="3AAD0A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B6A85E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09EE62C"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AF1133B" w14:textId="77777777" w:rsidR="00575AC3" w:rsidRPr="006D40F0" w:rsidRDefault="00575AC3" w:rsidP="006D40F0">
            <w:r w:rsidRPr="006D40F0">
              <w:t>1 500 000</w:t>
            </w:r>
          </w:p>
        </w:tc>
      </w:tr>
      <w:tr w:rsidR="00DD49A7" w:rsidRPr="006D40F0" w14:paraId="5FD4DBDB" w14:textId="77777777">
        <w:trPr>
          <w:trHeight w:val="380"/>
        </w:trPr>
        <w:tc>
          <w:tcPr>
            <w:tcW w:w="680" w:type="dxa"/>
            <w:tcBorders>
              <w:top w:val="nil"/>
              <w:left w:val="nil"/>
              <w:bottom w:val="nil"/>
              <w:right w:val="nil"/>
            </w:tcBorders>
            <w:tcMar>
              <w:top w:w="128" w:type="dxa"/>
              <w:left w:w="43" w:type="dxa"/>
              <w:bottom w:w="43" w:type="dxa"/>
              <w:right w:w="43" w:type="dxa"/>
            </w:tcMar>
          </w:tcPr>
          <w:p w14:paraId="2896523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DD373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69CF388" w14:textId="77777777" w:rsidR="00575AC3" w:rsidRPr="006D40F0" w:rsidRDefault="00575AC3" w:rsidP="006D40F0">
            <w:r w:rsidRPr="006D40F0">
              <w:t>fra kr 134 849 000 til kr 136 349 000</w:t>
            </w:r>
          </w:p>
        </w:tc>
        <w:tc>
          <w:tcPr>
            <w:tcW w:w="1400" w:type="dxa"/>
            <w:tcBorders>
              <w:top w:val="nil"/>
              <w:left w:val="nil"/>
              <w:bottom w:val="nil"/>
              <w:right w:val="nil"/>
            </w:tcBorders>
            <w:tcMar>
              <w:top w:w="128" w:type="dxa"/>
              <w:left w:w="43" w:type="dxa"/>
              <w:bottom w:w="43" w:type="dxa"/>
              <w:right w:w="43" w:type="dxa"/>
            </w:tcMar>
            <w:vAlign w:val="bottom"/>
          </w:tcPr>
          <w:p w14:paraId="6E37701C" w14:textId="77777777" w:rsidR="00575AC3" w:rsidRPr="006D40F0" w:rsidRDefault="00575AC3" w:rsidP="006D40F0"/>
        </w:tc>
      </w:tr>
      <w:tr w:rsidR="00DD49A7" w:rsidRPr="006D40F0" w14:paraId="0E2F4B06" w14:textId="77777777">
        <w:trPr>
          <w:trHeight w:val="380"/>
        </w:trPr>
        <w:tc>
          <w:tcPr>
            <w:tcW w:w="680" w:type="dxa"/>
            <w:tcBorders>
              <w:top w:val="nil"/>
              <w:left w:val="nil"/>
              <w:bottom w:val="nil"/>
              <w:right w:val="nil"/>
            </w:tcBorders>
            <w:tcMar>
              <w:top w:w="128" w:type="dxa"/>
              <w:left w:w="43" w:type="dxa"/>
              <w:bottom w:w="43" w:type="dxa"/>
              <w:right w:w="43" w:type="dxa"/>
            </w:tcMar>
          </w:tcPr>
          <w:p w14:paraId="040339CD" w14:textId="77777777" w:rsidR="00575AC3" w:rsidRPr="006D40F0" w:rsidRDefault="00575AC3" w:rsidP="006D40F0">
            <w:r w:rsidRPr="006D40F0">
              <w:t>881</w:t>
            </w:r>
          </w:p>
        </w:tc>
        <w:tc>
          <w:tcPr>
            <w:tcW w:w="680" w:type="dxa"/>
            <w:tcBorders>
              <w:top w:val="nil"/>
              <w:left w:val="nil"/>
              <w:bottom w:val="nil"/>
              <w:right w:val="nil"/>
            </w:tcBorders>
            <w:tcMar>
              <w:top w:w="128" w:type="dxa"/>
              <w:left w:w="43" w:type="dxa"/>
              <w:bottom w:w="43" w:type="dxa"/>
              <w:right w:w="43" w:type="dxa"/>
            </w:tcMar>
          </w:tcPr>
          <w:p w14:paraId="0ACD2D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6165D5" w14:textId="77777777" w:rsidR="00575AC3" w:rsidRPr="006D40F0" w:rsidRDefault="00575AC3" w:rsidP="006D40F0">
            <w:r w:rsidRPr="006D40F0">
              <w:t>Tilskudd til trossamfunn m.m.:</w:t>
            </w:r>
          </w:p>
        </w:tc>
        <w:tc>
          <w:tcPr>
            <w:tcW w:w="1400" w:type="dxa"/>
            <w:tcBorders>
              <w:top w:val="nil"/>
              <w:left w:val="nil"/>
              <w:bottom w:val="nil"/>
              <w:right w:val="nil"/>
            </w:tcBorders>
            <w:tcMar>
              <w:top w:w="128" w:type="dxa"/>
              <w:left w:w="43" w:type="dxa"/>
              <w:bottom w:w="43" w:type="dxa"/>
              <w:right w:w="43" w:type="dxa"/>
            </w:tcMar>
            <w:vAlign w:val="bottom"/>
          </w:tcPr>
          <w:p w14:paraId="3F8C8DF8" w14:textId="77777777" w:rsidR="00575AC3" w:rsidRPr="006D40F0" w:rsidRDefault="00575AC3" w:rsidP="006D40F0"/>
        </w:tc>
      </w:tr>
      <w:tr w:rsidR="00DD49A7" w:rsidRPr="006D40F0" w14:paraId="746204AD" w14:textId="77777777">
        <w:trPr>
          <w:trHeight w:val="380"/>
        </w:trPr>
        <w:tc>
          <w:tcPr>
            <w:tcW w:w="680" w:type="dxa"/>
            <w:tcBorders>
              <w:top w:val="nil"/>
              <w:left w:val="nil"/>
              <w:bottom w:val="nil"/>
              <w:right w:val="nil"/>
            </w:tcBorders>
            <w:tcMar>
              <w:top w:w="128" w:type="dxa"/>
              <w:left w:w="43" w:type="dxa"/>
              <w:bottom w:w="43" w:type="dxa"/>
              <w:right w:w="43" w:type="dxa"/>
            </w:tcMar>
          </w:tcPr>
          <w:p w14:paraId="475DD6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EE9AF8"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5DBC0A63" w14:textId="77777777" w:rsidR="00575AC3" w:rsidRPr="006D40F0" w:rsidRDefault="00575AC3" w:rsidP="006D40F0">
            <w:r w:rsidRPr="006D40F0">
              <w:t>Ymse faste tiltak, forhøyes med</w:t>
            </w:r>
          </w:p>
        </w:tc>
        <w:tc>
          <w:tcPr>
            <w:tcW w:w="1400" w:type="dxa"/>
            <w:tcBorders>
              <w:top w:val="nil"/>
              <w:left w:val="nil"/>
              <w:bottom w:val="nil"/>
              <w:right w:val="nil"/>
            </w:tcBorders>
            <w:tcMar>
              <w:top w:w="128" w:type="dxa"/>
              <w:left w:w="43" w:type="dxa"/>
              <w:bottom w:w="43" w:type="dxa"/>
              <w:right w:w="43" w:type="dxa"/>
            </w:tcMar>
            <w:vAlign w:val="bottom"/>
          </w:tcPr>
          <w:p w14:paraId="11E76031" w14:textId="77777777" w:rsidR="00575AC3" w:rsidRPr="006D40F0" w:rsidRDefault="00575AC3" w:rsidP="006D40F0">
            <w:r w:rsidRPr="006D40F0">
              <w:t>1 000 000</w:t>
            </w:r>
          </w:p>
        </w:tc>
      </w:tr>
      <w:tr w:rsidR="00DD49A7" w:rsidRPr="006D40F0" w14:paraId="470D1CFC" w14:textId="77777777">
        <w:trPr>
          <w:trHeight w:val="380"/>
        </w:trPr>
        <w:tc>
          <w:tcPr>
            <w:tcW w:w="680" w:type="dxa"/>
            <w:tcBorders>
              <w:top w:val="nil"/>
              <w:left w:val="nil"/>
              <w:bottom w:val="nil"/>
              <w:right w:val="nil"/>
            </w:tcBorders>
            <w:tcMar>
              <w:top w:w="128" w:type="dxa"/>
              <w:left w:w="43" w:type="dxa"/>
              <w:bottom w:w="43" w:type="dxa"/>
              <w:right w:w="43" w:type="dxa"/>
            </w:tcMar>
          </w:tcPr>
          <w:p w14:paraId="6F5A48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A0EBA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97C60AC" w14:textId="77777777" w:rsidR="00575AC3" w:rsidRPr="006D40F0" w:rsidRDefault="00575AC3" w:rsidP="006D40F0">
            <w:r w:rsidRPr="006D40F0">
              <w:t>fra kr 17 761 000 til kr 18 761 000</w:t>
            </w:r>
          </w:p>
        </w:tc>
        <w:tc>
          <w:tcPr>
            <w:tcW w:w="1400" w:type="dxa"/>
            <w:tcBorders>
              <w:top w:val="nil"/>
              <w:left w:val="nil"/>
              <w:bottom w:val="nil"/>
              <w:right w:val="nil"/>
            </w:tcBorders>
            <w:tcMar>
              <w:top w:w="128" w:type="dxa"/>
              <w:left w:w="43" w:type="dxa"/>
              <w:bottom w:w="43" w:type="dxa"/>
              <w:right w:w="43" w:type="dxa"/>
            </w:tcMar>
            <w:vAlign w:val="bottom"/>
          </w:tcPr>
          <w:p w14:paraId="73957096" w14:textId="77777777" w:rsidR="00575AC3" w:rsidRPr="006D40F0" w:rsidRDefault="00575AC3" w:rsidP="006D40F0"/>
        </w:tc>
      </w:tr>
      <w:tr w:rsidR="00DD49A7" w:rsidRPr="006D40F0" w14:paraId="45C95FEA" w14:textId="77777777">
        <w:trPr>
          <w:trHeight w:val="380"/>
        </w:trPr>
        <w:tc>
          <w:tcPr>
            <w:tcW w:w="680" w:type="dxa"/>
            <w:tcBorders>
              <w:top w:val="nil"/>
              <w:left w:val="nil"/>
              <w:bottom w:val="nil"/>
              <w:right w:val="nil"/>
            </w:tcBorders>
            <w:tcMar>
              <w:top w:w="128" w:type="dxa"/>
              <w:left w:w="43" w:type="dxa"/>
              <w:bottom w:w="43" w:type="dxa"/>
              <w:right w:w="43" w:type="dxa"/>
            </w:tcMar>
          </w:tcPr>
          <w:p w14:paraId="5D1DB800" w14:textId="77777777" w:rsidR="00575AC3" w:rsidRPr="006D40F0" w:rsidRDefault="00575AC3" w:rsidP="006D40F0">
            <w:r w:rsidRPr="006D40F0">
              <w:t>882</w:t>
            </w:r>
          </w:p>
        </w:tc>
        <w:tc>
          <w:tcPr>
            <w:tcW w:w="680" w:type="dxa"/>
            <w:tcBorders>
              <w:top w:val="nil"/>
              <w:left w:val="nil"/>
              <w:bottom w:val="nil"/>
              <w:right w:val="nil"/>
            </w:tcBorders>
            <w:tcMar>
              <w:top w:w="128" w:type="dxa"/>
              <w:left w:w="43" w:type="dxa"/>
              <w:bottom w:w="43" w:type="dxa"/>
              <w:right w:w="43" w:type="dxa"/>
            </w:tcMar>
          </w:tcPr>
          <w:p w14:paraId="5828CAA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F2CBF9" w14:textId="77777777" w:rsidR="00575AC3" w:rsidRPr="006D40F0" w:rsidRDefault="00575AC3" w:rsidP="006D40F0">
            <w:r w:rsidRPr="006D40F0">
              <w:t>Kirkebygg og gravplasser:</w:t>
            </w:r>
          </w:p>
        </w:tc>
        <w:tc>
          <w:tcPr>
            <w:tcW w:w="1400" w:type="dxa"/>
            <w:tcBorders>
              <w:top w:val="nil"/>
              <w:left w:val="nil"/>
              <w:bottom w:val="nil"/>
              <w:right w:val="nil"/>
            </w:tcBorders>
            <w:tcMar>
              <w:top w:w="128" w:type="dxa"/>
              <w:left w:w="43" w:type="dxa"/>
              <w:bottom w:w="43" w:type="dxa"/>
              <w:right w:w="43" w:type="dxa"/>
            </w:tcMar>
            <w:vAlign w:val="bottom"/>
          </w:tcPr>
          <w:p w14:paraId="1087D37F" w14:textId="77777777" w:rsidR="00575AC3" w:rsidRPr="006D40F0" w:rsidRDefault="00575AC3" w:rsidP="006D40F0"/>
        </w:tc>
      </w:tr>
      <w:tr w:rsidR="00DD49A7" w:rsidRPr="006D40F0" w14:paraId="128C23B9" w14:textId="77777777">
        <w:trPr>
          <w:trHeight w:val="380"/>
        </w:trPr>
        <w:tc>
          <w:tcPr>
            <w:tcW w:w="680" w:type="dxa"/>
            <w:tcBorders>
              <w:top w:val="nil"/>
              <w:left w:val="nil"/>
              <w:bottom w:val="nil"/>
              <w:right w:val="nil"/>
            </w:tcBorders>
            <w:tcMar>
              <w:top w:w="128" w:type="dxa"/>
              <w:left w:w="43" w:type="dxa"/>
              <w:bottom w:w="43" w:type="dxa"/>
              <w:right w:w="43" w:type="dxa"/>
            </w:tcMar>
          </w:tcPr>
          <w:p w14:paraId="597177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FCFF14"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34D2895E" w14:textId="77777777" w:rsidR="00575AC3" w:rsidRPr="006D40F0" w:rsidRDefault="00575AC3" w:rsidP="006D40F0">
            <w:r w:rsidRPr="006D40F0">
              <w:t xml:space="preserve">Rentekompensasjon – kirkebygg,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BECB298" w14:textId="77777777" w:rsidR="00575AC3" w:rsidRPr="006D40F0" w:rsidRDefault="00575AC3" w:rsidP="006D40F0">
            <w:r w:rsidRPr="006D40F0">
              <w:t>8 000 000</w:t>
            </w:r>
          </w:p>
        </w:tc>
      </w:tr>
      <w:tr w:rsidR="00DD49A7" w:rsidRPr="006D40F0" w14:paraId="69D74002" w14:textId="77777777">
        <w:trPr>
          <w:trHeight w:val="380"/>
        </w:trPr>
        <w:tc>
          <w:tcPr>
            <w:tcW w:w="680" w:type="dxa"/>
            <w:tcBorders>
              <w:top w:val="nil"/>
              <w:left w:val="nil"/>
              <w:bottom w:val="nil"/>
              <w:right w:val="nil"/>
            </w:tcBorders>
            <w:tcMar>
              <w:top w:w="128" w:type="dxa"/>
              <w:left w:w="43" w:type="dxa"/>
              <w:bottom w:w="43" w:type="dxa"/>
              <w:right w:w="43" w:type="dxa"/>
            </w:tcMar>
          </w:tcPr>
          <w:p w14:paraId="254334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2F66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6AF071" w14:textId="77777777" w:rsidR="00575AC3" w:rsidRPr="006D40F0" w:rsidRDefault="00575AC3" w:rsidP="006D40F0">
            <w:r w:rsidRPr="006D40F0">
              <w:t>fra kr 111 497 000 til kr 119 497 000</w:t>
            </w:r>
          </w:p>
        </w:tc>
        <w:tc>
          <w:tcPr>
            <w:tcW w:w="1400" w:type="dxa"/>
            <w:tcBorders>
              <w:top w:val="nil"/>
              <w:left w:val="nil"/>
              <w:bottom w:val="nil"/>
              <w:right w:val="nil"/>
            </w:tcBorders>
            <w:tcMar>
              <w:top w:w="128" w:type="dxa"/>
              <w:left w:w="43" w:type="dxa"/>
              <w:bottom w:w="43" w:type="dxa"/>
              <w:right w:w="43" w:type="dxa"/>
            </w:tcMar>
            <w:vAlign w:val="bottom"/>
          </w:tcPr>
          <w:p w14:paraId="7096F238" w14:textId="77777777" w:rsidR="00575AC3" w:rsidRPr="006D40F0" w:rsidRDefault="00575AC3" w:rsidP="006D40F0"/>
        </w:tc>
      </w:tr>
      <w:tr w:rsidR="00DD49A7" w:rsidRPr="006D40F0" w14:paraId="131B186F" w14:textId="77777777">
        <w:trPr>
          <w:trHeight w:val="380"/>
        </w:trPr>
        <w:tc>
          <w:tcPr>
            <w:tcW w:w="680" w:type="dxa"/>
            <w:tcBorders>
              <w:top w:val="nil"/>
              <w:left w:val="nil"/>
              <w:bottom w:val="nil"/>
              <w:right w:val="nil"/>
            </w:tcBorders>
            <w:tcMar>
              <w:top w:w="128" w:type="dxa"/>
              <w:left w:w="43" w:type="dxa"/>
              <w:bottom w:w="43" w:type="dxa"/>
              <w:right w:w="43" w:type="dxa"/>
            </w:tcMar>
          </w:tcPr>
          <w:p w14:paraId="01BF7BB3" w14:textId="77777777" w:rsidR="00575AC3" w:rsidRPr="006D40F0" w:rsidRDefault="00575AC3" w:rsidP="006D40F0">
            <w:r w:rsidRPr="006D40F0">
              <w:t>883</w:t>
            </w:r>
          </w:p>
        </w:tc>
        <w:tc>
          <w:tcPr>
            <w:tcW w:w="680" w:type="dxa"/>
            <w:tcBorders>
              <w:top w:val="nil"/>
              <w:left w:val="nil"/>
              <w:bottom w:val="nil"/>
              <w:right w:val="nil"/>
            </w:tcBorders>
            <w:tcMar>
              <w:top w:w="128" w:type="dxa"/>
              <w:left w:w="43" w:type="dxa"/>
              <w:bottom w:w="43" w:type="dxa"/>
              <w:right w:w="43" w:type="dxa"/>
            </w:tcMar>
          </w:tcPr>
          <w:p w14:paraId="29F935E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94C6E4" w14:textId="77777777" w:rsidR="00575AC3" w:rsidRPr="006D40F0" w:rsidRDefault="00575AC3" w:rsidP="006D40F0">
            <w:r w:rsidRPr="006D40F0">
              <w:t>Kirkebevaringsfondet:</w:t>
            </w:r>
          </w:p>
        </w:tc>
        <w:tc>
          <w:tcPr>
            <w:tcW w:w="1400" w:type="dxa"/>
            <w:tcBorders>
              <w:top w:val="nil"/>
              <w:left w:val="nil"/>
              <w:bottom w:val="nil"/>
              <w:right w:val="nil"/>
            </w:tcBorders>
            <w:tcMar>
              <w:top w:w="128" w:type="dxa"/>
              <w:left w:w="43" w:type="dxa"/>
              <w:bottom w:w="43" w:type="dxa"/>
              <w:right w:w="43" w:type="dxa"/>
            </w:tcMar>
            <w:vAlign w:val="bottom"/>
          </w:tcPr>
          <w:p w14:paraId="5E9EF49D" w14:textId="77777777" w:rsidR="00575AC3" w:rsidRPr="006D40F0" w:rsidRDefault="00575AC3" w:rsidP="006D40F0"/>
        </w:tc>
      </w:tr>
      <w:tr w:rsidR="00DD49A7" w:rsidRPr="006D40F0" w14:paraId="65762EF5" w14:textId="77777777">
        <w:trPr>
          <w:trHeight w:val="640"/>
        </w:trPr>
        <w:tc>
          <w:tcPr>
            <w:tcW w:w="680" w:type="dxa"/>
            <w:tcBorders>
              <w:top w:val="nil"/>
              <w:left w:val="nil"/>
              <w:bottom w:val="nil"/>
              <w:right w:val="nil"/>
            </w:tcBorders>
            <w:tcMar>
              <w:top w:w="128" w:type="dxa"/>
              <w:left w:w="43" w:type="dxa"/>
              <w:bottom w:w="43" w:type="dxa"/>
              <w:right w:w="43" w:type="dxa"/>
            </w:tcMar>
          </w:tcPr>
          <w:p w14:paraId="1185154C"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398EB636"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32F118E6" w14:textId="77777777" w:rsidR="00575AC3" w:rsidRPr="006D40F0" w:rsidRDefault="00575AC3" w:rsidP="006D40F0">
            <w:r w:rsidRPr="006D40F0">
              <w:t xml:space="preserve">Tilskudd til kulturhistorisk verdifulle kirkebygg, </w:t>
            </w:r>
            <w:r w:rsidRPr="00575AC3">
              <w:rPr>
                <w:rStyle w:val="kursiv"/>
              </w:rPr>
              <w:t>kan overføres,</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6654FCE1" w14:textId="77777777" w:rsidR="00575AC3" w:rsidRPr="006D40F0" w:rsidRDefault="00575AC3" w:rsidP="006D40F0">
            <w:r w:rsidRPr="006D40F0">
              <w:t>100 000 000</w:t>
            </w:r>
          </w:p>
        </w:tc>
      </w:tr>
      <w:tr w:rsidR="00DD49A7" w:rsidRPr="006D40F0" w14:paraId="5825219C" w14:textId="77777777">
        <w:trPr>
          <w:trHeight w:val="380"/>
        </w:trPr>
        <w:tc>
          <w:tcPr>
            <w:tcW w:w="680" w:type="dxa"/>
            <w:tcBorders>
              <w:top w:val="nil"/>
              <w:left w:val="nil"/>
              <w:bottom w:val="nil"/>
              <w:right w:val="nil"/>
            </w:tcBorders>
            <w:tcMar>
              <w:top w:w="128" w:type="dxa"/>
              <w:left w:w="43" w:type="dxa"/>
              <w:bottom w:w="43" w:type="dxa"/>
              <w:right w:w="43" w:type="dxa"/>
            </w:tcMar>
          </w:tcPr>
          <w:p w14:paraId="01F46A70" w14:textId="77777777" w:rsidR="00575AC3" w:rsidRPr="006D40F0" w:rsidRDefault="00575AC3" w:rsidP="006D40F0">
            <w:r w:rsidRPr="006D40F0">
              <w:t>900</w:t>
            </w:r>
          </w:p>
        </w:tc>
        <w:tc>
          <w:tcPr>
            <w:tcW w:w="680" w:type="dxa"/>
            <w:tcBorders>
              <w:top w:val="nil"/>
              <w:left w:val="nil"/>
              <w:bottom w:val="nil"/>
              <w:right w:val="nil"/>
            </w:tcBorders>
            <w:tcMar>
              <w:top w:w="128" w:type="dxa"/>
              <w:left w:w="43" w:type="dxa"/>
              <w:bottom w:w="43" w:type="dxa"/>
              <w:right w:w="43" w:type="dxa"/>
            </w:tcMar>
          </w:tcPr>
          <w:p w14:paraId="18A400B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BC1E88" w14:textId="77777777" w:rsidR="00575AC3" w:rsidRPr="006D40F0" w:rsidRDefault="00575AC3" w:rsidP="006D40F0">
            <w:r w:rsidRPr="006D40F0">
              <w:t>Nærings- og fiskeridepartementet:</w:t>
            </w:r>
          </w:p>
        </w:tc>
        <w:tc>
          <w:tcPr>
            <w:tcW w:w="1400" w:type="dxa"/>
            <w:tcBorders>
              <w:top w:val="nil"/>
              <w:left w:val="nil"/>
              <w:bottom w:val="nil"/>
              <w:right w:val="nil"/>
            </w:tcBorders>
            <w:tcMar>
              <w:top w:w="128" w:type="dxa"/>
              <w:left w:w="43" w:type="dxa"/>
              <w:bottom w:w="43" w:type="dxa"/>
              <w:right w:w="43" w:type="dxa"/>
            </w:tcMar>
            <w:vAlign w:val="bottom"/>
          </w:tcPr>
          <w:p w14:paraId="59EC4522" w14:textId="77777777" w:rsidR="00575AC3" w:rsidRPr="006D40F0" w:rsidRDefault="00575AC3" w:rsidP="006D40F0"/>
        </w:tc>
      </w:tr>
      <w:tr w:rsidR="00DD49A7" w:rsidRPr="006D40F0" w14:paraId="14740163" w14:textId="77777777">
        <w:trPr>
          <w:trHeight w:val="380"/>
        </w:trPr>
        <w:tc>
          <w:tcPr>
            <w:tcW w:w="680" w:type="dxa"/>
            <w:tcBorders>
              <w:top w:val="nil"/>
              <w:left w:val="nil"/>
              <w:bottom w:val="nil"/>
              <w:right w:val="nil"/>
            </w:tcBorders>
            <w:tcMar>
              <w:top w:w="128" w:type="dxa"/>
              <w:left w:w="43" w:type="dxa"/>
              <w:bottom w:w="43" w:type="dxa"/>
              <w:right w:w="43" w:type="dxa"/>
            </w:tcMar>
          </w:tcPr>
          <w:p w14:paraId="23874BF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87A2AF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1CEC5E2"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148A3084" w14:textId="77777777" w:rsidR="00575AC3" w:rsidRPr="006D40F0" w:rsidRDefault="00575AC3" w:rsidP="006D40F0">
            <w:r w:rsidRPr="006D40F0">
              <w:t>28 786 000</w:t>
            </w:r>
          </w:p>
        </w:tc>
      </w:tr>
      <w:tr w:rsidR="00DD49A7" w:rsidRPr="006D40F0" w14:paraId="3D63254D" w14:textId="77777777">
        <w:trPr>
          <w:trHeight w:val="380"/>
        </w:trPr>
        <w:tc>
          <w:tcPr>
            <w:tcW w:w="680" w:type="dxa"/>
            <w:tcBorders>
              <w:top w:val="nil"/>
              <w:left w:val="nil"/>
              <w:bottom w:val="nil"/>
              <w:right w:val="nil"/>
            </w:tcBorders>
            <w:tcMar>
              <w:top w:w="128" w:type="dxa"/>
              <w:left w:w="43" w:type="dxa"/>
              <w:bottom w:w="43" w:type="dxa"/>
              <w:right w:w="43" w:type="dxa"/>
            </w:tcMar>
          </w:tcPr>
          <w:p w14:paraId="4165E6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51CE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609029" w14:textId="77777777" w:rsidR="00575AC3" w:rsidRPr="006D40F0" w:rsidRDefault="00575AC3" w:rsidP="006D40F0">
            <w:r w:rsidRPr="006D40F0">
              <w:t>fra kr 530 072 000 til kr 501 286 000</w:t>
            </w:r>
          </w:p>
        </w:tc>
        <w:tc>
          <w:tcPr>
            <w:tcW w:w="1400" w:type="dxa"/>
            <w:tcBorders>
              <w:top w:val="nil"/>
              <w:left w:val="nil"/>
              <w:bottom w:val="nil"/>
              <w:right w:val="nil"/>
            </w:tcBorders>
            <w:tcMar>
              <w:top w:w="128" w:type="dxa"/>
              <w:left w:w="43" w:type="dxa"/>
              <w:bottom w:w="43" w:type="dxa"/>
              <w:right w:w="43" w:type="dxa"/>
            </w:tcMar>
            <w:vAlign w:val="bottom"/>
          </w:tcPr>
          <w:p w14:paraId="018744B3" w14:textId="77777777" w:rsidR="00575AC3" w:rsidRPr="006D40F0" w:rsidRDefault="00575AC3" w:rsidP="006D40F0"/>
        </w:tc>
      </w:tr>
      <w:tr w:rsidR="00DD49A7" w:rsidRPr="006D40F0" w14:paraId="056DD2EF" w14:textId="77777777">
        <w:trPr>
          <w:trHeight w:val="380"/>
        </w:trPr>
        <w:tc>
          <w:tcPr>
            <w:tcW w:w="680" w:type="dxa"/>
            <w:tcBorders>
              <w:top w:val="nil"/>
              <w:left w:val="nil"/>
              <w:bottom w:val="nil"/>
              <w:right w:val="nil"/>
            </w:tcBorders>
            <w:tcMar>
              <w:top w:w="128" w:type="dxa"/>
              <w:left w:w="43" w:type="dxa"/>
              <w:bottom w:w="43" w:type="dxa"/>
              <w:right w:w="43" w:type="dxa"/>
            </w:tcMar>
          </w:tcPr>
          <w:p w14:paraId="1F9ABD2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56B592"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F804AF4"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7C82CDC" w14:textId="77777777" w:rsidR="00575AC3" w:rsidRPr="006D40F0" w:rsidRDefault="00575AC3" w:rsidP="006D40F0">
            <w:r w:rsidRPr="006D40F0">
              <w:t>5 300 000</w:t>
            </w:r>
          </w:p>
        </w:tc>
      </w:tr>
      <w:tr w:rsidR="00DD49A7" w:rsidRPr="006D40F0" w14:paraId="6838AF13" w14:textId="77777777">
        <w:trPr>
          <w:trHeight w:val="380"/>
        </w:trPr>
        <w:tc>
          <w:tcPr>
            <w:tcW w:w="680" w:type="dxa"/>
            <w:tcBorders>
              <w:top w:val="nil"/>
              <w:left w:val="nil"/>
              <w:bottom w:val="nil"/>
              <w:right w:val="nil"/>
            </w:tcBorders>
            <w:tcMar>
              <w:top w:w="128" w:type="dxa"/>
              <w:left w:w="43" w:type="dxa"/>
              <w:bottom w:w="43" w:type="dxa"/>
              <w:right w:w="43" w:type="dxa"/>
            </w:tcMar>
          </w:tcPr>
          <w:p w14:paraId="6141DA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6B9C7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5D3666" w14:textId="77777777" w:rsidR="00575AC3" w:rsidRPr="006D40F0" w:rsidRDefault="00575AC3" w:rsidP="006D40F0">
            <w:r w:rsidRPr="006D40F0">
              <w:t>fra kr 71 855 000 til kr 77 155 000</w:t>
            </w:r>
          </w:p>
        </w:tc>
        <w:tc>
          <w:tcPr>
            <w:tcW w:w="1400" w:type="dxa"/>
            <w:tcBorders>
              <w:top w:val="nil"/>
              <w:left w:val="nil"/>
              <w:bottom w:val="nil"/>
              <w:right w:val="nil"/>
            </w:tcBorders>
            <w:tcMar>
              <w:top w:w="128" w:type="dxa"/>
              <w:left w:w="43" w:type="dxa"/>
              <w:bottom w:w="43" w:type="dxa"/>
              <w:right w:w="43" w:type="dxa"/>
            </w:tcMar>
            <w:vAlign w:val="bottom"/>
          </w:tcPr>
          <w:p w14:paraId="67FCCC5B" w14:textId="77777777" w:rsidR="00575AC3" w:rsidRPr="006D40F0" w:rsidRDefault="00575AC3" w:rsidP="006D40F0"/>
        </w:tc>
      </w:tr>
      <w:tr w:rsidR="00DD49A7" w:rsidRPr="006D40F0" w14:paraId="729BC63D" w14:textId="77777777">
        <w:trPr>
          <w:trHeight w:val="380"/>
        </w:trPr>
        <w:tc>
          <w:tcPr>
            <w:tcW w:w="680" w:type="dxa"/>
            <w:tcBorders>
              <w:top w:val="nil"/>
              <w:left w:val="nil"/>
              <w:bottom w:val="nil"/>
              <w:right w:val="nil"/>
            </w:tcBorders>
            <w:tcMar>
              <w:top w:w="128" w:type="dxa"/>
              <w:left w:w="43" w:type="dxa"/>
              <w:bottom w:w="43" w:type="dxa"/>
              <w:right w:w="43" w:type="dxa"/>
            </w:tcMar>
          </w:tcPr>
          <w:p w14:paraId="61A15A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2AD71A"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348AA41D" w14:textId="77777777" w:rsidR="00575AC3" w:rsidRPr="006D40F0" w:rsidRDefault="00575AC3" w:rsidP="006D40F0">
            <w:r w:rsidRPr="006D40F0">
              <w:t xml:space="preserve">Nukleære utredninger og prosjektledelse,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5C6B1B2" w14:textId="77777777" w:rsidR="00575AC3" w:rsidRPr="006D40F0" w:rsidRDefault="00575AC3" w:rsidP="006D40F0">
            <w:r w:rsidRPr="006D40F0">
              <w:t>7 060 000</w:t>
            </w:r>
          </w:p>
        </w:tc>
      </w:tr>
      <w:tr w:rsidR="00DD49A7" w:rsidRPr="006D40F0" w14:paraId="5E378D31" w14:textId="77777777">
        <w:trPr>
          <w:trHeight w:val="380"/>
        </w:trPr>
        <w:tc>
          <w:tcPr>
            <w:tcW w:w="680" w:type="dxa"/>
            <w:tcBorders>
              <w:top w:val="nil"/>
              <w:left w:val="nil"/>
              <w:bottom w:val="nil"/>
              <w:right w:val="nil"/>
            </w:tcBorders>
            <w:tcMar>
              <w:top w:w="128" w:type="dxa"/>
              <w:left w:w="43" w:type="dxa"/>
              <w:bottom w:w="43" w:type="dxa"/>
              <w:right w:w="43" w:type="dxa"/>
            </w:tcMar>
          </w:tcPr>
          <w:p w14:paraId="5D1104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E3A39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079119" w14:textId="77777777" w:rsidR="00575AC3" w:rsidRPr="006D40F0" w:rsidRDefault="00575AC3" w:rsidP="006D40F0">
            <w:r w:rsidRPr="006D40F0">
              <w:t>fra kr 7 060 000 til kr 0</w:t>
            </w:r>
          </w:p>
        </w:tc>
        <w:tc>
          <w:tcPr>
            <w:tcW w:w="1400" w:type="dxa"/>
            <w:tcBorders>
              <w:top w:val="nil"/>
              <w:left w:val="nil"/>
              <w:bottom w:val="nil"/>
              <w:right w:val="nil"/>
            </w:tcBorders>
            <w:tcMar>
              <w:top w:w="128" w:type="dxa"/>
              <w:left w:w="43" w:type="dxa"/>
              <w:bottom w:w="43" w:type="dxa"/>
              <w:right w:w="43" w:type="dxa"/>
            </w:tcMar>
            <w:vAlign w:val="bottom"/>
          </w:tcPr>
          <w:p w14:paraId="05566399" w14:textId="77777777" w:rsidR="00575AC3" w:rsidRPr="006D40F0" w:rsidRDefault="00575AC3" w:rsidP="006D40F0"/>
        </w:tc>
      </w:tr>
      <w:tr w:rsidR="00DD49A7" w:rsidRPr="006D40F0" w14:paraId="11C4D976" w14:textId="77777777">
        <w:trPr>
          <w:trHeight w:val="640"/>
        </w:trPr>
        <w:tc>
          <w:tcPr>
            <w:tcW w:w="680" w:type="dxa"/>
            <w:tcBorders>
              <w:top w:val="nil"/>
              <w:left w:val="nil"/>
              <w:bottom w:val="nil"/>
              <w:right w:val="nil"/>
            </w:tcBorders>
            <w:tcMar>
              <w:top w:w="128" w:type="dxa"/>
              <w:left w:w="43" w:type="dxa"/>
              <w:bottom w:w="43" w:type="dxa"/>
              <w:right w:w="43" w:type="dxa"/>
            </w:tcMar>
          </w:tcPr>
          <w:p w14:paraId="14307BE0"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230D0982"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46327E7E" w14:textId="77777777" w:rsidR="00575AC3" w:rsidRPr="006D40F0" w:rsidRDefault="00575AC3" w:rsidP="006D40F0">
            <w:r w:rsidRPr="006D40F0">
              <w:t>Spesielle driftsutgifter til administrasjon av statlig garantiordning for lån til små og mellomstore bedrifter, bevilges med</w:t>
            </w:r>
          </w:p>
        </w:tc>
        <w:tc>
          <w:tcPr>
            <w:tcW w:w="1400" w:type="dxa"/>
            <w:tcBorders>
              <w:top w:val="nil"/>
              <w:left w:val="nil"/>
              <w:bottom w:val="nil"/>
              <w:right w:val="nil"/>
            </w:tcBorders>
            <w:tcMar>
              <w:top w:w="128" w:type="dxa"/>
              <w:left w:w="43" w:type="dxa"/>
              <w:bottom w:w="43" w:type="dxa"/>
              <w:right w:w="43" w:type="dxa"/>
            </w:tcMar>
            <w:vAlign w:val="bottom"/>
          </w:tcPr>
          <w:p w14:paraId="1A2B7F71" w14:textId="77777777" w:rsidR="00575AC3" w:rsidRPr="006D40F0" w:rsidRDefault="00575AC3" w:rsidP="006D40F0">
            <w:r w:rsidRPr="006D40F0">
              <w:t>5 310 000</w:t>
            </w:r>
          </w:p>
        </w:tc>
      </w:tr>
      <w:tr w:rsidR="00DD49A7" w:rsidRPr="006D40F0" w14:paraId="14997C2D" w14:textId="77777777">
        <w:trPr>
          <w:trHeight w:val="380"/>
        </w:trPr>
        <w:tc>
          <w:tcPr>
            <w:tcW w:w="680" w:type="dxa"/>
            <w:tcBorders>
              <w:top w:val="nil"/>
              <w:left w:val="nil"/>
              <w:bottom w:val="nil"/>
              <w:right w:val="nil"/>
            </w:tcBorders>
            <w:tcMar>
              <w:top w:w="128" w:type="dxa"/>
              <w:left w:w="43" w:type="dxa"/>
              <w:bottom w:w="43" w:type="dxa"/>
              <w:right w:w="43" w:type="dxa"/>
            </w:tcMar>
          </w:tcPr>
          <w:p w14:paraId="47D73B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70B55CA" w14:textId="77777777" w:rsidR="00575AC3" w:rsidRPr="006D40F0" w:rsidRDefault="00575AC3" w:rsidP="006D40F0">
            <w:r w:rsidRPr="006D40F0">
              <w:t>25</w:t>
            </w:r>
          </w:p>
        </w:tc>
        <w:tc>
          <w:tcPr>
            <w:tcW w:w="6800" w:type="dxa"/>
            <w:tcBorders>
              <w:top w:val="nil"/>
              <w:left w:val="nil"/>
              <w:bottom w:val="nil"/>
              <w:right w:val="nil"/>
            </w:tcBorders>
            <w:tcMar>
              <w:top w:w="128" w:type="dxa"/>
              <w:left w:w="43" w:type="dxa"/>
              <w:bottom w:w="43" w:type="dxa"/>
              <w:right w:w="43" w:type="dxa"/>
            </w:tcMar>
          </w:tcPr>
          <w:p w14:paraId="78E6E52B" w14:textId="77777777" w:rsidR="00575AC3" w:rsidRPr="006D40F0" w:rsidRDefault="00575AC3" w:rsidP="006D40F0">
            <w:r w:rsidRPr="006D40F0">
              <w:t>Drift og forvaltning av kompensasjonsordninger, nedsettes med</w:t>
            </w:r>
          </w:p>
        </w:tc>
        <w:tc>
          <w:tcPr>
            <w:tcW w:w="1400" w:type="dxa"/>
            <w:tcBorders>
              <w:top w:val="nil"/>
              <w:left w:val="nil"/>
              <w:bottom w:val="nil"/>
              <w:right w:val="nil"/>
            </w:tcBorders>
            <w:tcMar>
              <w:top w:w="128" w:type="dxa"/>
              <w:left w:w="43" w:type="dxa"/>
              <w:bottom w:w="43" w:type="dxa"/>
              <w:right w:w="43" w:type="dxa"/>
            </w:tcMar>
            <w:vAlign w:val="bottom"/>
          </w:tcPr>
          <w:p w14:paraId="4CF2AB11" w14:textId="77777777" w:rsidR="00575AC3" w:rsidRPr="006D40F0" w:rsidRDefault="00575AC3" w:rsidP="006D40F0">
            <w:r w:rsidRPr="006D40F0">
              <w:t>4 000 000</w:t>
            </w:r>
          </w:p>
        </w:tc>
      </w:tr>
      <w:tr w:rsidR="00DD49A7" w:rsidRPr="006D40F0" w14:paraId="3AC032D3" w14:textId="77777777">
        <w:trPr>
          <w:trHeight w:val="380"/>
        </w:trPr>
        <w:tc>
          <w:tcPr>
            <w:tcW w:w="680" w:type="dxa"/>
            <w:tcBorders>
              <w:top w:val="nil"/>
              <w:left w:val="nil"/>
              <w:bottom w:val="nil"/>
              <w:right w:val="nil"/>
            </w:tcBorders>
            <w:tcMar>
              <w:top w:w="128" w:type="dxa"/>
              <w:left w:w="43" w:type="dxa"/>
              <w:bottom w:w="43" w:type="dxa"/>
              <w:right w:w="43" w:type="dxa"/>
            </w:tcMar>
          </w:tcPr>
          <w:p w14:paraId="5F3D8B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1921E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36FCC0" w14:textId="77777777" w:rsidR="00575AC3" w:rsidRPr="006D40F0" w:rsidRDefault="00575AC3" w:rsidP="006D40F0">
            <w:r w:rsidRPr="006D40F0">
              <w:t>fra kr 16 042 000 til kr 12 042 000</w:t>
            </w:r>
          </w:p>
        </w:tc>
        <w:tc>
          <w:tcPr>
            <w:tcW w:w="1400" w:type="dxa"/>
            <w:tcBorders>
              <w:top w:val="nil"/>
              <w:left w:val="nil"/>
              <w:bottom w:val="nil"/>
              <w:right w:val="nil"/>
            </w:tcBorders>
            <w:tcMar>
              <w:top w:w="128" w:type="dxa"/>
              <w:left w:w="43" w:type="dxa"/>
              <w:bottom w:w="43" w:type="dxa"/>
              <w:right w:w="43" w:type="dxa"/>
            </w:tcMar>
            <w:vAlign w:val="bottom"/>
          </w:tcPr>
          <w:p w14:paraId="2A8B3D6C" w14:textId="77777777" w:rsidR="00575AC3" w:rsidRPr="006D40F0" w:rsidRDefault="00575AC3" w:rsidP="006D40F0"/>
        </w:tc>
      </w:tr>
      <w:tr w:rsidR="00DD49A7" w:rsidRPr="006D40F0" w14:paraId="043F4BB4" w14:textId="77777777">
        <w:trPr>
          <w:trHeight w:val="380"/>
        </w:trPr>
        <w:tc>
          <w:tcPr>
            <w:tcW w:w="680" w:type="dxa"/>
            <w:tcBorders>
              <w:top w:val="nil"/>
              <w:left w:val="nil"/>
              <w:bottom w:val="nil"/>
              <w:right w:val="nil"/>
            </w:tcBorders>
            <w:tcMar>
              <w:top w:w="128" w:type="dxa"/>
              <w:left w:w="43" w:type="dxa"/>
              <w:bottom w:w="43" w:type="dxa"/>
              <w:right w:w="43" w:type="dxa"/>
            </w:tcMar>
          </w:tcPr>
          <w:p w14:paraId="7A6A93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A107B2"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DB13012" w14:textId="77777777" w:rsidR="00575AC3" w:rsidRPr="006D40F0" w:rsidRDefault="00575AC3" w:rsidP="006D40F0">
            <w:r w:rsidRPr="006D40F0">
              <w:t>Tilskudd til internasjonale organisasjoner, forhøyes med</w:t>
            </w:r>
          </w:p>
        </w:tc>
        <w:tc>
          <w:tcPr>
            <w:tcW w:w="1400" w:type="dxa"/>
            <w:tcBorders>
              <w:top w:val="nil"/>
              <w:left w:val="nil"/>
              <w:bottom w:val="nil"/>
              <w:right w:val="nil"/>
            </w:tcBorders>
            <w:tcMar>
              <w:top w:w="128" w:type="dxa"/>
              <w:left w:w="43" w:type="dxa"/>
              <w:bottom w:w="43" w:type="dxa"/>
              <w:right w:w="43" w:type="dxa"/>
            </w:tcMar>
            <w:vAlign w:val="bottom"/>
          </w:tcPr>
          <w:p w14:paraId="418E1EC5" w14:textId="77777777" w:rsidR="00575AC3" w:rsidRPr="006D40F0" w:rsidRDefault="00575AC3" w:rsidP="006D40F0">
            <w:r w:rsidRPr="006D40F0">
              <w:t>10 500 000</w:t>
            </w:r>
          </w:p>
        </w:tc>
      </w:tr>
      <w:tr w:rsidR="00DD49A7" w:rsidRPr="006D40F0" w14:paraId="19258A6E" w14:textId="77777777">
        <w:trPr>
          <w:trHeight w:val="380"/>
        </w:trPr>
        <w:tc>
          <w:tcPr>
            <w:tcW w:w="680" w:type="dxa"/>
            <w:tcBorders>
              <w:top w:val="nil"/>
              <w:left w:val="nil"/>
              <w:bottom w:val="nil"/>
              <w:right w:val="nil"/>
            </w:tcBorders>
            <w:tcMar>
              <w:top w:w="128" w:type="dxa"/>
              <w:left w:w="43" w:type="dxa"/>
              <w:bottom w:w="43" w:type="dxa"/>
              <w:right w:w="43" w:type="dxa"/>
            </w:tcMar>
          </w:tcPr>
          <w:p w14:paraId="0B47ED9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72925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6527AB" w14:textId="77777777" w:rsidR="00575AC3" w:rsidRPr="006D40F0" w:rsidRDefault="00575AC3" w:rsidP="006D40F0">
            <w:r w:rsidRPr="006D40F0">
              <w:t>fra kr 48 000 000 til kr 58 500 000</w:t>
            </w:r>
          </w:p>
        </w:tc>
        <w:tc>
          <w:tcPr>
            <w:tcW w:w="1400" w:type="dxa"/>
            <w:tcBorders>
              <w:top w:val="nil"/>
              <w:left w:val="nil"/>
              <w:bottom w:val="nil"/>
              <w:right w:val="nil"/>
            </w:tcBorders>
            <w:tcMar>
              <w:top w:w="128" w:type="dxa"/>
              <w:left w:w="43" w:type="dxa"/>
              <w:bottom w:w="43" w:type="dxa"/>
              <w:right w:w="43" w:type="dxa"/>
            </w:tcMar>
            <w:vAlign w:val="bottom"/>
          </w:tcPr>
          <w:p w14:paraId="5AAF7B99" w14:textId="77777777" w:rsidR="00575AC3" w:rsidRPr="006D40F0" w:rsidRDefault="00575AC3" w:rsidP="006D40F0"/>
        </w:tc>
      </w:tr>
      <w:tr w:rsidR="00DD49A7" w:rsidRPr="006D40F0" w14:paraId="1411AF03" w14:textId="77777777">
        <w:trPr>
          <w:trHeight w:val="380"/>
        </w:trPr>
        <w:tc>
          <w:tcPr>
            <w:tcW w:w="680" w:type="dxa"/>
            <w:tcBorders>
              <w:top w:val="nil"/>
              <w:left w:val="nil"/>
              <w:bottom w:val="nil"/>
              <w:right w:val="nil"/>
            </w:tcBorders>
            <w:tcMar>
              <w:top w:w="128" w:type="dxa"/>
              <w:left w:w="43" w:type="dxa"/>
              <w:bottom w:w="43" w:type="dxa"/>
              <w:right w:w="43" w:type="dxa"/>
            </w:tcMar>
          </w:tcPr>
          <w:p w14:paraId="503C5C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B0B47B"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340891D9" w14:textId="77777777" w:rsidR="00575AC3" w:rsidRPr="006D40F0" w:rsidRDefault="00575AC3" w:rsidP="006D40F0">
            <w:r w:rsidRPr="006D40F0">
              <w:t>Miljøtiltak Raufoss, forhøyes med</w:t>
            </w:r>
          </w:p>
        </w:tc>
        <w:tc>
          <w:tcPr>
            <w:tcW w:w="1400" w:type="dxa"/>
            <w:tcBorders>
              <w:top w:val="nil"/>
              <w:left w:val="nil"/>
              <w:bottom w:val="nil"/>
              <w:right w:val="nil"/>
            </w:tcBorders>
            <w:tcMar>
              <w:top w:w="128" w:type="dxa"/>
              <w:left w:w="43" w:type="dxa"/>
              <w:bottom w:w="43" w:type="dxa"/>
              <w:right w:w="43" w:type="dxa"/>
            </w:tcMar>
            <w:vAlign w:val="bottom"/>
          </w:tcPr>
          <w:p w14:paraId="47D01064" w14:textId="77777777" w:rsidR="00575AC3" w:rsidRPr="006D40F0" w:rsidRDefault="00575AC3" w:rsidP="006D40F0">
            <w:r w:rsidRPr="006D40F0">
              <w:t>4 500 000</w:t>
            </w:r>
          </w:p>
        </w:tc>
      </w:tr>
      <w:tr w:rsidR="00DD49A7" w:rsidRPr="006D40F0" w14:paraId="231735C7" w14:textId="77777777">
        <w:trPr>
          <w:trHeight w:val="380"/>
        </w:trPr>
        <w:tc>
          <w:tcPr>
            <w:tcW w:w="680" w:type="dxa"/>
            <w:tcBorders>
              <w:top w:val="nil"/>
              <w:left w:val="nil"/>
              <w:bottom w:val="nil"/>
              <w:right w:val="nil"/>
            </w:tcBorders>
            <w:tcMar>
              <w:top w:w="128" w:type="dxa"/>
              <w:left w:w="43" w:type="dxa"/>
              <w:bottom w:w="43" w:type="dxa"/>
              <w:right w:w="43" w:type="dxa"/>
            </w:tcMar>
          </w:tcPr>
          <w:p w14:paraId="0573C20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E792B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F50A5F" w14:textId="77777777" w:rsidR="00575AC3" w:rsidRPr="006D40F0" w:rsidRDefault="00575AC3" w:rsidP="006D40F0">
            <w:r w:rsidRPr="006D40F0">
              <w:t>fra kr 2 600 000 til kr 7 100 000</w:t>
            </w:r>
          </w:p>
        </w:tc>
        <w:tc>
          <w:tcPr>
            <w:tcW w:w="1400" w:type="dxa"/>
            <w:tcBorders>
              <w:top w:val="nil"/>
              <w:left w:val="nil"/>
              <w:bottom w:val="nil"/>
              <w:right w:val="nil"/>
            </w:tcBorders>
            <w:tcMar>
              <w:top w:w="128" w:type="dxa"/>
              <w:left w:w="43" w:type="dxa"/>
              <w:bottom w:w="43" w:type="dxa"/>
              <w:right w:w="43" w:type="dxa"/>
            </w:tcMar>
            <w:vAlign w:val="bottom"/>
          </w:tcPr>
          <w:p w14:paraId="0D9B8A59" w14:textId="77777777" w:rsidR="00575AC3" w:rsidRPr="006D40F0" w:rsidRDefault="00575AC3" w:rsidP="006D40F0"/>
        </w:tc>
      </w:tr>
      <w:tr w:rsidR="00DD49A7" w:rsidRPr="006D40F0" w14:paraId="43B0907B" w14:textId="77777777">
        <w:trPr>
          <w:trHeight w:val="380"/>
        </w:trPr>
        <w:tc>
          <w:tcPr>
            <w:tcW w:w="680" w:type="dxa"/>
            <w:tcBorders>
              <w:top w:val="nil"/>
              <w:left w:val="nil"/>
              <w:bottom w:val="nil"/>
              <w:right w:val="nil"/>
            </w:tcBorders>
            <w:tcMar>
              <w:top w:w="128" w:type="dxa"/>
              <w:left w:w="43" w:type="dxa"/>
              <w:bottom w:w="43" w:type="dxa"/>
              <w:right w:w="43" w:type="dxa"/>
            </w:tcMar>
          </w:tcPr>
          <w:p w14:paraId="4C76DB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D64129"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648E760B" w14:textId="77777777" w:rsidR="00575AC3" w:rsidRPr="006D40F0" w:rsidRDefault="00575AC3" w:rsidP="006D40F0">
            <w:r w:rsidRPr="006D40F0">
              <w:t xml:space="preserve">Tilskudd til særskilte prosjekter,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8536E05" w14:textId="77777777" w:rsidR="00575AC3" w:rsidRPr="006D40F0" w:rsidRDefault="00575AC3" w:rsidP="006D40F0">
            <w:r w:rsidRPr="006D40F0">
              <w:t>3 000 000</w:t>
            </w:r>
          </w:p>
        </w:tc>
      </w:tr>
      <w:tr w:rsidR="00DD49A7" w:rsidRPr="006D40F0" w14:paraId="19E53382" w14:textId="77777777">
        <w:trPr>
          <w:trHeight w:val="380"/>
        </w:trPr>
        <w:tc>
          <w:tcPr>
            <w:tcW w:w="680" w:type="dxa"/>
            <w:tcBorders>
              <w:top w:val="nil"/>
              <w:left w:val="nil"/>
              <w:bottom w:val="nil"/>
              <w:right w:val="nil"/>
            </w:tcBorders>
            <w:tcMar>
              <w:top w:w="128" w:type="dxa"/>
              <w:left w:w="43" w:type="dxa"/>
              <w:bottom w:w="43" w:type="dxa"/>
              <w:right w:w="43" w:type="dxa"/>
            </w:tcMar>
          </w:tcPr>
          <w:p w14:paraId="67A390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E2EC9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49ABC1E" w14:textId="77777777" w:rsidR="00575AC3" w:rsidRPr="006D40F0" w:rsidRDefault="00575AC3" w:rsidP="006D40F0">
            <w:r w:rsidRPr="006D40F0">
              <w:t>fra kr 20 534 000 til kr 17 534 000</w:t>
            </w:r>
          </w:p>
        </w:tc>
        <w:tc>
          <w:tcPr>
            <w:tcW w:w="1400" w:type="dxa"/>
            <w:tcBorders>
              <w:top w:val="nil"/>
              <w:left w:val="nil"/>
              <w:bottom w:val="nil"/>
              <w:right w:val="nil"/>
            </w:tcBorders>
            <w:tcMar>
              <w:top w:w="128" w:type="dxa"/>
              <w:left w:w="43" w:type="dxa"/>
              <w:bottom w:w="43" w:type="dxa"/>
              <w:right w:w="43" w:type="dxa"/>
            </w:tcMar>
            <w:vAlign w:val="bottom"/>
          </w:tcPr>
          <w:p w14:paraId="3F2F6FEA" w14:textId="77777777" w:rsidR="00575AC3" w:rsidRPr="006D40F0" w:rsidRDefault="00575AC3" w:rsidP="006D40F0"/>
        </w:tc>
      </w:tr>
      <w:tr w:rsidR="00DD49A7" w:rsidRPr="006D40F0" w14:paraId="4B5F81CF" w14:textId="77777777">
        <w:trPr>
          <w:trHeight w:val="640"/>
        </w:trPr>
        <w:tc>
          <w:tcPr>
            <w:tcW w:w="680" w:type="dxa"/>
            <w:tcBorders>
              <w:top w:val="nil"/>
              <w:left w:val="nil"/>
              <w:bottom w:val="nil"/>
              <w:right w:val="nil"/>
            </w:tcBorders>
            <w:tcMar>
              <w:top w:w="128" w:type="dxa"/>
              <w:left w:w="43" w:type="dxa"/>
              <w:bottom w:w="43" w:type="dxa"/>
              <w:right w:w="43" w:type="dxa"/>
            </w:tcMar>
          </w:tcPr>
          <w:p w14:paraId="08F5D15B"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596D3C57"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4EB0BCDB" w14:textId="77777777" w:rsidR="00575AC3" w:rsidRPr="006D40F0" w:rsidRDefault="00575AC3" w:rsidP="006D40F0">
            <w:r w:rsidRPr="006D40F0">
              <w:t xml:space="preserve">Midlertidig kompensasjonsordning for foretak med stort omsetningsfall som følge av koronapandemien, </w:t>
            </w:r>
            <w:r w:rsidRPr="00575AC3">
              <w:rPr>
                <w:rStyle w:val="kursiv"/>
              </w:rPr>
              <w:t>overslagsbevilgning,</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6D4A02EF" w14:textId="77777777" w:rsidR="00575AC3" w:rsidRPr="006D40F0" w:rsidRDefault="00575AC3" w:rsidP="006D40F0">
            <w:r w:rsidRPr="006D40F0">
              <w:t>5 000 000</w:t>
            </w:r>
          </w:p>
        </w:tc>
      </w:tr>
      <w:tr w:rsidR="00DD49A7" w:rsidRPr="006D40F0" w14:paraId="4B8B88DD" w14:textId="77777777">
        <w:trPr>
          <w:trHeight w:val="380"/>
        </w:trPr>
        <w:tc>
          <w:tcPr>
            <w:tcW w:w="680" w:type="dxa"/>
            <w:tcBorders>
              <w:top w:val="nil"/>
              <w:left w:val="nil"/>
              <w:bottom w:val="nil"/>
              <w:right w:val="nil"/>
            </w:tcBorders>
            <w:tcMar>
              <w:top w:w="128" w:type="dxa"/>
              <w:left w:w="43" w:type="dxa"/>
              <w:bottom w:w="43" w:type="dxa"/>
              <w:right w:w="43" w:type="dxa"/>
            </w:tcMar>
          </w:tcPr>
          <w:p w14:paraId="2A03CD20" w14:textId="77777777" w:rsidR="00575AC3" w:rsidRPr="006D40F0" w:rsidRDefault="00575AC3" w:rsidP="006D40F0">
            <w:r w:rsidRPr="006D40F0">
              <w:t>903</w:t>
            </w:r>
          </w:p>
        </w:tc>
        <w:tc>
          <w:tcPr>
            <w:tcW w:w="680" w:type="dxa"/>
            <w:tcBorders>
              <w:top w:val="nil"/>
              <w:left w:val="nil"/>
              <w:bottom w:val="nil"/>
              <w:right w:val="nil"/>
            </w:tcBorders>
            <w:tcMar>
              <w:top w:w="128" w:type="dxa"/>
              <w:left w:w="43" w:type="dxa"/>
              <w:bottom w:w="43" w:type="dxa"/>
              <w:right w:w="43" w:type="dxa"/>
            </w:tcMar>
          </w:tcPr>
          <w:p w14:paraId="6EE0FFD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C2E1CC" w14:textId="77777777" w:rsidR="00575AC3" w:rsidRPr="006D40F0" w:rsidRDefault="00575AC3" w:rsidP="006D40F0">
            <w:r w:rsidRPr="006D40F0">
              <w:t>Norsk akkreditering:</w:t>
            </w:r>
          </w:p>
        </w:tc>
        <w:tc>
          <w:tcPr>
            <w:tcW w:w="1400" w:type="dxa"/>
            <w:tcBorders>
              <w:top w:val="nil"/>
              <w:left w:val="nil"/>
              <w:bottom w:val="nil"/>
              <w:right w:val="nil"/>
            </w:tcBorders>
            <w:tcMar>
              <w:top w:w="128" w:type="dxa"/>
              <w:left w:w="43" w:type="dxa"/>
              <w:bottom w:w="43" w:type="dxa"/>
              <w:right w:w="43" w:type="dxa"/>
            </w:tcMar>
            <w:vAlign w:val="bottom"/>
          </w:tcPr>
          <w:p w14:paraId="775D2619" w14:textId="77777777" w:rsidR="00575AC3" w:rsidRPr="006D40F0" w:rsidRDefault="00575AC3" w:rsidP="006D40F0"/>
        </w:tc>
      </w:tr>
      <w:tr w:rsidR="00DD49A7" w:rsidRPr="006D40F0" w14:paraId="2A5BF21C" w14:textId="77777777">
        <w:trPr>
          <w:trHeight w:val="380"/>
        </w:trPr>
        <w:tc>
          <w:tcPr>
            <w:tcW w:w="680" w:type="dxa"/>
            <w:tcBorders>
              <w:top w:val="nil"/>
              <w:left w:val="nil"/>
              <w:bottom w:val="nil"/>
              <w:right w:val="nil"/>
            </w:tcBorders>
            <w:tcMar>
              <w:top w:w="128" w:type="dxa"/>
              <w:left w:w="43" w:type="dxa"/>
              <w:bottom w:w="43" w:type="dxa"/>
              <w:right w:w="43" w:type="dxa"/>
            </w:tcMar>
          </w:tcPr>
          <w:p w14:paraId="430E62D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9F1F8A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2DC8A0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1A96387" w14:textId="77777777" w:rsidR="00575AC3" w:rsidRPr="006D40F0" w:rsidRDefault="00575AC3" w:rsidP="006D40F0">
            <w:r w:rsidRPr="006D40F0">
              <w:t>3 000 000</w:t>
            </w:r>
          </w:p>
        </w:tc>
      </w:tr>
      <w:tr w:rsidR="00DD49A7" w:rsidRPr="006D40F0" w14:paraId="597F056A" w14:textId="77777777">
        <w:trPr>
          <w:trHeight w:val="380"/>
        </w:trPr>
        <w:tc>
          <w:tcPr>
            <w:tcW w:w="680" w:type="dxa"/>
            <w:tcBorders>
              <w:top w:val="nil"/>
              <w:left w:val="nil"/>
              <w:bottom w:val="nil"/>
              <w:right w:val="nil"/>
            </w:tcBorders>
            <w:tcMar>
              <w:top w:w="128" w:type="dxa"/>
              <w:left w:w="43" w:type="dxa"/>
              <w:bottom w:w="43" w:type="dxa"/>
              <w:right w:w="43" w:type="dxa"/>
            </w:tcMar>
          </w:tcPr>
          <w:p w14:paraId="2463DB4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DF70E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FC4144" w14:textId="77777777" w:rsidR="00575AC3" w:rsidRPr="006D40F0" w:rsidRDefault="00575AC3" w:rsidP="006D40F0">
            <w:r w:rsidRPr="006D40F0">
              <w:t>fra kr 65 050 000 til kr 68 050 000</w:t>
            </w:r>
          </w:p>
        </w:tc>
        <w:tc>
          <w:tcPr>
            <w:tcW w:w="1400" w:type="dxa"/>
            <w:tcBorders>
              <w:top w:val="nil"/>
              <w:left w:val="nil"/>
              <w:bottom w:val="nil"/>
              <w:right w:val="nil"/>
            </w:tcBorders>
            <w:tcMar>
              <w:top w:w="128" w:type="dxa"/>
              <w:left w:w="43" w:type="dxa"/>
              <w:bottom w:w="43" w:type="dxa"/>
              <w:right w:w="43" w:type="dxa"/>
            </w:tcMar>
            <w:vAlign w:val="bottom"/>
          </w:tcPr>
          <w:p w14:paraId="73608945" w14:textId="77777777" w:rsidR="00575AC3" w:rsidRPr="006D40F0" w:rsidRDefault="00575AC3" w:rsidP="006D40F0"/>
        </w:tc>
      </w:tr>
      <w:tr w:rsidR="00DD49A7" w:rsidRPr="006D40F0" w14:paraId="74AAA466" w14:textId="77777777">
        <w:trPr>
          <w:trHeight w:val="380"/>
        </w:trPr>
        <w:tc>
          <w:tcPr>
            <w:tcW w:w="680" w:type="dxa"/>
            <w:tcBorders>
              <w:top w:val="nil"/>
              <w:left w:val="nil"/>
              <w:bottom w:val="nil"/>
              <w:right w:val="nil"/>
            </w:tcBorders>
            <w:tcMar>
              <w:top w:w="128" w:type="dxa"/>
              <w:left w:w="43" w:type="dxa"/>
              <w:bottom w:w="43" w:type="dxa"/>
              <w:right w:w="43" w:type="dxa"/>
            </w:tcMar>
          </w:tcPr>
          <w:p w14:paraId="78FF9C54" w14:textId="77777777" w:rsidR="00575AC3" w:rsidRPr="006D40F0" w:rsidRDefault="00575AC3" w:rsidP="006D40F0">
            <w:r w:rsidRPr="006D40F0">
              <w:t>904</w:t>
            </w:r>
          </w:p>
        </w:tc>
        <w:tc>
          <w:tcPr>
            <w:tcW w:w="680" w:type="dxa"/>
            <w:tcBorders>
              <w:top w:val="nil"/>
              <w:left w:val="nil"/>
              <w:bottom w:val="nil"/>
              <w:right w:val="nil"/>
            </w:tcBorders>
            <w:tcMar>
              <w:top w:w="128" w:type="dxa"/>
              <w:left w:w="43" w:type="dxa"/>
              <w:bottom w:w="43" w:type="dxa"/>
              <w:right w:w="43" w:type="dxa"/>
            </w:tcMar>
          </w:tcPr>
          <w:p w14:paraId="011D472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3EF709" w14:textId="77777777" w:rsidR="00575AC3" w:rsidRPr="006D40F0" w:rsidRDefault="00575AC3" w:rsidP="006D40F0">
            <w:r w:rsidRPr="006D40F0">
              <w:t>Brønnøysundregistrene:</w:t>
            </w:r>
          </w:p>
        </w:tc>
        <w:tc>
          <w:tcPr>
            <w:tcW w:w="1400" w:type="dxa"/>
            <w:tcBorders>
              <w:top w:val="nil"/>
              <w:left w:val="nil"/>
              <w:bottom w:val="nil"/>
              <w:right w:val="nil"/>
            </w:tcBorders>
            <w:tcMar>
              <w:top w:w="128" w:type="dxa"/>
              <w:left w:w="43" w:type="dxa"/>
              <w:bottom w:w="43" w:type="dxa"/>
              <w:right w:w="43" w:type="dxa"/>
            </w:tcMar>
            <w:vAlign w:val="bottom"/>
          </w:tcPr>
          <w:p w14:paraId="1997EEA3" w14:textId="77777777" w:rsidR="00575AC3" w:rsidRPr="006D40F0" w:rsidRDefault="00575AC3" w:rsidP="006D40F0"/>
        </w:tc>
      </w:tr>
      <w:tr w:rsidR="00DD49A7" w:rsidRPr="006D40F0" w14:paraId="47A796F3" w14:textId="77777777">
        <w:trPr>
          <w:trHeight w:val="380"/>
        </w:trPr>
        <w:tc>
          <w:tcPr>
            <w:tcW w:w="680" w:type="dxa"/>
            <w:tcBorders>
              <w:top w:val="nil"/>
              <w:left w:val="nil"/>
              <w:bottom w:val="nil"/>
              <w:right w:val="nil"/>
            </w:tcBorders>
            <w:tcMar>
              <w:top w:w="128" w:type="dxa"/>
              <w:left w:w="43" w:type="dxa"/>
              <w:bottom w:w="43" w:type="dxa"/>
              <w:right w:w="43" w:type="dxa"/>
            </w:tcMar>
          </w:tcPr>
          <w:p w14:paraId="5171DE4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86A3CEA"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EAFAA0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41AEA9E" w14:textId="77777777" w:rsidR="00575AC3" w:rsidRPr="006D40F0" w:rsidRDefault="00575AC3" w:rsidP="006D40F0">
            <w:r w:rsidRPr="006D40F0">
              <w:t>1 900 000</w:t>
            </w:r>
          </w:p>
        </w:tc>
      </w:tr>
      <w:tr w:rsidR="00DD49A7" w:rsidRPr="006D40F0" w14:paraId="4F105118" w14:textId="77777777">
        <w:trPr>
          <w:trHeight w:val="380"/>
        </w:trPr>
        <w:tc>
          <w:tcPr>
            <w:tcW w:w="680" w:type="dxa"/>
            <w:tcBorders>
              <w:top w:val="nil"/>
              <w:left w:val="nil"/>
              <w:bottom w:val="nil"/>
              <w:right w:val="nil"/>
            </w:tcBorders>
            <w:tcMar>
              <w:top w:w="128" w:type="dxa"/>
              <w:left w:w="43" w:type="dxa"/>
              <w:bottom w:w="43" w:type="dxa"/>
              <w:right w:w="43" w:type="dxa"/>
            </w:tcMar>
          </w:tcPr>
          <w:p w14:paraId="0356C3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8FC88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0BBAAE" w14:textId="77777777" w:rsidR="00575AC3" w:rsidRPr="006D40F0" w:rsidRDefault="00575AC3" w:rsidP="006D40F0">
            <w:r w:rsidRPr="006D40F0">
              <w:t>fra kr 508 000 000 til kr 509 900 000</w:t>
            </w:r>
          </w:p>
        </w:tc>
        <w:tc>
          <w:tcPr>
            <w:tcW w:w="1400" w:type="dxa"/>
            <w:tcBorders>
              <w:top w:val="nil"/>
              <w:left w:val="nil"/>
              <w:bottom w:val="nil"/>
              <w:right w:val="nil"/>
            </w:tcBorders>
            <w:tcMar>
              <w:top w:w="128" w:type="dxa"/>
              <w:left w:w="43" w:type="dxa"/>
              <w:bottom w:w="43" w:type="dxa"/>
              <w:right w:w="43" w:type="dxa"/>
            </w:tcMar>
            <w:vAlign w:val="bottom"/>
          </w:tcPr>
          <w:p w14:paraId="4A05796E" w14:textId="77777777" w:rsidR="00575AC3" w:rsidRPr="006D40F0" w:rsidRDefault="00575AC3" w:rsidP="006D40F0"/>
        </w:tc>
      </w:tr>
      <w:tr w:rsidR="00DD49A7" w:rsidRPr="006D40F0" w14:paraId="2C43B502" w14:textId="77777777">
        <w:trPr>
          <w:trHeight w:val="380"/>
        </w:trPr>
        <w:tc>
          <w:tcPr>
            <w:tcW w:w="680" w:type="dxa"/>
            <w:tcBorders>
              <w:top w:val="nil"/>
              <w:left w:val="nil"/>
              <w:bottom w:val="nil"/>
              <w:right w:val="nil"/>
            </w:tcBorders>
            <w:tcMar>
              <w:top w:w="128" w:type="dxa"/>
              <w:left w:w="43" w:type="dxa"/>
              <w:bottom w:w="43" w:type="dxa"/>
              <w:right w:w="43" w:type="dxa"/>
            </w:tcMar>
          </w:tcPr>
          <w:p w14:paraId="4003E1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E65FA5"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3F02AA2"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FA0860E" w14:textId="77777777" w:rsidR="00575AC3" w:rsidRPr="006D40F0" w:rsidRDefault="00575AC3" w:rsidP="006D40F0">
            <w:r w:rsidRPr="006D40F0">
              <w:t>14 271 000</w:t>
            </w:r>
          </w:p>
        </w:tc>
      </w:tr>
      <w:tr w:rsidR="00DD49A7" w:rsidRPr="006D40F0" w14:paraId="5B4A0757" w14:textId="77777777">
        <w:trPr>
          <w:trHeight w:val="380"/>
        </w:trPr>
        <w:tc>
          <w:tcPr>
            <w:tcW w:w="680" w:type="dxa"/>
            <w:tcBorders>
              <w:top w:val="nil"/>
              <w:left w:val="nil"/>
              <w:bottom w:val="nil"/>
              <w:right w:val="nil"/>
            </w:tcBorders>
            <w:tcMar>
              <w:top w:w="128" w:type="dxa"/>
              <w:left w:w="43" w:type="dxa"/>
              <w:bottom w:w="43" w:type="dxa"/>
              <w:right w:w="43" w:type="dxa"/>
            </w:tcMar>
          </w:tcPr>
          <w:p w14:paraId="3C83D3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46BA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737E92" w14:textId="77777777" w:rsidR="00575AC3" w:rsidRPr="006D40F0" w:rsidRDefault="00575AC3" w:rsidP="006D40F0">
            <w:r w:rsidRPr="006D40F0">
              <w:t>fra kr 77 700 000 til kr 91 971 000</w:t>
            </w:r>
          </w:p>
        </w:tc>
        <w:tc>
          <w:tcPr>
            <w:tcW w:w="1400" w:type="dxa"/>
            <w:tcBorders>
              <w:top w:val="nil"/>
              <w:left w:val="nil"/>
              <w:bottom w:val="nil"/>
              <w:right w:val="nil"/>
            </w:tcBorders>
            <w:tcMar>
              <w:top w:w="128" w:type="dxa"/>
              <w:left w:w="43" w:type="dxa"/>
              <w:bottom w:w="43" w:type="dxa"/>
              <w:right w:w="43" w:type="dxa"/>
            </w:tcMar>
            <w:vAlign w:val="bottom"/>
          </w:tcPr>
          <w:p w14:paraId="35CB8214" w14:textId="77777777" w:rsidR="00575AC3" w:rsidRPr="006D40F0" w:rsidRDefault="00575AC3" w:rsidP="006D40F0"/>
        </w:tc>
      </w:tr>
      <w:tr w:rsidR="00DD49A7" w:rsidRPr="006D40F0" w14:paraId="379A70D7" w14:textId="77777777">
        <w:trPr>
          <w:trHeight w:val="380"/>
        </w:trPr>
        <w:tc>
          <w:tcPr>
            <w:tcW w:w="680" w:type="dxa"/>
            <w:tcBorders>
              <w:top w:val="nil"/>
              <w:left w:val="nil"/>
              <w:bottom w:val="nil"/>
              <w:right w:val="nil"/>
            </w:tcBorders>
            <w:tcMar>
              <w:top w:w="128" w:type="dxa"/>
              <w:left w:w="43" w:type="dxa"/>
              <w:bottom w:w="43" w:type="dxa"/>
              <w:right w:w="43" w:type="dxa"/>
            </w:tcMar>
          </w:tcPr>
          <w:p w14:paraId="420878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0E8B3D"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7B00834A"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DB9AFCF" w14:textId="77777777" w:rsidR="00575AC3" w:rsidRPr="006D40F0" w:rsidRDefault="00575AC3" w:rsidP="006D40F0">
            <w:r w:rsidRPr="006D40F0">
              <w:t>30 600 000</w:t>
            </w:r>
          </w:p>
        </w:tc>
      </w:tr>
      <w:tr w:rsidR="00DD49A7" w:rsidRPr="006D40F0" w14:paraId="497EB1C2" w14:textId="77777777">
        <w:trPr>
          <w:trHeight w:val="380"/>
        </w:trPr>
        <w:tc>
          <w:tcPr>
            <w:tcW w:w="680" w:type="dxa"/>
            <w:tcBorders>
              <w:top w:val="nil"/>
              <w:left w:val="nil"/>
              <w:bottom w:val="nil"/>
              <w:right w:val="nil"/>
            </w:tcBorders>
            <w:tcMar>
              <w:top w:w="128" w:type="dxa"/>
              <w:left w:w="43" w:type="dxa"/>
              <w:bottom w:w="43" w:type="dxa"/>
              <w:right w:w="43" w:type="dxa"/>
            </w:tcMar>
          </w:tcPr>
          <w:p w14:paraId="3AE7BD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58DA7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6C2428D" w14:textId="77777777" w:rsidR="00575AC3" w:rsidRPr="006D40F0" w:rsidRDefault="00575AC3" w:rsidP="006D40F0">
            <w:r w:rsidRPr="006D40F0">
              <w:t>fra kr 243 563 000 til kr 212 963 000</w:t>
            </w:r>
          </w:p>
        </w:tc>
        <w:tc>
          <w:tcPr>
            <w:tcW w:w="1400" w:type="dxa"/>
            <w:tcBorders>
              <w:top w:val="nil"/>
              <w:left w:val="nil"/>
              <w:bottom w:val="nil"/>
              <w:right w:val="nil"/>
            </w:tcBorders>
            <w:tcMar>
              <w:top w:w="128" w:type="dxa"/>
              <w:left w:w="43" w:type="dxa"/>
              <w:bottom w:w="43" w:type="dxa"/>
              <w:right w:w="43" w:type="dxa"/>
            </w:tcMar>
            <w:vAlign w:val="bottom"/>
          </w:tcPr>
          <w:p w14:paraId="757FF8F4" w14:textId="77777777" w:rsidR="00575AC3" w:rsidRPr="006D40F0" w:rsidRDefault="00575AC3" w:rsidP="006D40F0"/>
        </w:tc>
      </w:tr>
      <w:tr w:rsidR="00DD49A7" w:rsidRPr="006D40F0" w14:paraId="3B37B90B" w14:textId="77777777">
        <w:trPr>
          <w:trHeight w:val="380"/>
        </w:trPr>
        <w:tc>
          <w:tcPr>
            <w:tcW w:w="680" w:type="dxa"/>
            <w:tcBorders>
              <w:top w:val="nil"/>
              <w:left w:val="nil"/>
              <w:bottom w:val="nil"/>
              <w:right w:val="nil"/>
            </w:tcBorders>
            <w:tcMar>
              <w:top w:w="128" w:type="dxa"/>
              <w:left w:w="43" w:type="dxa"/>
              <w:bottom w:w="43" w:type="dxa"/>
              <w:right w:w="43" w:type="dxa"/>
            </w:tcMar>
          </w:tcPr>
          <w:p w14:paraId="1C7648E7" w14:textId="77777777" w:rsidR="00575AC3" w:rsidRPr="006D40F0" w:rsidRDefault="00575AC3" w:rsidP="006D40F0">
            <w:r w:rsidRPr="006D40F0">
              <w:t>907</w:t>
            </w:r>
          </w:p>
        </w:tc>
        <w:tc>
          <w:tcPr>
            <w:tcW w:w="680" w:type="dxa"/>
            <w:tcBorders>
              <w:top w:val="nil"/>
              <w:left w:val="nil"/>
              <w:bottom w:val="nil"/>
              <w:right w:val="nil"/>
            </w:tcBorders>
            <w:tcMar>
              <w:top w:w="128" w:type="dxa"/>
              <w:left w:w="43" w:type="dxa"/>
              <w:bottom w:w="43" w:type="dxa"/>
              <w:right w:w="43" w:type="dxa"/>
            </w:tcMar>
          </w:tcPr>
          <w:p w14:paraId="00D78F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9D63BA" w14:textId="77777777" w:rsidR="00575AC3" w:rsidRPr="006D40F0" w:rsidRDefault="00575AC3" w:rsidP="006D40F0">
            <w:r w:rsidRPr="006D40F0">
              <w:t>Norsk nukleær dekommisjonering:</w:t>
            </w:r>
          </w:p>
        </w:tc>
        <w:tc>
          <w:tcPr>
            <w:tcW w:w="1400" w:type="dxa"/>
            <w:tcBorders>
              <w:top w:val="nil"/>
              <w:left w:val="nil"/>
              <w:bottom w:val="nil"/>
              <w:right w:val="nil"/>
            </w:tcBorders>
            <w:tcMar>
              <w:top w:w="128" w:type="dxa"/>
              <w:left w:w="43" w:type="dxa"/>
              <w:bottom w:w="43" w:type="dxa"/>
              <w:right w:w="43" w:type="dxa"/>
            </w:tcMar>
            <w:vAlign w:val="bottom"/>
          </w:tcPr>
          <w:p w14:paraId="7907CC5B" w14:textId="77777777" w:rsidR="00575AC3" w:rsidRPr="006D40F0" w:rsidRDefault="00575AC3" w:rsidP="006D40F0"/>
        </w:tc>
      </w:tr>
      <w:tr w:rsidR="00DD49A7" w:rsidRPr="006D40F0" w14:paraId="29CF88CD" w14:textId="77777777">
        <w:trPr>
          <w:trHeight w:val="380"/>
        </w:trPr>
        <w:tc>
          <w:tcPr>
            <w:tcW w:w="680" w:type="dxa"/>
            <w:tcBorders>
              <w:top w:val="nil"/>
              <w:left w:val="nil"/>
              <w:bottom w:val="nil"/>
              <w:right w:val="nil"/>
            </w:tcBorders>
            <w:tcMar>
              <w:top w:w="128" w:type="dxa"/>
              <w:left w:w="43" w:type="dxa"/>
              <w:bottom w:w="43" w:type="dxa"/>
              <w:right w:w="43" w:type="dxa"/>
            </w:tcMar>
          </w:tcPr>
          <w:p w14:paraId="63C2A9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F6DA8E"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22B4F14"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28595C6" w14:textId="77777777" w:rsidR="00575AC3" w:rsidRPr="006D40F0" w:rsidRDefault="00575AC3" w:rsidP="006D40F0">
            <w:r w:rsidRPr="006D40F0">
              <w:t>40 000 000</w:t>
            </w:r>
          </w:p>
        </w:tc>
      </w:tr>
      <w:tr w:rsidR="00DD49A7" w:rsidRPr="006D40F0" w14:paraId="502F7ACE" w14:textId="77777777">
        <w:trPr>
          <w:trHeight w:val="380"/>
        </w:trPr>
        <w:tc>
          <w:tcPr>
            <w:tcW w:w="680" w:type="dxa"/>
            <w:tcBorders>
              <w:top w:val="nil"/>
              <w:left w:val="nil"/>
              <w:bottom w:val="nil"/>
              <w:right w:val="nil"/>
            </w:tcBorders>
            <w:tcMar>
              <w:top w:w="128" w:type="dxa"/>
              <w:left w:w="43" w:type="dxa"/>
              <w:bottom w:w="43" w:type="dxa"/>
              <w:right w:w="43" w:type="dxa"/>
            </w:tcMar>
          </w:tcPr>
          <w:p w14:paraId="19BFD8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F37A4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A71457" w14:textId="77777777" w:rsidR="00575AC3" w:rsidRPr="006D40F0" w:rsidRDefault="00575AC3" w:rsidP="006D40F0">
            <w:r w:rsidRPr="006D40F0">
              <w:t>fra kr 504 200 000 til kr 464 200 000</w:t>
            </w:r>
          </w:p>
        </w:tc>
        <w:tc>
          <w:tcPr>
            <w:tcW w:w="1400" w:type="dxa"/>
            <w:tcBorders>
              <w:top w:val="nil"/>
              <w:left w:val="nil"/>
              <w:bottom w:val="nil"/>
              <w:right w:val="nil"/>
            </w:tcBorders>
            <w:tcMar>
              <w:top w:w="128" w:type="dxa"/>
              <w:left w:w="43" w:type="dxa"/>
              <w:bottom w:w="43" w:type="dxa"/>
              <w:right w:w="43" w:type="dxa"/>
            </w:tcMar>
            <w:vAlign w:val="bottom"/>
          </w:tcPr>
          <w:p w14:paraId="26C434EF" w14:textId="77777777" w:rsidR="00575AC3" w:rsidRPr="006D40F0" w:rsidRDefault="00575AC3" w:rsidP="006D40F0"/>
        </w:tc>
      </w:tr>
      <w:tr w:rsidR="00DD49A7" w:rsidRPr="006D40F0" w14:paraId="35D89E2E" w14:textId="77777777">
        <w:trPr>
          <w:trHeight w:val="380"/>
        </w:trPr>
        <w:tc>
          <w:tcPr>
            <w:tcW w:w="680" w:type="dxa"/>
            <w:tcBorders>
              <w:top w:val="nil"/>
              <w:left w:val="nil"/>
              <w:bottom w:val="nil"/>
              <w:right w:val="nil"/>
            </w:tcBorders>
            <w:tcMar>
              <w:top w:w="128" w:type="dxa"/>
              <w:left w:w="43" w:type="dxa"/>
              <w:bottom w:w="43" w:type="dxa"/>
              <w:right w:w="43" w:type="dxa"/>
            </w:tcMar>
          </w:tcPr>
          <w:p w14:paraId="488723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717554" w14:textId="77777777" w:rsidR="00575AC3" w:rsidRPr="006D40F0" w:rsidRDefault="00575AC3" w:rsidP="006D40F0">
            <w:r w:rsidRPr="006D40F0">
              <w:t>30</w:t>
            </w:r>
          </w:p>
        </w:tc>
        <w:tc>
          <w:tcPr>
            <w:tcW w:w="6800" w:type="dxa"/>
            <w:tcBorders>
              <w:top w:val="nil"/>
              <w:left w:val="nil"/>
              <w:bottom w:val="nil"/>
              <w:right w:val="nil"/>
            </w:tcBorders>
            <w:tcMar>
              <w:top w:w="128" w:type="dxa"/>
              <w:left w:w="43" w:type="dxa"/>
              <w:bottom w:w="43" w:type="dxa"/>
              <w:right w:w="43" w:type="dxa"/>
            </w:tcMar>
          </w:tcPr>
          <w:p w14:paraId="32AECF30" w14:textId="77777777" w:rsidR="00575AC3" w:rsidRPr="006D40F0" w:rsidRDefault="00575AC3" w:rsidP="006D40F0">
            <w:r w:rsidRPr="006D40F0">
              <w:t xml:space="preserve">Opprydding </w:t>
            </w:r>
            <w:proofErr w:type="spellStart"/>
            <w:r w:rsidRPr="006D40F0">
              <w:t>Søve</w:t>
            </w:r>
            <w:proofErr w:type="spellEnd"/>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774F3CB3" w14:textId="77777777" w:rsidR="00575AC3" w:rsidRPr="006D40F0" w:rsidRDefault="00575AC3" w:rsidP="006D40F0">
            <w:r w:rsidRPr="006D40F0">
              <w:t>15 000 000</w:t>
            </w:r>
          </w:p>
        </w:tc>
      </w:tr>
      <w:tr w:rsidR="00DD49A7" w:rsidRPr="006D40F0" w14:paraId="11FCC12E" w14:textId="77777777">
        <w:trPr>
          <w:trHeight w:val="380"/>
        </w:trPr>
        <w:tc>
          <w:tcPr>
            <w:tcW w:w="680" w:type="dxa"/>
            <w:tcBorders>
              <w:top w:val="nil"/>
              <w:left w:val="nil"/>
              <w:bottom w:val="nil"/>
              <w:right w:val="nil"/>
            </w:tcBorders>
            <w:tcMar>
              <w:top w:w="128" w:type="dxa"/>
              <w:left w:w="43" w:type="dxa"/>
              <w:bottom w:w="43" w:type="dxa"/>
              <w:right w:w="43" w:type="dxa"/>
            </w:tcMar>
          </w:tcPr>
          <w:p w14:paraId="52392DF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A6369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18976CD" w14:textId="77777777" w:rsidR="00575AC3" w:rsidRPr="006D40F0" w:rsidRDefault="00575AC3" w:rsidP="006D40F0">
            <w:r w:rsidRPr="006D40F0">
              <w:t>fra kr 35 000 000 til kr 20 000 000</w:t>
            </w:r>
          </w:p>
        </w:tc>
        <w:tc>
          <w:tcPr>
            <w:tcW w:w="1400" w:type="dxa"/>
            <w:tcBorders>
              <w:top w:val="nil"/>
              <w:left w:val="nil"/>
              <w:bottom w:val="nil"/>
              <w:right w:val="nil"/>
            </w:tcBorders>
            <w:tcMar>
              <w:top w:w="128" w:type="dxa"/>
              <w:left w:w="43" w:type="dxa"/>
              <w:bottom w:w="43" w:type="dxa"/>
              <w:right w:w="43" w:type="dxa"/>
            </w:tcMar>
            <w:vAlign w:val="bottom"/>
          </w:tcPr>
          <w:p w14:paraId="719F93FA" w14:textId="77777777" w:rsidR="00575AC3" w:rsidRPr="006D40F0" w:rsidRDefault="00575AC3" w:rsidP="006D40F0"/>
        </w:tc>
      </w:tr>
      <w:tr w:rsidR="00DD49A7" w:rsidRPr="006D40F0" w14:paraId="510CF851" w14:textId="77777777">
        <w:trPr>
          <w:trHeight w:val="380"/>
        </w:trPr>
        <w:tc>
          <w:tcPr>
            <w:tcW w:w="680" w:type="dxa"/>
            <w:tcBorders>
              <w:top w:val="nil"/>
              <w:left w:val="nil"/>
              <w:bottom w:val="nil"/>
              <w:right w:val="nil"/>
            </w:tcBorders>
            <w:tcMar>
              <w:top w:w="128" w:type="dxa"/>
              <w:left w:w="43" w:type="dxa"/>
              <w:bottom w:w="43" w:type="dxa"/>
              <w:right w:w="43" w:type="dxa"/>
            </w:tcMar>
          </w:tcPr>
          <w:p w14:paraId="288BAFCB" w14:textId="77777777" w:rsidR="00575AC3" w:rsidRPr="006D40F0" w:rsidRDefault="00575AC3" w:rsidP="006D40F0">
            <w:r w:rsidRPr="006D40F0">
              <w:t>908</w:t>
            </w:r>
          </w:p>
        </w:tc>
        <w:tc>
          <w:tcPr>
            <w:tcW w:w="680" w:type="dxa"/>
            <w:tcBorders>
              <w:top w:val="nil"/>
              <w:left w:val="nil"/>
              <w:bottom w:val="nil"/>
              <w:right w:val="nil"/>
            </w:tcBorders>
            <w:tcMar>
              <w:top w:w="128" w:type="dxa"/>
              <w:left w:w="43" w:type="dxa"/>
              <w:bottom w:w="43" w:type="dxa"/>
              <w:right w:w="43" w:type="dxa"/>
            </w:tcMar>
          </w:tcPr>
          <w:p w14:paraId="11E3CD6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4C776E" w14:textId="77777777" w:rsidR="00575AC3" w:rsidRPr="006D40F0" w:rsidRDefault="00575AC3" w:rsidP="006D40F0">
            <w:r w:rsidRPr="006D40F0">
              <w:t>Institutt for energiteknikk:</w:t>
            </w:r>
          </w:p>
        </w:tc>
        <w:tc>
          <w:tcPr>
            <w:tcW w:w="1400" w:type="dxa"/>
            <w:tcBorders>
              <w:top w:val="nil"/>
              <w:left w:val="nil"/>
              <w:bottom w:val="nil"/>
              <w:right w:val="nil"/>
            </w:tcBorders>
            <w:tcMar>
              <w:top w:w="128" w:type="dxa"/>
              <w:left w:w="43" w:type="dxa"/>
              <w:bottom w:w="43" w:type="dxa"/>
              <w:right w:w="43" w:type="dxa"/>
            </w:tcMar>
            <w:vAlign w:val="bottom"/>
          </w:tcPr>
          <w:p w14:paraId="6F8EB6F0" w14:textId="77777777" w:rsidR="00575AC3" w:rsidRPr="006D40F0" w:rsidRDefault="00575AC3" w:rsidP="006D40F0"/>
        </w:tc>
      </w:tr>
      <w:tr w:rsidR="00DD49A7" w:rsidRPr="006D40F0" w14:paraId="18567609" w14:textId="77777777">
        <w:trPr>
          <w:trHeight w:val="380"/>
        </w:trPr>
        <w:tc>
          <w:tcPr>
            <w:tcW w:w="680" w:type="dxa"/>
            <w:tcBorders>
              <w:top w:val="nil"/>
              <w:left w:val="nil"/>
              <w:bottom w:val="nil"/>
              <w:right w:val="nil"/>
            </w:tcBorders>
            <w:tcMar>
              <w:top w:w="128" w:type="dxa"/>
              <w:left w:w="43" w:type="dxa"/>
              <w:bottom w:w="43" w:type="dxa"/>
              <w:right w:w="43" w:type="dxa"/>
            </w:tcMar>
          </w:tcPr>
          <w:p w14:paraId="799F214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CB8EAE"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42DA1EB" w14:textId="77777777" w:rsidR="00575AC3" w:rsidRPr="006D40F0" w:rsidRDefault="00575AC3" w:rsidP="006D40F0">
            <w:r w:rsidRPr="006D40F0">
              <w:t>Tilskudd til drift av atomanlegg, forhøyes med</w:t>
            </w:r>
          </w:p>
        </w:tc>
        <w:tc>
          <w:tcPr>
            <w:tcW w:w="1400" w:type="dxa"/>
            <w:tcBorders>
              <w:top w:val="nil"/>
              <w:left w:val="nil"/>
              <w:bottom w:val="nil"/>
              <w:right w:val="nil"/>
            </w:tcBorders>
            <w:tcMar>
              <w:top w:w="128" w:type="dxa"/>
              <w:left w:w="43" w:type="dxa"/>
              <w:bottom w:w="43" w:type="dxa"/>
              <w:right w:w="43" w:type="dxa"/>
            </w:tcMar>
            <w:vAlign w:val="bottom"/>
          </w:tcPr>
          <w:p w14:paraId="45A9A61D" w14:textId="77777777" w:rsidR="00575AC3" w:rsidRPr="006D40F0" w:rsidRDefault="00575AC3" w:rsidP="006D40F0">
            <w:r w:rsidRPr="006D40F0">
              <w:t>5 000 000</w:t>
            </w:r>
          </w:p>
        </w:tc>
      </w:tr>
      <w:tr w:rsidR="00DD49A7" w:rsidRPr="006D40F0" w14:paraId="05D73CDF" w14:textId="77777777">
        <w:trPr>
          <w:trHeight w:val="380"/>
        </w:trPr>
        <w:tc>
          <w:tcPr>
            <w:tcW w:w="680" w:type="dxa"/>
            <w:tcBorders>
              <w:top w:val="nil"/>
              <w:left w:val="nil"/>
              <w:bottom w:val="nil"/>
              <w:right w:val="nil"/>
            </w:tcBorders>
            <w:tcMar>
              <w:top w:w="128" w:type="dxa"/>
              <w:left w:w="43" w:type="dxa"/>
              <w:bottom w:w="43" w:type="dxa"/>
              <w:right w:w="43" w:type="dxa"/>
            </w:tcMar>
          </w:tcPr>
          <w:p w14:paraId="47FB06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31235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25817E" w14:textId="77777777" w:rsidR="00575AC3" w:rsidRPr="006D40F0" w:rsidRDefault="00575AC3" w:rsidP="006D40F0">
            <w:r w:rsidRPr="006D40F0">
              <w:t>fra kr 415 395 000 til kr 420 395 000</w:t>
            </w:r>
          </w:p>
        </w:tc>
        <w:tc>
          <w:tcPr>
            <w:tcW w:w="1400" w:type="dxa"/>
            <w:tcBorders>
              <w:top w:val="nil"/>
              <w:left w:val="nil"/>
              <w:bottom w:val="nil"/>
              <w:right w:val="nil"/>
            </w:tcBorders>
            <w:tcMar>
              <w:top w:w="128" w:type="dxa"/>
              <w:left w:w="43" w:type="dxa"/>
              <w:bottom w:w="43" w:type="dxa"/>
              <w:right w:w="43" w:type="dxa"/>
            </w:tcMar>
            <w:vAlign w:val="bottom"/>
          </w:tcPr>
          <w:p w14:paraId="75E5A426" w14:textId="77777777" w:rsidR="00575AC3" w:rsidRPr="006D40F0" w:rsidRDefault="00575AC3" w:rsidP="006D40F0"/>
        </w:tc>
      </w:tr>
      <w:tr w:rsidR="00DD49A7" w:rsidRPr="006D40F0" w14:paraId="7A5231A3" w14:textId="77777777">
        <w:trPr>
          <w:trHeight w:val="380"/>
        </w:trPr>
        <w:tc>
          <w:tcPr>
            <w:tcW w:w="680" w:type="dxa"/>
            <w:tcBorders>
              <w:top w:val="nil"/>
              <w:left w:val="nil"/>
              <w:bottom w:val="nil"/>
              <w:right w:val="nil"/>
            </w:tcBorders>
            <w:tcMar>
              <w:top w:w="128" w:type="dxa"/>
              <w:left w:w="43" w:type="dxa"/>
              <w:bottom w:w="43" w:type="dxa"/>
              <w:right w:w="43" w:type="dxa"/>
            </w:tcMar>
          </w:tcPr>
          <w:p w14:paraId="2D46DC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7C67A8"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49A15ACB" w14:textId="77777777" w:rsidR="00575AC3" w:rsidRPr="006D40F0" w:rsidRDefault="00575AC3" w:rsidP="006D40F0">
            <w:r w:rsidRPr="006D40F0">
              <w:t>Tilskudd til sikring av atomanlegg, forhøyes med</w:t>
            </w:r>
          </w:p>
        </w:tc>
        <w:tc>
          <w:tcPr>
            <w:tcW w:w="1400" w:type="dxa"/>
            <w:tcBorders>
              <w:top w:val="nil"/>
              <w:left w:val="nil"/>
              <w:bottom w:val="nil"/>
              <w:right w:val="nil"/>
            </w:tcBorders>
            <w:tcMar>
              <w:top w:w="128" w:type="dxa"/>
              <w:left w:w="43" w:type="dxa"/>
              <w:bottom w:w="43" w:type="dxa"/>
              <w:right w:w="43" w:type="dxa"/>
            </w:tcMar>
            <w:vAlign w:val="bottom"/>
          </w:tcPr>
          <w:p w14:paraId="4E24F184" w14:textId="77777777" w:rsidR="00575AC3" w:rsidRPr="006D40F0" w:rsidRDefault="00575AC3" w:rsidP="006D40F0">
            <w:r w:rsidRPr="006D40F0">
              <w:t>8 000 000</w:t>
            </w:r>
          </w:p>
        </w:tc>
      </w:tr>
      <w:tr w:rsidR="00DD49A7" w:rsidRPr="006D40F0" w14:paraId="0DF64963" w14:textId="77777777">
        <w:trPr>
          <w:trHeight w:val="380"/>
        </w:trPr>
        <w:tc>
          <w:tcPr>
            <w:tcW w:w="680" w:type="dxa"/>
            <w:tcBorders>
              <w:top w:val="nil"/>
              <w:left w:val="nil"/>
              <w:bottom w:val="nil"/>
              <w:right w:val="nil"/>
            </w:tcBorders>
            <w:tcMar>
              <w:top w:w="128" w:type="dxa"/>
              <w:left w:w="43" w:type="dxa"/>
              <w:bottom w:w="43" w:type="dxa"/>
              <w:right w:w="43" w:type="dxa"/>
            </w:tcMar>
          </w:tcPr>
          <w:p w14:paraId="3E472E8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CFE11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FBA546" w14:textId="77777777" w:rsidR="00575AC3" w:rsidRPr="006D40F0" w:rsidRDefault="00575AC3" w:rsidP="006D40F0">
            <w:r w:rsidRPr="006D40F0">
              <w:t>fra kr 49 259 000 til kr 57 259 000</w:t>
            </w:r>
          </w:p>
        </w:tc>
        <w:tc>
          <w:tcPr>
            <w:tcW w:w="1400" w:type="dxa"/>
            <w:tcBorders>
              <w:top w:val="nil"/>
              <w:left w:val="nil"/>
              <w:bottom w:val="nil"/>
              <w:right w:val="nil"/>
            </w:tcBorders>
            <w:tcMar>
              <w:top w:w="128" w:type="dxa"/>
              <w:left w:w="43" w:type="dxa"/>
              <w:bottom w:w="43" w:type="dxa"/>
              <w:right w:w="43" w:type="dxa"/>
            </w:tcMar>
            <w:vAlign w:val="bottom"/>
          </w:tcPr>
          <w:p w14:paraId="51002773" w14:textId="77777777" w:rsidR="00575AC3" w:rsidRPr="006D40F0" w:rsidRDefault="00575AC3" w:rsidP="006D40F0"/>
        </w:tc>
      </w:tr>
      <w:tr w:rsidR="00DD49A7" w:rsidRPr="006D40F0" w14:paraId="380B1ACA" w14:textId="77777777">
        <w:trPr>
          <w:trHeight w:val="380"/>
        </w:trPr>
        <w:tc>
          <w:tcPr>
            <w:tcW w:w="680" w:type="dxa"/>
            <w:tcBorders>
              <w:top w:val="nil"/>
              <w:left w:val="nil"/>
              <w:bottom w:val="nil"/>
              <w:right w:val="nil"/>
            </w:tcBorders>
            <w:tcMar>
              <w:top w:w="128" w:type="dxa"/>
              <w:left w:w="43" w:type="dxa"/>
              <w:bottom w:w="43" w:type="dxa"/>
              <w:right w:w="43" w:type="dxa"/>
            </w:tcMar>
          </w:tcPr>
          <w:p w14:paraId="3C6A1B6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AA2059"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12A7DFAF" w14:textId="77777777" w:rsidR="00575AC3" w:rsidRPr="006D40F0" w:rsidRDefault="00575AC3" w:rsidP="006D40F0">
            <w:r w:rsidRPr="006D40F0">
              <w:t>Lån til flytting av laboratorier og infrastruktur, nedsettes med</w:t>
            </w:r>
          </w:p>
        </w:tc>
        <w:tc>
          <w:tcPr>
            <w:tcW w:w="1400" w:type="dxa"/>
            <w:tcBorders>
              <w:top w:val="nil"/>
              <w:left w:val="nil"/>
              <w:bottom w:val="nil"/>
              <w:right w:val="nil"/>
            </w:tcBorders>
            <w:tcMar>
              <w:top w:w="128" w:type="dxa"/>
              <w:left w:w="43" w:type="dxa"/>
              <w:bottom w:w="43" w:type="dxa"/>
              <w:right w:w="43" w:type="dxa"/>
            </w:tcMar>
            <w:vAlign w:val="bottom"/>
          </w:tcPr>
          <w:p w14:paraId="4D3CFEE3" w14:textId="77777777" w:rsidR="00575AC3" w:rsidRPr="006D40F0" w:rsidRDefault="00575AC3" w:rsidP="006D40F0">
            <w:r w:rsidRPr="006D40F0">
              <w:t>45 000 000</w:t>
            </w:r>
          </w:p>
        </w:tc>
      </w:tr>
      <w:tr w:rsidR="00DD49A7" w:rsidRPr="006D40F0" w14:paraId="7EA187F7" w14:textId="77777777">
        <w:trPr>
          <w:trHeight w:val="380"/>
        </w:trPr>
        <w:tc>
          <w:tcPr>
            <w:tcW w:w="680" w:type="dxa"/>
            <w:tcBorders>
              <w:top w:val="nil"/>
              <w:left w:val="nil"/>
              <w:bottom w:val="nil"/>
              <w:right w:val="nil"/>
            </w:tcBorders>
            <w:tcMar>
              <w:top w:w="128" w:type="dxa"/>
              <w:left w:w="43" w:type="dxa"/>
              <w:bottom w:w="43" w:type="dxa"/>
              <w:right w:w="43" w:type="dxa"/>
            </w:tcMar>
          </w:tcPr>
          <w:p w14:paraId="1D0F866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A51C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4301760" w14:textId="77777777" w:rsidR="00575AC3" w:rsidRPr="006D40F0" w:rsidRDefault="00575AC3" w:rsidP="006D40F0">
            <w:r w:rsidRPr="006D40F0">
              <w:t>fra kr 80 000 000 til kr 35 000 000</w:t>
            </w:r>
          </w:p>
        </w:tc>
        <w:tc>
          <w:tcPr>
            <w:tcW w:w="1400" w:type="dxa"/>
            <w:tcBorders>
              <w:top w:val="nil"/>
              <w:left w:val="nil"/>
              <w:bottom w:val="nil"/>
              <w:right w:val="nil"/>
            </w:tcBorders>
            <w:tcMar>
              <w:top w:w="128" w:type="dxa"/>
              <w:left w:w="43" w:type="dxa"/>
              <w:bottom w:w="43" w:type="dxa"/>
              <w:right w:w="43" w:type="dxa"/>
            </w:tcMar>
            <w:vAlign w:val="bottom"/>
          </w:tcPr>
          <w:p w14:paraId="13FD7C98" w14:textId="77777777" w:rsidR="00575AC3" w:rsidRPr="006D40F0" w:rsidRDefault="00575AC3" w:rsidP="006D40F0"/>
        </w:tc>
      </w:tr>
      <w:tr w:rsidR="00DD49A7" w:rsidRPr="006D40F0" w14:paraId="48E32168" w14:textId="77777777">
        <w:trPr>
          <w:trHeight w:val="380"/>
        </w:trPr>
        <w:tc>
          <w:tcPr>
            <w:tcW w:w="680" w:type="dxa"/>
            <w:tcBorders>
              <w:top w:val="nil"/>
              <w:left w:val="nil"/>
              <w:bottom w:val="nil"/>
              <w:right w:val="nil"/>
            </w:tcBorders>
            <w:tcMar>
              <w:top w:w="128" w:type="dxa"/>
              <w:left w:w="43" w:type="dxa"/>
              <w:bottom w:w="43" w:type="dxa"/>
              <w:right w:w="43" w:type="dxa"/>
            </w:tcMar>
          </w:tcPr>
          <w:p w14:paraId="15EA0A24" w14:textId="77777777" w:rsidR="00575AC3" w:rsidRPr="006D40F0" w:rsidRDefault="00575AC3" w:rsidP="006D40F0">
            <w:r w:rsidRPr="006D40F0">
              <w:t>909</w:t>
            </w:r>
          </w:p>
        </w:tc>
        <w:tc>
          <w:tcPr>
            <w:tcW w:w="680" w:type="dxa"/>
            <w:tcBorders>
              <w:top w:val="nil"/>
              <w:left w:val="nil"/>
              <w:bottom w:val="nil"/>
              <w:right w:val="nil"/>
            </w:tcBorders>
            <w:tcMar>
              <w:top w:w="128" w:type="dxa"/>
              <w:left w:w="43" w:type="dxa"/>
              <w:bottom w:w="43" w:type="dxa"/>
              <w:right w:w="43" w:type="dxa"/>
            </w:tcMar>
          </w:tcPr>
          <w:p w14:paraId="4E93C0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5A2066" w14:textId="77777777" w:rsidR="00575AC3" w:rsidRPr="006D40F0" w:rsidRDefault="00575AC3" w:rsidP="006D40F0">
            <w:r w:rsidRPr="006D40F0">
              <w:t>Tiltak for sysselsetting av sjøfolk:</w:t>
            </w:r>
          </w:p>
        </w:tc>
        <w:tc>
          <w:tcPr>
            <w:tcW w:w="1400" w:type="dxa"/>
            <w:tcBorders>
              <w:top w:val="nil"/>
              <w:left w:val="nil"/>
              <w:bottom w:val="nil"/>
              <w:right w:val="nil"/>
            </w:tcBorders>
            <w:tcMar>
              <w:top w:w="128" w:type="dxa"/>
              <w:left w:w="43" w:type="dxa"/>
              <w:bottom w:w="43" w:type="dxa"/>
              <w:right w:w="43" w:type="dxa"/>
            </w:tcMar>
            <w:vAlign w:val="bottom"/>
          </w:tcPr>
          <w:p w14:paraId="3D999B2F" w14:textId="77777777" w:rsidR="00575AC3" w:rsidRPr="006D40F0" w:rsidRDefault="00575AC3" w:rsidP="006D40F0"/>
        </w:tc>
      </w:tr>
      <w:tr w:rsidR="00DD49A7" w:rsidRPr="006D40F0" w14:paraId="0A344EC0" w14:textId="77777777">
        <w:trPr>
          <w:trHeight w:val="380"/>
        </w:trPr>
        <w:tc>
          <w:tcPr>
            <w:tcW w:w="680" w:type="dxa"/>
            <w:tcBorders>
              <w:top w:val="nil"/>
              <w:left w:val="nil"/>
              <w:bottom w:val="nil"/>
              <w:right w:val="nil"/>
            </w:tcBorders>
            <w:tcMar>
              <w:top w:w="128" w:type="dxa"/>
              <w:left w:w="43" w:type="dxa"/>
              <w:bottom w:w="43" w:type="dxa"/>
              <w:right w:w="43" w:type="dxa"/>
            </w:tcMar>
          </w:tcPr>
          <w:p w14:paraId="4C8569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31E69C"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5668AD16" w14:textId="77777777" w:rsidR="00575AC3" w:rsidRPr="006D40F0" w:rsidRDefault="00575AC3" w:rsidP="006D40F0">
            <w:r w:rsidRPr="006D40F0">
              <w:t xml:space="preserve">Tilskudd til sysselsetting av sjøfolk,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8C50A99" w14:textId="77777777" w:rsidR="00575AC3" w:rsidRPr="006D40F0" w:rsidRDefault="00575AC3" w:rsidP="006D40F0">
            <w:r w:rsidRPr="006D40F0">
              <w:t>44 000 000</w:t>
            </w:r>
          </w:p>
        </w:tc>
      </w:tr>
      <w:tr w:rsidR="00DD49A7" w:rsidRPr="006D40F0" w14:paraId="327FD34C" w14:textId="77777777">
        <w:trPr>
          <w:trHeight w:val="380"/>
        </w:trPr>
        <w:tc>
          <w:tcPr>
            <w:tcW w:w="680" w:type="dxa"/>
            <w:tcBorders>
              <w:top w:val="nil"/>
              <w:left w:val="nil"/>
              <w:bottom w:val="nil"/>
              <w:right w:val="nil"/>
            </w:tcBorders>
            <w:tcMar>
              <w:top w:w="128" w:type="dxa"/>
              <w:left w:w="43" w:type="dxa"/>
              <w:bottom w:w="43" w:type="dxa"/>
              <w:right w:w="43" w:type="dxa"/>
            </w:tcMar>
          </w:tcPr>
          <w:p w14:paraId="13BDD3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78CD9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742286" w14:textId="77777777" w:rsidR="00575AC3" w:rsidRPr="006D40F0" w:rsidRDefault="00575AC3" w:rsidP="006D40F0">
            <w:r w:rsidRPr="006D40F0">
              <w:t>fra kr 2 410 000 000 til kr 2 366 000 000</w:t>
            </w:r>
          </w:p>
        </w:tc>
        <w:tc>
          <w:tcPr>
            <w:tcW w:w="1400" w:type="dxa"/>
            <w:tcBorders>
              <w:top w:val="nil"/>
              <w:left w:val="nil"/>
              <w:bottom w:val="nil"/>
              <w:right w:val="nil"/>
            </w:tcBorders>
            <w:tcMar>
              <w:top w:w="128" w:type="dxa"/>
              <w:left w:w="43" w:type="dxa"/>
              <w:bottom w:w="43" w:type="dxa"/>
              <w:right w:w="43" w:type="dxa"/>
            </w:tcMar>
            <w:vAlign w:val="bottom"/>
          </w:tcPr>
          <w:p w14:paraId="575D5482" w14:textId="77777777" w:rsidR="00575AC3" w:rsidRPr="006D40F0" w:rsidRDefault="00575AC3" w:rsidP="006D40F0"/>
        </w:tc>
      </w:tr>
      <w:tr w:rsidR="00DD49A7" w:rsidRPr="006D40F0" w14:paraId="14EF25E5" w14:textId="77777777">
        <w:trPr>
          <w:trHeight w:val="380"/>
        </w:trPr>
        <w:tc>
          <w:tcPr>
            <w:tcW w:w="680" w:type="dxa"/>
            <w:tcBorders>
              <w:top w:val="nil"/>
              <w:left w:val="nil"/>
              <w:bottom w:val="nil"/>
              <w:right w:val="nil"/>
            </w:tcBorders>
            <w:tcMar>
              <w:top w:w="128" w:type="dxa"/>
              <w:left w:w="43" w:type="dxa"/>
              <w:bottom w:w="43" w:type="dxa"/>
              <w:right w:w="43" w:type="dxa"/>
            </w:tcMar>
          </w:tcPr>
          <w:p w14:paraId="6CD9DCCE" w14:textId="77777777" w:rsidR="00575AC3" w:rsidRPr="006D40F0" w:rsidRDefault="00575AC3" w:rsidP="006D40F0">
            <w:r w:rsidRPr="006D40F0">
              <w:t>912</w:t>
            </w:r>
          </w:p>
        </w:tc>
        <w:tc>
          <w:tcPr>
            <w:tcW w:w="680" w:type="dxa"/>
            <w:tcBorders>
              <w:top w:val="nil"/>
              <w:left w:val="nil"/>
              <w:bottom w:val="nil"/>
              <w:right w:val="nil"/>
            </w:tcBorders>
            <w:tcMar>
              <w:top w:w="128" w:type="dxa"/>
              <w:left w:w="43" w:type="dxa"/>
              <w:bottom w:w="43" w:type="dxa"/>
              <w:right w:w="43" w:type="dxa"/>
            </w:tcMar>
          </w:tcPr>
          <w:p w14:paraId="7CF8AEA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50A151" w14:textId="77777777" w:rsidR="00575AC3" w:rsidRPr="006D40F0" w:rsidRDefault="00575AC3" w:rsidP="006D40F0">
            <w:r w:rsidRPr="006D40F0">
              <w:t>Klagenemndssekretariatet:</w:t>
            </w:r>
          </w:p>
        </w:tc>
        <w:tc>
          <w:tcPr>
            <w:tcW w:w="1400" w:type="dxa"/>
            <w:tcBorders>
              <w:top w:val="nil"/>
              <w:left w:val="nil"/>
              <w:bottom w:val="nil"/>
              <w:right w:val="nil"/>
            </w:tcBorders>
            <w:tcMar>
              <w:top w:w="128" w:type="dxa"/>
              <w:left w:w="43" w:type="dxa"/>
              <w:bottom w:w="43" w:type="dxa"/>
              <w:right w:w="43" w:type="dxa"/>
            </w:tcMar>
            <w:vAlign w:val="bottom"/>
          </w:tcPr>
          <w:p w14:paraId="0F49953E" w14:textId="77777777" w:rsidR="00575AC3" w:rsidRPr="006D40F0" w:rsidRDefault="00575AC3" w:rsidP="006D40F0"/>
        </w:tc>
      </w:tr>
      <w:tr w:rsidR="00DD49A7" w:rsidRPr="006D40F0" w14:paraId="703FB365" w14:textId="77777777">
        <w:trPr>
          <w:trHeight w:val="380"/>
        </w:trPr>
        <w:tc>
          <w:tcPr>
            <w:tcW w:w="680" w:type="dxa"/>
            <w:tcBorders>
              <w:top w:val="nil"/>
              <w:left w:val="nil"/>
              <w:bottom w:val="nil"/>
              <w:right w:val="nil"/>
            </w:tcBorders>
            <w:tcMar>
              <w:top w:w="128" w:type="dxa"/>
              <w:left w:w="43" w:type="dxa"/>
              <w:bottom w:w="43" w:type="dxa"/>
              <w:right w:w="43" w:type="dxa"/>
            </w:tcMar>
          </w:tcPr>
          <w:p w14:paraId="358D88C6"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1C4F1D1"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B7DA941" w14:textId="77777777" w:rsidR="00575AC3" w:rsidRPr="006D40F0" w:rsidRDefault="00575AC3" w:rsidP="006D40F0">
            <w:r w:rsidRPr="006D40F0">
              <w:t>Spesielle driftsutgifter, bevilges med</w:t>
            </w:r>
          </w:p>
        </w:tc>
        <w:tc>
          <w:tcPr>
            <w:tcW w:w="1400" w:type="dxa"/>
            <w:tcBorders>
              <w:top w:val="nil"/>
              <w:left w:val="nil"/>
              <w:bottom w:val="nil"/>
              <w:right w:val="nil"/>
            </w:tcBorders>
            <w:tcMar>
              <w:top w:w="128" w:type="dxa"/>
              <w:left w:w="43" w:type="dxa"/>
              <w:bottom w:w="43" w:type="dxa"/>
              <w:right w:w="43" w:type="dxa"/>
            </w:tcMar>
            <w:vAlign w:val="bottom"/>
          </w:tcPr>
          <w:p w14:paraId="2ED303A6" w14:textId="77777777" w:rsidR="00575AC3" w:rsidRPr="006D40F0" w:rsidRDefault="00575AC3" w:rsidP="006D40F0">
            <w:r w:rsidRPr="006D40F0">
              <w:t>200 000</w:t>
            </w:r>
          </w:p>
        </w:tc>
      </w:tr>
      <w:tr w:rsidR="00DD49A7" w:rsidRPr="006D40F0" w14:paraId="6EE44E9A" w14:textId="77777777">
        <w:trPr>
          <w:trHeight w:val="380"/>
        </w:trPr>
        <w:tc>
          <w:tcPr>
            <w:tcW w:w="680" w:type="dxa"/>
            <w:tcBorders>
              <w:top w:val="nil"/>
              <w:left w:val="nil"/>
              <w:bottom w:val="nil"/>
              <w:right w:val="nil"/>
            </w:tcBorders>
            <w:tcMar>
              <w:top w:w="128" w:type="dxa"/>
              <w:left w:w="43" w:type="dxa"/>
              <w:bottom w:w="43" w:type="dxa"/>
              <w:right w:w="43" w:type="dxa"/>
            </w:tcMar>
          </w:tcPr>
          <w:p w14:paraId="56D21D74" w14:textId="77777777" w:rsidR="00575AC3" w:rsidRPr="006D40F0" w:rsidRDefault="00575AC3" w:rsidP="006D40F0">
            <w:r w:rsidRPr="006D40F0">
              <w:t>916</w:t>
            </w:r>
          </w:p>
        </w:tc>
        <w:tc>
          <w:tcPr>
            <w:tcW w:w="680" w:type="dxa"/>
            <w:tcBorders>
              <w:top w:val="nil"/>
              <w:left w:val="nil"/>
              <w:bottom w:val="nil"/>
              <w:right w:val="nil"/>
            </w:tcBorders>
            <w:tcMar>
              <w:top w:w="128" w:type="dxa"/>
              <w:left w:w="43" w:type="dxa"/>
              <w:bottom w:w="43" w:type="dxa"/>
              <w:right w:w="43" w:type="dxa"/>
            </w:tcMar>
          </w:tcPr>
          <w:p w14:paraId="55C0DD6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FAB8B2" w14:textId="77777777" w:rsidR="00575AC3" w:rsidRPr="006D40F0" w:rsidRDefault="00575AC3" w:rsidP="006D40F0">
            <w:r w:rsidRPr="006D40F0">
              <w:t>Kystverket:</w:t>
            </w:r>
          </w:p>
        </w:tc>
        <w:tc>
          <w:tcPr>
            <w:tcW w:w="1400" w:type="dxa"/>
            <w:tcBorders>
              <w:top w:val="nil"/>
              <w:left w:val="nil"/>
              <w:bottom w:val="nil"/>
              <w:right w:val="nil"/>
            </w:tcBorders>
            <w:tcMar>
              <w:top w:w="128" w:type="dxa"/>
              <w:left w:w="43" w:type="dxa"/>
              <w:bottom w:w="43" w:type="dxa"/>
              <w:right w:w="43" w:type="dxa"/>
            </w:tcMar>
            <w:vAlign w:val="bottom"/>
          </w:tcPr>
          <w:p w14:paraId="478C5D4E" w14:textId="77777777" w:rsidR="00575AC3" w:rsidRPr="006D40F0" w:rsidRDefault="00575AC3" w:rsidP="006D40F0"/>
        </w:tc>
      </w:tr>
      <w:tr w:rsidR="00DD49A7" w:rsidRPr="006D40F0" w14:paraId="6C566093" w14:textId="77777777">
        <w:trPr>
          <w:trHeight w:val="380"/>
        </w:trPr>
        <w:tc>
          <w:tcPr>
            <w:tcW w:w="680" w:type="dxa"/>
            <w:tcBorders>
              <w:top w:val="nil"/>
              <w:left w:val="nil"/>
              <w:bottom w:val="nil"/>
              <w:right w:val="nil"/>
            </w:tcBorders>
            <w:tcMar>
              <w:top w:w="128" w:type="dxa"/>
              <w:left w:w="43" w:type="dxa"/>
              <w:bottom w:w="43" w:type="dxa"/>
              <w:right w:w="43" w:type="dxa"/>
            </w:tcMar>
          </w:tcPr>
          <w:p w14:paraId="47A85EE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4DD8F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288C6FB" w14:textId="77777777" w:rsidR="00575AC3" w:rsidRPr="006D40F0" w:rsidRDefault="00575AC3" w:rsidP="006D40F0">
            <w:r w:rsidRPr="006D40F0">
              <w:t xml:space="preserve">Driftsutgifter, </w:t>
            </w:r>
            <w:r w:rsidRPr="00575AC3">
              <w:rPr>
                <w:rStyle w:val="kursiv"/>
              </w:rPr>
              <w:t>kan nyttes under post 45,</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44669D2" w14:textId="77777777" w:rsidR="00575AC3" w:rsidRPr="006D40F0" w:rsidRDefault="00575AC3" w:rsidP="006D40F0">
            <w:r w:rsidRPr="006D40F0">
              <w:t>44 413 000</w:t>
            </w:r>
          </w:p>
        </w:tc>
      </w:tr>
      <w:tr w:rsidR="00DD49A7" w:rsidRPr="006D40F0" w14:paraId="65621FEB" w14:textId="77777777">
        <w:trPr>
          <w:trHeight w:val="380"/>
        </w:trPr>
        <w:tc>
          <w:tcPr>
            <w:tcW w:w="680" w:type="dxa"/>
            <w:tcBorders>
              <w:top w:val="nil"/>
              <w:left w:val="nil"/>
              <w:bottom w:val="nil"/>
              <w:right w:val="nil"/>
            </w:tcBorders>
            <w:tcMar>
              <w:top w:w="128" w:type="dxa"/>
              <w:left w:w="43" w:type="dxa"/>
              <w:bottom w:w="43" w:type="dxa"/>
              <w:right w:w="43" w:type="dxa"/>
            </w:tcMar>
          </w:tcPr>
          <w:p w14:paraId="48C3C5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97FF1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6AEA15" w14:textId="77777777" w:rsidR="00575AC3" w:rsidRPr="006D40F0" w:rsidRDefault="00575AC3" w:rsidP="006D40F0">
            <w:r w:rsidRPr="006D40F0">
              <w:t>fra kr 1 155 600 000 til kr 1 200 013 000</w:t>
            </w:r>
          </w:p>
        </w:tc>
        <w:tc>
          <w:tcPr>
            <w:tcW w:w="1400" w:type="dxa"/>
            <w:tcBorders>
              <w:top w:val="nil"/>
              <w:left w:val="nil"/>
              <w:bottom w:val="nil"/>
              <w:right w:val="nil"/>
            </w:tcBorders>
            <w:tcMar>
              <w:top w:w="128" w:type="dxa"/>
              <w:left w:w="43" w:type="dxa"/>
              <w:bottom w:w="43" w:type="dxa"/>
              <w:right w:w="43" w:type="dxa"/>
            </w:tcMar>
            <w:vAlign w:val="bottom"/>
          </w:tcPr>
          <w:p w14:paraId="0CA30777" w14:textId="77777777" w:rsidR="00575AC3" w:rsidRPr="006D40F0" w:rsidRDefault="00575AC3" w:rsidP="006D40F0"/>
        </w:tc>
      </w:tr>
      <w:tr w:rsidR="00DD49A7" w:rsidRPr="006D40F0" w14:paraId="347B8589" w14:textId="77777777">
        <w:trPr>
          <w:trHeight w:val="640"/>
        </w:trPr>
        <w:tc>
          <w:tcPr>
            <w:tcW w:w="680" w:type="dxa"/>
            <w:tcBorders>
              <w:top w:val="nil"/>
              <w:left w:val="nil"/>
              <w:bottom w:val="nil"/>
              <w:right w:val="nil"/>
            </w:tcBorders>
            <w:tcMar>
              <w:top w:w="128" w:type="dxa"/>
              <w:left w:w="43" w:type="dxa"/>
              <w:bottom w:w="43" w:type="dxa"/>
              <w:right w:w="43" w:type="dxa"/>
            </w:tcMar>
          </w:tcPr>
          <w:p w14:paraId="006F635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43132A"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44431730" w14:textId="77777777" w:rsidR="00575AC3" w:rsidRPr="006D40F0" w:rsidRDefault="00575AC3" w:rsidP="006D40F0">
            <w:r w:rsidRPr="006D40F0">
              <w:t xml:space="preserve">Driftsutgifter brukerfinansierte tjenester, </w:t>
            </w:r>
            <w:r w:rsidRPr="00575AC3">
              <w:rPr>
                <w:rStyle w:val="kursiv"/>
              </w:rPr>
              <w:t>kan overføres, kan nyttes under post 46</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5CDD6514" w14:textId="77777777" w:rsidR="00575AC3" w:rsidRPr="006D40F0" w:rsidRDefault="00575AC3" w:rsidP="006D40F0">
            <w:r w:rsidRPr="006D40F0">
              <w:t>132 200 000</w:t>
            </w:r>
          </w:p>
        </w:tc>
      </w:tr>
      <w:tr w:rsidR="00DD49A7" w:rsidRPr="006D40F0" w14:paraId="2994CF08" w14:textId="77777777">
        <w:trPr>
          <w:trHeight w:val="380"/>
        </w:trPr>
        <w:tc>
          <w:tcPr>
            <w:tcW w:w="680" w:type="dxa"/>
            <w:tcBorders>
              <w:top w:val="nil"/>
              <w:left w:val="nil"/>
              <w:bottom w:val="nil"/>
              <w:right w:val="nil"/>
            </w:tcBorders>
            <w:tcMar>
              <w:top w:w="128" w:type="dxa"/>
              <w:left w:w="43" w:type="dxa"/>
              <w:bottom w:w="43" w:type="dxa"/>
              <w:right w:w="43" w:type="dxa"/>
            </w:tcMar>
          </w:tcPr>
          <w:p w14:paraId="01BEA7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27AFB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8DE9C3" w14:textId="77777777" w:rsidR="00575AC3" w:rsidRPr="006D40F0" w:rsidRDefault="00575AC3" w:rsidP="006D40F0">
            <w:r w:rsidRPr="006D40F0">
              <w:t>fra kr 1 050 434 000 til kr 1 182 634 000</w:t>
            </w:r>
          </w:p>
        </w:tc>
        <w:tc>
          <w:tcPr>
            <w:tcW w:w="1400" w:type="dxa"/>
            <w:tcBorders>
              <w:top w:val="nil"/>
              <w:left w:val="nil"/>
              <w:bottom w:val="nil"/>
              <w:right w:val="nil"/>
            </w:tcBorders>
            <w:tcMar>
              <w:top w:w="128" w:type="dxa"/>
              <w:left w:w="43" w:type="dxa"/>
              <w:bottom w:w="43" w:type="dxa"/>
              <w:right w:w="43" w:type="dxa"/>
            </w:tcMar>
            <w:vAlign w:val="bottom"/>
          </w:tcPr>
          <w:p w14:paraId="724DB139" w14:textId="77777777" w:rsidR="00575AC3" w:rsidRPr="006D40F0" w:rsidRDefault="00575AC3" w:rsidP="006D40F0"/>
        </w:tc>
      </w:tr>
      <w:tr w:rsidR="00DD49A7" w:rsidRPr="006D40F0" w14:paraId="1AB31E3A" w14:textId="77777777">
        <w:trPr>
          <w:trHeight w:val="380"/>
        </w:trPr>
        <w:tc>
          <w:tcPr>
            <w:tcW w:w="680" w:type="dxa"/>
            <w:tcBorders>
              <w:top w:val="nil"/>
              <w:left w:val="nil"/>
              <w:bottom w:val="nil"/>
              <w:right w:val="nil"/>
            </w:tcBorders>
            <w:tcMar>
              <w:top w:w="128" w:type="dxa"/>
              <w:left w:w="43" w:type="dxa"/>
              <w:bottom w:w="43" w:type="dxa"/>
              <w:right w:w="43" w:type="dxa"/>
            </w:tcMar>
          </w:tcPr>
          <w:p w14:paraId="4CD736C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5C6393"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2E64F9F6" w14:textId="77777777" w:rsidR="00575AC3" w:rsidRPr="006D40F0" w:rsidRDefault="00575AC3" w:rsidP="006D40F0">
            <w:r w:rsidRPr="006D40F0">
              <w:t xml:space="preserve">Større utstyrsanskaffelser og vedlikehold, </w:t>
            </w:r>
            <w:r w:rsidRPr="00575AC3">
              <w:rPr>
                <w:rStyle w:val="kursiv"/>
              </w:rPr>
              <w:t xml:space="preserve">kan overføres, </w:t>
            </w:r>
          </w:p>
        </w:tc>
        <w:tc>
          <w:tcPr>
            <w:tcW w:w="1400" w:type="dxa"/>
            <w:tcBorders>
              <w:top w:val="nil"/>
              <w:left w:val="nil"/>
              <w:bottom w:val="nil"/>
              <w:right w:val="nil"/>
            </w:tcBorders>
            <w:tcMar>
              <w:top w:w="128" w:type="dxa"/>
              <w:left w:w="43" w:type="dxa"/>
              <w:bottom w:w="43" w:type="dxa"/>
              <w:right w:w="43" w:type="dxa"/>
            </w:tcMar>
            <w:vAlign w:val="bottom"/>
          </w:tcPr>
          <w:p w14:paraId="72D61A12" w14:textId="77777777" w:rsidR="00575AC3" w:rsidRPr="006D40F0" w:rsidRDefault="00575AC3" w:rsidP="006D40F0"/>
        </w:tc>
      </w:tr>
      <w:tr w:rsidR="00DD49A7" w:rsidRPr="006D40F0" w14:paraId="4093C40B" w14:textId="77777777">
        <w:trPr>
          <w:trHeight w:val="380"/>
        </w:trPr>
        <w:tc>
          <w:tcPr>
            <w:tcW w:w="680" w:type="dxa"/>
            <w:tcBorders>
              <w:top w:val="nil"/>
              <w:left w:val="nil"/>
              <w:bottom w:val="nil"/>
              <w:right w:val="nil"/>
            </w:tcBorders>
            <w:tcMar>
              <w:top w:w="128" w:type="dxa"/>
              <w:left w:w="43" w:type="dxa"/>
              <w:bottom w:w="43" w:type="dxa"/>
              <w:right w:w="43" w:type="dxa"/>
            </w:tcMar>
          </w:tcPr>
          <w:p w14:paraId="649B49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70AF9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0C21AB" w14:textId="77777777" w:rsidR="00575AC3" w:rsidRPr="006D40F0" w:rsidRDefault="00575AC3" w:rsidP="006D40F0">
            <w:r w:rsidRPr="00575AC3">
              <w:rPr>
                <w:rStyle w:val="kursiv"/>
              </w:rPr>
              <w:t>kan nyttes under post 1</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06748EB7" w14:textId="77777777" w:rsidR="00575AC3" w:rsidRPr="006D40F0" w:rsidRDefault="00575AC3" w:rsidP="006D40F0">
            <w:r w:rsidRPr="006D40F0">
              <w:t>9 800 000</w:t>
            </w:r>
          </w:p>
        </w:tc>
      </w:tr>
      <w:tr w:rsidR="00DD49A7" w:rsidRPr="006D40F0" w14:paraId="1AA0E120" w14:textId="77777777">
        <w:trPr>
          <w:trHeight w:val="380"/>
        </w:trPr>
        <w:tc>
          <w:tcPr>
            <w:tcW w:w="680" w:type="dxa"/>
            <w:tcBorders>
              <w:top w:val="nil"/>
              <w:left w:val="nil"/>
              <w:bottom w:val="nil"/>
              <w:right w:val="nil"/>
            </w:tcBorders>
            <w:tcMar>
              <w:top w:w="128" w:type="dxa"/>
              <w:left w:w="43" w:type="dxa"/>
              <w:bottom w:w="43" w:type="dxa"/>
              <w:right w:w="43" w:type="dxa"/>
            </w:tcMar>
          </w:tcPr>
          <w:p w14:paraId="7FD4B15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A50EA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0311794" w14:textId="77777777" w:rsidR="00575AC3" w:rsidRPr="006D40F0" w:rsidRDefault="00575AC3" w:rsidP="006D40F0">
            <w:r w:rsidRPr="006D40F0">
              <w:t>fra kr 191 479 000 til kr 201 279 000</w:t>
            </w:r>
          </w:p>
        </w:tc>
        <w:tc>
          <w:tcPr>
            <w:tcW w:w="1400" w:type="dxa"/>
            <w:tcBorders>
              <w:top w:val="nil"/>
              <w:left w:val="nil"/>
              <w:bottom w:val="nil"/>
              <w:right w:val="nil"/>
            </w:tcBorders>
            <w:tcMar>
              <w:top w:w="128" w:type="dxa"/>
              <w:left w:w="43" w:type="dxa"/>
              <w:bottom w:w="43" w:type="dxa"/>
              <w:right w:w="43" w:type="dxa"/>
            </w:tcMar>
            <w:vAlign w:val="bottom"/>
          </w:tcPr>
          <w:p w14:paraId="566277F5" w14:textId="77777777" w:rsidR="00575AC3" w:rsidRPr="006D40F0" w:rsidRDefault="00575AC3" w:rsidP="006D40F0"/>
        </w:tc>
      </w:tr>
      <w:tr w:rsidR="00DD49A7" w:rsidRPr="006D40F0" w14:paraId="502D8567" w14:textId="77777777">
        <w:trPr>
          <w:trHeight w:val="380"/>
        </w:trPr>
        <w:tc>
          <w:tcPr>
            <w:tcW w:w="680" w:type="dxa"/>
            <w:tcBorders>
              <w:top w:val="nil"/>
              <w:left w:val="nil"/>
              <w:bottom w:val="nil"/>
              <w:right w:val="nil"/>
            </w:tcBorders>
            <w:tcMar>
              <w:top w:w="128" w:type="dxa"/>
              <w:left w:w="43" w:type="dxa"/>
              <w:bottom w:w="43" w:type="dxa"/>
              <w:right w:w="43" w:type="dxa"/>
            </w:tcMar>
          </w:tcPr>
          <w:p w14:paraId="28E94A6A" w14:textId="77777777" w:rsidR="00575AC3" w:rsidRPr="006D40F0" w:rsidRDefault="00575AC3" w:rsidP="006D40F0">
            <w:r w:rsidRPr="006D40F0">
              <w:t>917</w:t>
            </w:r>
          </w:p>
        </w:tc>
        <w:tc>
          <w:tcPr>
            <w:tcW w:w="680" w:type="dxa"/>
            <w:tcBorders>
              <w:top w:val="nil"/>
              <w:left w:val="nil"/>
              <w:bottom w:val="nil"/>
              <w:right w:val="nil"/>
            </w:tcBorders>
            <w:tcMar>
              <w:top w:w="128" w:type="dxa"/>
              <w:left w:w="43" w:type="dxa"/>
              <w:bottom w:w="43" w:type="dxa"/>
              <w:right w:w="43" w:type="dxa"/>
            </w:tcMar>
          </w:tcPr>
          <w:p w14:paraId="18D88A6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42F068" w14:textId="77777777" w:rsidR="00575AC3" w:rsidRPr="006D40F0" w:rsidRDefault="00575AC3" w:rsidP="006D40F0">
            <w:r w:rsidRPr="006D40F0">
              <w:t>Fiskeridirektoratet:</w:t>
            </w:r>
          </w:p>
        </w:tc>
        <w:tc>
          <w:tcPr>
            <w:tcW w:w="1400" w:type="dxa"/>
            <w:tcBorders>
              <w:top w:val="nil"/>
              <w:left w:val="nil"/>
              <w:bottom w:val="nil"/>
              <w:right w:val="nil"/>
            </w:tcBorders>
            <w:tcMar>
              <w:top w:w="128" w:type="dxa"/>
              <w:left w:w="43" w:type="dxa"/>
              <w:bottom w:w="43" w:type="dxa"/>
              <w:right w:w="43" w:type="dxa"/>
            </w:tcMar>
            <w:vAlign w:val="bottom"/>
          </w:tcPr>
          <w:p w14:paraId="110D8ED7" w14:textId="77777777" w:rsidR="00575AC3" w:rsidRPr="006D40F0" w:rsidRDefault="00575AC3" w:rsidP="006D40F0"/>
        </w:tc>
      </w:tr>
      <w:tr w:rsidR="00DD49A7" w:rsidRPr="006D40F0" w14:paraId="574E8C0B" w14:textId="77777777">
        <w:trPr>
          <w:trHeight w:val="380"/>
        </w:trPr>
        <w:tc>
          <w:tcPr>
            <w:tcW w:w="680" w:type="dxa"/>
            <w:tcBorders>
              <w:top w:val="nil"/>
              <w:left w:val="nil"/>
              <w:bottom w:val="nil"/>
              <w:right w:val="nil"/>
            </w:tcBorders>
            <w:tcMar>
              <w:top w:w="128" w:type="dxa"/>
              <w:left w:w="43" w:type="dxa"/>
              <w:bottom w:w="43" w:type="dxa"/>
              <w:right w:w="43" w:type="dxa"/>
            </w:tcMar>
          </w:tcPr>
          <w:p w14:paraId="7D639C3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6C6449"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65025D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BC8F43D" w14:textId="77777777" w:rsidR="00575AC3" w:rsidRPr="006D40F0" w:rsidRDefault="00575AC3" w:rsidP="006D40F0">
            <w:r w:rsidRPr="006D40F0">
              <w:t>6 270 000</w:t>
            </w:r>
          </w:p>
        </w:tc>
      </w:tr>
      <w:tr w:rsidR="00DD49A7" w:rsidRPr="006D40F0" w14:paraId="2F155B6B" w14:textId="77777777">
        <w:trPr>
          <w:trHeight w:val="380"/>
        </w:trPr>
        <w:tc>
          <w:tcPr>
            <w:tcW w:w="680" w:type="dxa"/>
            <w:tcBorders>
              <w:top w:val="nil"/>
              <w:left w:val="nil"/>
              <w:bottom w:val="nil"/>
              <w:right w:val="nil"/>
            </w:tcBorders>
            <w:tcMar>
              <w:top w:w="128" w:type="dxa"/>
              <w:left w:w="43" w:type="dxa"/>
              <w:bottom w:w="43" w:type="dxa"/>
              <w:right w:w="43" w:type="dxa"/>
            </w:tcMar>
          </w:tcPr>
          <w:p w14:paraId="7B5F719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948CE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8EE9A31" w14:textId="77777777" w:rsidR="00575AC3" w:rsidRPr="006D40F0" w:rsidRDefault="00575AC3" w:rsidP="006D40F0">
            <w:r w:rsidRPr="006D40F0">
              <w:t>fra kr 499 900 000 til kr 506 170 000</w:t>
            </w:r>
          </w:p>
        </w:tc>
        <w:tc>
          <w:tcPr>
            <w:tcW w:w="1400" w:type="dxa"/>
            <w:tcBorders>
              <w:top w:val="nil"/>
              <w:left w:val="nil"/>
              <w:bottom w:val="nil"/>
              <w:right w:val="nil"/>
            </w:tcBorders>
            <w:tcMar>
              <w:top w:w="128" w:type="dxa"/>
              <w:left w:w="43" w:type="dxa"/>
              <w:bottom w:w="43" w:type="dxa"/>
              <w:right w:w="43" w:type="dxa"/>
            </w:tcMar>
            <w:vAlign w:val="bottom"/>
          </w:tcPr>
          <w:p w14:paraId="349E1195" w14:textId="77777777" w:rsidR="00575AC3" w:rsidRPr="006D40F0" w:rsidRDefault="00575AC3" w:rsidP="006D40F0"/>
        </w:tc>
      </w:tr>
      <w:tr w:rsidR="00DD49A7" w:rsidRPr="006D40F0" w14:paraId="21E4DE0A" w14:textId="77777777">
        <w:trPr>
          <w:trHeight w:val="380"/>
        </w:trPr>
        <w:tc>
          <w:tcPr>
            <w:tcW w:w="680" w:type="dxa"/>
            <w:tcBorders>
              <w:top w:val="nil"/>
              <w:left w:val="nil"/>
              <w:bottom w:val="nil"/>
              <w:right w:val="nil"/>
            </w:tcBorders>
            <w:tcMar>
              <w:top w:w="128" w:type="dxa"/>
              <w:left w:w="43" w:type="dxa"/>
              <w:bottom w:w="43" w:type="dxa"/>
              <w:right w:w="43" w:type="dxa"/>
            </w:tcMar>
          </w:tcPr>
          <w:p w14:paraId="6160ECF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708CEF"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1EDBA3AA" w14:textId="77777777" w:rsidR="00575AC3" w:rsidRPr="006D40F0" w:rsidRDefault="00575AC3" w:rsidP="006D40F0">
            <w:r w:rsidRPr="006D40F0">
              <w:t xml:space="preserve">Fiskeriforskning og -overvåking,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B226761" w14:textId="77777777" w:rsidR="00575AC3" w:rsidRPr="006D40F0" w:rsidRDefault="00575AC3" w:rsidP="006D40F0">
            <w:r w:rsidRPr="006D40F0">
              <w:t>6 600 000</w:t>
            </w:r>
          </w:p>
        </w:tc>
      </w:tr>
      <w:tr w:rsidR="00DD49A7" w:rsidRPr="006D40F0" w14:paraId="28331898" w14:textId="77777777">
        <w:trPr>
          <w:trHeight w:val="380"/>
        </w:trPr>
        <w:tc>
          <w:tcPr>
            <w:tcW w:w="680" w:type="dxa"/>
            <w:tcBorders>
              <w:top w:val="nil"/>
              <w:left w:val="nil"/>
              <w:bottom w:val="nil"/>
              <w:right w:val="nil"/>
            </w:tcBorders>
            <w:tcMar>
              <w:top w:w="128" w:type="dxa"/>
              <w:left w:w="43" w:type="dxa"/>
              <w:bottom w:w="43" w:type="dxa"/>
              <w:right w:w="43" w:type="dxa"/>
            </w:tcMar>
          </w:tcPr>
          <w:p w14:paraId="6426EB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21394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9F9D2E" w14:textId="77777777" w:rsidR="00575AC3" w:rsidRPr="006D40F0" w:rsidRDefault="00575AC3" w:rsidP="006D40F0">
            <w:r w:rsidRPr="006D40F0">
              <w:t>fra kr 127 900 000 til kr 134 500 000</w:t>
            </w:r>
          </w:p>
        </w:tc>
        <w:tc>
          <w:tcPr>
            <w:tcW w:w="1400" w:type="dxa"/>
            <w:tcBorders>
              <w:top w:val="nil"/>
              <w:left w:val="nil"/>
              <w:bottom w:val="nil"/>
              <w:right w:val="nil"/>
            </w:tcBorders>
            <w:tcMar>
              <w:top w:w="128" w:type="dxa"/>
              <w:left w:w="43" w:type="dxa"/>
              <w:bottom w:w="43" w:type="dxa"/>
              <w:right w:w="43" w:type="dxa"/>
            </w:tcMar>
            <w:vAlign w:val="bottom"/>
          </w:tcPr>
          <w:p w14:paraId="0B5DCAA0" w14:textId="77777777" w:rsidR="00575AC3" w:rsidRPr="006D40F0" w:rsidRDefault="00575AC3" w:rsidP="006D40F0"/>
        </w:tc>
      </w:tr>
      <w:tr w:rsidR="00DD49A7" w:rsidRPr="006D40F0" w14:paraId="38B1DB59" w14:textId="77777777">
        <w:trPr>
          <w:trHeight w:val="380"/>
        </w:trPr>
        <w:tc>
          <w:tcPr>
            <w:tcW w:w="680" w:type="dxa"/>
            <w:tcBorders>
              <w:top w:val="nil"/>
              <w:left w:val="nil"/>
              <w:bottom w:val="nil"/>
              <w:right w:val="nil"/>
            </w:tcBorders>
            <w:tcMar>
              <w:top w:w="128" w:type="dxa"/>
              <w:left w:w="43" w:type="dxa"/>
              <w:bottom w:w="43" w:type="dxa"/>
              <w:right w:w="43" w:type="dxa"/>
            </w:tcMar>
          </w:tcPr>
          <w:p w14:paraId="4B434919"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F5821AA"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231071F1" w14:textId="77777777" w:rsidR="00575AC3" w:rsidRPr="006D40F0" w:rsidRDefault="00575AC3" w:rsidP="006D40F0">
            <w:r w:rsidRPr="006D40F0">
              <w:t>Prisråd for havbruk, bevilges med</w:t>
            </w:r>
          </w:p>
        </w:tc>
        <w:tc>
          <w:tcPr>
            <w:tcW w:w="1400" w:type="dxa"/>
            <w:tcBorders>
              <w:top w:val="nil"/>
              <w:left w:val="nil"/>
              <w:bottom w:val="nil"/>
              <w:right w:val="nil"/>
            </w:tcBorders>
            <w:tcMar>
              <w:top w:w="128" w:type="dxa"/>
              <w:left w:w="43" w:type="dxa"/>
              <w:bottom w:w="43" w:type="dxa"/>
              <w:right w:w="43" w:type="dxa"/>
            </w:tcMar>
            <w:vAlign w:val="bottom"/>
          </w:tcPr>
          <w:p w14:paraId="48EFF5B4" w14:textId="77777777" w:rsidR="00575AC3" w:rsidRPr="006D40F0" w:rsidRDefault="00575AC3" w:rsidP="006D40F0">
            <w:r w:rsidRPr="006D40F0">
              <w:t>12 900 000</w:t>
            </w:r>
          </w:p>
        </w:tc>
      </w:tr>
      <w:tr w:rsidR="00DD49A7" w:rsidRPr="006D40F0" w14:paraId="0AE597BE" w14:textId="77777777">
        <w:trPr>
          <w:trHeight w:val="380"/>
        </w:trPr>
        <w:tc>
          <w:tcPr>
            <w:tcW w:w="680" w:type="dxa"/>
            <w:tcBorders>
              <w:top w:val="nil"/>
              <w:left w:val="nil"/>
              <w:bottom w:val="nil"/>
              <w:right w:val="nil"/>
            </w:tcBorders>
            <w:tcMar>
              <w:top w:w="128" w:type="dxa"/>
              <w:left w:w="43" w:type="dxa"/>
              <w:bottom w:w="43" w:type="dxa"/>
              <w:right w:w="43" w:type="dxa"/>
            </w:tcMar>
          </w:tcPr>
          <w:p w14:paraId="1A38C0D2" w14:textId="77777777" w:rsidR="00575AC3" w:rsidRPr="006D40F0" w:rsidRDefault="00575AC3" w:rsidP="006D40F0">
            <w:r w:rsidRPr="006D40F0">
              <w:t>919</w:t>
            </w:r>
          </w:p>
        </w:tc>
        <w:tc>
          <w:tcPr>
            <w:tcW w:w="680" w:type="dxa"/>
            <w:tcBorders>
              <w:top w:val="nil"/>
              <w:left w:val="nil"/>
              <w:bottom w:val="nil"/>
              <w:right w:val="nil"/>
            </w:tcBorders>
            <w:tcMar>
              <w:top w:w="128" w:type="dxa"/>
              <w:left w:w="43" w:type="dxa"/>
              <w:bottom w:w="43" w:type="dxa"/>
              <w:right w:w="43" w:type="dxa"/>
            </w:tcMar>
          </w:tcPr>
          <w:p w14:paraId="0E4A09D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673C04" w14:textId="77777777" w:rsidR="00575AC3" w:rsidRPr="006D40F0" w:rsidRDefault="00575AC3" w:rsidP="006D40F0">
            <w:r w:rsidRPr="006D40F0">
              <w:t>Diverse fiskeriformål:</w:t>
            </w:r>
          </w:p>
        </w:tc>
        <w:tc>
          <w:tcPr>
            <w:tcW w:w="1400" w:type="dxa"/>
            <w:tcBorders>
              <w:top w:val="nil"/>
              <w:left w:val="nil"/>
              <w:bottom w:val="nil"/>
              <w:right w:val="nil"/>
            </w:tcBorders>
            <w:tcMar>
              <w:top w:w="128" w:type="dxa"/>
              <w:left w:w="43" w:type="dxa"/>
              <w:bottom w:w="43" w:type="dxa"/>
              <w:right w:w="43" w:type="dxa"/>
            </w:tcMar>
            <w:vAlign w:val="bottom"/>
          </w:tcPr>
          <w:p w14:paraId="18763BEC" w14:textId="77777777" w:rsidR="00575AC3" w:rsidRPr="006D40F0" w:rsidRDefault="00575AC3" w:rsidP="006D40F0"/>
        </w:tc>
      </w:tr>
      <w:tr w:rsidR="00DD49A7" w:rsidRPr="006D40F0" w14:paraId="261D5F9F" w14:textId="77777777">
        <w:trPr>
          <w:trHeight w:val="380"/>
        </w:trPr>
        <w:tc>
          <w:tcPr>
            <w:tcW w:w="680" w:type="dxa"/>
            <w:tcBorders>
              <w:top w:val="nil"/>
              <w:left w:val="nil"/>
              <w:bottom w:val="nil"/>
              <w:right w:val="nil"/>
            </w:tcBorders>
            <w:tcMar>
              <w:top w:w="128" w:type="dxa"/>
              <w:left w:w="43" w:type="dxa"/>
              <w:bottom w:w="43" w:type="dxa"/>
              <w:right w:w="43" w:type="dxa"/>
            </w:tcMar>
          </w:tcPr>
          <w:p w14:paraId="24FB00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55F6F1"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18EF4C54" w14:textId="77777777" w:rsidR="00575AC3" w:rsidRPr="006D40F0" w:rsidRDefault="00575AC3" w:rsidP="006D40F0">
            <w:r w:rsidRPr="006D40F0">
              <w:t>Tilskudd til kommuner og fylkeskommuner, forhøyes med</w:t>
            </w:r>
          </w:p>
        </w:tc>
        <w:tc>
          <w:tcPr>
            <w:tcW w:w="1400" w:type="dxa"/>
            <w:tcBorders>
              <w:top w:val="nil"/>
              <w:left w:val="nil"/>
              <w:bottom w:val="nil"/>
              <w:right w:val="nil"/>
            </w:tcBorders>
            <w:tcMar>
              <w:top w:w="128" w:type="dxa"/>
              <w:left w:w="43" w:type="dxa"/>
              <w:bottom w:w="43" w:type="dxa"/>
              <w:right w:w="43" w:type="dxa"/>
            </w:tcMar>
            <w:vAlign w:val="bottom"/>
          </w:tcPr>
          <w:p w14:paraId="2F4FDEA6" w14:textId="77777777" w:rsidR="00575AC3" w:rsidRPr="006D40F0" w:rsidRDefault="00575AC3" w:rsidP="006D40F0">
            <w:r w:rsidRPr="006D40F0">
              <w:t>1 954 500 000</w:t>
            </w:r>
          </w:p>
        </w:tc>
      </w:tr>
      <w:tr w:rsidR="00DD49A7" w:rsidRPr="006D40F0" w14:paraId="7C834EE9" w14:textId="77777777">
        <w:trPr>
          <w:trHeight w:val="380"/>
        </w:trPr>
        <w:tc>
          <w:tcPr>
            <w:tcW w:w="680" w:type="dxa"/>
            <w:tcBorders>
              <w:top w:val="nil"/>
              <w:left w:val="nil"/>
              <w:bottom w:val="nil"/>
              <w:right w:val="nil"/>
            </w:tcBorders>
            <w:tcMar>
              <w:top w:w="128" w:type="dxa"/>
              <w:left w:w="43" w:type="dxa"/>
              <w:bottom w:w="43" w:type="dxa"/>
              <w:right w:w="43" w:type="dxa"/>
            </w:tcMar>
          </w:tcPr>
          <w:p w14:paraId="4FEA1E0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8E75B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45D2E7" w14:textId="77777777" w:rsidR="00575AC3" w:rsidRPr="006D40F0" w:rsidRDefault="00575AC3" w:rsidP="006D40F0">
            <w:r w:rsidRPr="006D40F0">
              <w:t>fra kr 1 197 000 000 til kr 3 151 500 000</w:t>
            </w:r>
          </w:p>
        </w:tc>
        <w:tc>
          <w:tcPr>
            <w:tcW w:w="1400" w:type="dxa"/>
            <w:tcBorders>
              <w:top w:val="nil"/>
              <w:left w:val="nil"/>
              <w:bottom w:val="nil"/>
              <w:right w:val="nil"/>
            </w:tcBorders>
            <w:tcMar>
              <w:top w:w="128" w:type="dxa"/>
              <w:left w:w="43" w:type="dxa"/>
              <w:bottom w:w="43" w:type="dxa"/>
              <w:right w:w="43" w:type="dxa"/>
            </w:tcMar>
            <w:vAlign w:val="bottom"/>
          </w:tcPr>
          <w:p w14:paraId="70B8CC52" w14:textId="77777777" w:rsidR="00575AC3" w:rsidRPr="006D40F0" w:rsidRDefault="00575AC3" w:rsidP="006D40F0"/>
        </w:tc>
      </w:tr>
      <w:tr w:rsidR="00DD49A7" w:rsidRPr="006D40F0" w14:paraId="61765148" w14:textId="77777777">
        <w:trPr>
          <w:trHeight w:val="380"/>
        </w:trPr>
        <w:tc>
          <w:tcPr>
            <w:tcW w:w="680" w:type="dxa"/>
            <w:tcBorders>
              <w:top w:val="nil"/>
              <w:left w:val="nil"/>
              <w:bottom w:val="nil"/>
              <w:right w:val="nil"/>
            </w:tcBorders>
            <w:tcMar>
              <w:top w:w="128" w:type="dxa"/>
              <w:left w:w="43" w:type="dxa"/>
              <w:bottom w:w="43" w:type="dxa"/>
              <w:right w:w="43" w:type="dxa"/>
            </w:tcMar>
          </w:tcPr>
          <w:p w14:paraId="54773AD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19A0EC"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5B3F74DE" w14:textId="77777777" w:rsidR="00575AC3" w:rsidRPr="006D40F0" w:rsidRDefault="00575AC3" w:rsidP="006D40F0">
            <w:r w:rsidRPr="006D40F0">
              <w:t xml:space="preserve">Tilskudd til fiskeriforskning,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C7361A9" w14:textId="77777777" w:rsidR="00575AC3" w:rsidRPr="006D40F0" w:rsidRDefault="00575AC3" w:rsidP="006D40F0">
            <w:r w:rsidRPr="006D40F0">
              <w:t>400 000</w:t>
            </w:r>
          </w:p>
        </w:tc>
      </w:tr>
      <w:tr w:rsidR="00DD49A7" w:rsidRPr="006D40F0" w14:paraId="51C356B5" w14:textId="77777777">
        <w:trPr>
          <w:trHeight w:val="380"/>
        </w:trPr>
        <w:tc>
          <w:tcPr>
            <w:tcW w:w="680" w:type="dxa"/>
            <w:tcBorders>
              <w:top w:val="nil"/>
              <w:left w:val="nil"/>
              <w:bottom w:val="nil"/>
              <w:right w:val="nil"/>
            </w:tcBorders>
            <w:tcMar>
              <w:top w:w="128" w:type="dxa"/>
              <w:left w:w="43" w:type="dxa"/>
              <w:bottom w:w="43" w:type="dxa"/>
              <w:right w:w="43" w:type="dxa"/>
            </w:tcMar>
          </w:tcPr>
          <w:p w14:paraId="13191C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68846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ABDB40" w14:textId="77777777" w:rsidR="00575AC3" w:rsidRPr="006D40F0" w:rsidRDefault="00575AC3" w:rsidP="006D40F0">
            <w:r w:rsidRPr="006D40F0">
              <w:t>fra kr 7 300 000 til kr 7 700 000</w:t>
            </w:r>
          </w:p>
        </w:tc>
        <w:tc>
          <w:tcPr>
            <w:tcW w:w="1400" w:type="dxa"/>
            <w:tcBorders>
              <w:top w:val="nil"/>
              <w:left w:val="nil"/>
              <w:bottom w:val="nil"/>
              <w:right w:val="nil"/>
            </w:tcBorders>
            <w:tcMar>
              <w:top w:w="128" w:type="dxa"/>
              <w:left w:w="43" w:type="dxa"/>
              <w:bottom w:w="43" w:type="dxa"/>
              <w:right w:w="43" w:type="dxa"/>
            </w:tcMar>
            <w:vAlign w:val="bottom"/>
          </w:tcPr>
          <w:p w14:paraId="3D0707CF" w14:textId="77777777" w:rsidR="00575AC3" w:rsidRPr="006D40F0" w:rsidRDefault="00575AC3" w:rsidP="006D40F0"/>
        </w:tc>
      </w:tr>
      <w:tr w:rsidR="00DD49A7" w:rsidRPr="006D40F0" w14:paraId="36E6CA25" w14:textId="77777777">
        <w:trPr>
          <w:trHeight w:val="380"/>
        </w:trPr>
        <w:tc>
          <w:tcPr>
            <w:tcW w:w="680" w:type="dxa"/>
            <w:tcBorders>
              <w:top w:val="nil"/>
              <w:left w:val="nil"/>
              <w:bottom w:val="nil"/>
              <w:right w:val="nil"/>
            </w:tcBorders>
            <w:tcMar>
              <w:top w:w="128" w:type="dxa"/>
              <w:left w:w="43" w:type="dxa"/>
              <w:bottom w:w="43" w:type="dxa"/>
              <w:right w:w="43" w:type="dxa"/>
            </w:tcMar>
          </w:tcPr>
          <w:p w14:paraId="4DE234AC" w14:textId="77777777" w:rsidR="00575AC3" w:rsidRPr="006D40F0" w:rsidRDefault="00575AC3" w:rsidP="006D40F0">
            <w:r w:rsidRPr="006D40F0">
              <w:t>920</w:t>
            </w:r>
          </w:p>
        </w:tc>
        <w:tc>
          <w:tcPr>
            <w:tcW w:w="680" w:type="dxa"/>
            <w:tcBorders>
              <w:top w:val="nil"/>
              <w:left w:val="nil"/>
              <w:bottom w:val="nil"/>
              <w:right w:val="nil"/>
            </w:tcBorders>
            <w:tcMar>
              <w:top w:w="128" w:type="dxa"/>
              <w:left w:w="43" w:type="dxa"/>
              <w:bottom w:w="43" w:type="dxa"/>
              <w:right w:w="43" w:type="dxa"/>
            </w:tcMar>
          </w:tcPr>
          <w:p w14:paraId="7A0B78E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2B497C" w14:textId="77777777" w:rsidR="00575AC3" w:rsidRPr="006D40F0" w:rsidRDefault="00575AC3" w:rsidP="006D40F0">
            <w:r w:rsidRPr="006D40F0">
              <w:t>Norges forskningsråd:</w:t>
            </w:r>
          </w:p>
        </w:tc>
        <w:tc>
          <w:tcPr>
            <w:tcW w:w="1400" w:type="dxa"/>
            <w:tcBorders>
              <w:top w:val="nil"/>
              <w:left w:val="nil"/>
              <w:bottom w:val="nil"/>
              <w:right w:val="nil"/>
            </w:tcBorders>
            <w:tcMar>
              <w:top w:w="128" w:type="dxa"/>
              <w:left w:w="43" w:type="dxa"/>
              <w:bottom w:w="43" w:type="dxa"/>
              <w:right w:w="43" w:type="dxa"/>
            </w:tcMar>
            <w:vAlign w:val="bottom"/>
          </w:tcPr>
          <w:p w14:paraId="08AED9D1" w14:textId="77777777" w:rsidR="00575AC3" w:rsidRPr="006D40F0" w:rsidRDefault="00575AC3" w:rsidP="006D40F0"/>
        </w:tc>
      </w:tr>
      <w:tr w:rsidR="00DD49A7" w:rsidRPr="006D40F0" w14:paraId="73CB13A9" w14:textId="77777777">
        <w:trPr>
          <w:trHeight w:val="640"/>
        </w:trPr>
        <w:tc>
          <w:tcPr>
            <w:tcW w:w="680" w:type="dxa"/>
            <w:tcBorders>
              <w:top w:val="nil"/>
              <w:left w:val="nil"/>
              <w:bottom w:val="nil"/>
              <w:right w:val="nil"/>
            </w:tcBorders>
            <w:tcMar>
              <w:top w:w="128" w:type="dxa"/>
              <w:left w:w="43" w:type="dxa"/>
              <w:bottom w:w="43" w:type="dxa"/>
              <w:right w:w="43" w:type="dxa"/>
            </w:tcMar>
          </w:tcPr>
          <w:p w14:paraId="4EE5AF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7D5078"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4E84FB9C" w14:textId="77777777" w:rsidR="00575AC3" w:rsidRPr="006D40F0" w:rsidRDefault="00575AC3" w:rsidP="006D40F0">
            <w:r w:rsidRPr="006D40F0">
              <w:t>Tilskudd til næringsrettet forskning og grunnbevilgning til teknisk-industrielle institutter mv., nedsettes med</w:t>
            </w:r>
          </w:p>
        </w:tc>
        <w:tc>
          <w:tcPr>
            <w:tcW w:w="1400" w:type="dxa"/>
            <w:tcBorders>
              <w:top w:val="nil"/>
              <w:left w:val="nil"/>
              <w:bottom w:val="nil"/>
              <w:right w:val="nil"/>
            </w:tcBorders>
            <w:tcMar>
              <w:top w:w="128" w:type="dxa"/>
              <w:left w:w="43" w:type="dxa"/>
              <w:bottom w:w="43" w:type="dxa"/>
              <w:right w:w="43" w:type="dxa"/>
            </w:tcMar>
            <w:vAlign w:val="bottom"/>
          </w:tcPr>
          <w:p w14:paraId="5EB57EB7" w14:textId="77777777" w:rsidR="00575AC3" w:rsidRPr="006D40F0" w:rsidRDefault="00575AC3" w:rsidP="006D40F0">
            <w:r w:rsidRPr="006D40F0">
              <w:t>7 200 000</w:t>
            </w:r>
          </w:p>
        </w:tc>
      </w:tr>
      <w:tr w:rsidR="00DD49A7" w:rsidRPr="006D40F0" w14:paraId="164431D4" w14:textId="77777777">
        <w:trPr>
          <w:trHeight w:val="380"/>
        </w:trPr>
        <w:tc>
          <w:tcPr>
            <w:tcW w:w="680" w:type="dxa"/>
            <w:tcBorders>
              <w:top w:val="nil"/>
              <w:left w:val="nil"/>
              <w:bottom w:val="nil"/>
              <w:right w:val="nil"/>
            </w:tcBorders>
            <w:tcMar>
              <w:top w:w="128" w:type="dxa"/>
              <w:left w:w="43" w:type="dxa"/>
              <w:bottom w:w="43" w:type="dxa"/>
              <w:right w:w="43" w:type="dxa"/>
            </w:tcMar>
          </w:tcPr>
          <w:p w14:paraId="50BE2A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7C4C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D913D12" w14:textId="77777777" w:rsidR="00575AC3" w:rsidRPr="006D40F0" w:rsidRDefault="00575AC3" w:rsidP="006D40F0">
            <w:r w:rsidRPr="006D40F0">
              <w:t>fra kr 1 652 000 000 til kr 1 644 800 000</w:t>
            </w:r>
          </w:p>
        </w:tc>
        <w:tc>
          <w:tcPr>
            <w:tcW w:w="1400" w:type="dxa"/>
            <w:tcBorders>
              <w:top w:val="nil"/>
              <w:left w:val="nil"/>
              <w:bottom w:val="nil"/>
              <w:right w:val="nil"/>
            </w:tcBorders>
            <w:tcMar>
              <w:top w:w="128" w:type="dxa"/>
              <w:left w:w="43" w:type="dxa"/>
              <w:bottom w:w="43" w:type="dxa"/>
              <w:right w:w="43" w:type="dxa"/>
            </w:tcMar>
            <w:vAlign w:val="bottom"/>
          </w:tcPr>
          <w:p w14:paraId="47E0CDCE" w14:textId="77777777" w:rsidR="00575AC3" w:rsidRPr="006D40F0" w:rsidRDefault="00575AC3" w:rsidP="006D40F0"/>
        </w:tc>
      </w:tr>
      <w:tr w:rsidR="00DD49A7" w:rsidRPr="006D40F0" w14:paraId="506143B8" w14:textId="77777777">
        <w:trPr>
          <w:trHeight w:val="640"/>
        </w:trPr>
        <w:tc>
          <w:tcPr>
            <w:tcW w:w="680" w:type="dxa"/>
            <w:tcBorders>
              <w:top w:val="nil"/>
              <w:left w:val="nil"/>
              <w:bottom w:val="nil"/>
              <w:right w:val="nil"/>
            </w:tcBorders>
            <w:tcMar>
              <w:top w:w="128" w:type="dxa"/>
              <w:left w:w="43" w:type="dxa"/>
              <w:bottom w:w="43" w:type="dxa"/>
              <w:right w:w="43" w:type="dxa"/>
            </w:tcMar>
          </w:tcPr>
          <w:p w14:paraId="51384B4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AC1A7C" w14:textId="77777777" w:rsidR="00575AC3" w:rsidRPr="006D40F0" w:rsidRDefault="00575AC3" w:rsidP="006D40F0">
            <w:r w:rsidRPr="006D40F0">
              <w:t>51</w:t>
            </w:r>
          </w:p>
        </w:tc>
        <w:tc>
          <w:tcPr>
            <w:tcW w:w="6800" w:type="dxa"/>
            <w:tcBorders>
              <w:top w:val="nil"/>
              <w:left w:val="nil"/>
              <w:bottom w:val="nil"/>
              <w:right w:val="nil"/>
            </w:tcBorders>
            <w:tcMar>
              <w:top w:w="128" w:type="dxa"/>
              <w:left w:w="43" w:type="dxa"/>
              <w:bottom w:w="43" w:type="dxa"/>
              <w:right w:w="43" w:type="dxa"/>
            </w:tcMar>
          </w:tcPr>
          <w:p w14:paraId="2080FC63" w14:textId="77777777" w:rsidR="00575AC3" w:rsidRPr="006D40F0" w:rsidRDefault="00575AC3" w:rsidP="006D40F0">
            <w:r w:rsidRPr="006D40F0">
              <w:t>Tilskudd til marin og maritim forskning og grunnbevilgning til primærnæringsinstitutter mv., nedsettes med</w:t>
            </w:r>
          </w:p>
        </w:tc>
        <w:tc>
          <w:tcPr>
            <w:tcW w:w="1400" w:type="dxa"/>
            <w:tcBorders>
              <w:top w:val="nil"/>
              <w:left w:val="nil"/>
              <w:bottom w:val="nil"/>
              <w:right w:val="nil"/>
            </w:tcBorders>
            <w:tcMar>
              <w:top w:w="128" w:type="dxa"/>
              <w:left w:w="43" w:type="dxa"/>
              <w:bottom w:w="43" w:type="dxa"/>
              <w:right w:w="43" w:type="dxa"/>
            </w:tcMar>
            <w:vAlign w:val="bottom"/>
          </w:tcPr>
          <w:p w14:paraId="0F5F26D4" w14:textId="77777777" w:rsidR="00575AC3" w:rsidRPr="006D40F0" w:rsidRDefault="00575AC3" w:rsidP="006D40F0">
            <w:r w:rsidRPr="006D40F0">
              <w:t>2 800 000</w:t>
            </w:r>
          </w:p>
        </w:tc>
      </w:tr>
      <w:tr w:rsidR="00DD49A7" w:rsidRPr="006D40F0" w14:paraId="280B1444" w14:textId="77777777">
        <w:trPr>
          <w:trHeight w:val="380"/>
        </w:trPr>
        <w:tc>
          <w:tcPr>
            <w:tcW w:w="680" w:type="dxa"/>
            <w:tcBorders>
              <w:top w:val="nil"/>
              <w:left w:val="nil"/>
              <w:bottom w:val="nil"/>
              <w:right w:val="nil"/>
            </w:tcBorders>
            <w:tcMar>
              <w:top w:w="128" w:type="dxa"/>
              <w:left w:w="43" w:type="dxa"/>
              <w:bottom w:w="43" w:type="dxa"/>
              <w:right w:w="43" w:type="dxa"/>
            </w:tcMar>
          </w:tcPr>
          <w:p w14:paraId="3E6FC63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149D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F8748E" w14:textId="77777777" w:rsidR="00575AC3" w:rsidRPr="006D40F0" w:rsidRDefault="00575AC3" w:rsidP="006D40F0">
            <w:r w:rsidRPr="006D40F0">
              <w:t>fra kr 611 500 000 til kr 608 700 000</w:t>
            </w:r>
          </w:p>
        </w:tc>
        <w:tc>
          <w:tcPr>
            <w:tcW w:w="1400" w:type="dxa"/>
            <w:tcBorders>
              <w:top w:val="nil"/>
              <w:left w:val="nil"/>
              <w:bottom w:val="nil"/>
              <w:right w:val="nil"/>
            </w:tcBorders>
            <w:tcMar>
              <w:top w:w="128" w:type="dxa"/>
              <w:left w:w="43" w:type="dxa"/>
              <w:bottom w:w="43" w:type="dxa"/>
              <w:right w:w="43" w:type="dxa"/>
            </w:tcMar>
            <w:vAlign w:val="bottom"/>
          </w:tcPr>
          <w:p w14:paraId="4C9C6CE9" w14:textId="77777777" w:rsidR="00575AC3" w:rsidRPr="006D40F0" w:rsidRDefault="00575AC3" w:rsidP="006D40F0"/>
        </w:tc>
      </w:tr>
      <w:tr w:rsidR="00DD49A7" w:rsidRPr="006D40F0" w14:paraId="7DA37719" w14:textId="77777777">
        <w:trPr>
          <w:trHeight w:val="380"/>
        </w:trPr>
        <w:tc>
          <w:tcPr>
            <w:tcW w:w="680" w:type="dxa"/>
            <w:tcBorders>
              <w:top w:val="nil"/>
              <w:left w:val="nil"/>
              <w:bottom w:val="nil"/>
              <w:right w:val="nil"/>
            </w:tcBorders>
            <w:tcMar>
              <w:top w:w="128" w:type="dxa"/>
              <w:left w:w="43" w:type="dxa"/>
              <w:bottom w:w="43" w:type="dxa"/>
              <w:right w:w="43" w:type="dxa"/>
            </w:tcMar>
          </w:tcPr>
          <w:p w14:paraId="4C154494" w14:textId="77777777" w:rsidR="00575AC3" w:rsidRPr="006D40F0" w:rsidRDefault="00575AC3" w:rsidP="006D40F0">
            <w:r w:rsidRPr="006D40F0">
              <w:t>922</w:t>
            </w:r>
          </w:p>
        </w:tc>
        <w:tc>
          <w:tcPr>
            <w:tcW w:w="680" w:type="dxa"/>
            <w:tcBorders>
              <w:top w:val="nil"/>
              <w:left w:val="nil"/>
              <w:bottom w:val="nil"/>
              <w:right w:val="nil"/>
            </w:tcBorders>
            <w:tcMar>
              <w:top w:w="128" w:type="dxa"/>
              <w:left w:w="43" w:type="dxa"/>
              <w:bottom w:w="43" w:type="dxa"/>
              <w:right w:w="43" w:type="dxa"/>
            </w:tcMar>
          </w:tcPr>
          <w:p w14:paraId="66F4AD5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3ABD38D" w14:textId="77777777" w:rsidR="00575AC3" w:rsidRPr="006D40F0" w:rsidRDefault="00575AC3" w:rsidP="006D40F0">
            <w:r w:rsidRPr="006D40F0">
              <w:t>Romvirksomhet:</w:t>
            </w:r>
          </w:p>
        </w:tc>
        <w:tc>
          <w:tcPr>
            <w:tcW w:w="1400" w:type="dxa"/>
            <w:tcBorders>
              <w:top w:val="nil"/>
              <w:left w:val="nil"/>
              <w:bottom w:val="nil"/>
              <w:right w:val="nil"/>
            </w:tcBorders>
            <w:tcMar>
              <w:top w:w="128" w:type="dxa"/>
              <w:left w:w="43" w:type="dxa"/>
              <w:bottom w:w="43" w:type="dxa"/>
              <w:right w:w="43" w:type="dxa"/>
            </w:tcMar>
            <w:vAlign w:val="bottom"/>
          </w:tcPr>
          <w:p w14:paraId="01DFB15A" w14:textId="77777777" w:rsidR="00575AC3" w:rsidRPr="006D40F0" w:rsidRDefault="00575AC3" w:rsidP="006D40F0"/>
        </w:tc>
      </w:tr>
      <w:tr w:rsidR="00DD49A7" w:rsidRPr="006D40F0" w14:paraId="0D2645DB" w14:textId="77777777">
        <w:trPr>
          <w:trHeight w:val="380"/>
        </w:trPr>
        <w:tc>
          <w:tcPr>
            <w:tcW w:w="680" w:type="dxa"/>
            <w:tcBorders>
              <w:top w:val="nil"/>
              <w:left w:val="nil"/>
              <w:bottom w:val="nil"/>
              <w:right w:val="nil"/>
            </w:tcBorders>
            <w:tcMar>
              <w:top w:w="128" w:type="dxa"/>
              <w:left w:w="43" w:type="dxa"/>
              <w:bottom w:w="43" w:type="dxa"/>
              <w:right w:w="43" w:type="dxa"/>
            </w:tcMar>
          </w:tcPr>
          <w:p w14:paraId="031CFD2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27E64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37BA2556" w14:textId="77777777" w:rsidR="00575AC3" w:rsidRPr="006D40F0" w:rsidRDefault="00575AC3" w:rsidP="006D40F0">
            <w:r w:rsidRPr="006D40F0">
              <w:t xml:space="preserve">Kontingent i European Space </w:t>
            </w:r>
            <w:proofErr w:type="spellStart"/>
            <w:r w:rsidRPr="006D40F0">
              <w:t>Agency</w:t>
            </w:r>
            <w:proofErr w:type="spellEnd"/>
            <w:r w:rsidRPr="006D40F0">
              <w:t xml:space="preserve"> (ESA), nedsettes med</w:t>
            </w:r>
          </w:p>
        </w:tc>
        <w:tc>
          <w:tcPr>
            <w:tcW w:w="1400" w:type="dxa"/>
            <w:tcBorders>
              <w:top w:val="nil"/>
              <w:left w:val="nil"/>
              <w:bottom w:val="nil"/>
              <w:right w:val="nil"/>
            </w:tcBorders>
            <w:tcMar>
              <w:top w:w="128" w:type="dxa"/>
              <w:left w:w="43" w:type="dxa"/>
              <w:bottom w:w="43" w:type="dxa"/>
              <w:right w:w="43" w:type="dxa"/>
            </w:tcMar>
            <w:vAlign w:val="bottom"/>
          </w:tcPr>
          <w:p w14:paraId="7B372228" w14:textId="77777777" w:rsidR="00575AC3" w:rsidRPr="006D40F0" w:rsidRDefault="00575AC3" w:rsidP="006D40F0">
            <w:r w:rsidRPr="006D40F0">
              <w:t>24 930 000</w:t>
            </w:r>
          </w:p>
        </w:tc>
      </w:tr>
      <w:tr w:rsidR="00DD49A7" w:rsidRPr="006D40F0" w14:paraId="00C52600" w14:textId="77777777">
        <w:trPr>
          <w:trHeight w:val="380"/>
        </w:trPr>
        <w:tc>
          <w:tcPr>
            <w:tcW w:w="680" w:type="dxa"/>
            <w:tcBorders>
              <w:top w:val="nil"/>
              <w:left w:val="nil"/>
              <w:bottom w:val="nil"/>
              <w:right w:val="nil"/>
            </w:tcBorders>
            <w:tcMar>
              <w:top w:w="128" w:type="dxa"/>
              <w:left w:w="43" w:type="dxa"/>
              <w:bottom w:w="43" w:type="dxa"/>
              <w:right w:w="43" w:type="dxa"/>
            </w:tcMar>
          </w:tcPr>
          <w:p w14:paraId="105296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69A7E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5B4E11" w14:textId="77777777" w:rsidR="00575AC3" w:rsidRPr="006D40F0" w:rsidRDefault="00575AC3" w:rsidP="006D40F0">
            <w:r w:rsidRPr="006D40F0">
              <w:t>fra kr 291 400 000 til kr 266 470 000</w:t>
            </w:r>
          </w:p>
        </w:tc>
        <w:tc>
          <w:tcPr>
            <w:tcW w:w="1400" w:type="dxa"/>
            <w:tcBorders>
              <w:top w:val="nil"/>
              <w:left w:val="nil"/>
              <w:bottom w:val="nil"/>
              <w:right w:val="nil"/>
            </w:tcBorders>
            <w:tcMar>
              <w:top w:w="128" w:type="dxa"/>
              <w:left w:w="43" w:type="dxa"/>
              <w:bottom w:w="43" w:type="dxa"/>
              <w:right w:w="43" w:type="dxa"/>
            </w:tcMar>
            <w:vAlign w:val="bottom"/>
          </w:tcPr>
          <w:p w14:paraId="5CCEB366" w14:textId="77777777" w:rsidR="00575AC3" w:rsidRPr="006D40F0" w:rsidRDefault="00575AC3" w:rsidP="006D40F0"/>
        </w:tc>
      </w:tr>
      <w:tr w:rsidR="00DD49A7" w:rsidRPr="006D40F0" w14:paraId="67BF614E" w14:textId="77777777">
        <w:trPr>
          <w:trHeight w:val="380"/>
        </w:trPr>
        <w:tc>
          <w:tcPr>
            <w:tcW w:w="680" w:type="dxa"/>
            <w:tcBorders>
              <w:top w:val="nil"/>
              <w:left w:val="nil"/>
              <w:bottom w:val="nil"/>
              <w:right w:val="nil"/>
            </w:tcBorders>
            <w:tcMar>
              <w:top w:w="128" w:type="dxa"/>
              <w:left w:w="43" w:type="dxa"/>
              <w:bottom w:w="43" w:type="dxa"/>
              <w:right w:w="43" w:type="dxa"/>
            </w:tcMar>
          </w:tcPr>
          <w:p w14:paraId="264F8E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1E005C"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7B00B607" w14:textId="77777777" w:rsidR="00575AC3" w:rsidRPr="006D40F0" w:rsidRDefault="00575AC3" w:rsidP="006D40F0">
            <w:r w:rsidRPr="006D40F0">
              <w:t>Internasjonal romvirksomhet, nedsettes med</w:t>
            </w:r>
          </w:p>
        </w:tc>
        <w:tc>
          <w:tcPr>
            <w:tcW w:w="1400" w:type="dxa"/>
            <w:tcBorders>
              <w:top w:val="nil"/>
              <w:left w:val="nil"/>
              <w:bottom w:val="nil"/>
              <w:right w:val="nil"/>
            </w:tcBorders>
            <w:tcMar>
              <w:top w:w="128" w:type="dxa"/>
              <w:left w:w="43" w:type="dxa"/>
              <w:bottom w:w="43" w:type="dxa"/>
              <w:right w:w="43" w:type="dxa"/>
            </w:tcMar>
            <w:vAlign w:val="bottom"/>
          </w:tcPr>
          <w:p w14:paraId="65542293" w14:textId="77777777" w:rsidR="00575AC3" w:rsidRPr="006D40F0" w:rsidRDefault="00575AC3" w:rsidP="006D40F0">
            <w:r w:rsidRPr="006D40F0">
              <w:t>133 800 000</w:t>
            </w:r>
          </w:p>
        </w:tc>
      </w:tr>
      <w:tr w:rsidR="00DD49A7" w:rsidRPr="006D40F0" w14:paraId="05F819E1" w14:textId="77777777">
        <w:trPr>
          <w:trHeight w:val="380"/>
        </w:trPr>
        <w:tc>
          <w:tcPr>
            <w:tcW w:w="680" w:type="dxa"/>
            <w:tcBorders>
              <w:top w:val="nil"/>
              <w:left w:val="nil"/>
              <w:bottom w:val="nil"/>
              <w:right w:val="nil"/>
            </w:tcBorders>
            <w:tcMar>
              <w:top w:w="128" w:type="dxa"/>
              <w:left w:w="43" w:type="dxa"/>
              <w:bottom w:w="43" w:type="dxa"/>
              <w:right w:w="43" w:type="dxa"/>
            </w:tcMar>
          </w:tcPr>
          <w:p w14:paraId="3404C98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B2F70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BAFAD2" w14:textId="77777777" w:rsidR="00575AC3" w:rsidRPr="006D40F0" w:rsidRDefault="00575AC3" w:rsidP="006D40F0">
            <w:r w:rsidRPr="006D40F0">
              <w:t>fra kr 642 400 000 til kr 508 600 000</w:t>
            </w:r>
          </w:p>
        </w:tc>
        <w:tc>
          <w:tcPr>
            <w:tcW w:w="1400" w:type="dxa"/>
            <w:tcBorders>
              <w:top w:val="nil"/>
              <w:left w:val="nil"/>
              <w:bottom w:val="nil"/>
              <w:right w:val="nil"/>
            </w:tcBorders>
            <w:tcMar>
              <w:top w:w="128" w:type="dxa"/>
              <w:left w:w="43" w:type="dxa"/>
              <w:bottom w:w="43" w:type="dxa"/>
              <w:right w:w="43" w:type="dxa"/>
            </w:tcMar>
            <w:vAlign w:val="bottom"/>
          </w:tcPr>
          <w:p w14:paraId="4234FDC4" w14:textId="77777777" w:rsidR="00575AC3" w:rsidRPr="006D40F0" w:rsidRDefault="00575AC3" w:rsidP="006D40F0"/>
        </w:tc>
      </w:tr>
      <w:tr w:rsidR="00DD49A7" w:rsidRPr="006D40F0" w14:paraId="38031089" w14:textId="77777777">
        <w:trPr>
          <w:trHeight w:val="380"/>
        </w:trPr>
        <w:tc>
          <w:tcPr>
            <w:tcW w:w="680" w:type="dxa"/>
            <w:tcBorders>
              <w:top w:val="nil"/>
              <w:left w:val="nil"/>
              <w:bottom w:val="nil"/>
              <w:right w:val="nil"/>
            </w:tcBorders>
            <w:tcMar>
              <w:top w:w="128" w:type="dxa"/>
              <w:left w:w="43" w:type="dxa"/>
              <w:bottom w:w="43" w:type="dxa"/>
              <w:right w:w="43" w:type="dxa"/>
            </w:tcMar>
          </w:tcPr>
          <w:p w14:paraId="1A057F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03506D"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7A3157B6" w14:textId="77777777" w:rsidR="00575AC3" w:rsidRPr="006D40F0" w:rsidRDefault="00575AC3" w:rsidP="006D40F0">
            <w:r w:rsidRPr="006D40F0">
              <w:t>EUs romprogrammer, nedsettes med</w:t>
            </w:r>
          </w:p>
        </w:tc>
        <w:tc>
          <w:tcPr>
            <w:tcW w:w="1400" w:type="dxa"/>
            <w:tcBorders>
              <w:top w:val="nil"/>
              <w:left w:val="nil"/>
              <w:bottom w:val="nil"/>
              <w:right w:val="nil"/>
            </w:tcBorders>
            <w:tcMar>
              <w:top w:w="128" w:type="dxa"/>
              <w:left w:w="43" w:type="dxa"/>
              <w:bottom w:w="43" w:type="dxa"/>
              <w:right w:w="43" w:type="dxa"/>
            </w:tcMar>
            <w:vAlign w:val="bottom"/>
          </w:tcPr>
          <w:p w14:paraId="51FED375" w14:textId="77777777" w:rsidR="00575AC3" w:rsidRPr="006D40F0" w:rsidRDefault="00575AC3" w:rsidP="006D40F0">
            <w:r w:rsidRPr="006D40F0">
              <w:t>62 300 000</w:t>
            </w:r>
          </w:p>
        </w:tc>
      </w:tr>
      <w:tr w:rsidR="00DD49A7" w:rsidRPr="006D40F0" w14:paraId="4B31527E" w14:textId="77777777">
        <w:trPr>
          <w:trHeight w:val="380"/>
        </w:trPr>
        <w:tc>
          <w:tcPr>
            <w:tcW w:w="680" w:type="dxa"/>
            <w:tcBorders>
              <w:top w:val="nil"/>
              <w:left w:val="nil"/>
              <w:bottom w:val="nil"/>
              <w:right w:val="nil"/>
            </w:tcBorders>
            <w:tcMar>
              <w:top w:w="128" w:type="dxa"/>
              <w:left w:w="43" w:type="dxa"/>
              <w:bottom w:w="43" w:type="dxa"/>
              <w:right w:w="43" w:type="dxa"/>
            </w:tcMar>
          </w:tcPr>
          <w:p w14:paraId="689E3A3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92C907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AF3DC8" w14:textId="77777777" w:rsidR="00575AC3" w:rsidRPr="006D40F0" w:rsidRDefault="00575AC3" w:rsidP="006D40F0">
            <w:r w:rsidRPr="006D40F0">
              <w:t>fra kr 886 700 000 til kr 824 400 000</w:t>
            </w:r>
          </w:p>
        </w:tc>
        <w:tc>
          <w:tcPr>
            <w:tcW w:w="1400" w:type="dxa"/>
            <w:tcBorders>
              <w:top w:val="nil"/>
              <w:left w:val="nil"/>
              <w:bottom w:val="nil"/>
              <w:right w:val="nil"/>
            </w:tcBorders>
            <w:tcMar>
              <w:top w:w="128" w:type="dxa"/>
              <w:left w:w="43" w:type="dxa"/>
              <w:bottom w:w="43" w:type="dxa"/>
              <w:right w:w="43" w:type="dxa"/>
            </w:tcMar>
            <w:vAlign w:val="bottom"/>
          </w:tcPr>
          <w:p w14:paraId="26E21AF8" w14:textId="77777777" w:rsidR="00575AC3" w:rsidRPr="006D40F0" w:rsidRDefault="00575AC3" w:rsidP="006D40F0"/>
        </w:tc>
      </w:tr>
      <w:tr w:rsidR="00DD49A7" w:rsidRPr="006D40F0" w14:paraId="5F420885" w14:textId="77777777">
        <w:trPr>
          <w:trHeight w:val="640"/>
        </w:trPr>
        <w:tc>
          <w:tcPr>
            <w:tcW w:w="680" w:type="dxa"/>
            <w:tcBorders>
              <w:top w:val="nil"/>
              <w:left w:val="nil"/>
              <w:bottom w:val="nil"/>
              <w:right w:val="nil"/>
            </w:tcBorders>
            <w:tcMar>
              <w:top w:w="128" w:type="dxa"/>
              <w:left w:w="43" w:type="dxa"/>
              <w:bottom w:w="43" w:type="dxa"/>
              <w:right w:w="43" w:type="dxa"/>
            </w:tcMar>
          </w:tcPr>
          <w:p w14:paraId="3E3680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F2F23E"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4244115C" w14:textId="77777777" w:rsidR="00575AC3" w:rsidRPr="006D40F0" w:rsidRDefault="00575AC3" w:rsidP="006D40F0">
            <w:r w:rsidRPr="006D40F0">
              <w:t xml:space="preserve">Nasjonal infrastruktur og tekniske aktiviteter,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85AD249" w14:textId="77777777" w:rsidR="00575AC3" w:rsidRPr="006D40F0" w:rsidRDefault="00575AC3" w:rsidP="006D40F0">
            <w:r w:rsidRPr="006D40F0">
              <w:t>5 000 000</w:t>
            </w:r>
          </w:p>
        </w:tc>
      </w:tr>
      <w:tr w:rsidR="00DD49A7" w:rsidRPr="006D40F0" w14:paraId="1B598B42" w14:textId="77777777">
        <w:trPr>
          <w:trHeight w:val="380"/>
        </w:trPr>
        <w:tc>
          <w:tcPr>
            <w:tcW w:w="680" w:type="dxa"/>
            <w:tcBorders>
              <w:top w:val="nil"/>
              <w:left w:val="nil"/>
              <w:bottom w:val="nil"/>
              <w:right w:val="nil"/>
            </w:tcBorders>
            <w:tcMar>
              <w:top w:w="128" w:type="dxa"/>
              <w:left w:w="43" w:type="dxa"/>
              <w:bottom w:w="43" w:type="dxa"/>
              <w:right w:w="43" w:type="dxa"/>
            </w:tcMar>
          </w:tcPr>
          <w:p w14:paraId="034DB38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ED1A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11A015C" w14:textId="77777777" w:rsidR="00575AC3" w:rsidRPr="006D40F0" w:rsidRDefault="00575AC3" w:rsidP="006D40F0">
            <w:r w:rsidRPr="006D40F0">
              <w:t>fra kr 133 221 000 til kr 128 221 000</w:t>
            </w:r>
          </w:p>
        </w:tc>
        <w:tc>
          <w:tcPr>
            <w:tcW w:w="1400" w:type="dxa"/>
            <w:tcBorders>
              <w:top w:val="nil"/>
              <w:left w:val="nil"/>
              <w:bottom w:val="nil"/>
              <w:right w:val="nil"/>
            </w:tcBorders>
            <w:tcMar>
              <w:top w:w="128" w:type="dxa"/>
              <w:left w:w="43" w:type="dxa"/>
              <w:bottom w:w="43" w:type="dxa"/>
              <w:right w:w="43" w:type="dxa"/>
            </w:tcMar>
            <w:vAlign w:val="bottom"/>
          </w:tcPr>
          <w:p w14:paraId="3DB31C82" w14:textId="77777777" w:rsidR="00575AC3" w:rsidRPr="006D40F0" w:rsidRDefault="00575AC3" w:rsidP="006D40F0"/>
        </w:tc>
      </w:tr>
      <w:tr w:rsidR="00DD49A7" w:rsidRPr="006D40F0" w14:paraId="6AE27904" w14:textId="77777777">
        <w:trPr>
          <w:trHeight w:val="640"/>
        </w:trPr>
        <w:tc>
          <w:tcPr>
            <w:tcW w:w="680" w:type="dxa"/>
            <w:tcBorders>
              <w:top w:val="nil"/>
              <w:left w:val="nil"/>
              <w:bottom w:val="nil"/>
              <w:right w:val="nil"/>
            </w:tcBorders>
            <w:tcMar>
              <w:top w:w="128" w:type="dxa"/>
              <w:left w:w="43" w:type="dxa"/>
              <w:bottom w:w="43" w:type="dxa"/>
              <w:right w:w="43" w:type="dxa"/>
            </w:tcMar>
          </w:tcPr>
          <w:p w14:paraId="55402942"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97BB15B"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394FA482" w14:textId="77777777" w:rsidR="00575AC3" w:rsidRPr="006D40F0" w:rsidRDefault="00575AC3" w:rsidP="006D40F0">
            <w:r w:rsidRPr="006D40F0">
              <w:t xml:space="preserve">Tilskuddsordning tilknyttet nasjonalt senter for jordobservasjon i Tromsø, </w:t>
            </w:r>
            <w:r w:rsidRPr="00575AC3">
              <w:rPr>
                <w:rStyle w:val="kursiv"/>
              </w:rPr>
              <w:t>kan overføres,</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3F66EEC3" w14:textId="77777777" w:rsidR="00575AC3" w:rsidRPr="006D40F0" w:rsidRDefault="00575AC3" w:rsidP="006D40F0">
            <w:r w:rsidRPr="006D40F0">
              <w:t>5 000 000</w:t>
            </w:r>
          </w:p>
        </w:tc>
      </w:tr>
      <w:tr w:rsidR="00DD49A7" w:rsidRPr="006D40F0" w14:paraId="2987F6D9" w14:textId="77777777">
        <w:trPr>
          <w:trHeight w:val="380"/>
        </w:trPr>
        <w:tc>
          <w:tcPr>
            <w:tcW w:w="680" w:type="dxa"/>
            <w:tcBorders>
              <w:top w:val="nil"/>
              <w:left w:val="nil"/>
              <w:bottom w:val="nil"/>
              <w:right w:val="nil"/>
            </w:tcBorders>
            <w:tcMar>
              <w:top w:w="128" w:type="dxa"/>
              <w:left w:w="43" w:type="dxa"/>
              <w:bottom w:w="43" w:type="dxa"/>
              <w:right w:w="43" w:type="dxa"/>
            </w:tcMar>
          </w:tcPr>
          <w:p w14:paraId="0D4987EA" w14:textId="77777777" w:rsidR="00575AC3" w:rsidRPr="006D40F0" w:rsidRDefault="00575AC3" w:rsidP="006D40F0">
            <w:r w:rsidRPr="006D40F0">
              <w:t>923</w:t>
            </w:r>
          </w:p>
        </w:tc>
        <w:tc>
          <w:tcPr>
            <w:tcW w:w="680" w:type="dxa"/>
            <w:tcBorders>
              <w:top w:val="nil"/>
              <w:left w:val="nil"/>
              <w:bottom w:val="nil"/>
              <w:right w:val="nil"/>
            </w:tcBorders>
            <w:tcMar>
              <w:top w:w="128" w:type="dxa"/>
              <w:left w:w="43" w:type="dxa"/>
              <w:bottom w:w="43" w:type="dxa"/>
              <w:right w:w="43" w:type="dxa"/>
            </w:tcMar>
          </w:tcPr>
          <w:p w14:paraId="58EFE06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5813C7F" w14:textId="77777777" w:rsidR="00575AC3" w:rsidRPr="006D40F0" w:rsidRDefault="00575AC3" w:rsidP="006D40F0">
            <w:r w:rsidRPr="006D40F0">
              <w:t>Havforskningsinstituttet:</w:t>
            </w:r>
          </w:p>
        </w:tc>
        <w:tc>
          <w:tcPr>
            <w:tcW w:w="1400" w:type="dxa"/>
            <w:tcBorders>
              <w:top w:val="nil"/>
              <w:left w:val="nil"/>
              <w:bottom w:val="nil"/>
              <w:right w:val="nil"/>
            </w:tcBorders>
            <w:tcMar>
              <w:top w:w="128" w:type="dxa"/>
              <w:left w:w="43" w:type="dxa"/>
              <w:bottom w:w="43" w:type="dxa"/>
              <w:right w:w="43" w:type="dxa"/>
            </w:tcMar>
            <w:vAlign w:val="bottom"/>
          </w:tcPr>
          <w:p w14:paraId="49FA7C86" w14:textId="77777777" w:rsidR="00575AC3" w:rsidRPr="006D40F0" w:rsidRDefault="00575AC3" w:rsidP="006D40F0"/>
        </w:tc>
      </w:tr>
      <w:tr w:rsidR="00DD49A7" w:rsidRPr="006D40F0" w14:paraId="5C0BBFDE" w14:textId="77777777">
        <w:trPr>
          <w:trHeight w:val="380"/>
        </w:trPr>
        <w:tc>
          <w:tcPr>
            <w:tcW w:w="680" w:type="dxa"/>
            <w:tcBorders>
              <w:top w:val="nil"/>
              <w:left w:val="nil"/>
              <w:bottom w:val="nil"/>
              <w:right w:val="nil"/>
            </w:tcBorders>
            <w:tcMar>
              <w:top w:w="128" w:type="dxa"/>
              <w:left w:w="43" w:type="dxa"/>
              <w:bottom w:w="43" w:type="dxa"/>
              <w:right w:w="43" w:type="dxa"/>
            </w:tcMar>
          </w:tcPr>
          <w:p w14:paraId="6015B85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4D2BA8"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7790AE42" w14:textId="77777777" w:rsidR="00575AC3" w:rsidRPr="006D40F0" w:rsidRDefault="00575AC3" w:rsidP="006D40F0">
            <w:r w:rsidRPr="006D40F0">
              <w:t xml:space="preserve">Fiskeriforskning og -overvåking,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47A1F34" w14:textId="77777777" w:rsidR="00575AC3" w:rsidRPr="006D40F0" w:rsidRDefault="00575AC3" w:rsidP="006D40F0">
            <w:r w:rsidRPr="006D40F0">
              <w:t>11 800 000</w:t>
            </w:r>
          </w:p>
        </w:tc>
      </w:tr>
      <w:tr w:rsidR="00DD49A7" w:rsidRPr="006D40F0" w14:paraId="5A25C6E6" w14:textId="77777777">
        <w:trPr>
          <w:trHeight w:val="380"/>
        </w:trPr>
        <w:tc>
          <w:tcPr>
            <w:tcW w:w="680" w:type="dxa"/>
            <w:tcBorders>
              <w:top w:val="nil"/>
              <w:left w:val="nil"/>
              <w:bottom w:val="nil"/>
              <w:right w:val="nil"/>
            </w:tcBorders>
            <w:tcMar>
              <w:top w:w="128" w:type="dxa"/>
              <w:left w:w="43" w:type="dxa"/>
              <w:bottom w:w="43" w:type="dxa"/>
              <w:right w:w="43" w:type="dxa"/>
            </w:tcMar>
          </w:tcPr>
          <w:p w14:paraId="49CC876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737FD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7FD2E61" w14:textId="77777777" w:rsidR="00575AC3" w:rsidRPr="006D40F0" w:rsidRDefault="00575AC3" w:rsidP="006D40F0">
            <w:r w:rsidRPr="006D40F0">
              <w:t>fra kr 230 200 000 til kr 242 000 000</w:t>
            </w:r>
          </w:p>
        </w:tc>
        <w:tc>
          <w:tcPr>
            <w:tcW w:w="1400" w:type="dxa"/>
            <w:tcBorders>
              <w:top w:val="nil"/>
              <w:left w:val="nil"/>
              <w:bottom w:val="nil"/>
              <w:right w:val="nil"/>
            </w:tcBorders>
            <w:tcMar>
              <w:top w:w="128" w:type="dxa"/>
              <w:left w:w="43" w:type="dxa"/>
              <w:bottom w:w="43" w:type="dxa"/>
              <w:right w:w="43" w:type="dxa"/>
            </w:tcMar>
            <w:vAlign w:val="bottom"/>
          </w:tcPr>
          <w:p w14:paraId="26E92B10" w14:textId="77777777" w:rsidR="00575AC3" w:rsidRPr="006D40F0" w:rsidRDefault="00575AC3" w:rsidP="006D40F0"/>
        </w:tc>
      </w:tr>
      <w:tr w:rsidR="00DD49A7" w:rsidRPr="006D40F0" w14:paraId="37CEE06B" w14:textId="77777777">
        <w:trPr>
          <w:trHeight w:val="380"/>
        </w:trPr>
        <w:tc>
          <w:tcPr>
            <w:tcW w:w="680" w:type="dxa"/>
            <w:tcBorders>
              <w:top w:val="nil"/>
              <w:left w:val="nil"/>
              <w:bottom w:val="nil"/>
              <w:right w:val="nil"/>
            </w:tcBorders>
            <w:tcMar>
              <w:top w:w="128" w:type="dxa"/>
              <w:left w:w="43" w:type="dxa"/>
              <w:bottom w:w="43" w:type="dxa"/>
              <w:right w:w="43" w:type="dxa"/>
            </w:tcMar>
          </w:tcPr>
          <w:p w14:paraId="764C4755" w14:textId="77777777" w:rsidR="00575AC3" w:rsidRPr="006D40F0" w:rsidRDefault="00575AC3" w:rsidP="006D40F0">
            <w:r w:rsidRPr="006D40F0">
              <w:t>926</w:t>
            </w:r>
          </w:p>
        </w:tc>
        <w:tc>
          <w:tcPr>
            <w:tcW w:w="680" w:type="dxa"/>
            <w:tcBorders>
              <w:top w:val="nil"/>
              <w:left w:val="nil"/>
              <w:bottom w:val="nil"/>
              <w:right w:val="nil"/>
            </w:tcBorders>
            <w:tcMar>
              <w:top w:w="128" w:type="dxa"/>
              <w:left w:w="43" w:type="dxa"/>
              <w:bottom w:w="43" w:type="dxa"/>
              <w:right w:w="43" w:type="dxa"/>
            </w:tcMar>
          </w:tcPr>
          <w:p w14:paraId="675989A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02BC95" w14:textId="77777777" w:rsidR="00575AC3" w:rsidRPr="006D40F0" w:rsidRDefault="00575AC3" w:rsidP="006D40F0">
            <w:r w:rsidRPr="006D40F0">
              <w:t>Havforskningsinstituttet, forskningsfartøy:</w:t>
            </w:r>
          </w:p>
        </w:tc>
        <w:tc>
          <w:tcPr>
            <w:tcW w:w="1400" w:type="dxa"/>
            <w:tcBorders>
              <w:top w:val="nil"/>
              <w:left w:val="nil"/>
              <w:bottom w:val="nil"/>
              <w:right w:val="nil"/>
            </w:tcBorders>
            <w:tcMar>
              <w:top w:w="128" w:type="dxa"/>
              <w:left w:w="43" w:type="dxa"/>
              <w:bottom w:w="43" w:type="dxa"/>
              <w:right w:w="43" w:type="dxa"/>
            </w:tcMar>
            <w:vAlign w:val="bottom"/>
          </w:tcPr>
          <w:p w14:paraId="11099612" w14:textId="77777777" w:rsidR="00575AC3" w:rsidRPr="006D40F0" w:rsidRDefault="00575AC3" w:rsidP="006D40F0"/>
        </w:tc>
      </w:tr>
      <w:tr w:rsidR="00DD49A7" w:rsidRPr="006D40F0" w14:paraId="62E37132" w14:textId="77777777">
        <w:trPr>
          <w:trHeight w:val="380"/>
        </w:trPr>
        <w:tc>
          <w:tcPr>
            <w:tcW w:w="680" w:type="dxa"/>
            <w:tcBorders>
              <w:top w:val="nil"/>
              <w:left w:val="nil"/>
              <w:bottom w:val="nil"/>
              <w:right w:val="nil"/>
            </w:tcBorders>
            <w:tcMar>
              <w:top w:w="128" w:type="dxa"/>
              <w:left w:w="43" w:type="dxa"/>
              <w:bottom w:w="43" w:type="dxa"/>
              <w:right w:w="43" w:type="dxa"/>
            </w:tcMar>
          </w:tcPr>
          <w:p w14:paraId="16844556"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B64AD43"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1057C5F3"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1251B041" w14:textId="77777777" w:rsidR="00575AC3" w:rsidRPr="006D40F0" w:rsidRDefault="00575AC3" w:rsidP="006D40F0">
            <w:r w:rsidRPr="006D40F0">
              <w:t>4 100 000</w:t>
            </w:r>
          </w:p>
        </w:tc>
      </w:tr>
      <w:tr w:rsidR="00DD49A7" w:rsidRPr="006D40F0" w14:paraId="07ADEC30" w14:textId="77777777">
        <w:trPr>
          <w:trHeight w:val="380"/>
        </w:trPr>
        <w:tc>
          <w:tcPr>
            <w:tcW w:w="680" w:type="dxa"/>
            <w:tcBorders>
              <w:top w:val="nil"/>
              <w:left w:val="nil"/>
              <w:bottom w:val="nil"/>
              <w:right w:val="nil"/>
            </w:tcBorders>
            <w:tcMar>
              <w:top w:w="128" w:type="dxa"/>
              <w:left w:w="43" w:type="dxa"/>
              <w:bottom w:w="43" w:type="dxa"/>
              <w:right w:w="43" w:type="dxa"/>
            </w:tcMar>
          </w:tcPr>
          <w:p w14:paraId="4A7A8539" w14:textId="77777777" w:rsidR="00575AC3" w:rsidRPr="006D40F0" w:rsidRDefault="00575AC3" w:rsidP="006D40F0">
            <w:r w:rsidRPr="006D40F0">
              <w:t>928</w:t>
            </w:r>
          </w:p>
        </w:tc>
        <w:tc>
          <w:tcPr>
            <w:tcW w:w="680" w:type="dxa"/>
            <w:tcBorders>
              <w:top w:val="nil"/>
              <w:left w:val="nil"/>
              <w:bottom w:val="nil"/>
              <w:right w:val="nil"/>
            </w:tcBorders>
            <w:tcMar>
              <w:top w:w="128" w:type="dxa"/>
              <w:left w:w="43" w:type="dxa"/>
              <w:bottom w:w="43" w:type="dxa"/>
              <w:right w:w="43" w:type="dxa"/>
            </w:tcMar>
          </w:tcPr>
          <w:p w14:paraId="5955B1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8474A5" w14:textId="77777777" w:rsidR="00575AC3" w:rsidRPr="006D40F0" w:rsidRDefault="00575AC3" w:rsidP="006D40F0">
            <w:r w:rsidRPr="006D40F0">
              <w:t>Annen marin forskning og utvikling:</w:t>
            </w:r>
          </w:p>
        </w:tc>
        <w:tc>
          <w:tcPr>
            <w:tcW w:w="1400" w:type="dxa"/>
            <w:tcBorders>
              <w:top w:val="nil"/>
              <w:left w:val="nil"/>
              <w:bottom w:val="nil"/>
              <w:right w:val="nil"/>
            </w:tcBorders>
            <w:tcMar>
              <w:top w:w="128" w:type="dxa"/>
              <w:left w:w="43" w:type="dxa"/>
              <w:bottom w:w="43" w:type="dxa"/>
              <w:right w:w="43" w:type="dxa"/>
            </w:tcMar>
            <w:vAlign w:val="bottom"/>
          </w:tcPr>
          <w:p w14:paraId="3F7BB3CF" w14:textId="77777777" w:rsidR="00575AC3" w:rsidRPr="006D40F0" w:rsidRDefault="00575AC3" w:rsidP="006D40F0"/>
        </w:tc>
      </w:tr>
      <w:tr w:rsidR="00DD49A7" w:rsidRPr="006D40F0" w14:paraId="43D6B2AA" w14:textId="77777777">
        <w:trPr>
          <w:trHeight w:val="380"/>
        </w:trPr>
        <w:tc>
          <w:tcPr>
            <w:tcW w:w="680" w:type="dxa"/>
            <w:tcBorders>
              <w:top w:val="nil"/>
              <w:left w:val="nil"/>
              <w:bottom w:val="nil"/>
              <w:right w:val="nil"/>
            </w:tcBorders>
            <w:tcMar>
              <w:top w:w="128" w:type="dxa"/>
              <w:left w:w="43" w:type="dxa"/>
              <w:bottom w:w="43" w:type="dxa"/>
              <w:right w:w="43" w:type="dxa"/>
            </w:tcMar>
          </w:tcPr>
          <w:p w14:paraId="364A94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3777C2"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8FA3A6B"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2A01F1F" w14:textId="77777777" w:rsidR="00575AC3" w:rsidRPr="006D40F0" w:rsidRDefault="00575AC3" w:rsidP="006D40F0">
            <w:r w:rsidRPr="006D40F0">
              <w:t>5 000 000</w:t>
            </w:r>
          </w:p>
        </w:tc>
      </w:tr>
      <w:tr w:rsidR="00DD49A7" w:rsidRPr="006D40F0" w14:paraId="271AE86D" w14:textId="77777777">
        <w:trPr>
          <w:trHeight w:val="380"/>
        </w:trPr>
        <w:tc>
          <w:tcPr>
            <w:tcW w:w="680" w:type="dxa"/>
            <w:tcBorders>
              <w:top w:val="nil"/>
              <w:left w:val="nil"/>
              <w:bottom w:val="nil"/>
              <w:right w:val="nil"/>
            </w:tcBorders>
            <w:tcMar>
              <w:top w:w="128" w:type="dxa"/>
              <w:left w:w="43" w:type="dxa"/>
              <w:bottom w:w="43" w:type="dxa"/>
              <w:right w:w="43" w:type="dxa"/>
            </w:tcMar>
          </w:tcPr>
          <w:p w14:paraId="1E910BC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7CEFD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D08CC56" w14:textId="77777777" w:rsidR="00575AC3" w:rsidRPr="006D40F0" w:rsidRDefault="00575AC3" w:rsidP="006D40F0">
            <w:r w:rsidRPr="006D40F0">
              <w:t>fra kr 38 100 000 til kr 43 100 000</w:t>
            </w:r>
          </w:p>
        </w:tc>
        <w:tc>
          <w:tcPr>
            <w:tcW w:w="1400" w:type="dxa"/>
            <w:tcBorders>
              <w:top w:val="nil"/>
              <w:left w:val="nil"/>
              <w:bottom w:val="nil"/>
              <w:right w:val="nil"/>
            </w:tcBorders>
            <w:tcMar>
              <w:top w:w="128" w:type="dxa"/>
              <w:left w:w="43" w:type="dxa"/>
              <w:bottom w:w="43" w:type="dxa"/>
              <w:right w:w="43" w:type="dxa"/>
            </w:tcMar>
            <w:vAlign w:val="bottom"/>
          </w:tcPr>
          <w:p w14:paraId="5593EDE9" w14:textId="77777777" w:rsidR="00575AC3" w:rsidRPr="006D40F0" w:rsidRDefault="00575AC3" w:rsidP="006D40F0"/>
        </w:tc>
      </w:tr>
      <w:tr w:rsidR="00DD49A7" w:rsidRPr="006D40F0" w14:paraId="1C81F8E3" w14:textId="77777777">
        <w:trPr>
          <w:trHeight w:val="380"/>
        </w:trPr>
        <w:tc>
          <w:tcPr>
            <w:tcW w:w="680" w:type="dxa"/>
            <w:tcBorders>
              <w:top w:val="nil"/>
              <w:left w:val="nil"/>
              <w:bottom w:val="nil"/>
              <w:right w:val="nil"/>
            </w:tcBorders>
            <w:tcMar>
              <w:top w:w="128" w:type="dxa"/>
              <w:left w:w="43" w:type="dxa"/>
              <w:bottom w:w="43" w:type="dxa"/>
              <w:right w:w="43" w:type="dxa"/>
            </w:tcMar>
          </w:tcPr>
          <w:p w14:paraId="4E535CD6" w14:textId="77777777" w:rsidR="00575AC3" w:rsidRPr="006D40F0" w:rsidRDefault="00575AC3" w:rsidP="006D40F0">
            <w:r w:rsidRPr="006D40F0">
              <w:t>935</w:t>
            </w:r>
          </w:p>
        </w:tc>
        <w:tc>
          <w:tcPr>
            <w:tcW w:w="680" w:type="dxa"/>
            <w:tcBorders>
              <w:top w:val="nil"/>
              <w:left w:val="nil"/>
              <w:bottom w:val="nil"/>
              <w:right w:val="nil"/>
            </w:tcBorders>
            <w:tcMar>
              <w:top w:w="128" w:type="dxa"/>
              <w:left w:w="43" w:type="dxa"/>
              <w:bottom w:w="43" w:type="dxa"/>
              <w:right w:w="43" w:type="dxa"/>
            </w:tcMar>
          </w:tcPr>
          <w:p w14:paraId="6F1D634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762CA0" w14:textId="77777777" w:rsidR="00575AC3" w:rsidRPr="006D40F0" w:rsidRDefault="00575AC3" w:rsidP="006D40F0">
            <w:r w:rsidRPr="006D40F0">
              <w:t>Patentstyret:</w:t>
            </w:r>
          </w:p>
        </w:tc>
        <w:tc>
          <w:tcPr>
            <w:tcW w:w="1400" w:type="dxa"/>
            <w:tcBorders>
              <w:top w:val="nil"/>
              <w:left w:val="nil"/>
              <w:bottom w:val="nil"/>
              <w:right w:val="nil"/>
            </w:tcBorders>
            <w:tcMar>
              <w:top w:w="128" w:type="dxa"/>
              <w:left w:w="43" w:type="dxa"/>
              <w:bottom w:w="43" w:type="dxa"/>
              <w:right w:w="43" w:type="dxa"/>
            </w:tcMar>
            <w:vAlign w:val="bottom"/>
          </w:tcPr>
          <w:p w14:paraId="319AD8F5" w14:textId="77777777" w:rsidR="00575AC3" w:rsidRPr="006D40F0" w:rsidRDefault="00575AC3" w:rsidP="006D40F0"/>
        </w:tc>
      </w:tr>
      <w:tr w:rsidR="00DD49A7" w:rsidRPr="006D40F0" w14:paraId="5DF719E6" w14:textId="77777777">
        <w:trPr>
          <w:trHeight w:val="380"/>
        </w:trPr>
        <w:tc>
          <w:tcPr>
            <w:tcW w:w="680" w:type="dxa"/>
            <w:tcBorders>
              <w:top w:val="nil"/>
              <w:left w:val="nil"/>
              <w:bottom w:val="nil"/>
              <w:right w:val="nil"/>
            </w:tcBorders>
            <w:tcMar>
              <w:top w:w="128" w:type="dxa"/>
              <w:left w:w="43" w:type="dxa"/>
              <w:bottom w:w="43" w:type="dxa"/>
              <w:right w:w="43" w:type="dxa"/>
            </w:tcMar>
          </w:tcPr>
          <w:p w14:paraId="4135D3B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06DBC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7296CA2"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B393D71" w14:textId="77777777" w:rsidR="00575AC3" w:rsidRPr="006D40F0" w:rsidRDefault="00575AC3" w:rsidP="006D40F0">
            <w:r w:rsidRPr="006D40F0">
              <w:t>4 500 000</w:t>
            </w:r>
          </w:p>
        </w:tc>
      </w:tr>
      <w:tr w:rsidR="00DD49A7" w:rsidRPr="006D40F0" w14:paraId="0D85BCA5" w14:textId="77777777">
        <w:trPr>
          <w:trHeight w:val="380"/>
        </w:trPr>
        <w:tc>
          <w:tcPr>
            <w:tcW w:w="680" w:type="dxa"/>
            <w:tcBorders>
              <w:top w:val="nil"/>
              <w:left w:val="nil"/>
              <w:bottom w:val="nil"/>
              <w:right w:val="nil"/>
            </w:tcBorders>
            <w:tcMar>
              <w:top w:w="128" w:type="dxa"/>
              <w:left w:w="43" w:type="dxa"/>
              <w:bottom w:w="43" w:type="dxa"/>
              <w:right w:w="43" w:type="dxa"/>
            </w:tcMar>
          </w:tcPr>
          <w:p w14:paraId="6BA9848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4D8E5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5BCB38" w14:textId="77777777" w:rsidR="00575AC3" w:rsidRPr="006D40F0" w:rsidRDefault="00575AC3" w:rsidP="006D40F0">
            <w:r w:rsidRPr="006D40F0">
              <w:t>fra kr 338 500 000 til kr 343 000 000</w:t>
            </w:r>
          </w:p>
        </w:tc>
        <w:tc>
          <w:tcPr>
            <w:tcW w:w="1400" w:type="dxa"/>
            <w:tcBorders>
              <w:top w:val="nil"/>
              <w:left w:val="nil"/>
              <w:bottom w:val="nil"/>
              <w:right w:val="nil"/>
            </w:tcBorders>
            <w:tcMar>
              <w:top w:w="128" w:type="dxa"/>
              <w:left w:w="43" w:type="dxa"/>
              <w:bottom w:w="43" w:type="dxa"/>
              <w:right w:w="43" w:type="dxa"/>
            </w:tcMar>
            <w:vAlign w:val="bottom"/>
          </w:tcPr>
          <w:p w14:paraId="17901516" w14:textId="77777777" w:rsidR="00575AC3" w:rsidRPr="006D40F0" w:rsidRDefault="00575AC3" w:rsidP="006D40F0"/>
        </w:tc>
      </w:tr>
      <w:tr w:rsidR="00DD49A7" w:rsidRPr="006D40F0" w14:paraId="63ABE8EB" w14:textId="77777777">
        <w:trPr>
          <w:trHeight w:val="380"/>
        </w:trPr>
        <w:tc>
          <w:tcPr>
            <w:tcW w:w="680" w:type="dxa"/>
            <w:tcBorders>
              <w:top w:val="nil"/>
              <w:left w:val="nil"/>
              <w:bottom w:val="nil"/>
              <w:right w:val="nil"/>
            </w:tcBorders>
            <w:tcMar>
              <w:top w:w="128" w:type="dxa"/>
              <w:left w:w="43" w:type="dxa"/>
              <w:bottom w:w="43" w:type="dxa"/>
              <w:right w:w="43" w:type="dxa"/>
            </w:tcMar>
          </w:tcPr>
          <w:p w14:paraId="5EA2BCA3" w14:textId="77777777" w:rsidR="00575AC3" w:rsidRPr="006D40F0" w:rsidRDefault="00575AC3" w:rsidP="006D40F0">
            <w:r w:rsidRPr="006D40F0">
              <w:t>950</w:t>
            </w:r>
          </w:p>
        </w:tc>
        <w:tc>
          <w:tcPr>
            <w:tcW w:w="680" w:type="dxa"/>
            <w:tcBorders>
              <w:top w:val="nil"/>
              <w:left w:val="nil"/>
              <w:bottom w:val="nil"/>
              <w:right w:val="nil"/>
            </w:tcBorders>
            <w:tcMar>
              <w:top w:w="128" w:type="dxa"/>
              <w:left w:w="43" w:type="dxa"/>
              <w:bottom w:w="43" w:type="dxa"/>
              <w:right w:w="43" w:type="dxa"/>
            </w:tcMar>
          </w:tcPr>
          <w:p w14:paraId="242BA9F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24EA2F" w14:textId="77777777" w:rsidR="00575AC3" w:rsidRPr="006D40F0" w:rsidRDefault="00575AC3" w:rsidP="006D40F0">
            <w:r w:rsidRPr="006D40F0">
              <w:t>Forvaltning av statlig eierskap:</w:t>
            </w:r>
          </w:p>
        </w:tc>
        <w:tc>
          <w:tcPr>
            <w:tcW w:w="1400" w:type="dxa"/>
            <w:tcBorders>
              <w:top w:val="nil"/>
              <w:left w:val="nil"/>
              <w:bottom w:val="nil"/>
              <w:right w:val="nil"/>
            </w:tcBorders>
            <w:tcMar>
              <w:top w:w="128" w:type="dxa"/>
              <w:left w:w="43" w:type="dxa"/>
              <w:bottom w:w="43" w:type="dxa"/>
              <w:right w:w="43" w:type="dxa"/>
            </w:tcMar>
            <w:vAlign w:val="bottom"/>
          </w:tcPr>
          <w:p w14:paraId="3538EB69" w14:textId="77777777" w:rsidR="00575AC3" w:rsidRPr="006D40F0" w:rsidRDefault="00575AC3" w:rsidP="006D40F0"/>
        </w:tc>
      </w:tr>
      <w:tr w:rsidR="00DD49A7" w:rsidRPr="006D40F0" w14:paraId="626EBE5D" w14:textId="77777777">
        <w:trPr>
          <w:trHeight w:val="380"/>
        </w:trPr>
        <w:tc>
          <w:tcPr>
            <w:tcW w:w="680" w:type="dxa"/>
            <w:tcBorders>
              <w:top w:val="nil"/>
              <w:left w:val="nil"/>
              <w:bottom w:val="nil"/>
              <w:right w:val="nil"/>
            </w:tcBorders>
            <w:tcMar>
              <w:top w:w="128" w:type="dxa"/>
              <w:left w:w="43" w:type="dxa"/>
              <w:bottom w:w="43" w:type="dxa"/>
              <w:right w:w="43" w:type="dxa"/>
            </w:tcMar>
          </w:tcPr>
          <w:p w14:paraId="55136E0A"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5715A56" w14:textId="77777777" w:rsidR="00575AC3" w:rsidRPr="006D40F0" w:rsidRDefault="00575AC3" w:rsidP="006D40F0">
            <w:r w:rsidRPr="006D40F0">
              <w:t>96</w:t>
            </w:r>
          </w:p>
        </w:tc>
        <w:tc>
          <w:tcPr>
            <w:tcW w:w="6800" w:type="dxa"/>
            <w:tcBorders>
              <w:top w:val="nil"/>
              <w:left w:val="nil"/>
              <w:bottom w:val="nil"/>
              <w:right w:val="nil"/>
            </w:tcBorders>
            <w:tcMar>
              <w:top w:w="128" w:type="dxa"/>
              <w:left w:w="43" w:type="dxa"/>
              <w:bottom w:w="43" w:type="dxa"/>
              <w:right w:w="43" w:type="dxa"/>
            </w:tcMar>
          </w:tcPr>
          <w:p w14:paraId="48A373E0" w14:textId="77777777" w:rsidR="00575AC3" w:rsidRPr="006D40F0" w:rsidRDefault="00575AC3" w:rsidP="006D40F0">
            <w:r w:rsidRPr="006D40F0">
              <w:t>Aksjer, bevilges med</w:t>
            </w:r>
          </w:p>
        </w:tc>
        <w:tc>
          <w:tcPr>
            <w:tcW w:w="1400" w:type="dxa"/>
            <w:tcBorders>
              <w:top w:val="nil"/>
              <w:left w:val="nil"/>
              <w:bottom w:val="nil"/>
              <w:right w:val="nil"/>
            </w:tcBorders>
            <w:tcMar>
              <w:top w:w="128" w:type="dxa"/>
              <w:left w:w="43" w:type="dxa"/>
              <w:bottom w:w="43" w:type="dxa"/>
              <w:right w:w="43" w:type="dxa"/>
            </w:tcMar>
            <w:vAlign w:val="bottom"/>
          </w:tcPr>
          <w:p w14:paraId="41A14206" w14:textId="77777777" w:rsidR="00575AC3" w:rsidRPr="006D40F0" w:rsidRDefault="00575AC3" w:rsidP="006D40F0">
            <w:r w:rsidRPr="006D40F0">
              <w:t>250 000 000</w:t>
            </w:r>
          </w:p>
        </w:tc>
      </w:tr>
      <w:tr w:rsidR="00DD49A7" w:rsidRPr="006D40F0" w14:paraId="6A0B0034" w14:textId="77777777">
        <w:trPr>
          <w:trHeight w:val="380"/>
        </w:trPr>
        <w:tc>
          <w:tcPr>
            <w:tcW w:w="680" w:type="dxa"/>
            <w:tcBorders>
              <w:top w:val="nil"/>
              <w:left w:val="nil"/>
              <w:bottom w:val="nil"/>
              <w:right w:val="nil"/>
            </w:tcBorders>
            <w:tcMar>
              <w:top w:w="128" w:type="dxa"/>
              <w:left w:w="43" w:type="dxa"/>
              <w:bottom w:w="43" w:type="dxa"/>
              <w:right w:w="43" w:type="dxa"/>
            </w:tcMar>
          </w:tcPr>
          <w:p w14:paraId="4D89DBFD" w14:textId="77777777" w:rsidR="00575AC3" w:rsidRPr="006D40F0" w:rsidRDefault="00575AC3" w:rsidP="006D40F0">
            <w:r w:rsidRPr="006D40F0">
              <w:t>951</w:t>
            </w:r>
          </w:p>
        </w:tc>
        <w:tc>
          <w:tcPr>
            <w:tcW w:w="680" w:type="dxa"/>
            <w:tcBorders>
              <w:top w:val="nil"/>
              <w:left w:val="nil"/>
              <w:bottom w:val="nil"/>
              <w:right w:val="nil"/>
            </w:tcBorders>
            <w:tcMar>
              <w:top w:w="128" w:type="dxa"/>
              <w:left w:w="43" w:type="dxa"/>
              <w:bottom w:w="43" w:type="dxa"/>
              <w:right w:w="43" w:type="dxa"/>
            </w:tcMar>
          </w:tcPr>
          <w:p w14:paraId="3CC9497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113F176" w14:textId="77777777" w:rsidR="00575AC3" w:rsidRPr="006D40F0" w:rsidRDefault="00575AC3" w:rsidP="006D40F0">
            <w:r w:rsidRPr="006D40F0">
              <w:t>Store Norske Spitsbergen Kulkompani AS:</w:t>
            </w:r>
          </w:p>
        </w:tc>
        <w:tc>
          <w:tcPr>
            <w:tcW w:w="1400" w:type="dxa"/>
            <w:tcBorders>
              <w:top w:val="nil"/>
              <w:left w:val="nil"/>
              <w:bottom w:val="nil"/>
              <w:right w:val="nil"/>
            </w:tcBorders>
            <w:tcMar>
              <w:top w:w="128" w:type="dxa"/>
              <w:left w:w="43" w:type="dxa"/>
              <w:bottom w:w="43" w:type="dxa"/>
              <w:right w:w="43" w:type="dxa"/>
            </w:tcMar>
            <w:vAlign w:val="bottom"/>
          </w:tcPr>
          <w:p w14:paraId="4522FB2E" w14:textId="77777777" w:rsidR="00575AC3" w:rsidRPr="006D40F0" w:rsidRDefault="00575AC3" w:rsidP="006D40F0"/>
        </w:tc>
      </w:tr>
      <w:tr w:rsidR="00DD49A7" w:rsidRPr="006D40F0" w14:paraId="3E3A803E" w14:textId="77777777">
        <w:trPr>
          <w:trHeight w:val="380"/>
        </w:trPr>
        <w:tc>
          <w:tcPr>
            <w:tcW w:w="680" w:type="dxa"/>
            <w:tcBorders>
              <w:top w:val="nil"/>
              <w:left w:val="nil"/>
              <w:bottom w:val="nil"/>
              <w:right w:val="nil"/>
            </w:tcBorders>
            <w:tcMar>
              <w:top w:w="128" w:type="dxa"/>
              <w:left w:w="43" w:type="dxa"/>
              <w:bottom w:w="43" w:type="dxa"/>
              <w:right w:w="43" w:type="dxa"/>
            </w:tcMar>
          </w:tcPr>
          <w:p w14:paraId="4313CBB1"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97A285B"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0E6B09D9" w14:textId="77777777" w:rsidR="00575AC3" w:rsidRPr="006D40F0" w:rsidRDefault="00575AC3" w:rsidP="006D40F0">
            <w:r w:rsidRPr="006D40F0">
              <w:t>Lån, bevilges med</w:t>
            </w:r>
          </w:p>
        </w:tc>
        <w:tc>
          <w:tcPr>
            <w:tcW w:w="1400" w:type="dxa"/>
            <w:tcBorders>
              <w:top w:val="nil"/>
              <w:left w:val="nil"/>
              <w:bottom w:val="nil"/>
              <w:right w:val="nil"/>
            </w:tcBorders>
            <w:tcMar>
              <w:top w:w="128" w:type="dxa"/>
              <w:left w:w="43" w:type="dxa"/>
              <w:bottom w:w="43" w:type="dxa"/>
              <w:right w:w="43" w:type="dxa"/>
            </w:tcMar>
            <w:vAlign w:val="bottom"/>
          </w:tcPr>
          <w:p w14:paraId="3B6574B1" w14:textId="77777777" w:rsidR="00575AC3" w:rsidRPr="006D40F0" w:rsidRDefault="00575AC3" w:rsidP="006D40F0">
            <w:r w:rsidRPr="006D40F0">
              <w:t>130 000 000</w:t>
            </w:r>
          </w:p>
        </w:tc>
      </w:tr>
      <w:tr w:rsidR="00DD49A7" w:rsidRPr="006D40F0" w14:paraId="32452333" w14:textId="77777777">
        <w:trPr>
          <w:trHeight w:val="380"/>
        </w:trPr>
        <w:tc>
          <w:tcPr>
            <w:tcW w:w="680" w:type="dxa"/>
            <w:tcBorders>
              <w:top w:val="nil"/>
              <w:left w:val="nil"/>
              <w:bottom w:val="nil"/>
              <w:right w:val="nil"/>
            </w:tcBorders>
            <w:tcMar>
              <w:top w:w="128" w:type="dxa"/>
              <w:left w:w="43" w:type="dxa"/>
              <w:bottom w:w="43" w:type="dxa"/>
              <w:right w:w="43" w:type="dxa"/>
            </w:tcMar>
          </w:tcPr>
          <w:p w14:paraId="6556B179" w14:textId="77777777" w:rsidR="00575AC3" w:rsidRPr="006D40F0" w:rsidRDefault="00575AC3" w:rsidP="006D40F0">
            <w:r w:rsidRPr="006D40F0">
              <w:t>952</w:t>
            </w:r>
          </w:p>
        </w:tc>
        <w:tc>
          <w:tcPr>
            <w:tcW w:w="680" w:type="dxa"/>
            <w:tcBorders>
              <w:top w:val="nil"/>
              <w:left w:val="nil"/>
              <w:bottom w:val="nil"/>
              <w:right w:val="nil"/>
            </w:tcBorders>
            <w:tcMar>
              <w:top w:w="128" w:type="dxa"/>
              <w:left w:w="43" w:type="dxa"/>
              <w:bottom w:w="43" w:type="dxa"/>
              <w:right w:w="43" w:type="dxa"/>
            </w:tcMar>
          </w:tcPr>
          <w:p w14:paraId="49E35ED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B9A5C3" w14:textId="77777777" w:rsidR="00575AC3" w:rsidRPr="006D40F0" w:rsidRDefault="00575AC3" w:rsidP="006D40F0">
            <w:proofErr w:type="spellStart"/>
            <w:r w:rsidRPr="006D40F0">
              <w:t>Investinor</w:t>
            </w:r>
            <w:proofErr w:type="spellEnd"/>
            <w:r w:rsidRPr="006D40F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1718ECE7" w14:textId="77777777" w:rsidR="00575AC3" w:rsidRPr="006D40F0" w:rsidRDefault="00575AC3" w:rsidP="006D40F0"/>
        </w:tc>
      </w:tr>
      <w:tr w:rsidR="00DD49A7" w:rsidRPr="006D40F0" w14:paraId="29039549" w14:textId="77777777">
        <w:trPr>
          <w:trHeight w:val="380"/>
        </w:trPr>
        <w:tc>
          <w:tcPr>
            <w:tcW w:w="680" w:type="dxa"/>
            <w:tcBorders>
              <w:top w:val="nil"/>
              <w:left w:val="nil"/>
              <w:bottom w:val="nil"/>
              <w:right w:val="nil"/>
            </w:tcBorders>
            <w:tcMar>
              <w:top w:w="128" w:type="dxa"/>
              <w:left w:w="43" w:type="dxa"/>
              <w:bottom w:w="43" w:type="dxa"/>
              <w:right w:w="43" w:type="dxa"/>
            </w:tcMar>
          </w:tcPr>
          <w:p w14:paraId="216427BB"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A55005C" w14:textId="77777777" w:rsidR="00575AC3" w:rsidRPr="006D40F0" w:rsidRDefault="00575AC3" w:rsidP="006D40F0">
            <w:r w:rsidRPr="006D40F0">
              <w:t>51</w:t>
            </w:r>
          </w:p>
        </w:tc>
        <w:tc>
          <w:tcPr>
            <w:tcW w:w="6800" w:type="dxa"/>
            <w:tcBorders>
              <w:top w:val="nil"/>
              <w:left w:val="nil"/>
              <w:bottom w:val="nil"/>
              <w:right w:val="nil"/>
            </w:tcBorders>
            <w:tcMar>
              <w:top w:w="128" w:type="dxa"/>
              <w:left w:w="43" w:type="dxa"/>
              <w:bottom w:w="43" w:type="dxa"/>
              <w:right w:w="43" w:type="dxa"/>
            </w:tcMar>
          </w:tcPr>
          <w:p w14:paraId="49FB9194" w14:textId="77777777" w:rsidR="00575AC3" w:rsidRPr="006D40F0" w:rsidRDefault="00575AC3" w:rsidP="006D40F0">
            <w:r w:rsidRPr="006D40F0">
              <w:t>Tapsfond såkornkapital, bevilges med</w:t>
            </w:r>
          </w:p>
        </w:tc>
        <w:tc>
          <w:tcPr>
            <w:tcW w:w="1400" w:type="dxa"/>
            <w:tcBorders>
              <w:top w:val="nil"/>
              <w:left w:val="nil"/>
              <w:bottom w:val="nil"/>
              <w:right w:val="nil"/>
            </w:tcBorders>
            <w:tcMar>
              <w:top w:w="128" w:type="dxa"/>
              <w:left w:w="43" w:type="dxa"/>
              <w:bottom w:w="43" w:type="dxa"/>
              <w:right w:w="43" w:type="dxa"/>
            </w:tcMar>
            <w:vAlign w:val="bottom"/>
          </w:tcPr>
          <w:p w14:paraId="530CB188" w14:textId="77777777" w:rsidR="00575AC3" w:rsidRPr="006D40F0" w:rsidRDefault="00575AC3" w:rsidP="006D40F0">
            <w:r w:rsidRPr="006D40F0">
              <w:t>182 300 000</w:t>
            </w:r>
          </w:p>
        </w:tc>
      </w:tr>
      <w:tr w:rsidR="00DD49A7" w:rsidRPr="006D40F0" w14:paraId="3D0894CB" w14:textId="77777777">
        <w:trPr>
          <w:trHeight w:val="380"/>
        </w:trPr>
        <w:tc>
          <w:tcPr>
            <w:tcW w:w="680" w:type="dxa"/>
            <w:tcBorders>
              <w:top w:val="nil"/>
              <w:left w:val="nil"/>
              <w:bottom w:val="nil"/>
              <w:right w:val="nil"/>
            </w:tcBorders>
            <w:tcMar>
              <w:top w:w="128" w:type="dxa"/>
              <w:left w:w="43" w:type="dxa"/>
              <w:bottom w:w="43" w:type="dxa"/>
              <w:right w:w="43" w:type="dxa"/>
            </w:tcMar>
          </w:tcPr>
          <w:p w14:paraId="0982D40F" w14:textId="77777777" w:rsidR="00575AC3" w:rsidRPr="006D40F0" w:rsidRDefault="00575AC3" w:rsidP="006D40F0">
            <w:r w:rsidRPr="006D40F0">
              <w:t>954</w:t>
            </w:r>
          </w:p>
        </w:tc>
        <w:tc>
          <w:tcPr>
            <w:tcW w:w="680" w:type="dxa"/>
            <w:tcBorders>
              <w:top w:val="nil"/>
              <w:left w:val="nil"/>
              <w:bottom w:val="nil"/>
              <w:right w:val="nil"/>
            </w:tcBorders>
            <w:tcMar>
              <w:top w:w="128" w:type="dxa"/>
              <w:left w:w="43" w:type="dxa"/>
              <w:bottom w:w="43" w:type="dxa"/>
              <w:right w:w="43" w:type="dxa"/>
            </w:tcMar>
          </w:tcPr>
          <w:p w14:paraId="7B0E025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7BA01C" w14:textId="77777777" w:rsidR="00575AC3" w:rsidRPr="006D40F0" w:rsidRDefault="00575AC3" w:rsidP="006D40F0">
            <w:proofErr w:type="spellStart"/>
            <w:r w:rsidRPr="006D40F0">
              <w:t>Petoro</w:t>
            </w:r>
            <w:proofErr w:type="spellEnd"/>
            <w:r w:rsidRPr="006D40F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18BA457D" w14:textId="77777777" w:rsidR="00575AC3" w:rsidRPr="006D40F0" w:rsidRDefault="00575AC3" w:rsidP="006D40F0"/>
        </w:tc>
      </w:tr>
      <w:tr w:rsidR="00DD49A7" w:rsidRPr="006D40F0" w14:paraId="12E1F90F" w14:textId="77777777">
        <w:trPr>
          <w:trHeight w:val="380"/>
        </w:trPr>
        <w:tc>
          <w:tcPr>
            <w:tcW w:w="680" w:type="dxa"/>
            <w:tcBorders>
              <w:top w:val="nil"/>
              <w:left w:val="nil"/>
              <w:bottom w:val="nil"/>
              <w:right w:val="nil"/>
            </w:tcBorders>
            <w:tcMar>
              <w:top w:w="128" w:type="dxa"/>
              <w:left w:w="43" w:type="dxa"/>
              <w:bottom w:w="43" w:type="dxa"/>
              <w:right w:w="43" w:type="dxa"/>
            </w:tcMar>
          </w:tcPr>
          <w:p w14:paraId="0D40F50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05F49A"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F857B9B" w14:textId="77777777" w:rsidR="00575AC3" w:rsidRPr="006D40F0" w:rsidRDefault="00575AC3" w:rsidP="006D40F0">
            <w:r w:rsidRPr="006D40F0">
              <w:t>Tilskudd til administrasjon, forhøyes med</w:t>
            </w:r>
          </w:p>
        </w:tc>
        <w:tc>
          <w:tcPr>
            <w:tcW w:w="1400" w:type="dxa"/>
            <w:tcBorders>
              <w:top w:val="nil"/>
              <w:left w:val="nil"/>
              <w:bottom w:val="nil"/>
              <w:right w:val="nil"/>
            </w:tcBorders>
            <w:tcMar>
              <w:top w:w="128" w:type="dxa"/>
              <w:left w:w="43" w:type="dxa"/>
              <w:bottom w:w="43" w:type="dxa"/>
              <w:right w:w="43" w:type="dxa"/>
            </w:tcMar>
            <w:vAlign w:val="bottom"/>
          </w:tcPr>
          <w:p w14:paraId="4EE3C3F9" w14:textId="77777777" w:rsidR="00575AC3" w:rsidRPr="006D40F0" w:rsidRDefault="00575AC3" w:rsidP="006D40F0">
            <w:r w:rsidRPr="006D40F0">
              <w:t>3 000 000</w:t>
            </w:r>
          </w:p>
        </w:tc>
      </w:tr>
      <w:tr w:rsidR="00DD49A7" w:rsidRPr="006D40F0" w14:paraId="66B4B0F3" w14:textId="77777777">
        <w:trPr>
          <w:trHeight w:val="380"/>
        </w:trPr>
        <w:tc>
          <w:tcPr>
            <w:tcW w:w="680" w:type="dxa"/>
            <w:tcBorders>
              <w:top w:val="nil"/>
              <w:left w:val="nil"/>
              <w:bottom w:val="nil"/>
              <w:right w:val="nil"/>
            </w:tcBorders>
            <w:tcMar>
              <w:top w:w="128" w:type="dxa"/>
              <w:left w:w="43" w:type="dxa"/>
              <w:bottom w:w="43" w:type="dxa"/>
              <w:right w:w="43" w:type="dxa"/>
            </w:tcMar>
          </w:tcPr>
          <w:p w14:paraId="021C608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AF2D9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742BC7" w14:textId="77777777" w:rsidR="00575AC3" w:rsidRPr="006D40F0" w:rsidRDefault="00575AC3" w:rsidP="006D40F0">
            <w:r w:rsidRPr="006D40F0">
              <w:t>fra kr 396 108 000 til kr 399 108 000</w:t>
            </w:r>
          </w:p>
        </w:tc>
        <w:tc>
          <w:tcPr>
            <w:tcW w:w="1400" w:type="dxa"/>
            <w:tcBorders>
              <w:top w:val="nil"/>
              <w:left w:val="nil"/>
              <w:bottom w:val="nil"/>
              <w:right w:val="nil"/>
            </w:tcBorders>
            <w:tcMar>
              <w:top w:w="128" w:type="dxa"/>
              <w:left w:w="43" w:type="dxa"/>
              <w:bottom w:w="43" w:type="dxa"/>
              <w:right w:w="43" w:type="dxa"/>
            </w:tcMar>
            <w:vAlign w:val="bottom"/>
          </w:tcPr>
          <w:p w14:paraId="0FC07E29" w14:textId="77777777" w:rsidR="00575AC3" w:rsidRPr="006D40F0" w:rsidRDefault="00575AC3" w:rsidP="006D40F0"/>
        </w:tc>
      </w:tr>
      <w:tr w:rsidR="00DD49A7" w:rsidRPr="006D40F0" w14:paraId="7D8327BF" w14:textId="77777777">
        <w:trPr>
          <w:trHeight w:val="380"/>
        </w:trPr>
        <w:tc>
          <w:tcPr>
            <w:tcW w:w="680" w:type="dxa"/>
            <w:tcBorders>
              <w:top w:val="nil"/>
              <w:left w:val="nil"/>
              <w:bottom w:val="nil"/>
              <w:right w:val="nil"/>
            </w:tcBorders>
            <w:tcMar>
              <w:top w:w="128" w:type="dxa"/>
              <w:left w:w="43" w:type="dxa"/>
              <w:bottom w:w="43" w:type="dxa"/>
              <w:right w:w="43" w:type="dxa"/>
            </w:tcMar>
          </w:tcPr>
          <w:p w14:paraId="3CF5541C" w14:textId="77777777" w:rsidR="00575AC3" w:rsidRPr="006D40F0" w:rsidRDefault="00575AC3" w:rsidP="006D40F0">
            <w:r w:rsidRPr="006D40F0">
              <w:t>1100</w:t>
            </w:r>
          </w:p>
        </w:tc>
        <w:tc>
          <w:tcPr>
            <w:tcW w:w="680" w:type="dxa"/>
            <w:tcBorders>
              <w:top w:val="nil"/>
              <w:left w:val="nil"/>
              <w:bottom w:val="nil"/>
              <w:right w:val="nil"/>
            </w:tcBorders>
            <w:tcMar>
              <w:top w:w="128" w:type="dxa"/>
              <w:left w:w="43" w:type="dxa"/>
              <w:bottom w:w="43" w:type="dxa"/>
              <w:right w:w="43" w:type="dxa"/>
            </w:tcMar>
          </w:tcPr>
          <w:p w14:paraId="2AA89D5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A93DBE" w14:textId="77777777" w:rsidR="00575AC3" w:rsidRPr="006D40F0" w:rsidRDefault="00575AC3" w:rsidP="006D40F0">
            <w:r w:rsidRPr="006D40F0">
              <w:t>Landbruks- og matdepartementet:</w:t>
            </w:r>
          </w:p>
        </w:tc>
        <w:tc>
          <w:tcPr>
            <w:tcW w:w="1400" w:type="dxa"/>
            <w:tcBorders>
              <w:top w:val="nil"/>
              <w:left w:val="nil"/>
              <w:bottom w:val="nil"/>
              <w:right w:val="nil"/>
            </w:tcBorders>
            <w:tcMar>
              <w:top w:w="128" w:type="dxa"/>
              <w:left w:w="43" w:type="dxa"/>
              <w:bottom w:w="43" w:type="dxa"/>
              <w:right w:w="43" w:type="dxa"/>
            </w:tcMar>
            <w:vAlign w:val="bottom"/>
          </w:tcPr>
          <w:p w14:paraId="74B276C4" w14:textId="77777777" w:rsidR="00575AC3" w:rsidRPr="006D40F0" w:rsidRDefault="00575AC3" w:rsidP="006D40F0"/>
        </w:tc>
      </w:tr>
      <w:tr w:rsidR="00DD49A7" w:rsidRPr="006D40F0" w14:paraId="6AC0A557" w14:textId="77777777">
        <w:trPr>
          <w:trHeight w:val="380"/>
        </w:trPr>
        <w:tc>
          <w:tcPr>
            <w:tcW w:w="680" w:type="dxa"/>
            <w:tcBorders>
              <w:top w:val="nil"/>
              <w:left w:val="nil"/>
              <w:bottom w:val="nil"/>
              <w:right w:val="nil"/>
            </w:tcBorders>
            <w:tcMar>
              <w:top w:w="128" w:type="dxa"/>
              <w:left w:w="43" w:type="dxa"/>
              <w:bottom w:w="43" w:type="dxa"/>
              <w:right w:w="43" w:type="dxa"/>
            </w:tcMar>
          </w:tcPr>
          <w:p w14:paraId="2B98D5F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55C0F2"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71D7D7AE"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07A3144" w14:textId="77777777" w:rsidR="00575AC3" w:rsidRPr="006D40F0" w:rsidRDefault="00575AC3" w:rsidP="006D40F0">
            <w:r w:rsidRPr="006D40F0">
              <w:t>2 000 000</w:t>
            </w:r>
          </w:p>
        </w:tc>
      </w:tr>
      <w:tr w:rsidR="00DD49A7" w:rsidRPr="006D40F0" w14:paraId="18A34845" w14:textId="77777777">
        <w:trPr>
          <w:trHeight w:val="380"/>
        </w:trPr>
        <w:tc>
          <w:tcPr>
            <w:tcW w:w="680" w:type="dxa"/>
            <w:tcBorders>
              <w:top w:val="nil"/>
              <w:left w:val="nil"/>
              <w:bottom w:val="nil"/>
              <w:right w:val="nil"/>
            </w:tcBorders>
            <w:tcMar>
              <w:top w:w="128" w:type="dxa"/>
              <w:left w:w="43" w:type="dxa"/>
              <w:bottom w:w="43" w:type="dxa"/>
              <w:right w:w="43" w:type="dxa"/>
            </w:tcMar>
          </w:tcPr>
          <w:p w14:paraId="7B93D7D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CB50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E4EDAD" w14:textId="77777777" w:rsidR="00575AC3" w:rsidRPr="006D40F0" w:rsidRDefault="00575AC3" w:rsidP="006D40F0">
            <w:r w:rsidRPr="006D40F0">
              <w:t>fra kr 15 988 000 til kr 17 988 000</w:t>
            </w:r>
          </w:p>
        </w:tc>
        <w:tc>
          <w:tcPr>
            <w:tcW w:w="1400" w:type="dxa"/>
            <w:tcBorders>
              <w:top w:val="nil"/>
              <w:left w:val="nil"/>
              <w:bottom w:val="nil"/>
              <w:right w:val="nil"/>
            </w:tcBorders>
            <w:tcMar>
              <w:top w:w="128" w:type="dxa"/>
              <w:left w:w="43" w:type="dxa"/>
              <w:bottom w:w="43" w:type="dxa"/>
              <w:right w:w="43" w:type="dxa"/>
            </w:tcMar>
            <w:vAlign w:val="bottom"/>
          </w:tcPr>
          <w:p w14:paraId="2C7ED44D" w14:textId="77777777" w:rsidR="00575AC3" w:rsidRPr="006D40F0" w:rsidRDefault="00575AC3" w:rsidP="006D40F0"/>
        </w:tc>
      </w:tr>
      <w:tr w:rsidR="00DD49A7" w:rsidRPr="006D40F0" w14:paraId="7C16A8D3" w14:textId="77777777">
        <w:trPr>
          <w:trHeight w:val="380"/>
        </w:trPr>
        <w:tc>
          <w:tcPr>
            <w:tcW w:w="680" w:type="dxa"/>
            <w:tcBorders>
              <w:top w:val="nil"/>
              <w:left w:val="nil"/>
              <w:bottom w:val="nil"/>
              <w:right w:val="nil"/>
            </w:tcBorders>
            <w:tcMar>
              <w:top w:w="128" w:type="dxa"/>
              <w:left w:w="43" w:type="dxa"/>
              <w:bottom w:w="43" w:type="dxa"/>
              <w:right w:w="43" w:type="dxa"/>
            </w:tcMar>
          </w:tcPr>
          <w:p w14:paraId="4B183EAE" w14:textId="77777777" w:rsidR="00575AC3" w:rsidRPr="006D40F0" w:rsidRDefault="00575AC3" w:rsidP="006D40F0">
            <w:r w:rsidRPr="006D40F0">
              <w:t>1115</w:t>
            </w:r>
          </w:p>
        </w:tc>
        <w:tc>
          <w:tcPr>
            <w:tcW w:w="680" w:type="dxa"/>
            <w:tcBorders>
              <w:top w:val="nil"/>
              <w:left w:val="nil"/>
              <w:bottom w:val="nil"/>
              <w:right w:val="nil"/>
            </w:tcBorders>
            <w:tcMar>
              <w:top w:w="128" w:type="dxa"/>
              <w:left w:w="43" w:type="dxa"/>
              <w:bottom w:w="43" w:type="dxa"/>
              <w:right w:w="43" w:type="dxa"/>
            </w:tcMar>
          </w:tcPr>
          <w:p w14:paraId="7C297B3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68DD4C" w14:textId="77777777" w:rsidR="00575AC3" w:rsidRPr="006D40F0" w:rsidRDefault="00575AC3" w:rsidP="006D40F0">
            <w:r w:rsidRPr="006D40F0">
              <w:t>Mattilsynet:</w:t>
            </w:r>
          </w:p>
        </w:tc>
        <w:tc>
          <w:tcPr>
            <w:tcW w:w="1400" w:type="dxa"/>
            <w:tcBorders>
              <w:top w:val="nil"/>
              <w:left w:val="nil"/>
              <w:bottom w:val="nil"/>
              <w:right w:val="nil"/>
            </w:tcBorders>
            <w:tcMar>
              <w:top w:w="128" w:type="dxa"/>
              <w:left w:w="43" w:type="dxa"/>
              <w:bottom w:w="43" w:type="dxa"/>
              <w:right w:w="43" w:type="dxa"/>
            </w:tcMar>
            <w:vAlign w:val="bottom"/>
          </w:tcPr>
          <w:p w14:paraId="77FE913C" w14:textId="77777777" w:rsidR="00575AC3" w:rsidRPr="006D40F0" w:rsidRDefault="00575AC3" w:rsidP="006D40F0"/>
        </w:tc>
      </w:tr>
      <w:tr w:rsidR="00DD49A7" w:rsidRPr="006D40F0" w14:paraId="7AE4AEA8" w14:textId="77777777">
        <w:trPr>
          <w:trHeight w:val="380"/>
        </w:trPr>
        <w:tc>
          <w:tcPr>
            <w:tcW w:w="680" w:type="dxa"/>
            <w:tcBorders>
              <w:top w:val="nil"/>
              <w:left w:val="nil"/>
              <w:bottom w:val="nil"/>
              <w:right w:val="nil"/>
            </w:tcBorders>
            <w:tcMar>
              <w:top w:w="128" w:type="dxa"/>
              <w:left w:w="43" w:type="dxa"/>
              <w:bottom w:w="43" w:type="dxa"/>
              <w:right w:w="43" w:type="dxa"/>
            </w:tcMar>
          </w:tcPr>
          <w:p w14:paraId="0C57949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EB90D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621305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2498E4C" w14:textId="77777777" w:rsidR="00575AC3" w:rsidRPr="006D40F0" w:rsidRDefault="00575AC3" w:rsidP="006D40F0">
            <w:r w:rsidRPr="006D40F0">
              <w:t>5 000 000</w:t>
            </w:r>
          </w:p>
        </w:tc>
      </w:tr>
      <w:tr w:rsidR="00DD49A7" w:rsidRPr="006D40F0" w14:paraId="40D0279C" w14:textId="77777777">
        <w:trPr>
          <w:trHeight w:val="380"/>
        </w:trPr>
        <w:tc>
          <w:tcPr>
            <w:tcW w:w="680" w:type="dxa"/>
            <w:tcBorders>
              <w:top w:val="nil"/>
              <w:left w:val="nil"/>
              <w:bottom w:val="nil"/>
              <w:right w:val="nil"/>
            </w:tcBorders>
            <w:tcMar>
              <w:top w:w="128" w:type="dxa"/>
              <w:left w:w="43" w:type="dxa"/>
              <w:bottom w:w="43" w:type="dxa"/>
              <w:right w:w="43" w:type="dxa"/>
            </w:tcMar>
          </w:tcPr>
          <w:p w14:paraId="320D53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5A60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454128" w14:textId="77777777" w:rsidR="00575AC3" w:rsidRPr="006D40F0" w:rsidRDefault="00575AC3" w:rsidP="006D40F0">
            <w:r w:rsidRPr="006D40F0">
              <w:t>fra kr 1 570 528 000 til kr 1 575 528 000</w:t>
            </w:r>
          </w:p>
        </w:tc>
        <w:tc>
          <w:tcPr>
            <w:tcW w:w="1400" w:type="dxa"/>
            <w:tcBorders>
              <w:top w:val="nil"/>
              <w:left w:val="nil"/>
              <w:bottom w:val="nil"/>
              <w:right w:val="nil"/>
            </w:tcBorders>
            <w:tcMar>
              <w:top w:w="128" w:type="dxa"/>
              <w:left w:w="43" w:type="dxa"/>
              <w:bottom w:w="43" w:type="dxa"/>
              <w:right w:w="43" w:type="dxa"/>
            </w:tcMar>
            <w:vAlign w:val="bottom"/>
          </w:tcPr>
          <w:p w14:paraId="2DE18C4D" w14:textId="77777777" w:rsidR="00575AC3" w:rsidRPr="006D40F0" w:rsidRDefault="00575AC3" w:rsidP="006D40F0"/>
        </w:tc>
      </w:tr>
      <w:tr w:rsidR="00DD49A7" w:rsidRPr="006D40F0" w14:paraId="235D74DE" w14:textId="77777777">
        <w:trPr>
          <w:trHeight w:val="380"/>
        </w:trPr>
        <w:tc>
          <w:tcPr>
            <w:tcW w:w="680" w:type="dxa"/>
            <w:tcBorders>
              <w:top w:val="nil"/>
              <w:left w:val="nil"/>
              <w:bottom w:val="nil"/>
              <w:right w:val="nil"/>
            </w:tcBorders>
            <w:tcMar>
              <w:top w:w="128" w:type="dxa"/>
              <w:left w:w="43" w:type="dxa"/>
              <w:bottom w:w="43" w:type="dxa"/>
              <w:right w:w="43" w:type="dxa"/>
            </w:tcMar>
          </w:tcPr>
          <w:p w14:paraId="0C8C6A03" w14:textId="77777777" w:rsidR="00575AC3" w:rsidRPr="006D40F0" w:rsidRDefault="00575AC3" w:rsidP="006D40F0">
            <w:r w:rsidRPr="006D40F0">
              <w:t>1136</w:t>
            </w:r>
          </w:p>
        </w:tc>
        <w:tc>
          <w:tcPr>
            <w:tcW w:w="680" w:type="dxa"/>
            <w:tcBorders>
              <w:top w:val="nil"/>
              <w:left w:val="nil"/>
              <w:bottom w:val="nil"/>
              <w:right w:val="nil"/>
            </w:tcBorders>
            <w:tcMar>
              <w:top w:w="128" w:type="dxa"/>
              <w:left w:w="43" w:type="dxa"/>
              <w:bottom w:w="43" w:type="dxa"/>
              <w:right w:w="43" w:type="dxa"/>
            </w:tcMar>
          </w:tcPr>
          <w:p w14:paraId="01CB9C8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B3FC92A" w14:textId="77777777" w:rsidR="00575AC3" w:rsidRPr="006D40F0" w:rsidRDefault="00575AC3" w:rsidP="006D40F0">
            <w:r w:rsidRPr="006D40F0">
              <w:t>Norsk institutt for bioøkonomi:</w:t>
            </w:r>
          </w:p>
        </w:tc>
        <w:tc>
          <w:tcPr>
            <w:tcW w:w="1400" w:type="dxa"/>
            <w:tcBorders>
              <w:top w:val="nil"/>
              <w:left w:val="nil"/>
              <w:bottom w:val="nil"/>
              <w:right w:val="nil"/>
            </w:tcBorders>
            <w:tcMar>
              <w:top w:w="128" w:type="dxa"/>
              <w:left w:w="43" w:type="dxa"/>
              <w:bottom w:w="43" w:type="dxa"/>
              <w:right w:w="43" w:type="dxa"/>
            </w:tcMar>
            <w:vAlign w:val="bottom"/>
          </w:tcPr>
          <w:p w14:paraId="59155B53" w14:textId="77777777" w:rsidR="00575AC3" w:rsidRPr="006D40F0" w:rsidRDefault="00575AC3" w:rsidP="006D40F0"/>
        </w:tc>
      </w:tr>
      <w:tr w:rsidR="00DD49A7" w:rsidRPr="006D40F0" w14:paraId="575F1959" w14:textId="77777777">
        <w:trPr>
          <w:trHeight w:val="380"/>
        </w:trPr>
        <w:tc>
          <w:tcPr>
            <w:tcW w:w="680" w:type="dxa"/>
            <w:tcBorders>
              <w:top w:val="nil"/>
              <w:left w:val="nil"/>
              <w:bottom w:val="nil"/>
              <w:right w:val="nil"/>
            </w:tcBorders>
            <w:tcMar>
              <w:top w:w="128" w:type="dxa"/>
              <w:left w:w="43" w:type="dxa"/>
              <w:bottom w:w="43" w:type="dxa"/>
              <w:right w:w="43" w:type="dxa"/>
            </w:tcMar>
          </w:tcPr>
          <w:p w14:paraId="535929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A6D1A2"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00C4F3FF" w14:textId="77777777" w:rsidR="00575AC3" w:rsidRPr="006D40F0" w:rsidRDefault="00575AC3" w:rsidP="006D40F0">
            <w:r w:rsidRPr="006D40F0">
              <w:t>Kunnskapsutvikling, formidling og beredskap, forhøyes med</w:t>
            </w:r>
          </w:p>
        </w:tc>
        <w:tc>
          <w:tcPr>
            <w:tcW w:w="1400" w:type="dxa"/>
            <w:tcBorders>
              <w:top w:val="nil"/>
              <w:left w:val="nil"/>
              <w:bottom w:val="nil"/>
              <w:right w:val="nil"/>
            </w:tcBorders>
            <w:tcMar>
              <w:top w:w="128" w:type="dxa"/>
              <w:left w:w="43" w:type="dxa"/>
              <w:bottom w:w="43" w:type="dxa"/>
              <w:right w:w="43" w:type="dxa"/>
            </w:tcMar>
            <w:vAlign w:val="bottom"/>
          </w:tcPr>
          <w:p w14:paraId="1ED11D55" w14:textId="77777777" w:rsidR="00575AC3" w:rsidRPr="006D40F0" w:rsidRDefault="00575AC3" w:rsidP="006D40F0">
            <w:r w:rsidRPr="006D40F0">
              <w:t>1 000 000</w:t>
            </w:r>
          </w:p>
        </w:tc>
      </w:tr>
      <w:tr w:rsidR="00DD49A7" w:rsidRPr="006D40F0" w14:paraId="13EA868C" w14:textId="77777777">
        <w:trPr>
          <w:trHeight w:val="380"/>
        </w:trPr>
        <w:tc>
          <w:tcPr>
            <w:tcW w:w="680" w:type="dxa"/>
            <w:tcBorders>
              <w:top w:val="nil"/>
              <w:left w:val="nil"/>
              <w:bottom w:val="nil"/>
              <w:right w:val="nil"/>
            </w:tcBorders>
            <w:tcMar>
              <w:top w:w="128" w:type="dxa"/>
              <w:left w:w="43" w:type="dxa"/>
              <w:bottom w:w="43" w:type="dxa"/>
              <w:right w:w="43" w:type="dxa"/>
            </w:tcMar>
          </w:tcPr>
          <w:p w14:paraId="765C5E0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8F5FD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5BE71D" w14:textId="77777777" w:rsidR="00575AC3" w:rsidRPr="006D40F0" w:rsidRDefault="00575AC3" w:rsidP="006D40F0">
            <w:r w:rsidRPr="006D40F0">
              <w:t>fra kr 271 785 000 til kr 272 785 000</w:t>
            </w:r>
          </w:p>
        </w:tc>
        <w:tc>
          <w:tcPr>
            <w:tcW w:w="1400" w:type="dxa"/>
            <w:tcBorders>
              <w:top w:val="nil"/>
              <w:left w:val="nil"/>
              <w:bottom w:val="nil"/>
              <w:right w:val="nil"/>
            </w:tcBorders>
            <w:tcMar>
              <w:top w:w="128" w:type="dxa"/>
              <w:left w:w="43" w:type="dxa"/>
              <w:bottom w:w="43" w:type="dxa"/>
              <w:right w:w="43" w:type="dxa"/>
            </w:tcMar>
            <w:vAlign w:val="bottom"/>
          </w:tcPr>
          <w:p w14:paraId="0BBE05A0" w14:textId="77777777" w:rsidR="00575AC3" w:rsidRPr="006D40F0" w:rsidRDefault="00575AC3" w:rsidP="006D40F0"/>
        </w:tc>
      </w:tr>
      <w:tr w:rsidR="00DD49A7" w:rsidRPr="006D40F0" w14:paraId="236FF5A9" w14:textId="77777777">
        <w:trPr>
          <w:trHeight w:val="380"/>
        </w:trPr>
        <w:tc>
          <w:tcPr>
            <w:tcW w:w="680" w:type="dxa"/>
            <w:tcBorders>
              <w:top w:val="nil"/>
              <w:left w:val="nil"/>
              <w:bottom w:val="nil"/>
              <w:right w:val="nil"/>
            </w:tcBorders>
            <w:tcMar>
              <w:top w:w="128" w:type="dxa"/>
              <w:left w:w="43" w:type="dxa"/>
              <w:bottom w:w="43" w:type="dxa"/>
              <w:right w:w="43" w:type="dxa"/>
            </w:tcMar>
          </w:tcPr>
          <w:p w14:paraId="27385DE9" w14:textId="77777777" w:rsidR="00575AC3" w:rsidRPr="006D40F0" w:rsidRDefault="00575AC3" w:rsidP="006D40F0">
            <w:r w:rsidRPr="006D40F0">
              <w:t>1138</w:t>
            </w:r>
          </w:p>
        </w:tc>
        <w:tc>
          <w:tcPr>
            <w:tcW w:w="680" w:type="dxa"/>
            <w:tcBorders>
              <w:top w:val="nil"/>
              <w:left w:val="nil"/>
              <w:bottom w:val="nil"/>
              <w:right w:val="nil"/>
            </w:tcBorders>
            <w:tcMar>
              <w:top w:w="128" w:type="dxa"/>
              <w:left w:w="43" w:type="dxa"/>
              <w:bottom w:w="43" w:type="dxa"/>
              <w:right w:w="43" w:type="dxa"/>
            </w:tcMar>
          </w:tcPr>
          <w:p w14:paraId="38777E3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313A1A" w14:textId="77777777" w:rsidR="00575AC3" w:rsidRPr="006D40F0" w:rsidRDefault="00575AC3" w:rsidP="006D40F0">
            <w:r w:rsidRPr="006D40F0">
              <w:t>Støtte til organisasjoner m.m.:</w:t>
            </w:r>
          </w:p>
        </w:tc>
        <w:tc>
          <w:tcPr>
            <w:tcW w:w="1400" w:type="dxa"/>
            <w:tcBorders>
              <w:top w:val="nil"/>
              <w:left w:val="nil"/>
              <w:bottom w:val="nil"/>
              <w:right w:val="nil"/>
            </w:tcBorders>
            <w:tcMar>
              <w:top w:w="128" w:type="dxa"/>
              <w:left w:w="43" w:type="dxa"/>
              <w:bottom w:w="43" w:type="dxa"/>
              <w:right w:w="43" w:type="dxa"/>
            </w:tcMar>
            <w:vAlign w:val="bottom"/>
          </w:tcPr>
          <w:p w14:paraId="0A8ECD8B" w14:textId="77777777" w:rsidR="00575AC3" w:rsidRPr="006D40F0" w:rsidRDefault="00575AC3" w:rsidP="006D40F0"/>
        </w:tc>
      </w:tr>
      <w:tr w:rsidR="00DD49A7" w:rsidRPr="006D40F0" w14:paraId="1AB040A7" w14:textId="77777777">
        <w:trPr>
          <w:trHeight w:val="380"/>
        </w:trPr>
        <w:tc>
          <w:tcPr>
            <w:tcW w:w="680" w:type="dxa"/>
            <w:tcBorders>
              <w:top w:val="nil"/>
              <w:left w:val="nil"/>
              <w:bottom w:val="nil"/>
              <w:right w:val="nil"/>
            </w:tcBorders>
            <w:tcMar>
              <w:top w:w="128" w:type="dxa"/>
              <w:left w:w="43" w:type="dxa"/>
              <w:bottom w:w="43" w:type="dxa"/>
              <w:right w:w="43" w:type="dxa"/>
            </w:tcMar>
          </w:tcPr>
          <w:p w14:paraId="193015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BBAFE3"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F5779D9" w14:textId="77777777" w:rsidR="00575AC3" w:rsidRPr="006D40F0" w:rsidRDefault="00575AC3" w:rsidP="006D40F0">
            <w:r w:rsidRPr="006D40F0">
              <w:t>Støtte til organisasjoner, forhøyes med</w:t>
            </w:r>
          </w:p>
        </w:tc>
        <w:tc>
          <w:tcPr>
            <w:tcW w:w="1400" w:type="dxa"/>
            <w:tcBorders>
              <w:top w:val="nil"/>
              <w:left w:val="nil"/>
              <w:bottom w:val="nil"/>
              <w:right w:val="nil"/>
            </w:tcBorders>
            <w:tcMar>
              <w:top w:w="128" w:type="dxa"/>
              <w:left w:w="43" w:type="dxa"/>
              <w:bottom w:w="43" w:type="dxa"/>
              <w:right w:w="43" w:type="dxa"/>
            </w:tcMar>
            <w:vAlign w:val="bottom"/>
          </w:tcPr>
          <w:p w14:paraId="29EA4044" w14:textId="77777777" w:rsidR="00575AC3" w:rsidRPr="006D40F0" w:rsidRDefault="00575AC3" w:rsidP="006D40F0">
            <w:r w:rsidRPr="006D40F0">
              <w:t>3 000 000</w:t>
            </w:r>
          </w:p>
        </w:tc>
      </w:tr>
      <w:tr w:rsidR="00DD49A7" w:rsidRPr="006D40F0" w14:paraId="1854F5EE" w14:textId="77777777">
        <w:trPr>
          <w:trHeight w:val="380"/>
        </w:trPr>
        <w:tc>
          <w:tcPr>
            <w:tcW w:w="680" w:type="dxa"/>
            <w:tcBorders>
              <w:top w:val="nil"/>
              <w:left w:val="nil"/>
              <w:bottom w:val="nil"/>
              <w:right w:val="nil"/>
            </w:tcBorders>
            <w:tcMar>
              <w:top w:w="128" w:type="dxa"/>
              <w:left w:w="43" w:type="dxa"/>
              <w:bottom w:w="43" w:type="dxa"/>
              <w:right w:w="43" w:type="dxa"/>
            </w:tcMar>
          </w:tcPr>
          <w:p w14:paraId="76AD193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AE197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712EDA0" w14:textId="77777777" w:rsidR="00575AC3" w:rsidRPr="006D40F0" w:rsidRDefault="00575AC3" w:rsidP="006D40F0">
            <w:r w:rsidRPr="006D40F0">
              <w:t>fra kr 53 462 000 til kr 56 462 000</w:t>
            </w:r>
          </w:p>
        </w:tc>
        <w:tc>
          <w:tcPr>
            <w:tcW w:w="1400" w:type="dxa"/>
            <w:tcBorders>
              <w:top w:val="nil"/>
              <w:left w:val="nil"/>
              <w:bottom w:val="nil"/>
              <w:right w:val="nil"/>
            </w:tcBorders>
            <w:tcMar>
              <w:top w:w="128" w:type="dxa"/>
              <w:left w:w="43" w:type="dxa"/>
              <w:bottom w:w="43" w:type="dxa"/>
              <w:right w:w="43" w:type="dxa"/>
            </w:tcMar>
            <w:vAlign w:val="bottom"/>
          </w:tcPr>
          <w:p w14:paraId="0C32EA58" w14:textId="77777777" w:rsidR="00575AC3" w:rsidRPr="006D40F0" w:rsidRDefault="00575AC3" w:rsidP="006D40F0"/>
        </w:tc>
      </w:tr>
      <w:tr w:rsidR="00DD49A7" w:rsidRPr="006D40F0" w14:paraId="59D19709" w14:textId="77777777">
        <w:trPr>
          <w:trHeight w:val="640"/>
        </w:trPr>
        <w:tc>
          <w:tcPr>
            <w:tcW w:w="680" w:type="dxa"/>
            <w:tcBorders>
              <w:top w:val="nil"/>
              <w:left w:val="nil"/>
              <w:bottom w:val="nil"/>
              <w:right w:val="nil"/>
            </w:tcBorders>
            <w:tcMar>
              <w:top w:w="128" w:type="dxa"/>
              <w:left w:w="43" w:type="dxa"/>
              <w:bottom w:w="43" w:type="dxa"/>
              <w:right w:w="43" w:type="dxa"/>
            </w:tcMar>
          </w:tcPr>
          <w:p w14:paraId="0E6B7BA3" w14:textId="77777777" w:rsidR="00575AC3" w:rsidRPr="006D40F0" w:rsidRDefault="00575AC3" w:rsidP="006D40F0">
            <w:r w:rsidRPr="006D40F0">
              <w:lastRenderedPageBreak/>
              <w:t>1140</w:t>
            </w:r>
          </w:p>
        </w:tc>
        <w:tc>
          <w:tcPr>
            <w:tcW w:w="680" w:type="dxa"/>
            <w:tcBorders>
              <w:top w:val="nil"/>
              <w:left w:val="nil"/>
              <w:bottom w:val="nil"/>
              <w:right w:val="nil"/>
            </w:tcBorders>
            <w:tcMar>
              <w:top w:w="128" w:type="dxa"/>
              <w:left w:w="43" w:type="dxa"/>
              <w:bottom w:w="43" w:type="dxa"/>
              <w:right w:w="43" w:type="dxa"/>
            </w:tcMar>
          </w:tcPr>
          <w:p w14:paraId="4C72DD5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DA1B36F" w14:textId="77777777" w:rsidR="00575AC3" w:rsidRPr="006D40F0" w:rsidRDefault="00575AC3" w:rsidP="006D40F0">
            <w:r w:rsidRPr="006D40F0">
              <w:t>Høstbare viltressurser – forvaltning og tilskudd til viltformål (Viltfondet) m.m.:</w:t>
            </w:r>
          </w:p>
        </w:tc>
        <w:tc>
          <w:tcPr>
            <w:tcW w:w="1400" w:type="dxa"/>
            <w:tcBorders>
              <w:top w:val="nil"/>
              <w:left w:val="nil"/>
              <w:bottom w:val="nil"/>
              <w:right w:val="nil"/>
            </w:tcBorders>
            <w:tcMar>
              <w:top w:w="128" w:type="dxa"/>
              <w:left w:w="43" w:type="dxa"/>
              <w:bottom w:w="43" w:type="dxa"/>
              <w:right w:w="43" w:type="dxa"/>
            </w:tcMar>
            <w:vAlign w:val="bottom"/>
          </w:tcPr>
          <w:p w14:paraId="6F6D93F2" w14:textId="77777777" w:rsidR="00575AC3" w:rsidRPr="006D40F0" w:rsidRDefault="00575AC3" w:rsidP="006D40F0"/>
        </w:tc>
      </w:tr>
      <w:tr w:rsidR="00DD49A7" w:rsidRPr="006D40F0" w14:paraId="261B1418" w14:textId="77777777">
        <w:trPr>
          <w:trHeight w:val="380"/>
        </w:trPr>
        <w:tc>
          <w:tcPr>
            <w:tcW w:w="680" w:type="dxa"/>
            <w:tcBorders>
              <w:top w:val="nil"/>
              <w:left w:val="nil"/>
              <w:bottom w:val="nil"/>
              <w:right w:val="nil"/>
            </w:tcBorders>
            <w:tcMar>
              <w:top w:w="128" w:type="dxa"/>
              <w:left w:w="43" w:type="dxa"/>
              <w:bottom w:w="43" w:type="dxa"/>
              <w:right w:w="43" w:type="dxa"/>
            </w:tcMar>
          </w:tcPr>
          <w:p w14:paraId="589C124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77129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11176BC"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604ED94" w14:textId="77777777" w:rsidR="00575AC3" w:rsidRPr="006D40F0" w:rsidRDefault="00575AC3" w:rsidP="006D40F0">
            <w:r w:rsidRPr="006D40F0">
              <w:t>4 500 000</w:t>
            </w:r>
          </w:p>
        </w:tc>
      </w:tr>
      <w:tr w:rsidR="00DD49A7" w:rsidRPr="006D40F0" w14:paraId="369C26E8" w14:textId="77777777">
        <w:trPr>
          <w:trHeight w:val="380"/>
        </w:trPr>
        <w:tc>
          <w:tcPr>
            <w:tcW w:w="680" w:type="dxa"/>
            <w:tcBorders>
              <w:top w:val="nil"/>
              <w:left w:val="nil"/>
              <w:bottom w:val="nil"/>
              <w:right w:val="nil"/>
            </w:tcBorders>
            <w:tcMar>
              <w:top w:w="128" w:type="dxa"/>
              <w:left w:w="43" w:type="dxa"/>
              <w:bottom w:w="43" w:type="dxa"/>
              <w:right w:w="43" w:type="dxa"/>
            </w:tcMar>
          </w:tcPr>
          <w:p w14:paraId="77DEA19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E981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26A4EA" w14:textId="77777777" w:rsidR="00575AC3" w:rsidRPr="006D40F0" w:rsidRDefault="00575AC3" w:rsidP="006D40F0">
            <w:r w:rsidRPr="006D40F0">
              <w:t>fra kr 32 683 000 til kr 28 183 000</w:t>
            </w:r>
          </w:p>
        </w:tc>
        <w:tc>
          <w:tcPr>
            <w:tcW w:w="1400" w:type="dxa"/>
            <w:tcBorders>
              <w:top w:val="nil"/>
              <w:left w:val="nil"/>
              <w:bottom w:val="nil"/>
              <w:right w:val="nil"/>
            </w:tcBorders>
            <w:tcMar>
              <w:top w:w="128" w:type="dxa"/>
              <w:left w:w="43" w:type="dxa"/>
              <w:bottom w:w="43" w:type="dxa"/>
              <w:right w:w="43" w:type="dxa"/>
            </w:tcMar>
            <w:vAlign w:val="bottom"/>
          </w:tcPr>
          <w:p w14:paraId="3C918B5C" w14:textId="77777777" w:rsidR="00575AC3" w:rsidRPr="006D40F0" w:rsidRDefault="00575AC3" w:rsidP="006D40F0"/>
        </w:tc>
      </w:tr>
      <w:tr w:rsidR="00DD49A7" w:rsidRPr="006D40F0" w14:paraId="6A5F153B" w14:textId="77777777">
        <w:trPr>
          <w:trHeight w:val="380"/>
        </w:trPr>
        <w:tc>
          <w:tcPr>
            <w:tcW w:w="680" w:type="dxa"/>
            <w:tcBorders>
              <w:top w:val="nil"/>
              <w:left w:val="nil"/>
              <w:bottom w:val="nil"/>
              <w:right w:val="nil"/>
            </w:tcBorders>
            <w:tcMar>
              <w:top w:w="128" w:type="dxa"/>
              <w:left w:w="43" w:type="dxa"/>
              <w:bottom w:w="43" w:type="dxa"/>
              <w:right w:w="43" w:type="dxa"/>
            </w:tcMar>
          </w:tcPr>
          <w:p w14:paraId="1F8D6DF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FC18FB4"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FB2AB7C" w14:textId="77777777" w:rsidR="00575AC3" w:rsidRPr="006D40F0" w:rsidRDefault="00575AC3" w:rsidP="006D40F0">
            <w:r w:rsidRPr="006D40F0">
              <w:t xml:space="preserve">Tilskudd til viltformål,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4696546" w14:textId="77777777" w:rsidR="00575AC3" w:rsidRPr="006D40F0" w:rsidRDefault="00575AC3" w:rsidP="006D40F0">
            <w:r w:rsidRPr="006D40F0">
              <w:t>1 500 000</w:t>
            </w:r>
          </w:p>
        </w:tc>
      </w:tr>
      <w:tr w:rsidR="00DD49A7" w:rsidRPr="006D40F0" w14:paraId="326A7FB3" w14:textId="77777777">
        <w:trPr>
          <w:trHeight w:val="380"/>
        </w:trPr>
        <w:tc>
          <w:tcPr>
            <w:tcW w:w="680" w:type="dxa"/>
            <w:tcBorders>
              <w:top w:val="nil"/>
              <w:left w:val="nil"/>
              <w:bottom w:val="nil"/>
              <w:right w:val="nil"/>
            </w:tcBorders>
            <w:tcMar>
              <w:top w:w="128" w:type="dxa"/>
              <w:left w:w="43" w:type="dxa"/>
              <w:bottom w:w="43" w:type="dxa"/>
              <w:right w:w="43" w:type="dxa"/>
            </w:tcMar>
          </w:tcPr>
          <w:p w14:paraId="5CBE5A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9D8B2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EF8006" w14:textId="77777777" w:rsidR="00575AC3" w:rsidRPr="006D40F0" w:rsidRDefault="00575AC3" w:rsidP="006D40F0">
            <w:r w:rsidRPr="006D40F0">
              <w:t>fra kr 39 778 000 til kr 38 278 000</w:t>
            </w:r>
          </w:p>
        </w:tc>
        <w:tc>
          <w:tcPr>
            <w:tcW w:w="1400" w:type="dxa"/>
            <w:tcBorders>
              <w:top w:val="nil"/>
              <w:left w:val="nil"/>
              <w:bottom w:val="nil"/>
              <w:right w:val="nil"/>
            </w:tcBorders>
            <w:tcMar>
              <w:top w:w="128" w:type="dxa"/>
              <w:left w:w="43" w:type="dxa"/>
              <w:bottom w:w="43" w:type="dxa"/>
              <w:right w:w="43" w:type="dxa"/>
            </w:tcMar>
            <w:vAlign w:val="bottom"/>
          </w:tcPr>
          <w:p w14:paraId="520F5CDE" w14:textId="77777777" w:rsidR="00575AC3" w:rsidRPr="006D40F0" w:rsidRDefault="00575AC3" w:rsidP="006D40F0"/>
        </w:tc>
      </w:tr>
      <w:tr w:rsidR="00DD49A7" w:rsidRPr="006D40F0" w14:paraId="6C225433" w14:textId="77777777">
        <w:trPr>
          <w:trHeight w:val="380"/>
        </w:trPr>
        <w:tc>
          <w:tcPr>
            <w:tcW w:w="680" w:type="dxa"/>
            <w:tcBorders>
              <w:top w:val="nil"/>
              <w:left w:val="nil"/>
              <w:bottom w:val="nil"/>
              <w:right w:val="nil"/>
            </w:tcBorders>
            <w:tcMar>
              <w:top w:w="128" w:type="dxa"/>
              <w:left w:w="43" w:type="dxa"/>
              <w:bottom w:w="43" w:type="dxa"/>
              <w:right w:w="43" w:type="dxa"/>
            </w:tcMar>
          </w:tcPr>
          <w:p w14:paraId="3AB1C1B5" w14:textId="77777777" w:rsidR="00575AC3" w:rsidRPr="006D40F0" w:rsidRDefault="00575AC3" w:rsidP="006D40F0">
            <w:r w:rsidRPr="006D40F0">
              <w:t>1142</w:t>
            </w:r>
          </w:p>
        </w:tc>
        <w:tc>
          <w:tcPr>
            <w:tcW w:w="680" w:type="dxa"/>
            <w:tcBorders>
              <w:top w:val="nil"/>
              <w:left w:val="nil"/>
              <w:bottom w:val="nil"/>
              <w:right w:val="nil"/>
            </w:tcBorders>
            <w:tcMar>
              <w:top w:w="128" w:type="dxa"/>
              <w:left w:w="43" w:type="dxa"/>
              <w:bottom w:w="43" w:type="dxa"/>
              <w:right w:w="43" w:type="dxa"/>
            </w:tcMar>
          </w:tcPr>
          <w:p w14:paraId="506101C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8D7AD8" w14:textId="77777777" w:rsidR="00575AC3" w:rsidRPr="006D40F0" w:rsidRDefault="00575AC3" w:rsidP="006D40F0">
            <w:r w:rsidRPr="006D40F0">
              <w:t>Landbruksdirektoratet:</w:t>
            </w:r>
          </w:p>
        </w:tc>
        <w:tc>
          <w:tcPr>
            <w:tcW w:w="1400" w:type="dxa"/>
            <w:tcBorders>
              <w:top w:val="nil"/>
              <w:left w:val="nil"/>
              <w:bottom w:val="nil"/>
              <w:right w:val="nil"/>
            </w:tcBorders>
            <w:tcMar>
              <w:top w:w="128" w:type="dxa"/>
              <w:left w:w="43" w:type="dxa"/>
              <w:bottom w:w="43" w:type="dxa"/>
              <w:right w:w="43" w:type="dxa"/>
            </w:tcMar>
            <w:vAlign w:val="bottom"/>
          </w:tcPr>
          <w:p w14:paraId="32AE849D" w14:textId="77777777" w:rsidR="00575AC3" w:rsidRPr="006D40F0" w:rsidRDefault="00575AC3" w:rsidP="006D40F0"/>
        </w:tc>
      </w:tr>
      <w:tr w:rsidR="00DD49A7" w:rsidRPr="006D40F0" w14:paraId="25B36851" w14:textId="77777777">
        <w:trPr>
          <w:trHeight w:val="380"/>
        </w:trPr>
        <w:tc>
          <w:tcPr>
            <w:tcW w:w="680" w:type="dxa"/>
            <w:tcBorders>
              <w:top w:val="nil"/>
              <w:left w:val="nil"/>
              <w:bottom w:val="nil"/>
              <w:right w:val="nil"/>
            </w:tcBorders>
            <w:tcMar>
              <w:top w:w="128" w:type="dxa"/>
              <w:left w:w="43" w:type="dxa"/>
              <w:bottom w:w="43" w:type="dxa"/>
              <w:right w:w="43" w:type="dxa"/>
            </w:tcMar>
          </w:tcPr>
          <w:p w14:paraId="7C0508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18D7C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C1BF21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7237103" w14:textId="77777777" w:rsidR="00575AC3" w:rsidRPr="006D40F0" w:rsidRDefault="00575AC3" w:rsidP="006D40F0">
            <w:r w:rsidRPr="006D40F0">
              <w:t>10 800 000</w:t>
            </w:r>
          </w:p>
        </w:tc>
      </w:tr>
      <w:tr w:rsidR="00DD49A7" w:rsidRPr="006D40F0" w14:paraId="3814D787" w14:textId="77777777">
        <w:trPr>
          <w:trHeight w:val="380"/>
        </w:trPr>
        <w:tc>
          <w:tcPr>
            <w:tcW w:w="680" w:type="dxa"/>
            <w:tcBorders>
              <w:top w:val="nil"/>
              <w:left w:val="nil"/>
              <w:bottom w:val="nil"/>
              <w:right w:val="nil"/>
            </w:tcBorders>
            <w:tcMar>
              <w:top w:w="128" w:type="dxa"/>
              <w:left w:w="43" w:type="dxa"/>
              <w:bottom w:w="43" w:type="dxa"/>
              <w:right w:w="43" w:type="dxa"/>
            </w:tcMar>
          </w:tcPr>
          <w:p w14:paraId="6EB5B8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6F299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F9C7E38" w14:textId="77777777" w:rsidR="00575AC3" w:rsidRPr="006D40F0" w:rsidRDefault="00575AC3" w:rsidP="006D40F0">
            <w:r w:rsidRPr="006D40F0">
              <w:t>fra kr 272 544 000 til kr 283 344 000</w:t>
            </w:r>
          </w:p>
        </w:tc>
        <w:tc>
          <w:tcPr>
            <w:tcW w:w="1400" w:type="dxa"/>
            <w:tcBorders>
              <w:top w:val="nil"/>
              <w:left w:val="nil"/>
              <w:bottom w:val="nil"/>
              <w:right w:val="nil"/>
            </w:tcBorders>
            <w:tcMar>
              <w:top w:w="128" w:type="dxa"/>
              <w:left w:w="43" w:type="dxa"/>
              <w:bottom w:w="43" w:type="dxa"/>
              <w:right w:w="43" w:type="dxa"/>
            </w:tcMar>
            <w:vAlign w:val="bottom"/>
          </w:tcPr>
          <w:p w14:paraId="11A312CC" w14:textId="77777777" w:rsidR="00575AC3" w:rsidRPr="006D40F0" w:rsidRDefault="00575AC3" w:rsidP="006D40F0"/>
        </w:tc>
      </w:tr>
      <w:tr w:rsidR="00DD49A7" w:rsidRPr="006D40F0" w14:paraId="395DFEF5" w14:textId="77777777">
        <w:trPr>
          <w:trHeight w:val="380"/>
        </w:trPr>
        <w:tc>
          <w:tcPr>
            <w:tcW w:w="680" w:type="dxa"/>
            <w:tcBorders>
              <w:top w:val="nil"/>
              <w:left w:val="nil"/>
              <w:bottom w:val="nil"/>
              <w:right w:val="nil"/>
            </w:tcBorders>
            <w:tcMar>
              <w:top w:w="128" w:type="dxa"/>
              <w:left w:w="43" w:type="dxa"/>
              <w:bottom w:w="43" w:type="dxa"/>
              <w:right w:w="43" w:type="dxa"/>
            </w:tcMar>
          </w:tcPr>
          <w:p w14:paraId="129D317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7F200F"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2EFDAF06"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5304F45" w14:textId="77777777" w:rsidR="00575AC3" w:rsidRPr="006D40F0" w:rsidRDefault="00575AC3" w:rsidP="006D40F0">
            <w:r w:rsidRPr="006D40F0">
              <w:t>800 000</w:t>
            </w:r>
          </w:p>
        </w:tc>
      </w:tr>
      <w:tr w:rsidR="00DD49A7" w:rsidRPr="006D40F0" w14:paraId="548AAC03" w14:textId="77777777">
        <w:trPr>
          <w:trHeight w:val="380"/>
        </w:trPr>
        <w:tc>
          <w:tcPr>
            <w:tcW w:w="680" w:type="dxa"/>
            <w:tcBorders>
              <w:top w:val="nil"/>
              <w:left w:val="nil"/>
              <w:bottom w:val="nil"/>
              <w:right w:val="nil"/>
            </w:tcBorders>
            <w:tcMar>
              <w:top w:w="128" w:type="dxa"/>
              <w:left w:w="43" w:type="dxa"/>
              <w:bottom w:w="43" w:type="dxa"/>
              <w:right w:w="43" w:type="dxa"/>
            </w:tcMar>
          </w:tcPr>
          <w:p w14:paraId="660ABE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532188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E50855" w14:textId="77777777" w:rsidR="00575AC3" w:rsidRPr="006D40F0" w:rsidRDefault="00575AC3" w:rsidP="006D40F0">
            <w:r w:rsidRPr="006D40F0">
              <w:t>fra kr 12 976 000 til kr 12 176 000</w:t>
            </w:r>
          </w:p>
        </w:tc>
        <w:tc>
          <w:tcPr>
            <w:tcW w:w="1400" w:type="dxa"/>
            <w:tcBorders>
              <w:top w:val="nil"/>
              <w:left w:val="nil"/>
              <w:bottom w:val="nil"/>
              <w:right w:val="nil"/>
            </w:tcBorders>
            <w:tcMar>
              <w:top w:w="128" w:type="dxa"/>
              <w:left w:w="43" w:type="dxa"/>
              <w:bottom w:w="43" w:type="dxa"/>
              <w:right w:w="43" w:type="dxa"/>
            </w:tcMar>
            <w:vAlign w:val="bottom"/>
          </w:tcPr>
          <w:p w14:paraId="467D6B50" w14:textId="77777777" w:rsidR="00575AC3" w:rsidRPr="006D40F0" w:rsidRDefault="00575AC3" w:rsidP="006D40F0"/>
        </w:tc>
      </w:tr>
      <w:tr w:rsidR="00DD49A7" w:rsidRPr="006D40F0" w14:paraId="74A38035" w14:textId="77777777">
        <w:trPr>
          <w:trHeight w:val="380"/>
        </w:trPr>
        <w:tc>
          <w:tcPr>
            <w:tcW w:w="680" w:type="dxa"/>
            <w:tcBorders>
              <w:top w:val="nil"/>
              <w:left w:val="nil"/>
              <w:bottom w:val="nil"/>
              <w:right w:val="nil"/>
            </w:tcBorders>
            <w:tcMar>
              <w:top w:w="128" w:type="dxa"/>
              <w:left w:w="43" w:type="dxa"/>
              <w:bottom w:w="43" w:type="dxa"/>
              <w:right w:w="43" w:type="dxa"/>
            </w:tcMar>
          </w:tcPr>
          <w:p w14:paraId="66F5C1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1350AD"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90AE658" w14:textId="77777777" w:rsidR="00575AC3" w:rsidRPr="006D40F0" w:rsidRDefault="00575AC3" w:rsidP="006D40F0">
            <w:r w:rsidRPr="006D40F0">
              <w:t xml:space="preserve">Tiltak for bærekraftig reindrift,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233B494" w14:textId="77777777" w:rsidR="00575AC3" w:rsidRPr="006D40F0" w:rsidRDefault="00575AC3" w:rsidP="006D40F0">
            <w:r w:rsidRPr="006D40F0">
              <w:t>500 000</w:t>
            </w:r>
          </w:p>
        </w:tc>
      </w:tr>
      <w:tr w:rsidR="00DD49A7" w:rsidRPr="006D40F0" w14:paraId="232C96FA" w14:textId="77777777">
        <w:trPr>
          <w:trHeight w:val="380"/>
        </w:trPr>
        <w:tc>
          <w:tcPr>
            <w:tcW w:w="680" w:type="dxa"/>
            <w:tcBorders>
              <w:top w:val="nil"/>
              <w:left w:val="nil"/>
              <w:bottom w:val="nil"/>
              <w:right w:val="nil"/>
            </w:tcBorders>
            <w:tcMar>
              <w:top w:w="128" w:type="dxa"/>
              <w:left w:w="43" w:type="dxa"/>
              <w:bottom w:w="43" w:type="dxa"/>
              <w:right w:w="43" w:type="dxa"/>
            </w:tcMar>
          </w:tcPr>
          <w:p w14:paraId="3F7A676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DE389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2D7542" w14:textId="77777777" w:rsidR="00575AC3" w:rsidRPr="006D40F0" w:rsidRDefault="00575AC3" w:rsidP="006D40F0">
            <w:r w:rsidRPr="006D40F0">
              <w:t>fra kr 5 286 000 til kr 5 786 000</w:t>
            </w:r>
          </w:p>
        </w:tc>
        <w:tc>
          <w:tcPr>
            <w:tcW w:w="1400" w:type="dxa"/>
            <w:tcBorders>
              <w:top w:val="nil"/>
              <w:left w:val="nil"/>
              <w:bottom w:val="nil"/>
              <w:right w:val="nil"/>
            </w:tcBorders>
            <w:tcMar>
              <w:top w:w="128" w:type="dxa"/>
              <w:left w:w="43" w:type="dxa"/>
              <w:bottom w:w="43" w:type="dxa"/>
              <w:right w:w="43" w:type="dxa"/>
            </w:tcMar>
            <w:vAlign w:val="bottom"/>
          </w:tcPr>
          <w:p w14:paraId="6FF8499A" w14:textId="77777777" w:rsidR="00575AC3" w:rsidRPr="006D40F0" w:rsidRDefault="00575AC3" w:rsidP="006D40F0"/>
        </w:tc>
      </w:tr>
      <w:tr w:rsidR="00DD49A7" w:rsidRPr="006D40F0" w14:paraId="47558BD9" w14:textId="77777777">
        <w:trPr>
          <w:trHeight w:val="640"/>
        </w:trPr>
        <w:tc>
          <w:tcPr>
            <w:tcW w:w="680" w:type="dxa"/>
            <w:tcBorders>
              <w:top w:val="nil"/>
              <w:left w:val="nil"/>
              <w:bottom w:val="nil"/>
              <w:right w:val="nil"/>
            </w:tcBorders>
            <w:tcMar>
              <w:top w:w="128" w:type="dxa"/>
              <w:left w:w="43" w:type="dxa"/>
              <w:bottom w:w="43" w:type="dxa"/>
              <w:right w:w="43" w:type="dxa"/>
            </w:tcMar>
          </w:tcPr>
          <w:p w14:paraId="00A8BC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4F9A9F"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5CEBA73E" w14:textId="77777777" w:rsidR="00575AC3" w:rsidRPr="006D40F0" w:rsidRDefault="00575AC3" w:rsidP="006D40F0">
            <w:r w:rsidRPr="006D40F0">
              <w:t xml:space="preserve">Stønad til jordbruks- og veksthusnæringen for ekstraordinære strømutgifter,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77BE6E4" w14:textId="77777777" w:rsidR="00575AC3" w:rsidRPr="006D40F0" w:rsidRDefault="00575AC3" w:rsidP="006D40F0">
            <w:r w:rsidRPr="006D40F0">
              <w:t>37 500 000</w:t>
            </w:r>
          </w:p>
        </w:tc>
      </w:tr>
      <w:tr w:rsidR="00DD49A7" w:rsidRPr="006D40F0" w14:paraId="1E2A88D4" w14:textId="77777777">
        <w:trPr>
          <w:trHeight w:val="380"/>
        </w:trPr>
        <w:tc>
          <w:tcPr>
            <w:tcW w:w="680" w:type="dxa"/>
            <w:tcBorders>
              <w:top w:val="nil"/>
              <w:left w:val="nil"/>
              <w:bottom w:val="nil"/>
              <w:right w:val="nil"/>
            </w:tcBorders>
            <w:tcMar>
              <w:top w:w="128" w:type="dxa"/>
              <w:left w:w="43" w:type="dxa"/>
              <w:bottom w:w="43" w:type="dxa"/>
              <w:right w:w="43" w:type="dxa"/>
            </w:tcMar>
          </w:tcPr>
          <w:p w14:paraId="37E2E79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DA501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03F2E7D" w14:textId="77777777" w:rsidR="00575AC3" w:rsidRPr="006D40F0" w:rsidRDefault="00575AC3" w:rsidP="006D40F0">
            <w:r w:rsidRPr="006D40F0">
              <w:t>fra kr 102 300 000 til kr 64 800 000</w:t>
            </w:r>
          </w:p>
        </w:tc>
        <w:tc>
          <w:tcPr>
            <w:tcW w:w="1400" w:type="dxa"/>
            <w:tcBorders>
              <w:top w:val="nil"/>
              <w:left w:val="nil"/>
              <w:bottom w:val="nil"/>
              <w:right w:val="nil"/>
            </w:tcBorders>
            <w:tcMar>
              <w:top w:w="128" w:type="dxa"/>
              <w:left w:w="43" w:type="dxa"/>
              <w:bottom w:w="43" w:type="dxa"/>
              <w:right w:w="43" w:type="dxa"/>
            </w:tcMar>
            <w:vAlign w:val="bottom"/>
          </w:tcPr>
          <w:p w14:paraId="22E74ABA" w14:textId="77777777" w:rsidR="00575AC3" w:rsidRPr="006D40F0" w:rsidRDefault="00575AC3" w:rsidP="006D40F0"/>
        </w:tc>
      </w:tr>
      <w:tr w:rsidR="00DD49A7" w:rsidRPr="006D40F0" w14:paraId="3C3C206A" w14:textId="77777777">
        <w:trPr>
          <w:trHeight w:val="640"/>
        </w:trPr>
        <w:tc>
          <w:tcPr>
            <w:tcW w:w="680" w:type="dxa"/>
            <w:tcBorders>
              <w:top w:val="nil"/>
              <w:left w:val="nil"/>
              <w:bottom w:val="nil"/>
              <w:right w:val="nil"/>
            </w:tcBorders>
            <w:tcMar>
              <w:top w:w="128" w:type="dxa"/>
              <w:left w:w="43" w:type="dxa"/>
              <w:bottom w:w="43" w:type="dxa"/>
              <w:right w:w="43" w:type="dxa"/>
            </w:tcMar>
          </w:tcPr>
          <w:p w14:paraId="60CFFCE3"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2625826F"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08099A5E" w14:textId="77777777" w:rsidR="00575AC3" w:rsidRPr="006D40F0" w:rsidRDefault="00575AC3" w:rsidP="006D40F0">
            <w:r w:rsidRPr="006D40F0">
              <w:t>Tilskudd til reindriften for andel av verdiskaping fra vindkraft, bevilges med</w:t>
            </w:r>
          </w:p>
        </w:tc>
        <w:tc>
          <w:tcPr>
            <w:tcW w:w="1400" w:type="dxa"/>
            <w:tcBorders>
              <w:top w:val="nil"/>
              <w:left w:val="nil"/>
              <w:bottom w:val="nil"/>
              <w:right w:val="nil"/>
            </w:tcBorders>
            <w:tcMar>
              <w:top w:w="128" w:type="dxa"/>
              <w:left w:w="43" w:type="dxa"/>
              <w:bottom w:w="43" w:type="dxa"/>
              <w:right w:w="43" w:type="dxa"/>
            </w:tcMar>
            <w:vAlign w:val="bottom"/>
          </w:tcPr>
          <w:p w14:paraId="7373CAE8" w14:textId="77777777" w:rsidR="00575AC3" w:rsidRPr="006D40F0" w:rsidRDefault="00575AC3" w:rsidP="006D40F0">
            <w:r w:rsidRPr="006D40F0">
              <w:t>10 000 000</w:t>
            </w:r>
          </w:p>
        </w:tc>
      </w:tr>
      <w:tr w:rsidR="00DD49A7" w:rsidRPr="006D40F0" w14:paraId="167D291F" w14:textId="77777777">
        <w:trPr>
          <w:trHeight w:val="380"/>
        </w:trPr>
        <w:tc>
          <w:tcPr>
            <w:tcW w:w="680" w:type="dxa"/>
            <w:tcBorders>
              <w:top w:val="nil"/>
              <w:left w:val="nil"/>
              <w:bottom w:val="nil"/>
              <w:right w:val="nil"/>
            </w:tcBorders>
            <w:tcMar>
              <w:top w:w="128" w:type="dxa"/>
              <w:left w:w="43" w:type="dxa"/>
              <w:bottom w:w="43" w:type="dxa"/>
              <w:right w:w="43" w:type="dxa"/>
            </w:tcMar>
          </w:tcPr>
          <w:p w14:paraId="69B45F57" w14:textId="77777777" w:rsidR="00575AC3" w:rsidRPr="006D40F0" w:rsidRDefault="00575AC3" w:rsidP="006D40F0">
            <w:r w:rsidRPr="006D40F0">
              <w:t>1149</w:t>
            </w:r>
          </w:p>
        </w:tc>
        <w:tc>
          <w:tcPr>
            <w:tcW w:w="680" w:type="dxa"/>
            <w:tcBorders>
              <w:top w:val="nil"/>
              <w:left w:val="nil"/>
              <w:bottom w:val="nil"/>
              <w:right w:val="nil"/>
            </w:tcBorders>
            <w:tcMar>
              <w:top w:w="128" w:type="dxa"/>
              <w:left w:w="43" w:type="dxa"/>
              <w:bottom w:w="43" w:type="dxa"/>
              <w:right w:w="43" w:type="dxa"/>
            </w:tcMar>
          </w:tcPr>
          <w:p w14:paraId="47BA8E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064F61" w14:textId="77777777" w:rsidR="00575AC3" w:rsidRPr="006D40F0" w:rsidRDefault="00575AC3" w:rsidP="006D40F0">
            <w:r w:rsidRPr="006D40F0">
              <w:t>Verdiskapings- og utviklingstiltak i landbruket:</w:t>
            </w:r>
          </w:p>
        </w:tc>
        <w:tc>
          <w:tcPr>
            <w:tcW w:w="1400" w:type="dxa"/>
            <w:tcBorders>
              <w:top w:val="nil"/>
              <w:left w:val="nil"/>
              <w:bottom w:val="nil"/>
              <w:right w:val="nil"/>
            </w:tcBorders>
            <w:tcMar>
              <w:top w:w="128" w:type="dxa"/>
              <w:left w:w="43" w:type="dxa"/>
              <w:bottom w:w="43" w:type="dxa"/>
              <w:right w:w="43" w:type="dxa"/>
            </w:tcMar>
            <w:vAlign w:val="bottom"/>
          </w:tcPr>
          <w:p w14:paraId="1C201974" w14:textId="77777777" w:rsidR="00575AC3" w:rsidRPr="006D40F0" w:rsidRDefault="00575AC3" w:rsidP="006D40F0"/>
        </w:tc>
      </w:tr>
      <w:tr w:rsidR="00DD49A7" w:rsidRPr="006D40F0" w14:paraId="07EF3727" w14:textId="77777777">
        <w:trPr>
          <w:trHeight w:val="380"/>
        </w:trPr>
        <w:tc>
          <w:tcPr>
            <w:tcW w:w="680" w:type="dxa"/>
            <w:tcBorders>
              <w:top w:val="nil"/>
              <w:left w:val="nil"/>
              <w:bottom w:val="nil"/>
              <w:right w:val="nil"/>
            </w:tcBorders>
            <w:tcMar>
              <w:top w:w="128" w:type="dxa"/>
              <w:left w:w="43" w:type="dxa"/>
              <w:bottom w:w="43" w:type="dxa"/>
              <w:right w:w="43" w:type="dxa"/>
            </w:tcMar>
          </w:tcPr>
          <w:p w14:paraId="5A9F43A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F3631E"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562E3CA1" w14:textId="77777777" w:rsidR="00575AC3" w:rsidRPr="006D40F0" w:rsidRDefault="00575AC3" w:rsidP="006D40F0">
            <w:r w:rsidRPr="006D40F0">
              <w:t xml:space="preserve">Tilskudd til skog-, klima- og energitiltak,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6D8D84F" w14:textId="77777777" w:rsidR="00575AC3" w:rsidRPr="006D40F0" w:rsidRDefault="00575AC3" w:rsidP="006D40F0">
            <w:r w:rsidRPr="006D40F0">
              <w:t>10 000 000</w:t>
            </w:r>
          </w:p>
        </w:tc>
      </w:tr>
      <w:tr w:rsidR="00DD49A7" w:rsidRPr="006D40F0" w14:paraId="153ACB85" w14:textId="77777777">
        <w:trPr>
          <w:trHeight w:val="380"/>
        </w:trPr>
        <w:tc>
          <w:tcPr>
            <w:tcW w:w="680" w:type="dxa"/>
            <w:tcBorders>
              <w:top w:val="nil"/>
              <w:left w:val="nil"/>
              <w:bottom w:val="nil"/>
              <w:right w:val="nil"/>
            </w:tcBorders>
            <w:tcMar>
              <w:top w:w="128" w:type="dxa"/>
              <w:left w:w="43" w:type="dxa"/>
              <w:bottom w:w="43" w:type="dxa"/>
              <w:right w:w="43" w:type="dxa"/>
            </w:tcMar>
          </w:tcPr>
          <w:p w14:paraId="7F238E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21EBE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63EDD6" w14:textId="77777777" w:rsidR="00575AC3" w:rsidRPr="006D40F0" w:rsidRDefault="00575AC3" w:rsidP="006D40F0">
            <w:r w:rsidRPr="006D40F0">
              <w:t>fra kr 55 852 000 til kr 45 852 000</w:t>
            </w:r>
          </w:p>
        </w:tc>
        <w:tc>
          <w:tcPr>
            <w:tcW w:w="1400" w:type="dxa"/>
            <w:tcBorders>
              <w:top w:val="nil"/>
              <w:left w:val="nil"/>
              <w:bottom w:val="nil"/>
              <w:right w:val="nil"/>
            </w:tcBorders>
            <w:tcMar>
              <w:top w:w="128" w:type="dxa"/>
              <w:left w:w="43" w:type="dxa"/>
              <w:bottom w:w="43" w:type="dxa"/>
              <w:right w:w="43" w:type="dxa"/>
            </w:tcMar>
            <w:vAlign w:val="bottom"/>
          </w:tcPr>
          <w:p w14:paraId="26A7FA51" w14:textId="77777777" w:rsidR="00575AC3" w:rsidRPr="006D40F0" w:rsidRDefault="00575AC3" w:rsidP="006D40F0"/>
        </w:tc>
      </w:tr>
      <w:tr w:rsidR="00DD49A7" w:rsidRPr="006D40F0" w14:paraId="3542B5A3" w14:textId="77777777">
        <w:trPr>
          <w:trHeight w:val="380"/>
        </w:trPr>
        <w:tc>
          <w:tcPr>
            <w:tcW w:w="680" w:type="dxa"/>
            <w:tcBorders>
              <w:top w:val="nil"/>
              <w:left w:val="nil"/>
              <w:bottom w:val="nil"/>
              <w:right w:val="nil"/>
            </w:tcBorders>
            <w:tcMar>
              <w:top w:w="128" w:type="dxa"/>
              <w:left w:w="43" w:type="dxa"/>
              <w:bottom w:w="43" w:type="dxa"/>
              <w:right w:w="43" w:type="dxa"/>
            </w:tcMar>
          </w:tcPr>
          <w:p w14:paraId="0B9E7BD8" w14:textId="77777777" w:rsidR="00575AC3" w:rsidRPr="006D40F0" w:rsidRDefault="00575AC3" w:rsidP="006D40F0">
            <w:r w:rsidRPr="006D40F0">
              <w:t>1150</w:t>
            </w:r>
          </w:p>
        </w:tc>
        <w:tc>
          <w:tcPr>
            <w:tcW w:w="680" w:type="dxa"/>
            <w:tcBorders>
              <w:top w:val="nil"/>
              <w:left w:val="nil"/>
              <w:bottom w:val="nil"/>
              <w:right w:val="nil"/>
            </w:tcBorders>
            <w:tcMar>
              <w:top w:w="128" w:type="dxa"/>
              <w:left w:w="43" w:type="dxa"/>
              <w:bottom w:w="43" w:type="dxa"/>
              <w:right w:w="43" w:type="dxa"/>
            </w:tcMar>
          </w:tcPr>
          <w:p w14:paraId="5A01CEB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64BDCB" w14:textId="77777777" w:rsidR="00575AC3" w:rsidRPr="006D40F0" w:rsidRDefault="00575AC3" w:rsidP="006D40F0">
            <w:r w:rsidRPr="006D40F0">
              <w:t>Til gjennomføring av jordbruksavtalen m.m.:</w:t>
            </w:r>
          </w:p>
        </w:tc>
        <w:tc>
          <w:tcPr>
            <w:tcW w:w="1400" w:type="dxa"/>
            <w:tcBorders>
              <w:top w:val="nil"/>
              <w:left w:val="nil"/>
              <w:bottom w:val="nil"/>
              <w:right w:val="nil"/>
            </w:tcBorders>
            <w:tcMar>
              <w:top w:w="128" w:type="dxa"/>
              <w:left w:w="43" w:type="dxa"/>
              <w:bottom w:w="43" w:type="dxa"/>
              <w:right w:w="43" w:type="dxa"/>
            </w:tcMar>
            <w:vAlign w:val="bottom"/>
          </w:tcPr>
          <w:p w14:paraId="3DD1D0C4" w14:textId="77777777" w:rsidR="00575AC3" w:rsidRPr="006D40F0" w:rsidRDefault="00575AC3" w:rsidP="006D40F0"/>
        </w:tc>
      </w:tr>
      <w:tr w:rsidR="00DD49A7" w:rsidRPr="006D40F0" w14:paraId="68D8776B" w14:textId="77777777">
        <w:trPr>
          <w:trHeight w:val="380"/>
        </w:trPr>
        <w:tc>
          <w:tcPr>
            <w:tcW w:w="680" w:type="dxa"/>
            <w:tcBorders>
              <w:top w:val="nil"/>
              <w:left w:val="nil"/>
              <w:bottom w:val="nil"/>
              <w:right w:val="nil"/>
            </w:tcBorders>
            <w:tcMar>
              <w:top w:w="128" w:type="dxa"/>
              <w:left w:w="43" w:type="dxa"/>
              <w:bottom w:w="43" w:type="dxa"/>
              <w:right w:w="43" w:type="dxa"/>
            </w:tcMar>
          </w:tcPr>
          <w:p w14:paraId="5B3EFE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A963D5"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F679C4C" w14:textId="77777777" w:rsidR="00575AC3" w:rsidRPr="006D40F0" w:rsidRDefault="00575AC3" w:rsidP="006D40F0">
            <w:r w:rsidRPr="006D40F0">
              <w:t xml:space="preserve">Tilskudd ved produksjonssvikt,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4E3F91B" w14:textId="77777777" w:rsidR="00575AC3" w:rsidRPr="006D40F0" w:rsidRDefault="00575AC3" w:rsidP="006D40F0">
            <w:r w:rsidRPr="006D40F0">
              <w:t>697 700 000</w:t>
            </w:r>
          </w:p>
        </w:tc>
      </w:tr>
      <w:tr w:rsidR="00DD49A7" w:rsidRPr="006D40F0" w14:paraId="3312FC21" w14:textId="77777777">
        <w:trPr>
          <w:trHeight w:val="380"/>
        </w:trPr>
        <w:tc>
          <w:tcPr>
            <w:tcW w:w="680" w:type="dxa"/>
            <w:tcBorders>
              <w:top w:val="nil"/>
              <w:left w:val="nil"/>
              <w:bottom w:val="nil"/>
              <w:right w:val="nil"/>
            </w:tcBorders>
            <w:tcMar>
              <w:top w:w="128" w:type="dxa"/>
              <w:left w:w="43" w:type="dxa"/>
              <w:bottom w:w="43" w:type="dxa"/>
              <w:right w:w="43" w:type="dxa"/>
            </w:tcMar>
          </w:tcPr>
          <w:p w14:paraId="536A32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1BFD1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C96898" w14:textId="77777777" w:rsidR="00575AC3" w:rsidRPr="006D40F0" w:rsidRDefault="00575AC3" w:rsidP="006D40F0">
            <w:r w:rsidRPr="006D40F0">
              <w:t>fra kr 102 400 000 til kr 800 100 000</w:t>
            </w:r>
          </w:p>
        </w:tc>
        <w:tc>
          <w:tcPr>
            <w:tcW w:w="1400" w:type="dxa"/>
            <w:tcBorders>
              <w:top w:val="nil"/>
              <w:left w:val="nil"/>
              <w:bottom w:val="nil"/>
              <w:right w:val="nil"/>
            </w:tcBorders>
            <w:tcMar>
              <w:top w:w="128" w:type="dxa"/>
              <w:left w:w="43" w:type="dxa"/>
              <w:bottom w:w="43" w:type="dxa"/>
              <w:right w:w="43" w:type="dxa"/>
            </w:tcMar>
            <w:vAlign w:val="bottom"/>
          </w:tcPr>
          <w:p w14:paraId="71BE781E" w14:textId="77777777" w:rsidR="00575AC3" w:rsidRPr="006D40F0" w:rsidRDefault="00575AC3" w:rsidP="006D40F0"/>
        </w:tc>
      </w:tr>
      <w:tr w:rsidR="00DD49A7" w:rsidRPr="006D40F0" w14:paraId="0C0B04E9" w14:textId="77777777">
        <w:trPr>
          <w:trHeight w:val="380"/>
        </w:trPr>
        <w:tc>
          <w:tcPr>
            <w:tcW w:w="680" w:type="dxa"/>
            <w:tcBorders>
              <w:top w:val="nil"/>
              <w:left w:val="nil"/>
              <w:bottom w:val="nil"/>
              <w:right w:val="nil"/>
            </w:tcBorders>
            <w:tcMar>
              <w:top w:w="128" w:type="dxa"/>
              <w:left w:w="43" w:type="dxa"/>
              <w:bottom w:w="43" w:type="dxa"/>
              <w:right w:w="43" w:type="dxa"/>
            </w:tcMar>
          </w:tcPr>
          <w:p w14:paraId="7A5F40BF" w14:textId="77777777" w:rsidR="00575AC3" w:rsidRPr="006D40F0" w:rsidRDefault="00575AC3" w:rsidP="006D40F0">
            <w:r w:rsidRPr="006D40F0">
              <w:t>1300</w:t>
            </w:r>
          </w:p>
        </w:tc>
        <w:tc>
          <w:tcPr>
            <w:tcW w:w="680" w:type="dxa"/>
            <w:tcBorders>
              <w:top w:val="nil"/>
              <w:left w:val="nil"/>
              <w:bottom w:val="nil"/>
              <w:right w:val="nil"/>
            </w:tcBorders>
            <w:tcMar>
              <w:top w:w="128" w:type="dxa"/>
              <w:left w:w="43" w:type="dxa"/>
              <w:bottom w:w="43" w:type="dxa"/>
              <w:right w:w="43" w:type="dxa"/>
            </w:tcMar>
          </w:tcPr>
          <w:p w14:paraId="3343D98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CFCA027" w14:textId="77777777" w:rsidR="00575AC3" w:rsidRPr="006D40F0" w:rsidRDefault="00575AC3" w:rsidP="006D40F0">
            <w:r w:rsidRPr="006D40F0">
              <w:t>Samferdselsdepartementet:</w:t>
            </w:r>
          </w:p>
        </w:tc>
        <w:tc>
          <w:tcPr>
            <w:tcW w:w="1400" w:type="dxa"/>
            <w:tcBorders>
              <w:top w:val="nil"/>
              <w:left w:val="nil"/>
              <w:bottom w:val="nil"/>
              <w:right w:val="nil"/>
            </w:tcBorders>
            <w:tcMar>
              <w:top w:w="128" w:type="dxa"/>
              <w:left w:w="43" w:type="dxa"/>
              <w:bottom w:w="43" w:type="dxa"/>
              <w:right w:w="43" w:type="dxa"/>
            </w:tcMar>
            <w:vAlign w:val="bottom"/>
          </w:tcPr>
          <w:p w14:paraId="1298D408" w14:textId="77777777" w:rsidR="00575AC3" w:rsidRPr="006D40F0" w:rsidRDefault="00575AC3" w:rsidP="006D40F0"/>
        </w:tc>
      </w:tr>
      <w:tr w:rsidR="00DD49A7" w:rsidRPr="006D40F0" w14:paraId="559B6EAF" w14:textId="77777777">
        <w:trPr>
          <w:trHeight w:val="380"/>
        </w:trPr>
        <w:tc>
          <w:tcPr>
            <w:tcW w:w="680" w:type="dxa"/>
            <w:tcBorders>
              <w:top w:val="nil"/>
              <w:left w:val="nil"/>
              <w:bottom w:val="nil"/>
              <w:right w:val="nil"/>
            </w:tcBorders>
            <w:tcMar>
              <w:top w:w="128" w:type="dxa"/>
              <w:left w:w="43" w:type="dxa"/>
              <w:bottom w:w="43" w:type="dxa"/>
              <w:right w:w="43" w:type="dxa"/>
            </w:tcMar>
          </w:tcPr>
          <w:p w14:paraId="1DC8157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ED5B1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FCD474A"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134E755" w14:textId="77777777" w:rsidR="00575AC3" w:rsidRPr="006D40F0" w:rsidRDefault="00575AC3" w:rsidP="006D40F0">
            <w:r w:rsidRPr="006D40F0">
              <w:t>6 000 000</w:t>
            </w:r>
          </w:p>
        </w:tc>
      </w:tr>
      <w:tr w:rsidR="00DD49A7" w:rsidRPr="006D40F0" w14:paraId="5F2FCA1C" w14:textId="77777777">
        <w:trPr>
          <w:trHeight w:val="380"/>
        </w:trPr>
        <w:tc>
          <w:tcPr>
            <w:tcW w:w="680" w:type="dxa"/>
            <w:tcBorders>
              <w:top w:val="nil"/>
              <w:left w:val="nil"/>
              <w:bottom w:val="nil"/>
              <w:right w:val="nil"/>
            </w:tcBorders>
            <w:tcMar>
              <w:top w:w="128" w:type="dxa"/>
              <w:left w:w="43" w:type="dxa"/>
              <w:bottom w:w="43" w:type="dxa"/>
              <w:right w:w="43" w:type="dxa"/>
            </w:tcMar>
          </w:tcPr>
          <w:p w14:paraId="46F222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1D2E1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47EF0B1" w14:textId="77777777" w:rsidR="00575AC3" w:rsidRPr="006D40F0" w:rsidRDefault="00575AC3" w:rsidP="006D40F0">
            <w:r w:rsidRPr="006D40F0">
              <w:t>fra kr 182 900 000 til kr 188 900 000</w:t>
            </w:r>
          </w:p>
        </w:tc>
        <w:tc>
          <w:tcPr>
            <w:tcW w:w="1400" w:type="dxa"/>
            <w:tcBorders>
              <w:top w:val="nil"/>
              <w:left w:val="nil"/>
              <w:bottom w:val="nil"/>
              <w:right w:val="nil"/>
            </w:tcBorders>
            <w:tcMar>
              <w:top w:w="128" w:type="dxa"/>
              <w:left w:w="43" w:type="dxa"/>
              <w:bottom w:w="43" w:type="dxa"/>
              <w:right w:w="43" w:type="dxa"/>
            </w:tcMar>
            <w:vAlign w:val="bottom"/>
          </w:tcPr>
          <w:p w14:paraId="54E48E31" w14:textId="77777777" w:rsidR="00575AC3" w:rsidRPr="006D40F0" w:rsidRDefault="00575AC3" w:rsidP="006D40F0"/>
        </w:tc>
      </w:tr>
      <w:tr w:rsidR="00DD49A7" w:rsidRPr="006D40F0" w14:paraId="3DDAD7BF" w14:textId="77777777">
        <w:trPr>
          <w:trHeight w:val="380"/>
        </w:trPr>
        <w:tc>
          <w:tcPr>
            <w:tcW w:w="680" w:type="dxa"/>
            <w:tcBorders>
              <w:top w:val="nil"/>
              <w:left w:val="nil"/>
              <w:bottom w:val="nil"/>
              <w:right w:val="nil"/>
            </w:tcBorders>
            <w:tcMar>
              <w:top w:w="128" w:type="dxa"/>
              <w:left w:w="43" w:type="dxa"/>
              <w:bottom w:w="43" w:type="dxa"/>
              <w:right w:w="43" w:type="dxa"/>
            </w:tcMar>
          </w:tcPr>
          <w:p w14:paraId="47698BFB" w14:textId="77777777" w:rsidR="00575AC3" w:rsidRPr="006D40F0" w:rsidRDefault="00575AC3" w:rsidP="006D40F0">
            <w:r w:rsidRPr="006D40F0">
              <w:t>1301</w:t>
            </w:r>
          </w:p>
        </w:tc>
        <w:tc>
          <w:tcPr>
            <w:tcW w:w="680" w:type="dxa"/>
            <w:tcBorders>
              <w:top w:val="nil"/>
              <w:left w:val="nil"/>
              <w:bottom w:val="nil"/>
              <w:right w:val="nil"/>
            </w:tcBorders>
            <w:tcMar>
              <w:top w:w="128" w:type="dxa"/>
              <w:left w:w="43" w:type="dxa"/>
              <w:bottom w:w="43" w:type="dxa"/>
              <w:right w:w="43" w:type="dxa"/>
            </w:tcMar>
          </w:tcPr>
          <w:p w14:paraId="372C070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16987F" w14:textId="77777777" w:rsidR="00575AC3" w:rsidRPr="006D40F0" w:rsidRDefault="00575AC3" w:rsidP="006D40F0">
            <w:r w:rsidRPr="006D40F0">
              <w:t>Forskning og utvikling mv.:</w:t>
            </w:r>
          </w:p>
        </w:tc>
        <w:tc>
          <w:tcPr>
            <w:tcW w:w="1400" w:type="dxa"/>
            <w:tcBorders>
              <w:top w:val="nil"/>
              <w:left w:val="nil"/>
              <w:bottom w:val="nil"/>
              <w:right w:val="nil"/>
            </w:tcBorders>
            <w:tcMar>
              <w:top w:w="128" w:type="dxa"/>
              <w:left w:w="43" w:type="dxa"/>
              <w:bottom w:w="43" w:type="dxa"/>
              <w:right w:w="43" w:type="dxa"/>
            </w:tcMar>
            <w:vAlign w:val="bottom"/>
          </w:tcPr>
          <w:p w14:paraId="10E50AC5" w14:textId="77777777" w:rsidR="00575AC3" w:rsidRPr="006D40F0" w:rsidRDefault="00575AC3" w:rsidP="006D40F0"/>
        </w:tc>
      </w:tr>
      <w:tr w:rsidR="00DD49A7" w:rsidRPr="006D40F0" w14:paraId="14BB524F" w14:textId="77777777">
        <w:trPr>
          <w:trHeight w:val="380"/>
        </w:trPr>
        <w:tc>
          <w:tcPr>
            <w:tcW w:w="680" w:type="dxa"/>
            <w:tcBorders>
              <w:top w:val="nil"/>
              <w:left w:val="nil"/>
              <w:bottom w:val="nil"/>
              <w:right w:val="nil"/>
            </w:tcBorders>
            <w:tcMar>
              <w:top w:w="128" w:type="dxa"/>
              <w:left w:w="43" w:type="dxa"/>
              <w:bottom w:w="43" w:type="dxa"/>
              <w:right w:w="43" w:type="dxa"/>
            </w:tcMar>
          </w:tcPr>
          <w:p w14:paraId="0F938C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7C7453"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38751E6" w14:textId="77777777" w:rsidR="00575AC3" w:rsidRPr="006D40F0" w:rsidRDefault="00575AC3" w:rsidP="006D40F0">
            <w:r w:rsidRPr="006D40F0">
              <w:t xml:space="preserve">Utredninger </w:t>
            </w:r>
            <w:proofErr w:type="gramStart"/>
            <w:r w:rsidRPr="006D40F0">
              <w:t>vedrørende</w:t>
            </w:r>
            <w:proofErr w:type="gramEnd"/>
            <w:r w:rsidRPr="006D40F0">
              <w:t xml:space="preserve"> miljø, trafikksikkerhet mv., nedsettes med</w:t>
            </w:r>
          </w:p>
        </w:tc>
        <w:tc>
          <w:tcPr>
            <w:tcW w:w="1400" w:type="dxa"/>
            <w:tcBorders>
              <w:top w:val="nil"/>
              <w:left w:val="nil"/>
              <w:bottom w:val="nil"/>
              <w:right w:val="nil"/>
            </w:tcBorders>
            <w:tcMar>
              <w:top w:w="128" w:type="dxa"/>
              <w:left w:w="43" w:type="dxa"/>
              <w:bottom w:w="43" w:type="dxa"/>
              <w:right w:w="43" w:type="dxa"/>
            </w:tcMar>
            <w:vAlign w:val="bottom"/>
          </w:tcPr>
          <w:p w14:paraId="795D8B70" w14:textId="77777777" w:rsidR="00575AC3" w:rsidRPr="006D40F0" w:rsidRDefault="00575AC3" w:rsidP="006D40F0">
            <w:r w:rsidRPr="006D40F0">
              <w:t>2 000 000</w:t>
            </w:r>
          </w:p>
        </w:tc>
      </w:tr>
      <w:tr w:rsidR="00DD49A7" w:rsidRPr="006D40F0" w14:paraId="11D5C99A" w14:textId="77777777">
        <w:trPr>
          <w:trHeight w:val="380"/>
        </w:trPr>
        <w:tc>
          <w:tcPr>
            <w:tcW w:w="680" w:type="dxa"/>
            <w:tcBorders>
              <w:top w:val="nil"/>
              <w:left w:val="nil"/>
              <w:bottom w:val="nil"/>
              <w:right w:val="nil"/>
            </w:tcBorders>
            <w:tcMar>
              <w:top w:w="128" w:type="dxa"/>
              <w:left w:w="43" w:type="dxa"/>
              <w:bottom w:w="43" w:type="dxa"/>
              <w:right w:w="43" w:type="dxa"/>
            </w:tcMar>
          </w:tcPr>
          <w:p w14:paraId="715155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850916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E8232C" w14:textId="77777777" w:rsidR="00575AC3" w:rsidRPr="006D40F0" w:rsidRDefault="00575AC3" w:rsidP="006D40F0">
            <w:r w:rsidRPr="006D40F0">
              <w:t>fra kr 11 900 000 til kr 9 900 000</w:t>
            </w:r>
          </w:p>
        </w:tc>
        <w:tc>
          <w:tcPr>
            <w:tcW w:w="1400" w:type="dxa"/>
            <w:tcBorders>
              <w:top w:val="nil"/>
              <w:left w:val="nil"/>
              <w:bottom w:val="nil"/>
              <w:right w:val="nil"/>
            </w:tcBorders>
            <w:tcMar>
              <w:top w:w="128" w:type="dxa"/>
              <w:left w:w="43" w:type="dxa"/>
              <w:bottom w:w="43" w:type="dxa"/>
              <w:right w:w="43" w:type="dxa"/>
            </w:tcMar>
            <w:vAlign w:val="bottom"/>
          </w:tcPr>
          <w:p w14:paraId="559A0C46" w14:textId="77777777" w:rsidR="00575AC3" w:rsidRPr="006D40F0" w:rsidRDefault="00575AC3" w:rsidP="006D40F0"/>
        </w:tc>
      </w:tr>
      <w:tr w:rsidR="00DD49A7" w:rsidRPr="006D40F0" w14:paraId="74C97A13" w14:textId="77777777">
        <w:trPr>
          <w:trHeight w:val="380"/>
        </w:trPr>
        <w:tc>
          <w:tcPr>
            <w:tcW w:w="680" w:type="dxa"/>
            <w:tcBorders>
              <w:top w:val="nil"/>
              <w:left w:val="nil"/>
              <w:bottom w:val="nil"/>
              <w:right w:val="nil"/>
            </w:tcBorders>
            <w:tcMar>
              <w:top w:w="128" w:type="dxa"/>
              <w:left w:w="43" w:type="dxa"/>
              <w:bottom w:w="43" w:type="dxa"/>
              <w:right w:w="43" w:type="dxa"/>
            </w:tcMar>
          </w:tcPr>
          <w:p w14:paraId="51A3C9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6A8278"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81C005E" w14:textId="77777777" w:rsidR="00575AC3" w:rsidRPr="006D40F0" w:rsidRDefault="00575AC3" w:rsidP="006D40F0">
            <w:r w:rsidRPr="006D40F0">
              <w:t xml:space="preserve">Norges forskningsråd mv.,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54720FD" w14:textId="77777777" w:rsidR="00575AC3" w:rsidRPr="006D40F0" w:rsidRDefault="00575AC3" w:rsidP="006D40F0">
            <w:r w:rsidRPr="006D40F0">
              <w:t>2 000 000</w:t>
            </w:r>
          </w:p>
        </w:tc>
      </w:tr>
      <w:tr w:rsidR="00DD49A7" w:rsidRPr="006D40F0" w14:paraId="22DE99C5" w14:textId="77777777">
        <w:trPr>
          <w:trHeight w:val="380"/>
        </w:trPr>
        <w:tc>
          <w:tcPr>
            <w:tcW w:w="680" w:type="dxa"/>
            <w:tcBorders>
              <w:top w:val="nil"/>
              <w:left w:val="nil"/>
              <w:bottom w:val="nil"/>
              <w:right w:val="nil"/>
            </w:tcBorders>
            <w:tcMar>
              <w:top w:w="128" w:type="dxa"/>
              <w:left w:w="43" w:type="dxa"/>
              <w:bottom w:w="43" w:type="dxa"/>
              <w:right w:w="43" w:type="dxa"/>
            </w:tcMar>
          </w:tcPr>
          <w:p w14:paraId="705D27E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CFE20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1F8ADB" w14:textId="77777777" w:rsidR="00575AC3" w:rsidRPr="006D40F0" w:rsidRDefault="00575AC3" w:rsidP="006D40F0">
            <w:r w:rsidRPr="006D40F0">
              <w:t>fra kr 145 200 000 til kr 143 200 000</w:t>
            </w:r>
          </w:p>
        </w:tc>
        <w:tc>
          <w:tcPr>
            <w:tcW w:w="1400" w:type="dxa"/>
            <w:tcBorders>
              <w:top w:val="nil"/>
              <w:left w:val="nil"/>
              <w:bottom w:val="nil"/>
              <w:right w:val="nil"/>
            </w:tcBorders>
            <w:tcMar>
              <w:top w:w="128" w:type="dxa"/>
              <w:left w:w="43" w:type="dxa"/>
              <w:bottom w:w="43" w:type="dxa"/>
              <w:right w:w="43" w:type="dxa"/>
            </w:tcMar>
            <w:vAlign w:val="bottom"/>
          </w:tcPr>
          <w:p w14:paraId="0F1E9248" w14:textId="77777777" w:rsidR="00575AC3" w:rsidRPr="006D40F0" w:rsidRDefault="00575AC3" w:rsidP="006D40F0"/>
        </w:tc>
      </w:tr>
      <w:tr w:rsidR="00DD49A7" w:rsidRPr="006D40F0" w14:paraId="46A4039F" w14:textId="77777777">
        <w:trPr>
          <w:trHeight w:val="380"/>
        </w:trPr>
        <w:tc>
          <w:tcPr>
            <w:tcW w:w="680" w:type="dxa"/>
            <w:tcBorders>
              <w:top w:val="nil"/>
              <w:left w:val="nil"/>
              <w:bottom w:val="nil"/>
              <w:right w:val="nil"/>
            </w:tcBorders>
            <w:tcMar>
              <w:top w:w="128" w:type="dxa"/>
              <w:left w:w="43" w:type="dxa"/>
              <w:bottom w:w="43" w:type="dxa"/>
              <w:right w:w="43" w:type="dxa"/>
            </w:tcMar>
          </w:tcPr>
          <w:p w14:paraId="50BDDB3B" w14:textId="77777777" w:rsidR="00575AC3" w:rsidRPr="006D40F0" w:rsidRDefault="00575AC3" w:rsidP="006D40F0">
            <w:r w:rsidRPr="006D40F0">
              <w:t>1310</w:t>
            </w:r>
          </w:p>
        </w:tc>
        <w:tc>
          <w:tcPr>
            <w:tcW w:w="680" w:type="dxa"/>
            <w:tcBorders>
              <w:top w:val="nil"/>
              <w:left w:val="nil"/>
              <w:bottom w:val="nil"/>
              <w:right w:val="nil"/>
            </w:tcBorders>
            <w:tcMar>
              <w:top w:w="128" w:type="dxa"/>
              <w:left w:w="43" w:type="dxa"/>
              <w:bottom w:w="43" w:type="dxa"/>
              <w:right w:w="43" w:type="dxa"/>
            </w:tcMar>
          </w:tcPr>
          <w:p w14:paraId="1E9036E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D973F45" w14:textId="77777777" w:rsidR="00575AC3" w:rsidRPr="006D40F0" w:rsidRDefault="00575AC3" w:rsidP="006D40F0">
            <w:r w:rsidRPr="006D40F0">
              <w:t>Flytransport:</w:t>
            </w:r>
          </w:p>
        </w:tc>
        <w:tc>
          <w:tcPr>
            <w:tcW w:w="1400" w:type="dxa"/>
            <w:tcBorders>
              <w:top w:val="nil"/>
              <w:left w:val="nil"/>
              <w:bottom w:val="nil"/>
              <w:right w:val="nil"/>
            </w:tcBorders>
            <w:tcMar>
              <w:top w:w="128" w:type="dxa"/>
              <w:left w:w="43" w:type="dxa"/>
              <w:bottom w:w="43" w:type="dxa"/>
              <w:right w:w="43" w:type="dxa"/>
            </w:tcMar>
            <w:vAlign w:val="bottom"/>
          </w:tcPr>
          <w:p w14:paraId="4E62FD80" w14:textId="77777777" w:rsidR="00575AC3" w:rsidRPr="006D40F0" w:rsidRDefault="00575AC3" w:rsidP="006D40F0"/>
        </w:tc>
      </w:tr>
      <w:tr w:rsidR="00DD49A7" w:rsidRPr="006D40F0" w14:paraId="49F80BCB" w14:textId="77777777">
        <w:trPr>
          <w:trHeight w:val="380"/>
        </w:trPr>
        <w:tc>
          <w:tcPr>
            <w:tcW w:w="680" w:type="dxa"/>
            <w:tcBorders>
              <w:top w:val="nil"/>
              <w:left w:val="nil"/>
              <w:bottom w:val="nil"/>
              <w:right w:val="nil"/>
            </w:tcBorders>
            <w:tcMar>
              <w:top w:w="128" w:type="dxa"/>
              <w:left w:w="43" w:type="dxa"/>
              <w:bottom w:w="43" w:type="dxa"/>
              <w:right w:w="43" w:type="dxa"/>
            </w:tcMar>
          </w:tcPr>
          <w:p w14:paraId="1D2BC8B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C03281"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F5E5BC6" w14:textId="77777777" w:rsidR="00575AC3" w:rsidRPr="006D40F0" w:rsidRDefault="00575AC3" w:rsidP="006D40F0">
            <w:r w:rsidRPr="006D40F0">
              <w:t xml:space="preserve">Kjøp av innenlandske flyruter,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1F39DC3" w14:textId="77777777" w:rsidR="00575AC3" w:rsidRPr="006D40F0" w:rsidRDefault="00575AC3" w:rsidP="006D40F0">
            <w:r w:rsidRPr="006D40F0">
              <w:t>101 400 000</w:t>
            </w:r>
          </w:p>
        </w:tc>
      </w:tr>
      <w:tr w:rsidR="00DD49A7" w:rsidRPr="006D40F0" w14:paraId="15F5F4EE" w14:textId="77777777">
        <w:trPr>
          <w:trHeight w:val="380"/>
        </w:trPr>
        <w:tc>
          <w:tcPr>
            <w:tcW w:w="680" w:type="dxa"/>
            <w:tcBorders>
              <w:top w:val="nil"/>
              <w:left w:val="nil"/>
              <w:bottom w:val="nil"/>
              <w:right w:val="nil"/>
            </w:tcBorders>
            <w:tcMar>
              <w:top w:w="128" w:type="dxa"/>
              <w:left w:w="43" w:type="dxa"/>
              <w:bottom w:w="43" w:type="dxa"/>
              <w:right w:w="43" w:type="dxa"/>
            </w:tcMar>
          </w:tcPr>
          <w:p w14:paraId="4BE94F4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940DA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DD4B03" w14:textId="77777777" w:rsidR="00575AC3" w:rsidRPr="006D40F0" w:rsidRDefault="00575AC3" w:rsidP="006D40F0">
            <w:r w:rsidRPr="006D40F0">
              <w:t>fra kr 1 934 600 000 til kr 2 036 000 000</w:t>
            </w:r>
          </w:p>
        </w:tc>
        <w:tc>
          <w:tcPr>
            <w:tcW w:w="1400" w:type="dxa"/>
            <w:tcBorders>
              <w:top w:val="nil"/>
              <w:left w:val="nil"/>
              <w:bottom w:val="nil"/>
              <w:right w:val="nil"/>
            </w:tcBorders>
            <w:tcMar>
              <w:top w:w="128" w:type="dxa"/>
              <w:left w:w="43" w:type="dxa"/>
              <w:bottom w:w="43" w:type="dxa"/>
              <w:right w:w="43" w:type="dxa"/>
            </w:tcMar>
            <w:vAlign w:val="bottom"/>
          </w:tcPr>
          <w:p w14:paraId="76938F86" w14:textId="77777777" w:rsidR="00575AC3" w:rsidRPr="006D40F0" w:rsidRDefault="00575AC3" w:rsidP="006D40F0"/>
        </w:tc>
      </w:tr>
      <w:tr w:rsidR="00DD49A7" w:rsidRPr="006D40F0" w14:paraId="1DB8C8A4" w14:textId="77777777">
        <w:trPr>
          <w:trHeight w:val="380"/>
        </w:trPr>
        <w:tc>
          <w:tcPr>
            <w:tcW w:w="680" w:type="dxa"/>
            <w:tcBorders>
              <w:top w:val="nil"/>
              <w:left w:val="nil"/>
              <w:bottom w:val="nil"/>
              <w:right w:val="nil"/>
            </w:tcBorders>
            <w:tcMar>
              <w:top w:w="128" w:type="dxa"/>
              <w:left w:w="43" w:type="dxa"/>
              <w:bottom w:w="43" w:type="dxa"/>
              <w:right w:w="43" w:type="dxa"/>
            </w:tcMar>
          </w:tcPr>
          <w:p w14:paraId="17C1FBA5" w14:textId="77777777" w:rsidR="00575AC3" w:rsidRPr="006D40F0" w:rsidRDefault="00575AC3" w:rsidP="006D40F0">
            <w:r w:rsidRPr="006D40F0">
              <w:t>1314</w:t>
            </w:r>
          </w:p>
        </w:tc>
        <w:tc>
          <w:tcPr>
            <w:tcW w:w="680" w:type="dxa"/>
            <w:tcBorders>
              <w:top w:val="nil"/>
              <w:left w:val="nil"/>
              <w:bottom w:val="nil"/>
              <w:right w:val="nil"/>
            </w:tcBorders>
            <w:tcMar>
              <w:top w:w="128" w:type="dxa"/>
              <w:left w:w="43" w:type="dxa"/>
              <w:bottom w:w="43" w:type="dxa"/>
              <w:right w:w="43" w:type="dxa"/>
            </w:tcMar>
          </w:tcPr>
          <w:p w14:paraId="07DFB0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8B837F" w14:textId="77777777" w:rsidR="00575AC3" w:rsidRPr="006D40F0" w:rsidRDefault="00575AC3" w:rsidP="006D40F0">
            <w:r w:rsidRPr="006D40F0">
              <w:t>Statens havarikommisjon:</w:t>
            </w:r>
          </w:p>
        </w:tc>
        <w:tc>
          <w:tcPr>
            <w:tcW w:w="1400" w:type="dxa"/>
            <w:tcBorders>
              <w:top w:val="nil"/>
              <w:left w:val="nil"/>
              <w:bottom w:val="nil"/>
              <w:right w:val="nil"/>
            </w:tcBorders>
            <w:tcMar>
              <w:top w:w="128" w:type="dxa"/>
              <w:left w:w="43" w:type="dxa"/>
              <w:bottom w:w="43" w:type="dxa"/>
              <w:right w:w="43" w:type="dxa"/>
            </w:tcMar>
            <w:vAlign w:val="bottom"/>
          </w:tcPr>
          <w:p w14:paraId="22407442" w14:textId="77777777" w:rsidR="00575AC3" w:rsidRPr="006D40F0" w:rsidRDefault="00575AC3" w:rsidP="006D40F0"/>
        </w:tc>
      </w:tr>
      <w:tr w:rsidR="00DD49A7" w:rsidRPr="006D40F0" w14:paraId="2E30AF01" w14:textId="77777777">
        <w:trPr>
          <w:trHeight w:val="380"/>
        </w:trPr>
        <w:tc>
          <w:tcPr>
            <w:tcW w:w="680" w:type="dxa"/>
            <w:tcBorders>
              <w:top w:val="nil"/>
              <w:left w:val="nil"/>
              <w:bottom w:val="nil"/>
              <w:right w:val="nil"/>
            </w:tcBorders>
            <w:tcMar>
              <w:top w:w="128" w:type="dxa"/>
              <w:left w:w="43" w:type="dxa"/>
              <w:bottom w:w="43" w:type="dxa"/>
              <w:right w:w="43" w:type="dxa"/>
            </w:tcMar>
          </w:tcPr>
          <w:p w14:paraId="54F60C0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E392BB5"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24EA88D"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EA51558" w14:textId="77777777" w:rsidR="00575AC3" w:rsidRPr="006D40F0" w:rsidRDefault="00575AC3" w:rsidP="006D40F0">
            <w:r w:rsidRPr="006D40F0">
              <w:t>3 000 000</w:t>
            </w:r>
          </w:p>
        </w:tc>
      </w:tr>
      <w:tr w:rsidR="00DD49A7" w:rsidRPr="006D40F0" w14:paraId="5BEABD7A" w14:textId="77777777">
        <w:trPr>
          <w:trHeight w:val="380"/>
        </w:trPr>
        <w:tc>
          <w:tcPr>
            <w:tcW w:w="680" w:type="dxa"/>
            <w:tcBorders>
              <w:top w:val="nil"/>
              <w:left w:val="nil"/>
              <w:bottom w:val="nil"/>
              <w:right w:val="nil"/>
            </w:tcBorders>
            <w:tcMar>
              <w:top w:w="128" w:type="dxa"/>
              <w:left w:w="43" w:type="dxa"/>
              <w:bottom w:w="43" w:type="dxa"/>
              <w:right w:w="43" w:type="dxa"/>
            </w:tcMar>
          </w:tcPr>
          <w:p w14:paraId="1CB691A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2FDA64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E0D4FF" w14:textId="77777777" w:rsidR="00575AC3" w:rsidRPr="006D40F0" w:rsidRDefault="00575AC3" w:rsidP="006D40F0">
            <w:r w:rsidRPr="006D40F0">
              <w:t>fra kr 99 000 000 til kr 102 000 000</w:t>
            </w:r>
          </w:p>
        </w:tc>
        <w:tc>
          <w:tcPr>
            <w:tcW w:w="1400" w:type="dxa"/>
            <w:tcBorders>
              <w:top w:val="nil"/>
              <w:left w:val="nil"/>
              <w:bottom w:val="nil"/>
              <w:right w:val="nil"/>
            </w:tcBorders>
            <w:tcMar>
              <w:top w:w="128" w:type="dxa"/>
              <w:left w:w="43" w:type="dxa"/>
              <w:bottom w:w="43" w:type="dxa"/>
              <w:right w:w="43" w:type="dxa"/>
            </w:tcMar>
            <w:vAlign w:val="bottom"/>
          </w:tcPr>
          <w:p w14:paraId="0758275D" w14:textId="77777777" w:rsidR="00575AC3" w:rsidRPr="006D40F0" w:rsidRDefault="00575AC3" w:rsidP="006D40F0"/>
        </w:tc>
      </w:tr>
      <w:tr w:rsidR="00DD49A7" w:rsidRPr="006D40F0" w14:paraId="404591FD" w14:textId="77777777">
        <w:trPr>
          <w:trHeight w:val="380"/>
        </w:trPr>
        <w:tc>
          <w:tcPr>
            <w:tcW w:w="680" w:type="dxa"/>
            <w:tcBorders>
              <w:top w:val="nil"/>
              <w:left w:val="nil"/>
              <w:bottom w:val="nil"/>
              <w:right w:val="nil"/>
            </w:tcBorders>
            <w:tcMar>
              <w:top w:w="128" w:type="dxa"/>
              <w:left w:w="43" w:type="dxa"/>
              <w:bottom w:w="43" w:type="dxa"/>
              <w:right w:w="43" w:type="dxa"/>
            </w:tcMar>
          </w:tcPr>
          <w:p w14:paraId="5773CEFB" w14:textId="77777777" w:rsidR="00575AC3" w:rsidRPr="006D40F0" w:rsidRDefault="00575AC3" w:rsidP="006D40F0">
            <w:r w:rsidRPr="006D40F0">
              <w:t>1315</w:t>
            </w:r>
          </w:p>
        </w:tc>
        <w:tc>
          <w:tcPr>
            <w:tcW w:w="680" w:type="dxa"/>
            <w:tcBorders>
              <w:top w:val="nil"/>
              <w:left w:val="nil"/>
              <w:bottom w:val="nil"/>
              <w:right w:val="nil"/>
            </w:tcBorders>
            <w:tcMar>
              <w:top w:w="128" w:type="dxa"/>
              <w:left w:w="43" w:type="dxa"/>
              <w:bottom w:w="43" w:type="dxa"/>
              <w:right w:w="43" w:type="dxa"/>
            </w:tcMar>
          </w:tcPr>
          <w:p w14:paraId="10D84EF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5A6D7D" w14:textId="77777777" w:rsidR="00575AC3" w:rsidRPr="006D40F0" w:rsidRDefault="00575AC3" w:rsidP="006D40F0">
            <w:r w:rsidRPr="006D40F0">
              <w:t>Tilskudd til Avinor AS:</w:t>
            </w:r>
          </w:p>
        </w:tc>
        <w:tc>
          <w:tcPr>
            <w:tcW w:w="1400" w:type="dxa"/>
            <w:tcBorders>
              <w:top w:val="nil"/>
              <w:left w:val="nil"/>
              <w:bottom w:val="nil"/>
              <w:right w:val="nil"/>
            </w:tcBorders>
            <w:tcMar>
              <w:top w:w="128" w:type="dxa"/>
              <w:left w:w="43" w:type="dxa"/>
              <w:bottom w:w="43" w:type="dxa"/>
              <w:right w:w="43" w:type="dxa"/>
            </w:tcMar>
            <w:vAlign w:val="bottom"/>
          </w:tcPr>
          <w:p w14:paraId="092735BF" w14:textId="77777777" w:rsidR="00575AC3" w:rsidRPr="006D40F0" w:rsidRDefault="00575AC3" w:rsidP="006D40F0"/>
        </w:tc>
      </w:tr>
      <w:tr w:rsidR="00DD49A7" w:rsidRPr="006D40F0" w14:paraId="01959BF2" w14:textId="77777777">
        <w:trPr>
          <w:trHeight w:val="380"/>
        </w:trPr>
        <w:tc>
          <w:tcPr>
            <w:tcW w:w="680" w:type="dxa"/>
            <w:tcBorders>
              <w:top w:val="nil"/>
              <w:left w:val="nil"/>
              <w:bottom w:val="nil"/>
              <w:right w:val="nil"/>
            </w:tcBorders>
            <w:tcMar>
              <w:top w:w="128" w:type="dxa"/>
              <w:left w:w="43" w:type="dxa"/>
              <w:bottom w:w="43" w:type="dxa"/>
              <w:right w:w="43" w:type="dxa"/>
            </w:tcMar>
          </w:tcPr>
          <w:p w14:paraId="47FE7A3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A27721"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BC0F1D9" w14:textId="77777777" w:rsidR="00575AC3" w:rsidRPr="006D40F0" w:rsidRDefault="00575AC3" w:rsidP="006D40F0">
            <w:r w:rsidRPr="006D40F0">
              <w:t xml:space="preserve">Tilskudd til pålagte oppgaver,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40AE8E7" w14:textId="77777777" w:rsidR="00575AC3" w:rsidRPr="006D40F0" w:rsidRDefault="00575AC3" w:rsidP="006D40F0">
            <w:r w:rsidRPr="006D40F0">
              <w:t>312 000 000</w:t>
            </w:r>
          </w:p>
        </w:tc>
      </w:tr>
      <w:tr w:rsidR="00DD49A7" w:rsidRPr="006D40F0" w14:paraId="1ED14F9A" w14:textId="77777777">
        <w:trPr>
          <w:trHeight w:val="380"/>
        </w:trPr>
        <w:tc>
          <w:tcPr>
            <w:tcW w:w="680" w:type="dxa"/>
            <w:tcBorders>
              <w:top w:val="nil"/>
              <w:left w:val="nil"/>
              <w:bottom w:val="nil"/>
              <w:right w:val="nil"/>
            </w:tcBorders>
            <w:tcMar>
              <w:top w:w="128" w:type="dxa"/>
              <w:left w:w="43" w:type="dxa"/>
              <w:bottom w:w="43" w:type="dxa"/>
              <w:right w:w="43" w:type="dxa"/>
            </w:tcMar>
          </w:tcPr>
          <w:p w14:paraId="638C44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3E9E7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51D4EE" w14:textId="77777777" w:rsidR="00575AC3" w:rsidRPr="006D40F0" w:rsidRDefault="00575AC3" w:rsidP="006D40F0">
            <w:r w:rsidRPr="006D40F0">
              <w:t>fra kr 2 887 300 000 til kr 2 575 300 000</w:t>
            </w:r>
          </w:p>
        </w:tc>
        <w:tc>
          <w:tcPr>
            <w:tcW w:w="1400" w:type="dxa"/>
            <w:tcBorders>
              <w:top w:val="nil"/>
              <w:left w:val="nil"/>
              <w:bottom w:val="nil"/>
              <w:right w:val="nil"/>
            </w:tcBorders>
            <w:tcMar>
              <w:top w:w="128" w:type="dxa"/>
              <w:left w:w="43" w:type="dxa"/>
              <w:bottom w:w="43" w:type="dxa"/>
              <w:right w:w="43" w:type="dxa"/>
            </w:tcMar>
            <w:vAlign w:val="bottom"/>
          </w:tcPr>
          <w:p w14:paraId="566293EA" w14:textId="77777777" w:rsidR="00575AC3" w:rsidRPr="006D40F0" w:rsidRDefault="00575AC3" w:rsidP="006D40F0"/>
        </w:tc>
      </w:tr>
      <w:tr w:rsidR="00DD49A7" w:rsidRPr="006D40F0" w14:paraId="5BC7FF72" w14:textId="77777777">
        <w:trPr>
          <w:trHeight w:val="380"/>
        </w:trPr>
        <w:tc>
          <w:tcPr>
            <w:tcW w:w="680" w:type="dxa"/>
            <w:tcBorders>
              <w:top w:val="nil"/>
              <w:left w:val="nil"/>
              <w:bottom w:val="nil"/>
              <w:right w:val="nil"/>
            </w:tcBorders>
            <w:tcMar>
              <w:top w:w="128" w:type="dxa"/>
              <w:left w:w="43" w:type="dxa"/>
              <w:bottom w:w="43" w:type="dxa"/>
              <w:right w:w="43" w:type="dxa"/>
            </w:tcMar>
          </w:tcPr>
          <w:p w14:paraId="5EE78762" w14:textId="77777777" w:rsidR="00575AC3" w:rsidRPr="006D40F0" w:rsidRDefault="00575AC3" w:rsidP="006D40F0">
            <w:r w:rsidRPr="006D40F0">
              <w:t>1320</w:t>
            </w:r>
          </w:p>
        </w:tc>
        <w:tc>
          <w:tcPr>
            <w:tcW w:w="680" w:type="dxa"/>
            <w:tcBorders>
              <w:top w:val="nil"/>
              <w:left w:val="nil"/>
              <w:bottom w:val="nil"/>
              <w:right w:val="nil"/>
            </w:tcBorders>
            <w:tcMar>
              <w:top w:w="128" w:type="dxa"/>
              <w:left w:w="43" w:type="dxa"/>
              <w:bottom w:w="43" w:type="dxa"/>
              <w:right w:w="43" w:type="dxa"/>
            </w:tcMar>
          </w:tcPr>
          <w:p w14:paraId="73419C8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71EF6C2" w14:textId="77777777" w:rsidR="00575AC3" w:rsidRPr="006D40F0" w:rsidRDefault="00575AC3" w:rsidP="006D40F0">
            <w:r w:rsidRPr="006D40F0">
              <w:t>Statens vegvesen:</w:t>
            </w:r>
          </w:p>
        </w:tc>
        <w:tc>
          <w:tcPr>
            <w:tcW w:w="1400" w:type="dxa"/>
            <w:tcBorders>
              <w:top w:val="nil"/>
              <w:left w:val="nil"/>
              <w:bottom w:val="nil"/>
              <w:right w:val="nil"/>
            </w:tcBorders>
            <w:tcMar>
              <w:top w:w="128" w:type="dxa"/>
              <w:left w:w="43" w:type="dxa"/>
              <w:bottom w:w="43" w:type="dxa"/>
              <w:right w:w="43" w:type="dxa"/>
            </w:tcMar>
            <w:vAlign w:val="bottom"/>
          </w:tcPr>
          <w:p w14:paraId="39ED32F0" w14:textId="77777777" w:rsidR="00575AC3" w:rsidRPr="006D40F0" w:rsidRDefault="00575AC3" w:rsidP="006D40F0"/>
        </w:tc>
      </w:tr>
      <w:tr w:rsidR="00DD49A7" w:rsidRPr="006D40F0" w14:paraId="472BE9F7" w14:textId="77777777">
        <w:trPr>
          <w:trHeight w:val="380"/>
        </w:trPr>
        <w:tc>
          <w:tcPr>
            <w:tcW w:w="680" w:type="dxa"/>
            <w:tcBorders>
              <w:top w:val="nil"/>
              <w:left w:val="nil"/>
              <w:bottom w:val="nil"/>
              <w:right w:val="nil"/>
            </w:tcBorders>
            <w:tcMar>
              <w:top w:w="128" w:type="dxa"/>
              <w:left w:w="43" w:type="dxa"/>
              <w:bottom w:w="43" w:type="dxa"/>
              <w:right w:w="43" w:type="dxa"/>
            </w:tcMar>
          </w:tcPr>
          <w:p w14:paraId="229FA5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A037E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A8E16B3"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809B330" w14:textId="77777777" w:rsidR="00575AC3" w:rsidRPr="006D40F0" w:rsidRDefault="00575AC3" w:rsidP="006D40F0">
            <w:r w:rsidRPr="006D40F0">
              <w:t>50 000 000</w:t>
            </w:r>
          </w:p>
        </w:tc>
      </w:tr>
      <w:tr w:rsidR="00DD49A7" w:rsidRPr="006D40F0" w14:paraId="5934D2F6" w14:textId="77777777">
        <w:trPr>
          <w:trHeight w:val="380"/>
        </w:trPr>
        <w:tc>
          <w:tcPr>
            <w:tcW w:w="680" w:type="dxa"/>
            <w:tcBorders>
              <w:top w:val="nil"/>
              <w:left w:val="nil"/>
              <w:bottom w:val="nil"/>
              <w:right w:val="nil"/>
            </w:tcBorders>
            <w:tcMar>
              <w:top w:w="128" w:type="dxa"/>
              <w:left w:w="43" w:type="dxa"/>
              <w:bottom w:w="43" w:type="dxa"/>
              <w:right w:w="43" w:type="dxa"/>
            </w:tcMar>
          </w:tcPr>
          <w:p w14:paraId="7ABB850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EBC87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7581FA" w14:textId="77777777" w:rsidR="00575AC3" w:rsidRPr="006D40F0" w:rsidRDefault="00575AC3" w:rsidP="006D40F0">
            <w:r w:rsidRPr="006D40F0">
              <w:t>fra kr 4 566 100 000 til kr 4 616 100 000</w:t>
            </w:r>
          </w:p>
        </w:tc>
        <w:tc>
          <w:tcPr>
            <w:tcW w:w="1400" w:type="dxa"/>
            <w:tcBorders>
              <w:top w:val="nil"/>
              <w:left w:val="nil"/>
              <w:bottom w:val="nil"/>
              <w:right w:val="nil"/>
            </w:tcBorders>
            <w:tcMar>
              <w:top w:w="128" w:type="dxa"/>
              <w:left w:w="43" w:type="dxa"/>
              <w:bottom w:w="43" w:type="dxa"/>
              <w:right w:w="43" w:type="dxa"/>
            </w:tcMar>
            <w:vAlign w:val="bottom"/>
          </w:tcPr>
          <w:p w14:paraId="1D080F04" w14:textId="77777777" w:rsidR="00575AC3" w:rsidRPr="006D40F0" w:rsidRDefault="00575AC3" w:rsidP="006D40F0"/>
        </w:tc>
      </w:tr>
      <w:tr w:rsidR="00DD49A7" w:rsidRPr="006D40F0" w14:paraId="675ECE93" w14:textId="77777777">
        <w:trPr>
          <w:trHeight w:val="640"/>
        </w:trPr>
        <w:tc>
          <w:tcPr>
            <w:tcW w:w="680" w:type="dxa"/>
            <w:tcBorders>
              <w:top w:val="nil"/>
              <w:left w:val="nil"/>
              <w:bottom w:val="nil"/>
              <w:right w:val="nil"/>
            </w:tcBorders>
            <w:tcMar>
              <w:top w:w="128" w:type="dxa"/>
              <w:left w:w="43" w:type="dxa"/>
              <w:bottom w:w="43" w:type="dxa"/>
              <w:right w:w="43" w:type="dxa"/>
            </w:tcMar>
          </w:tcPr>
          <w:p w14:paraId="5A8DFE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6104F9"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69087EC0" w14:textId="77777777" w:rsidR="00575AC3" w:rsidRPr="006D40F0" w:rsidRDefault="00575AC3" w:rsidP="006D40F0">
            <w:r w:rsidRPr="006D40F0">
              <w:t xml:space="preserve">Drift og vedlikehold av riksveier, </w:t>
            </w:r>
            <w:r w:rsidRPr="00575AC3">
              <w:rPr>
                <w:rStyle w:val="kursiv"/>
              </w:rPr>
              <w:t>kan overføres, kan nyttes under post 29 og post 30</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05F371BB" w14:textId="77777777" w:rsidR="00575AC3" w:rsidRPr="006D40F0" w:rsidRDefault="00575AC3" w:rsidP="006D40F0">
            <w:r w:rsidRPr="006D40F0">
              <w:t>640 600 000</w:t>
            </w:r>
          </w:p>
        </w:tc>
      </w:tr>
      <w:tr w:rsidR="00DD49A7" w:rsidRPr="006D40F0" w14:paraId="01B7487B" w14:textId="77777777">
        <w:trPr>
          <w:trHeight w:val="380"/>
        </w:trPr>
        <w:tc>
          <w:tcPr>
            <w:tcW w:w="680" w:type="dxa"/>
            <w:tcBorders>
              <w:top w:val="nil"/>
              <w:left w:val="nil"/>
              <w:bottom w:val="nil"/>
              <w:right w:val="nil"/>
            </w:tcBorders>
            <w:tcMar>
              <w:top w:w="128" w:type="dxa"/>
              <w:left w:w="43" w:type="dxa"/>
              <w:bottom w:w="43" w:type="dxa"/>
              <w:right w:w="43" w:type="dxa"/>
            </w:tcMar>
          </w:tcPr>
          <w:p w14:paraId="3B27CDB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0BF0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1249C1" w14:textId="77777777" w:rsidR="00575AC3" w:rsidRPr="006D40F0" w:rsidRDefault="00575AC3" w:rsidP="006D40F0">
            <w:r w:rsidRPr="006D40F0">
              <w:t>fra kr 9 720 700 000 til kr 10 361 300 000</w:t>
            </w:r>
          </w:p>
        </w:tc>
        <w:tc>
          <w:tcPr>
            <w:tcW w:w="1400" w:type="dxa"/>
            <w:tcBorders>
              <w:top w:val="nil"/>
              <w:left w:val="nil"/>
              <w:bottom w:val="nil"/>
              <w:right w:val="nil"/>
            </w:tcBorders>
            <w:tcMar>
              <w:top w:w="128" w:type="dxa"/>
              <w:left w:w="43" w:type="dxa"/>
              <w:bottom w:w="43" w:type="dxa"/>
              <w:right w:w="43" w:type="dxa"/>
            </w:tcMar>
            <w:vAlign w:val="bottom"/>
          </w:tcPr>
          <w:p w14:paraId="52A43CA4" w14:textId="77777777" w:rsidR="00575AC3" w:rsidRPr="006D40F0" w:rsidRDefault="00575AC3" w:rsidP="006D40F0"/>
        </w:tc>
      </w:tr>
      <w:tr w:rsidR="00DD49A7" w:rsidRPr="006D40F0" w14:paraId="38E57F87" w14:textId="77777777">
        <w:trPr>
          <w:trHeight w:val="380"/>
        </w:trPr>
        <w:tc>
          <w:tcPr>
            <w:tcW w:w="680" w:type="dxa"/>
            <w:tcBorders>
              <w:top w:val="nil"/>
              <w:left w:val="nil"/>
              <w:bottom w:val="nil"/>
              <w:right w:val="nil"/>
            </w:tcBorders>
            <w:tcMar>
              <w:top w:w="128" w:type="dxa"/>
              <w:left w:w="43" w:type="dxa"/>
              <w:bottom w:w="43" w:type="dxa"/>
              <w:right w:w="43" w:type="dxa"/>
            </w:tcMar>
          </w:tcPr>
          <w:p w14:paraId="6F64558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32C4E8" w14:textId="77777777" w:rsidR="00575AC3" w:rsidRPr="006D40F0" w:rsidRDefault="00575AC3" w:rsidP="006D40F0">
            <w:r w:rsidRPr="006D40F0">
              <w:t>28</w:t>
            </w:r>
          </w:p>
        </w:tc>
        <w:tc>
          <w:tcPr>
            <w:tcW w:w="6800" w:type="dxa"/>
            <w:tcBorders>
              <w:top w:val="nil"/>
              <w:left w:val="nil"/>
              <w:bottom w:val="nil"/>
              <w:right w:val="nil"/>
            </w:tcBorders>
            <w:tcMar>
              <w:top w:w="128" w:type="dxa"/>
              <w:left w:w="43" w:type="dxa"/>
              <w:bottom w:w="43" w:type="dxa"/>
              <w:right w:w="43" w:type="dxa"/>
            </w:tcMar>
          </w:tcPr>
          <w:p w14:paraId="71B90285" w14:textId="77777777" w:rsidR="00575AC3" w:rsidRPr="006D40F0" w:rsidRDefault="00575AC3" w:rsidP="006D40F0">
            <w:r w:rsidRPr="006D40F0">
              <w:t xml:space="preserve">Trafikant- og kjøretøytilsyn,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1A2AD76" w14:textId="77777777" w:rsidR="00575AC3" w:rsidRPr="006D40F0" w:rsidRDefault="00575AC3" w:rsidP="006D40F0">
            <w:r w:rsidRPr="006D40F0">
              <w:t>80 000 000</w:t>
            </w:r>
          </w:p>
        </w:tc>
      </w:tr>
      <w:tr w:rsidR="00DD49A7" w:rsidRPr="006D40F0" w14:paraId="6A7A5A55" w14:textId="77777777">
        <w:trPr>
          <w:trHeight w:val="380"/>
        </w:trPr>
        <w:tc>
          <w:tcPr>
            <w:tcW w:w="680" w:type="dxa"/>
            <w:tcBorders>
              <w:top w:val="nil"/>
              <w:left w:val="nil"/>
              <w:bottom w:val="nil"/>
              <w:right w:val="nil"/>
            </w:tcBorders>
            <w:tcMar>
              <w:top w:w="128" w:type="dxa"/>
              <w:left w:w="43" w:type="dxa"/>
              <w:bottom w:w="43" w:type="dxa"/>
              <w:right w:w="43" w:type="dxa"/>
            </w:tcMar>
          </w:tcPr>
          <w:p w14:paraId="575A3AF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94857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BD13CD6" w14:textId="77777777" w:rsidR="00575AC3" w:rsidRPr="006D40F0" w:rsidRDefault="00575AC3" w:rsidP="006D40F0">
            <w:r w:rsidRPr="006D40F0">
              <w:t>fra kr 2 429 600 000 til kr 2 349 600 000</w:t>
            </w:r>
          </w:p>
        </w:tc>
        <w:tc>
          <w:tcPr>
            <w:tcW w:w="1400" w:type="dxa"/>
            <w:tcBorders>
              <w:top w:val="nil"/>
              <w:left w:val="nil"/>
              <w:bottom w:val="nil"/>
              <w:right w:val="nil"/>
            </w:tcBorders>
            <w:tcMar>
              <w:top w:w="128" w:type="dxa"/>
              <w:left w:w="43" w:type="dxa"/>
              <w:bottom w:w="43" w:type="dxa"/>
              <w:right w:w="43" w:type="dxa"/>
            </w:tcMar>
            <w:vAlign w:val="bottom"/>
          </w:tcPr>
          <w:p w14:paraId="3517BB54" w14:textId="77777777" w:rsidR="00575AC3" w:rsidRPr="006D40F0" w:rsidRDefault="00575AC3" w:rsidP="006D40F0"/>
        </w:tc>
      </w:tr>
      <w:tr w:rsidR="00DD49A7" w:rsidRPr="006D40F0" w14:paraId="2350614D" w14:textId="77777777">
        <w:trPr>
          <w:trHeight w:val="380"/>
        </w:trPr>
        <w:tc>
          <w:tcPr>
            <w:tcW w:w="680" w:type="dxa"/>
            <w:tcBorders>
              <w:top w:val="nil"/>
              <w:left w:val="nil"/>
              <w:bottom w:val="nil"/>
              <w:right w:val="nil"/>
            </w:tcBorders>
            <w:tcMar>
              <w:top w:w="128" w:type="dxa"/>
              <w:left w:w="43" w:type="dxa"/>
              <w:bottom w:w="43" w:type="dxa"/>
              <w:right w:w="43" w:type="dxa"/>
            </w:tcMar>
          </w:tcPr>
          <w:p w14:paraId="72E860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C6E3A6"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041832F2" w14:textId="77777777" w:rsidR="00575AC3" w:rsidRPr="006D40F0" w:rsidRDefault="00575AC3" w:rsidP="006D40F0">
            <w:r w:rsidRPr="006D40F0">
              <w:t>Rentekompensasjon for transporttiltak i fylkene, forhøyes med</w:t>
            </w:r>
          </w:p>
        </w:tc>
        <w:tc>
          <w:tcPr>
            <w:tcW w:w="1400" w:type="dxa"/>
            <w:tcBorders>
              <w:top w:val="nil"/>
              <w:left w:val="nil"/>
              <w:bottom w:val="nil"/>
              <w:right w:val="nil"/>
            </w:tcBorders>
            <w:tcMar>
              <w:top w:w="128" w:type="dxa"/>
              <w:left w:w="43" w:type="dxa"/>
              <w:bottom w:w="43" w:type="dxa"/>
              <w:right w:w="43" w:type="dxa"/>
            </w:tcMar>
            <w:vAlign w:val="bottom"/>
          </w:tcPr>
          <w:p w14:paraId="2F672703" w14:textId="77777777" w:rsidR="00575AC3" w:rsidRPr="006D40F0" w:rsidRDefault="00575AC3" w:rsidP="006D40F0">
            <w:r w:rsidRPr="006D40F0">
              <w:t>125 300 000</w:t>
            </w:r>
          </w:p>
        </w:tc>
      </w:tr>
      <w:tr w:rsidR="00DD49A7" w:rsidRPr="006D40F0" w14:paraId="300EED98" w14:textId="77777777">
        <w:trPr>
          <w:trHeight w:val="380"/>
        </w:trPr>
        <w:tc>
          <w:tcPr>
            <w:tcW w:w="680" w:type="dxa"/>
            <w:tcBorders>
              <w:top w:val="nil"/>
              <w:left w:val="nil"/>
              <w:bottom w:val="nil"/>
              <w:right w:val="nil"/>
            </w:tcBorders>
            <w:tcMar>
              <w:top w:w="128" w:type="dxa"/>
              <w:left w:w="43" w:type="dxa"/>
              <w:bottom w:w="43" w:type="dxa"/>
              <w:right w:w="43" w:type="dxa"/>
            </w:tcMar>
          </w:tcPr>
          <w:p w14:paraId="5DB19E3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0E81C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94E604" w14:textId="77777777" w:rsidR="00575AC3" w:rsidRPr="006D40F0" w:rsidRDefault="00575AC3" w:rsidP="006D40F0">
            <w:r w:rsidRPr="006D40F0">
              <w:t>fra kr 376 000 000 til kr 501 300 000</w:t>
            </w:r>
          </w:p>
        </w:tc>
        <w:tc>
          <w:tcPr>
            <w:tcW w:w="1400" w:type="dxa"/>
            <w:tcBorders>
              <w:top w:val="nil"/>
              <w:left w:val="nil"/>
              <w:bottom w:val="nil"/>
              <w:right w:val="nil"/>
            </w:tcBorders>
            <w:tcMar>
              <w:top w:w="128" w:type="dxa"/>
              <w:left w:w="43" w:type="dxa"/>
              <w:bottom w:w="43" w:type="dxa"/>
              <w:right w:w="43" w:type="dxa"/>
            </w:tcMar>
            <w:vAlign w:val="bottom"/>
          </w:tcPr>
          <w:p w14:paraId="4848E891" w14:textId="77777777" w:rsidR="00575AC3" w:rsidRPr="006D40F0" w:rsidRDefault="00575AC3" w:rsidP="006D40F0"/>
        </w:tc>
      </w:tr>
      <w:tr w:rsidR="00DD49A7" w:rsidRPr="006D40F0" w14:paraId="49F55DDB" w14:textId="77777777">
        <w:trPr>
          <w:trHeight w:val="380"/>
        </w:trPr>
        <w:tc>
          <w:tcPr>
            <w:tcW w:w="680" w:type="dxa"/>
            <w:tcBorders>
              <w:top w:val="nil"/>
              <w:left w:val="nil"/>
              <w:bottom w:val="nil"/>
              <w:right w:val="nil"/>
            </w:tcBorders>
            <w:tcMar>
              <w:top w:w="128" w:type="dxa"/>
              <w:left w:w="43" w:type="dxa"/>
              <w:bottom w:w="43" w:type="dxa"/>
              <w:right w:w="43" w:type="dxa"/>
            </w:tcMar>
          </w:tcPr>
          <w:p w14:paraId="47BDAE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E2B6C7" w14:textId="77777777" w:rsidR="00575AC3" w:rsidRPr="006D40F0" w:rsidRDefault="00575AC3" w:rsidP="006D40F0">
            <w:r w:rsidRPr="006D40F0">
              <w:t>65</w:t>
            </w:r>
          </w:p>
        </w:tc>
        <w:tc>
          <w:tcPr>
            <w:tcW w:w="6800" w:type="dxa"/>
            <w:tcBorders>
              <w:top w:val="nil"/>
              <w:left w:val="nil"/>
              <w:bottom w:val="nil"/>
              <w:right w:val="nil"/>
            </w:tcBorders>
            <w:tcMar>
              <w:top w:w="128" w:type="dxa"/>
              <w:left w:w="43" w:type="dxa"/>
              <w:bottom w:w="43" w:type="dxa"/>
              <w:right w:w="43" w:type="dxa"/>
            </w:tcMar>
          </w:tcPr>
          <w:p w14:paraId="5E8AD645" w14:textId="77777777" w:rsidR="00575AC3" w:rsidRPr="006D40F0" w:rsidRDefault="00575AC3" w:rsidP="006D40F0">
            <w:r w:rsidRPr="006D40F0">
              <w:t xml:space="preserve">Tilskudd til fylkesveier,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F4AF713" w14:textId="77777777" w:rsidR="00575AC3" w:rsidRPr="006D40F0" w:rsidRDefault="00575AC3" w:rsidP="006D40F0">
            <w:r w:rsidRPr="006D40F0">
              <w:t>95 100 000</w:t>
            </w:r>
          </w:p>
        </w:tc>
      </w:tr>
      <w:tr w:rsidR="00DD49A7" w:rsidRPr="006D40F0" w14:paraId="729EADBC" w14:textId="77777777">
        <w:trPr>
          <w:trHeight w:val="380"/>
        </w:trPr>
        <w:tc>
          <w:tcPr>
            <w:tcW w:w="680" w:type="dxa"/>
            <w:tcBorders>
              <w:top w:val="nil"/>
              <w:left w:val="nil"/>
              <w:bottom w:val="nil"/>
              <w:right w:val="nil"/>
            </w:tcBorders>
            <w:tcMar>
              <w:top w:w="128" w:type="dxa"/>
              <w:left w:w="43" w:type="dxa"/>
              <w:bottom w:w="43" w:type="dxa"/>
              <w:right w:w="43" w:type="dxa"/>
            </w:tcMar>
          </w:tcPr>
          <w:p w14:paraId="651E7F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DFF4C3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61C6554" w14:textId="77777777" w:rsidR="00575AC3" w:rsidRPr="006D40F0" w:rsidRDefault="00575AC3" w:rsidP="006D40F0">
            <w:r w:rsidRPr="006D40F0">
              <w:t>fra kr 415 300 000 til kr 510 400 000</w:t>
            </w:r>
          </w:p>
        </w:tc>
        <w:tc>
          <w:tcPr>
            <w:tcW w:w="1400" w:type="dxa"/>
            <w:tcBorders>
              <w:top w:val="nil"/>
              <w:left w:val="nil"/>
              <w:bottom w:val="nil"/>
              <w:right w:val="nil"/>
            </w:tcBorders>
            <w:tcMar>
              <w:top w:w="128" w:type="dxa"/>
              <w:left w:w="43" w:type="dxa"/>
              <w:bottom w:w="43" w:type="dxa"/>
              <w:right w:w="43" w:type="dxa"/>
            </w:tcMar>
            <w:vAlign w:val="bottom"/>
          </w:tcPr>
          <w:p w14:paraId="2A67FE97" w14:textId="77777777" w:rsidR="00575AC3" w:rsidRPr="006D40F0" w:rsidRDefault="00575AC3" w:rsidP="006D40F0"/>
        </w:tc>
      </w:tr>
      <w:tr w:rsidR="00DD49A7" w:rsidRPr="006D40F0" w14:paraId="310F42AC" w14:textId="77777777">
        <w:trPr>
          <w:trHeight w:val="380"/>
        </w:trPr>
        <w:tc>
          <w:tcPr>
            <w:tcW w:w="680" w:type="dxa"/>
            <w:tcBorders>
              <w:top w:val="nil"/>
              <w:left w:val="nil"/>
              <w:bottom w:val="nil"/>
              <w:right w:val="nil"/>
            </w:tcBorders>
            <w:tcMar>
              <w:top w:w="128" w:type="dxa"/>
              <w:left w:w="43" w:type="dxa"/>
              <w:bottom w:w="43" w:type="dxa"/>
              <w:right w:w="43" w:type="dxa"/>
            </w:tcMar>
          </w:tcPr>
          <w:p w14:paraId="4C7BFF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F49C5E"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021FABA7" w14:textId="77777777" w:rsidR="00575AC3" w:rsidRPr="006D40F0" w:rsidRDefault="00575AC3" w:rsidP="006D40F0">
            <w:r w:rsidRPr="006D40F0">
              <w:t xml:space="preserve">Tilskudd til riksveiferjedriften,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1408CF8E" w14:textId="77777777" w:rsidR="00575AC3" w:rsidRPr="006D40F0" w:rsidRDefault="00575AC3" w:rsidP="006D40F0">
            <w:r w:rsidRPr="006D40F0">
              <w:t>79 000 000</w:t>
            </w:r>
          </w:p>
        </w:tc>
      </w:tr>
      <w:tr w:rsidR="00DD49A7" w:rsidRPr="006D40F0" w14:paraId="05D97F60" w14:textId="77777777">
        <w:trPr>
          <w:trHeight w:val="380"/>
        </w:trPr>
        <w:tc>
          <w:tcPr>
            <w:tcW w:w="680" w:type="dxa"/>
            <w:tcBorders>
              <w:top w:val="nil"/>
              <w:left w:val="nil"/>
              <w:bottom w:val="nil"/>
              <w:right w:val="nil"/>
            </w:tcBorders>
            <w:tcMar>
              <w:top w:w="128" w:type="dxa"/>
              <w:left w:w="43" w:type="dxa"/>
              <w:bottom w:w="43" w:type="dxa"/>
              <w:right w:w="43" w:type="dxa"/>
            </w:tcMar>
          </w:tcPr>
          <w:p w14:paraId="317D80E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C7BFA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810C61C" w14:textId="77777777" w:rsidR="00575AC3" w:rsidRPr="006D40F0" w:rsidRDefault="00575AC3" w:rsidP="006D40F0">
            <w:r w:rsidRPr="006D40F0">
              <w:t>fra kr 3 284 000 000 til kr 3 205 000 000</w:t>
            </w:r>
          </w:p>
        </w:tc>
        <w:tc>
          <w:tcPr>
            <w:tcW w:w="1400" w:type="dxa"/>
            <w:tcBorders>
              <w:top w:val="nil"/>
              <w:left w:val="nil"/>
              <w:bottom w:val="nil"/>
              <w:right w:val="nil"/>
            </w:tcBorders>
            <w:tcMar>
              <w:top w:w="128" w:type="dxa"/>
              <w:left w:w="43" w:type="dxa"/>
              <w:bottom w:w="43" w:type="dxa"/>
              <w:right w:w="43" w:type="dxa"/>
            </w:tcMar>
            <w:vAlign w:val="bottom"/>
          </w:tcPr>
          <w:p w14:paraId="268CE27C" w14:textId="77777777" w:rsidR="00575AC3" w:rsidRPr="006D40F0" w:rsidRDefault="00575AC3" w:rsidP="006D40F0"/>
        </w:tc>
      </w:tr>
      <w:tr w:rsidR="00DD49A7" w:rsidRPr="006D40F0" w14:paraId="4AD5320A" w14:textId="77777777">
        <w:trPr>
          <w:trHeight w:val="380"/>
        </w:trPr>
        <w:tc>
          <w:tcPr>
            <w:tcW w:w="680" w:type="dxa"/>
            <w:tcBorders>
              <w:top w:val="nil"/>
              <w:left w:val="nil"/>
              <w:bottom w:val="nil"/>
              <w:right w:val="nil"/>
            </w:tcBorders>
            <w:tcMar>
              <w:top w:w="128" w:type="dxa"/>
              <w:left w:w="43" w:type="dxa"/>
              <w:bottom w:w="43" w:type="dxa"/>
              <w:right w:w="43" w:type="dxa"/>
            </w:tcMar>
          </w:tcPr>
          <w:p w14:paraId="03F82E91" w14:textId="77777777" w:rsidR="00575AC3" w:rsidRPr="006D40F0" w:rsidRDefault="00575AC3" w:rsidP="006D40F0">
            <w:r w:rsidRPr="006D40F0">
              <w:t>1330</w:t>
            </w:r>
          </w:p>
        </w:tc>
        <w:tc>
          <w:tcPr>
            <w:tcW w:w="680" w:type="dxa"/>
            <w:tcBorders>
              <w:top w:val="nil"/>
              <w:left w:val="nil"/>
              <w:bottom w:val="nil"/>
              <w:right w:val="nil"/>
            </w:tcBorders>
            <w:tcMar>
              <w:top w:w="128" w:type="dxa"/>
              <w:left w:w="43" w:type="dxa"/>
              <w:bottom w:w="43" w:type="dxa"/>
              <w:right w:w="43" w:type="dxa"/>
            </w:tcMar>
          </w:tcPr>
          <w:p w14:paraId="631F15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9B7648" w14:textId="77777777" w:rsidR="00575AC3" w:rsidRPr="006D40F0" w:rsidRDefault="00575AC3" w:rsidP="006D40F0">
            <w:r w:rsidRPr="006D40F0">
              <w:t>Særskilte transporttiltak:</w:t>
            </w:r>
          </w:p>
        </w:tc>
        <w:tc>
          <w:tcPr>
            <w:tcW w:w="1400" w:type="dxa"/>
            <w:tcBorders>
              <w:top w:val="nil"/>
              <w:left w:val="nil"/>
              <w:bottom w:val="nil"/>
              <w:right w:val="nil"/>
            </w:tcBorders>
            <w:tcMar>
              <w:top w:w="128" w:type="dxa"/>
              <w:left w:w="43" w:type="dxa"/>
              <w:bottom w:w="43" w:type="dxa"/>
              <w:right w:w="43" w:type="dxa"/>
            </w:tcMar>
            <w:vAlign w:val="bottom"/>
          </w:tcPr>
          <w:p w14:paraId="79158D28" w14:textId="77777777" w:rsidR="00575AC3" w:rsidRPr="006D40F0" w:rsidRDefault="00575AC3" w:rsidP="006D40F0"/>
        </w:tc>
      </w:tr>
      <w:tr w:rsidR="00DD49A7" w:rsidRPr="006D40F0" w14:paraId="3C486C50" w14:textId="77777777">
        <w:trPr>
          <w:trHeight w:val="640"/>
        </w:trPr>
        <w:tc>
          <w:tcPr>
            <w:tcW w:w="680" w:type="dxa"/>
            <w:tcBorders>
              <w:top w:val="nil"/>
              <w:left w:val="nil"/>
              <w:bottom w:val="nil"/>
              <w:right w:val="nil"/>
            </w:tcBorders>
            <w:tcMar>
              <w:top w:w="128" w:type="dxa"/>
              <w:left w:w="43" w:type="dxa"/>
              <w:bottom w:w="43" w:type="dxa"/>
              <w:right w:w="43" w:type="dxa"/>
            </w:tcMar>
          </w:tcPr>
          <w:p w14:paraId="6FED82DF"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05C28BAB"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374CCE8" w14:textId="77777777" w:rsidR="00575AC3" w:rsidRPr="006D40F0" w:rsidRDefault="00575AC3" w:rsidP="006D40F0">
            <w:r w:rsidRPr="006D40F0">
              <w:t>Tilskudd til kommersielle buss- og båtruter som følge av smitteverntiltak, bevilges med</w:t>
            </w:r>
          </w:p>
        </w:tc>
        <w:tc>
          <w:tcPr>
            <w:tcW w:w="1400" w:type="dxa"/>
            <w:tcBorders>
              <w:top w:val="nil"/>
              <w:left w:val="nil"/>
              <w:bottom w:val="nil"/>
              <w:right w:val="nil"/>
            </w:tcBorders>
            <w:tcMar>
              <w:top w:w="128" w:type="dxa"/>
              <w:left w:w="43" w:type="dxa"/>
              <w:bottom w:w="43" w:type="dxa"/>
              <w:right w:w="43" w:type="dxa"/>
            </w:tcMar>
            <w:vAlign w:val="bottom"/>
          </w:tcPr>
          <w:p w14:paraId="02E59316" w14:textId="77777777" w:rsidR="00575AC3" w:rsidRPr="006D40F0" w:rsidRDefault="00575AC3" w:rsidP="006D40F0">
            <w:r w:rsidRPr="006D40F0">
              <w:t>3 700 000</w:t>
            </w:r>
          </w:p>
        </w:tc>
      </w:tr>
      <w:tr w:rsidR="00DD49A7" w:rsidRPr="006D40F0" w14:paraId="78DF9A0D" w14:textId="77777777">
        <w:trPr>
          <w:trHeight w:val="380"/>
        </w:trPr>
        <w:tc>
          <w:tcPr>
            <w:tcW w:w="680" w:type="dxa"/>
            <w:tcBorders>
              <w:top w:val="nil"/>
              <w:left w:val="nil"/>
              <w:bottom w:val="nil"/>
              <w:right w:val="nil"/>
            </w:tcBorders>
            <w:tcMar>
              <w:top w:w="128" w:type="dxa"/>
              <w:left w:w="43" w:type="dxa"/>
              <w:bottom w:w="43" w:type="dxa"/>
              <w:right w:w="43" w:type="dxa"/>
            </w:tcMar>
          </w:tcPr>
          <w:p w14:paraId="4170112E" w14:textId="77777777" w:rsidR="00575AC3" w:rsidRPr="006D40F0" w:rsidRDefault="00575AC3" w:rsidP="006D40F0">
            <w:r w:rsidRPr="006D40F0">
              <w:t>1332</w:t>
            </w:r>
          </w:p>
        </w:tc>
        <w:tc>
          <w:tcPr>
            <w:tcW w:w="680" w:type="dxa"/>
            <w:tcBorders>
              <w:top w:val="nil"/>
              <w:left w:val="nil"/>
              <w:bottom w:val="nil"/>
              <w:right w:val="nil"/>
            </w:tcBorders>
            <w:tcMar>
              <w:top w:w="128" w:type="dxa"/>
              <w:left w:w="43" w:type="dxa"/>
              <w:bottom w:w="43" w:type="dxa"/>
              <w:right w:w="43" w:type="dxa"/>
            </w:tcMar>
          </w:tcPr>
          <w:p w14:paraId="034FF39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3FE40F" w14:textId="77777777" w:rsidR="00575AC3" w:rsidRPr="006D40F0" w:rsidRDefault="00575AC3" w:rsidP="006D40F0">
            <w:r w:rsidRPr="006D40F0">
              <w:t>Transport i byområder mv.:</w:t>
            </w:r>
          </w:p>
        </w:tc>
        <w:tc>
          <w:tcPr>
            <w:tcW w:w="1400" w:type="dxa"/>
            <w:tcBorders>
              <w:top w:val="nil"/>
              <w:left w:val="nil"/>
              <w:bottom w:val="nil"/>
              <w:right w:val="nil"/>
            </w:tcBorders>
            <w:tcMar>
              <w:top w:w="128" w:type="dxa"/>
              <w:left w:w="43" w:type="dxa"/>
              <w:bottom w:w="43" w:type="dxa"/>
              <w:right w:w="43" w:type="dxa"/>
            </w:tcMar>
            <w:vAlign w:val="bottom"/>
          </w:tcPr>
          <w:p w14:paraId="071CD9E3" w14:textId="77777777" w:rsidR="00575AC3" w:rsidRPr="006D40F0" w:rsidRDefault="00575AC3" w:rsidP="006D40F0"/>
        </w:tc>
      </w:tr>
      <w:tr w:rsidR="00DD49A7" w:rsidRPr="006D40F0" w14:paraId="6DD478F2" w14:textId="77777777">
        <w:trPr>
          <w:trHeight w:val="640"/>
        </w:trPr>
        <w:tc>
          <w:tcPr>
            <w:tcW w:w="680" w:type="dxa"/>
            <w:tcBorders>
              <w:top w:val="nil"/>
              <w:left w:val="nil"/>
              <w:bottom w:val="nil"/>
              <w:right w:val="nil"/>
            </w:tcBorders>
            <w:tcMar>
              <w:top w:w="128" w:type="dxa"/>
              <w:left w:w="43" w:type="dxa"/>
              <w:bottom w:w="43" w:type="dxa"/>
              <w:right w:w="43" w:type="dxa"/>
            </w:tcMar>
          </w:tcPr>
          <w:p w14:paraId="3525D4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59860B" w14:textId="77777777" w:rsidR="00575AC3" w:rsidRPr="006D40F0" w:rsidRDefault="00575AC3" w:rsidP="006D40F0">
            <w:r w:rsidRPr="006D40F0">
              <w:t>63</w:t>
            </w:r>
          </w:p>
        </w:tc>
        <w:tc>
          <w:tcPr>
            <w:tcW w:w="6800" w:type="dxa"/>
            <w:tcBorders>
              <w:top w:val="nil"/>
              <w:left w:val="nil"/>
              <w:bottom w:val="nil"/>
              <w:right w:val="nil"/>
            </w:tcBorders>
            <w:tcMar>
              <w:top w:w="128" w:type="dxa"/>
              <w:left w:w="43" w:type="dxa"/>
              <w:bottom w:w="43" w:type="dxa"/>
              <w:right w:w="43" w:type="dxa"/>
            </w:tcMar>
          </w:tcPr>
          <w:p w14:paraId="1077F7AA" w14:textId="77777777" w:rsidR="00575AC3" w:rsidRPr="006D40F0" w:rsidRDefault="00575AC3" w:rsidP="006D40F0">
            <w:r w:rsidRPr="006D40F0">
              <w:t xml:space="preserve">Særskilt tilskudd til store kollektivprosjekter,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564F9EA" w14:textId="77777777" w:rsidR="00575AC3" w:rsidRPr="006D40F0" w:rsidRDefault="00575AC3" w:rsidP="006D40F0">
            <w:r w:rsidRPr="006D40F0">
              <w:t>440 000 000</w:t>
            </w:r>
          </w:p>
        </w:tc>
      </w:tr>
      <w:tr w:rsidR="00DD49A7" w:rsidRPr="006D40F0" w14:paraId="00F7EAC4" w14:textId="77777777">
        <w:trPr>
          <w:trHeight w:val="380"/>
        </w:trPr>
        <w:tc>
          <w:tcPr>
            <w:tcW w:w="680" w:type="dxa"/>
            <w:tcBorders>
              <w:top w:val="nil"/>
              <w:left w:val="nil"/>
              <w:bottom w:val="nil"/>
              <w:right w:val="nil"/>
            </w:tcBorders>
            <w:tcMar>
              <w:top w:w="128" w:type="dxa"/>
              <w:left w:w="43" w:type="dxa"/>
              <w:bottom w:w="43" w:type="dxa"/>
              <w:right w:w="43" w:type="dxa"/>
            </w:tcMar>
          </w:tcPr>
          <w:p w14:paraId="0B30CE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6294B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EF76A2" w14:textId="77777777" w:rsidR="00575AC3" w:rsidRPr="006D40F0" w:rsidRDefault="00575AC3" w:rsidP="006D40F0">
            <w:r w:rsidRPr="006D40F0">
              <w:t>fra kr 2 571 500 000 til kr 2 131 500 000</w:t>
            </w:r>
          </w:p>
        </w:tc>
        <w:tc>
          <w:tcPr>
            <w:tcW w:w="1400" w:type="dxa"/>
            <w:tcBorders>
              <w:top w:val="nil"/>
              <w:left w:val="nil"/>
              <w:bottom w:val="nil"/>
              <w:right w:val="nil"/>
            </w:tcBorders>
            <w:tcMar>
              <w:top w:w="128" w:type="dxa"/>
              <w:left w:w="43" w:type="dxa"/>
              <w:bottom w:w="43" w:type="dxa"/>
              <w:right w:w="43" w:type="dxa"/>
            </w:tcMar>
            <w:vAlign w:val="bottom"/>
          </w:tcPr>
          <w:p w14:paraId="17A71C5D" w14:textId="77777777" w:rsidR="00575AC3" w:rsidRPr="006D40F0" w:rsidRDefault="00575AC3" w:rsidP="006D40F0"/>
        </w:tc>
      </w:tr>
      <w:tr w:rsidR="00DD49A7" w:rsidRPr="006D40F0" w14:paraId="54353DF7" w14:textId="77777777">
        <w:trPr>
          <w:trHeight w:val="380"/>
        </w:trPr>
        <w:tc>
          <w:tcPr>
            <w:tcW w:w="680" w:type="dxa"/>
            <w:tcBorders>
              <w:top w:val="nil"/>
              <w:left w:val="nil"/>
              <w:bottom w:val="nil"/>
              <w:right w:val="nil"/>
            </w:tcBorders>
            <w:tcMar>
              <w:top w:w="128" w:type="dxa"/>
              <w:left w:w="43" w:type="dxa"/>
              <w:bottom w:w="43" w:type="dxa"/>
              <w:right w:w="43" w:type="dxa"/>
            </w:tcMar>
          </w:tcPr>
          <w:p w14:paraId="41F5FF8D" w14:textId="77777777" w:rsidR="00575AC3" w:rsidRPr="006D40F0" w:rsidRDefault="00575AC3" w:rsidP="006D40F0">
            <w:r w:rsidRPr="006D40F0">
              <w:t>1352</w:t>
            </w:r>
          </w:p>
        </w:tc>
        <w:tc>
          <w:tcPr>
            <w:tcW w:w="680" w:type="dxa"/>
            <w:tcBorders>
              <w:top w:val="nil"/>
              <w:left w:val="nil"/>
              <w:bottom w:val="nil"/>
              <w:right w:val="nil"/>
            </w:tcBorders>
            <w:tcMar>
              <w:top w:w="128" w:type="dxa"/>
              <w:left w:w="43" w:type="dxa"/>
              <w:bottom w:w="43" w:type="dxa"/>
              <w:right w:w="43" w:type="dxa"/>
            </w:tcMar>
          </w:tcPr>
          <w:p w14:paraId="15598D5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90A5CA" w14:textId="77777777" w:rsidR="00575AC3" w:rsidRPr="006D40F0" w:rsidRDefault="00575AC3" w:rsidP="006D40F0">
            <w:r w:rsidRPr="006D40F0">
              <w:t>Jernbanedirektoratet:</w:t>
            </w:r>
          </w:p>
        </w:tc>
        <w:tc>
          <w:tcPr>
            <w:tcW w:w="1400" w:type="dxa"/>
            <w:tcBorders>
              <w:top w:val="nil"/>
              <w:left w:val="nil"/>
              <w:bottom w:val="nil"/>
              <w:right w:val="nil"/>
            </w:tcBorders>
            <w:tcMar>
              <w:top w:w="128" w:type="dxa"/>
              <w:left w:w="43" w:type="dxa"/>
              <w:bottom w:w="43" w:type="dxa"/>
              <w:right w:w="43" w:type="dxa"/>
            </w:tcMar>
            <w:vAlign w:val="bottom"/>
          </w:tcPr>
          <w:p w14:paraId="73350607" w14:textId="77777777" w:rsidR="00575AC3" w:rsidRPr="006D40F0" w:rsidRDefault="00575AC3" w:rsidP="006D40F0"/>
        </w:tc>
      </w:tr>
      <w:tr w:rsidR="00DD49A7" w:rsidRPr="006D40F0" w14:paraId="0D08878C" w14:textId="77777777">
        <w:trPr>
          <w:trHeight w:val="640"/>
        </w:trPr>
        <w:tc>
          <w:tcPr>
            <w:tcW w:w="680" w:type="dxa"/>
            <w:tcBorders>
              <w:top w:val="nil"/>
              <w:left w:val="nil"/>
              <w:bottom w:val="nil"/>
              <w:right w:val="nil"/>
            </w:tcBorders>
            <w:tcMar>
              <w:top w:w="128" w:type="dxa"/>
              <w:left w:w="43" w:type="dxa"/>
              <w:bottom w:w="43" w:type="dxa"/>
              <w:right w:w="43" w:type="dxa"/>
            </w:tcMar>
          </w:tcPr>
          <w:p w14:paraId="19971DA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5938E1"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AE7E5D4" w14:textId="77777777" w:rsidR="00575AC3" w:rsidRPr="006D40F0" w:rsidRDefault="00575AC3" w:rsidP="006D40F0">
            <w:r w:rsidRPr="006D40F0">
              <w:t xml:space="preserve">Kjøp av persontransport med tog, </w:t>
            </w:r>
            <w:r w:rsidRPr="00575AC3">
              <w:rPr>
                <w:rStyle w:val="kursiv"/>
              </w:rPr>
              <w:t>kan overføres, kan nyttes under post 71</w:t>
            </w:r>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0D68EAE8" w14:textId="77777777" w:rsidR="00575AC3" w:rsidRPr="006D40F0" w:rsidRDefault="00575AC3" w:rsidP="006D40F0">
            <w:r w:rsidRPr="006D40F0">
              <w:t>3 700 000</w:t>
            </w:r>
          </w:p>
        </w:tc>
      </w:tr>
      <w:tr w:rsidR="00DD49A7" w:rsidRPr="006D40F0" w14:paraId="34FB3C64" w14:textId="77777777">
        <w:trPr>
          <w:trHeight w:val="380"/>
        </w:trPr>
        <w:tc>
          <w:tcPr>
            <w:tcW w:w="680" w:type="dxa"/>
            <w:tcBorders>
              <w:top w:val="nil"/>
              <w:left w:val="nil"/>
              <w:bottom w:val="nil"/>
              <w:right w:val="nil"/>
            </w:tcBorders>
            <w:tcMar>
              <w:top w:w="128" w:type="dxa"/>
              <w:left w:w="43" w:type="dxa"/>
              <w:bottom w:w="43" w:type="dxa"/>
              <w:right w:w="43" w:type="dxa"/>
            </w:tcMar>
          </w:tcPr>
          <w:p w14:paraId="1B44C1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BA7C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836D1B4" w14:textId="77777777" w:rsidR="00575AC3" w:rsidRPr="006D40F0" w:rsidRDefault="00575AC3" w:rsidP="006D40F0">
            <w:r w:rsidRPr="006D40F0">
              <w:t>fra kr 5 368 800 000 til kr 5 365 100 000</w:t>
            </w:r>
          </w:p>
        </w:tc>
        <w:tc>
          <w:tcPr>
            <w:tcW w:w="1400" w:type="dxa"/>
            <w:tcBorders>
              <w:top w:val="nil"/>
              <w:left w:val="nil"/>
              <w:bottom w:val="nil"/>
              <w:right w:val="nil"/>
            </w:tcBorders>
            <w:tcMar>
              <w:top w:w="128" w:type="dxa"/>
              <w:left w:w="43" w:type="dxa"/>
              <w:bottom w:w="43" w:type="dxa"/>
              <w:right w:w="43" w:type="dxa"/>
            </w:tcMar>
            <w:vAlign w:val="bottom"/>
          </w:tcPr>
          <w:p w14:paraId="3A178FFA" w14:textId="77777777" w:rsidR="00575AC3" w:rsidRPr="006D40F0" w:rsidRDefault="00575AC3" w:rsidP="006D40F0"/>
        </w:tc>
      </w:tr>
      <w:tr w:rsidR="00DD49A7" w:rsidRPr="006D40F0" w14:paraId="66CB3A68" w14:textId="77777777">
        <w:trPr>
          <w:trHeight w:val="380"/>
        </w:trPr>
        <w:tc>
          <w:tcPr>
            <w:tcW w:w="680" w:type="dxa"/>
            <w:tcBorders>
              <w:top w:val="nil"/>
              <w:left w:val="nil"/>
              <w:bottom w:val="nil"/>
              <w:right w:val="nil"/>
            </w:tcBorders>
            <w:tcMar>
              <w:top w:w="128" w:type="dxa"/>
              <w:left w:w="43" w:type="dxa"/>
              <w:bottom w:w="43" w:type="dxa"/>
              <w:right w:w="43" w:type="dxa"/>
            </w:tcMar>
          </w:tcPr>
          <w:p w14:paraId="2548A89D" w14:textId="77777777" w:rsidR="00575AC3" w:rsidRPr="006D40F0" w:rsidRDefault="00575AC3" w:rsidP="006D40F0">
            <w:r w:rsidRPr="006D40F0">
              <w:t>1370</w:t>
            </w:r>
          </w:p>
        </w:tc>
        <w:tc>
          <w:tcPr>
            <w:tcW w:w="680" w:type="dxa"/>
            <w:tcBorders>
              <w:top w:val="nil"/>
              <w:left w:val="nil"/>
              <w:bottom w:val="nil"/>
              <w:right w:val="nil"/>
            </w:tcBorders>
            <w:tcMar>
              <w:top w:w="128" w:type="dxa"/>
              <w:left w:w="43" w:type="dxa"/>
              <w:bottom w:w="43" w:type="dxa"/>
              <w:right w:w="43" w:type="dxa"/>
            </w:tcMar>
          </w:tcPr>
          <w:p w14:paraId="6F79522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C52323C" w14:textId="77777777" w:rsidR="00575AC3" w:rsidRPr="006D40F0" w:rsidRDefault="00575AC3" w:rsidP="006D40F0">
            <w:r w:rsidRPr="006D40F0">
              <w:t>Posttjenester:</w:t>
            </w:r>
          </w:p>
        </w:tc>
        <w:tc>
          <w:tcPr>
            <w:tcW w:w="1400" w:type="dxa"/>
            <w:tcBorders>
              <w:top w:val="nil"/>
              <w:left w:val="nil"/>
              <w:bottom w:val="nil"/>
              <w:right w:val="nil"/>
            </w:tcBorders>
            <w:tcMar>
              <w:top w:w="128" w:type="dxa"/>
              <w:left w:w="43" w:type="dxa"/>
              <w:bottom w:w="43" w:type="dxa"/>
              <w:right w:w="43" w:type="dxa"/>
            </w:tcMar>
            <w:vAlign w:val="bottom"/>
          </w:tcPr>
          <w:p w14:paraId="185DEFF5" w14:textId="77777777" w:rsidR="00575AC3" w:rsidRPr="006D40F0" w:rsidRDefault="00575AC3" w:rsidP="006D40F0"/>
        </w:tc>
      </w:tr>
      <w:tr w:rsidR="00DD49A7" w:rsidRPr="006D40F0" w14:paraId="34E37CB6" w14:textId="77777777">
        <w:trPr>
          <w:trHeight w:val="380"/>
        </w:trPr>
        <w:tc>
          <w:tcPr>
            <w:tcW w:w="680" w:type="dxa"/>
            <w:tcBorders>
              <w:top w:val="nil"/>
              <w:left w:val="nil"/>
              <w:bottom w:val="nil"/>
              <w:right w:val="nil"/>
            </w:tcBorders>
            <w:tcMar>
              <w:top w:w="128" w:type="dxa"/>
              <w:left w:w="43" w:type="dxa"/>
              <w:bottom w:w="43" w:type="dxa"/>
              <w:right w:w="43" w:type="dxa"/>
            </w:tcMar>
          </w:tcPr>
          <w:p w14:paraId="1D8C8E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49ABEF"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955AEB1" w14:textId="77777777" w:rsidR="00575AC3" w:rsidRPr="006D40F0" w:rsidRDefault="00575AC3" w:rsidP="006D40F0">
            <w:r w:rsidRPr="006D40F0">
              <w:t xml:space="preserve">Kjøp av posttjenester,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71B7EFD" w14:textId="77777777" w:rsidR="00575AC3" w:rsidRPr="006D40F0" w:rsidRDefault="00575AC3" w:rsidP="006D40F0">
            <w:r w:rsidRPr="006D40F0">
              <w:t>32 950 000</w:t>
            </w:r>
          </w:p>
        </w:tc>
      </w:tr>
      <w:tr w:rsidR="00DD49A7" w:rsidRPr="006D40F0" w14:paraId="182FC1DA" w14:textId="77777777">
        <w:trPr>
          <w:trHeight w:val="380"/>
        </w:trPr>
        <w:tc>
          <w:tcPr>
            <w:tcW w:w="680" w:type="dxa"/>
            <w:tcBorders>
              <w:top w:val="nil"/>
              <w:left w:val="nil"/>
              <w:bottom w:val="nil"/>
              <w:right w:val="nil"/>
            </w:tcBorders>
            <w:tcMar>
              <w:top w:w="128" w:type="dxa"/>
              <w:left w:w="43" w:type="dxa"/>
              <w:bottom w:w="43" w:type="dxa"/>
              <w:right w:w="43" w:type="dxa"/>
            </w:tcMar>
          </w:tcPr>
          <w:p w14:paraId="163432E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927BA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D9E6911" w14:textId="77777777" w:rsidR="00575AC3" w:rsidRPr="006D40F0" w:rsidRDefault="00575AC3" w:rsidP="006D40F0">
            <w:r w:rsidRPr="006D40F0">
              <w:t>fra kr 1 680 600 000 til kr 1 713 550 000</w:t>
            </w:r>
          </w:p>
        </w:tc>
        <w:tc>
          <w:tcPr>
            <w:tcW w:w="1400" w:type="dxa"/>
            <w:tcBorders>
              <w:top w:val="nil"/>
              <w:left w:val="nil"/>
              <w:bottom w:val="nil"/>
              <w:right w:val="nil"/>
            </w:tcBorders>
            <w:tcMar>
              <w:top w:w="128" w:type="dxa"/>
              <w:left w:w="43" w:type="dxa"/>
              <w:bottom w:w="43" w:type="dxa"/>
              <w:right w:w="43" w:type="dxa"/>
            </w:tcMar>
            <w:vAlign w:val="bottom"/>
          </w:tcPr>
          <w:p w14:paraId="7131A264" w14:textId="77777777" w:rsidR="00575AC3" w:rsidRPr="006D40F0" w:rsidRDefault="00575AC3" w:rsidP="006D40F0"/>
        </w:tc>
      </w:tr>
      <w:tr w:rsidR="00DD49A7" w:rsidRPr="006D40F0" w14:paraId="1091D9C2" w14:textId="77777777">
        <w:trPr>
          <w:trHeight w:val="380"/>
        </w:trPr>
        <w:tc>
          <w:tcPr>
            <w:tcW w:w="680" w:type="dxa"/>
            <w:tcBorders>
              <w:top w:val="nil"/>
              <w:left w:val="nil"/>
              <w:bottom w:val="nil"/>
              <w:right w:val="nil"/>
            </w:tcBorders>
            <w:tcMar>
              <w:top w:w="128" w:type="dxa"/>
              <w:left w:w="43" w:type="dxa"/>
              <w:bottom w:w="43" w:type="dxa"/>
              <w:right w:w="43" w:type="dxa"/>
            </w:tcMar>
          </w:tcPr>
          <w:p w14:paraId="7B2C94D8" w14:textId="77777777" w:rsidR="00575AC3" w:rsidRPr="006D40F0" w:rsidRDefault="00575AC3" w:rsidP="006D40F0">
            <w:r w:rsidRPr="006D40F0">
              <w:t>1400</w:t>
            </w:r>
          </w:p>
        </w:tc>
        <w:tc>
          <w:tcPr>
            <w:tcW w:w="680" w:type="dxa"/>
            <w:tcBorders>
              <w:top w:val="nil"/>
              <w:left w:val="nil"/>
              <w:bottom w:val="nil"/>
              <w:right w:val="nil"/>
            </w:tcBorders>
            <w:tcMar>
              <w:top w:w="128" w:type="dxa"/>
              <w:left w:w="43" w:type="dxa"/>
              <w:bottom w:w="43" w:type="dxa"/>
              <w:right w:w="43" w:type="dxa"/>
            </w:tcMar>
          </w:tcPr>
          <w:p w14:paraId="78571BB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CE9E55" w14:textId="77777777" w:rsidR="00575AC3" w:rsidRPr="006D40F0" w:rsidRDefault="00575AC3" w:rsidP="006D40F0">
            <w:r w:rsidRPr="006D40F0">
              <w:t>Klima- og miljødepartementet:</w:t>
            </w:r>
          </w:p>
        </w:tc>
        <w:tc>
          <w:tcPr>
            <w:tcW w:w="1400" w:type="dxa"/>
            <w:tcBorders>
              <w:top w:val="nil"/>
              <w:left w:val="nil"/>
              <w:bottom w:val="nil"/>
              <w:right w:val="nil"/>
            </w:tcBorders>
            <w:tcMar>
              <w:top w:w="128" w:type="dxa"/>
              <w:left w:w="43" w:type="dxa"/>
              <w:bottom w:w="43" w:type="dxa"/>
              <w:right w:w="43" w:type="dxa"/>
            </w:tcMar>
            <w:vAlign w:val="bottom"/>
          </w:tcPr>
          <w:p w14:paraId="519D09E8" w14:textId="77777777" w:rsidR="00575AC3" w:rsidRPr="006D40F0" w:rsidRDefault="00575AC3" w:rsidP="006D40F0"/>
        </w:tc>
      </w:tr>
      <w:tr w:rsidR="00DD49A7" w:rsidRPr="006D40F0" w14:paraId="3B595166" w14:textId="77777777">
        <w:trPr>
          <w:trHeight w:val="380"/>
        </w:trPr>
        <w:tc>
          <w:tcPr>
            <w:tcW w:w="680" w:type="dxa"/>
            <w:tcBorders>
              <w:top w:val="nil"/>
              <w:left w:val="nil"/>
              <w:bottom w:val="nil"/>
              <w:right w:val="nil"/>
            </w:tcBorders>
            <w:tcMar>
              <w:top w:w="128" w:type="dxa"/>
              <w:left w:w="43" w:type="dxa"/>
              <w:bottom w:w="43" w:type="dxa"/>
              <w:right w:w="43" w:type="dxa"/>
            </w:tcMar>
          </w:tcPr>
          <w:p w14:paraId="465B9E1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CD0EE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CC0B9DC"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78A70AE1" w14:textId="77777777" w:rsidR="00575AC3" w:rsidRPr="006D40F0" w:rsidRDefault="00575AC3" w:rsidP="006D40F0">
            <w:r w:rsidRPr="006D40F0">
              <w:t>3 500 000</w:t>
            </w:r>
          </w:p>
        </w:tc>
      </w:tr>
      <w:tr w:rsidR="00DD49A7" w:rsidRPr="006D40F0" w14:paraId="09064128" w14:textId="77777777">
        <w:trPr>
          <w:trHeight w:val="380"/>
        </w:trPr>
        <w:tc>
          <w:tcPr>
            <w:tcW w:w="680" w:type="dxa"/>
            <w:tcBorders>
              <w:top w:val="nil"/>
              <w:left w:val="nil"/>
              <w:bottom w:val="nil"/>
              <w:right w:val="nil"/>
            </w:tcBorders>
            <w:tcMar>
              <w:top w:w="128" w:type="dxa"/>
              <w:left w:w="43" w:type="dxa"/>
              <w:bottom w:w="43" w:type="dxa"/>
              <w:right w:w="43" w:type="dxa"/>
            </w:tcMar>
          </w:tcPr>
          <w:p w14:paraId="6C94930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D9D06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11DF815" w14:textId="77777777" w:rsidR="00575AC3" w:rsidRPr="006D40F0" w:rsidRDefault="00575AC3" w:rsidP="006D40F0">
            <w:r w:rsidRPr="006D40F0">
              <w:t>fra kr 326 316 000 til kr 322 816 000</w:t>
            </w:r>
          </w:p>
        </w:tc>
        <w:tc>
          <w:tcPr>
            <w:tcW w:w="1400" w:type="dxa"/>
            <w:tcBorders>
              <w:top w:val="nil"/>
              <w:left w:val="nil"/>
              <w:bottom w:val="nil"/>
              <w:right w:val="nil"/>
            </w:tcBorders>
            <w:tcMar>
              <w:top w:w="128" w:type="dxa"/>
              <w:left w:w="43" w:type="dxa"/>
              <w:bottom w:w="43" w:type="dxa"/>
              <w:right w:w="43" w:type="dxa"/>
            </w:tcMar>
            <w:vAlign w:val="bottom"/>
          </w:tcPr>
          <w:p w14:paraId="65C31B96" w14:textId="77777777" w:rsidR="00575AC3" w:rsidRPr="006D40F0" w:rsidRDefault="00575AC3" w:rsidP="006D40F0"/>
        </w:tc>
      </w:tr>
      <w:tr w:rsidR="00DD49A7" w:rsidRPr="006D40F0" w14:paraId="61BF1B75" w14:textId="77777777">
        <w:trPr>
          <w:trHeight w:val="380"/>
        </w:trPr>
        <w:tc>
          <w:tcPr>
            <w:tcW w:w="680" w:type="dxa"/>
            <w:tcBorders>
              <w:top w:val="nil"/>
              <w:left w:val="nil"/>
              <w:bottom w:val="nil"/>
              <w:right w:val="nil"/>
            </w:tcBorders>
            <w:tcMar>
              <w:top w:w="128" w:type="dxa"/>
              <w:left w:w="43" w:type="dxa"/>
              <w:bottom w:w="43" w:type="dxa"/>
              <w:right w:w="43" w:type="dxa"/>
            </w:tcMar>
          </w:tcPr>
          <w:p w14:paraId="4FFE521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9FAC18"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A9A04F7" w14:textId="77777777" w:rsidR="00575AC3" w:rsidRPr="006D40F0" w:rsidRDefault="00575AC3" w:rsidP="006D40F0">
            <w:r w:rsidRPr="006D40F0">
              <w:t>Spesielle 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1BD2EF4" w14:textId="77777777" w:rsidR="00575AC3" w:rsidRPr="006D40F0" w:rsidRDefault="00575AC3" w:rsidP="006D40F0">
            <w:r w:rsidRPr="006D40F0">
              <w:t>15 650 000</w:t>
            </w:r>
          </w:p>
        </w:tc>
      </w:tr>
      <w:tr w:rsidR="00DD49A7" w:rsidRPr="006D40F0" w14:paraId="6F8D8BCB" w14:textId="77777777">
        <w:trPr>
          <w:trHeight w:val="380"/>
        </w:trPr>
        <w:tc>
          <w:tcPr>
            <w:tcW w:w="680" w:type="dxa"/>
            <w:tcBorders>
              <w:top w:val="nil"/>
              <w:left w:val="nil"/>
              <w:bottom w:val="nil"/>
              <w:right w:val="nil"/>
            </w:tcBorders>
            <w:tcMar>
              <w:top w:w="128" w:type="dxa"/>
              <w:left w:w="43" w:type="dxa"/>
              <w:bottom w:w="43" w:type="dxa"/>
              <w:right w:w="43" w:type="dxa"/>
            </w:tcMar>
          </w:tcPr>
          <w:p w14:paraId="7B8D490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3725C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B0F891" w14:textId="77777777" w:rsidR="00575AC3" w:rsidRPr="006D40F0" w:rsidRDefault="00575AC3" w:rsidP="006D40F0">
            <w:r w:rsidRPr="006D40F0">
              <w:t>fra kr 87 156 000 til kr 102 806 000</w:t>
            </w:r>
          </w:p>
        </w:tc>
        <w:tc>
          <w:tcPr>
            <w:tcW w:w="1400" w:type="dxa"/>
            <w:tcBorders>
              <w:top w:val="nil"/>
              <w:left w:val="nil"/>
              <w:bottom w:val="nil"/>
              <w:right w:val="nil"/>
            </w:tcBorders>
            <w:tcMar>
              <w:top w:w="128" w:type="dxa"/>
              <w:left w:w="43" w:type="dxa"/>
              <w:bottom w:w="43" w:type="dxa"/>
              <w:right w:w="43" w:type="dxa"/>
            </w:tcMar>
            <w:vAlign w:val="bottom"/>
          </w:tcPr>
          <w:p w14:paraId="6C3CB235" w14:textId="77777777" w:rsidR="00575AC3" w:rsidRPr="006D40F0" w:rsidRDefault="00575AC3" w:rsidP="006D40F0"/>
        </w:tc>
      </w:tr>
      <w:tr w:rsidR="00DD49A7" w:rsidRPr="006D40F0" w14:paraId="75362BE3" w14:textId="77777777">
        <w:trPr>
          <w:trHeight w:val="640"/>
        </w:trPr>
        <w:tc>
          <w:tcPr>
            <w:tcW w:w="680" w:type="dxa"/>
            <w:tcBorders>
              <w:top w:val="nil"/>
              <w:left w:val="nil"/>
              <w:bottom w:val="nil"/>
              <w:right w:val="nil"/>
            </w:tcBorders>
            <w:tcMar>
              <w:top w:w="128" w:type="dxa"/>
              <w:left w:w="43" w:type="dxa"/>
              <w:bottom w:w="43" w:type="dxa"/>
              <w:right w:w="43" w:type="dxa"/>
            </w:tcMar>
          </w:tcPr>
          <w:p w14:paraId="2438E4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9D4968"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6E15E628" w14:textId="77777777" w:rsidR="00575AC3" w:rsidRPr="006D40F0" w:rsidRDefault="00575AC3" w:rsidP="006D40F0">
            <w:r w:rsidRPr="006D40F0">
              <w:t xml:space="preserve">Støtte til nasjonale og internasjonale miljøtiltak,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92B8264" w14:textId="77777777" w:rsidR="00575AC3" w:rsidRPr="006D40F0" w:rsidRDefault="00575AC3" w:rsidP="006D40F0">
            <w:r w:rsidRPr="006D40F0">
              <w:t>3 650 000</w:t>
            </w:r>
          </w:p>
        </w:tc>
      </w:tr>
      <w:tr w:rsidR="00DD49A7" w:rsidRPr="006D40F0" w14:paraId="204F3446" w14:textId="77777777">
        <w:trPr>
          <w:trHeight w:val="380"/>
        </w:trPr>
        <w:tc>
          <w:tcPr>
            <w:tcW w:w="680" w:type="dxa"/>
            <w:tcBorders>
              <w:top w:val="nil"/>
              <w:left w:val="nil"/>
              <w:bottom w:val="nil"/>
              <w:right w:val="nil"/>
            </w:tcBorders>
            <w:tcMar>
              <w:top w:w="128" w:type="dxa"/>
              <w:left w:w="43" w:type="dxa"/>
              <w:bottom w:w="43" w:type="dxa"/>
              <w:right w:w="43" w:type="dxa"/>
            </w:tcMar>
          </w:tcPr>
          <w:p w14:paraId="3A3EA3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11092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9A0F76" w14:textId="77777777" w:rsidR="00575AC3" w:rsidRPr="006D40F0" w:rsidRDefault="00575AC3" w:rsidP="006D40F0">
            <w:r w:rsidRPr="006D40F0">
              <w:t>fra kr 103 744 000 til kr 107 394 000</w:t>
            </w:r>
          </w:p>
        </w:tc>
        <w:tc>
          <w:tcPr>
            <w:tcW w:w="1400" w:type="dxa"/>
            <w:tcBorders>
              <w:top w:val="nil"/>
              <w:left w:val="nil"/>
              <w:bottom w:val="nil"/>
              <w:right w:val="nil"/>
            </w:tcBorders>
            <w:tcMar>
              <w:top w:w="128" w:type="dxa"/>
              <w:left w:w="43" w:type="dxa"/>
              <w:bottom w:w="43" w:type="dxa"/>
              <w:right w:w="43" w:type="dxa"/>
            </w:tcMar>
            <w:vAlign w:val="bottom"/>
          </w:tcPr>
          <w:p w14:paraId="49501555" w14:textId="77777777" w:rsidR="00575AC3" w:rsidRPr="006D40F0" w:rsidRDefault="00575AC3" w:rsidP="006D40F0"/>
        </w:tc>
      </w:tr>
      <w:tr w:rsidR="00DD49A7" w:rsidRPr="006D40F0" w14:paraId="084DA4A8" w14:textId="77777777">
        <w:trPr>
          <w:trHeight w:val="380"/>
        </w:trPr>
        <w:tc>
          <w:tcPr>
            <w:tcW w:w="680" w:type="dxa"/>
            <w:tcBorders>
              <w:top w:val="nil"/>
              <w:left w:val="nil"/>
              <w:bottom w:val="nil"/>
              <w:right w:val="nil"/>
            </w:tcBorders>
            <w:tcMar>
              <w:top w:w="128" w:type="dxa"/>
              <w:left w:w="43" w:type="dxa"/>
              <w:bottom w:w="43" w:type="dxa"/>
              <w:right w:w="43" w:type="dxa"/>
            </w:tcMar>
          </w:tcPr>
          <w:p w14:paraId="19952578" w14:textId="77777777" w:rsidR="00575AC3" w:rsidRPr="006D40F0" w:rsidRDefault="00575AC3" w:rsidP="006D40F0">
            <w:r w:rsidRPr="006D40F0">
              <w:t>1410</w:t>
            </w:r>
          </w:p>
        </w:tc>
        <w:tc>
          <w:tcPr>
            <w:tcW w:w="680" w:type="dxa"/>
            <w:tcBorders>
              <w:top w:val="nil"/>
              <w:left w:val="nil"/>
              <w:bottom w:val="nil"/>
              <w:right w:val="nil"/>
            </w:tcBorders>
            <w:tcMar>
              <w:top w:w="128" w:type="dxa"/>
              <w:left w:w="43" w:type="dxa"/>
              <w:bottom w:w="43" w:type="dxa"/>
              <w:right w:w="43" w:type="dxa"/>
            </w:tcMar>
          </w:tcPr>
          <w:p w14:paraId="09CB1D6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032A8DE" w14:textId="77777777" w:rsidR="00575AC3" w:rsidRPr="006D40F0" w:rsidRDefault="00575AC3" w:rsidP="006D40F0">
            <w:r w:rsidRPr="006D40F0">
              <w:t>Kunnskap om klima og miljø:</w:t>
            </w:r>
          </w:p>
        </w:tc>
        <w:tc>
          <w:tcPr>
            <w:tcW w:w="1400" w:type="dxa"/>
            <w:tcBorders>
              <w:top w:val="nil"/>
              <w:left w:val="nil"/>
              <w:bottom w:val="nil"/>
              <w:right w:val="nil"/>
            </w:tcBorders>
            <w:tcMar>
              <w:top w:w="128" w:type="dxa"/>
              <w:left w:w="43" w:type="dxa"/>
              <w:bottom w:w="43" w:type="dxa"/>
              <w:right w:w="43" w:type="dxa"/>
            </w:tcMar>
            <w:vAlign w:val="bottom"/>
          </w:tcPr>
          <w:p w14:paraId="428520F1" w14:textId="77777777" w:rsidR="00575AC3" w:rsidRPr="006D40F0" w:rsidRDefault="00575AC3" w:rsidP="006D40F0"/>
        </w:tc>
      </w:tr>
      <w:tr w:rsidR="00DD49A7" w:rsidRPr="006D40F0" w14:paraId="610ACF05" w14:textId="77777777">
        <w:trPr>
          <w:trHeight w:val="380"/>
        </w:trPr>
        <w:tc>
          <w:tcPr>
            <w:tcW w:w="680" w:type="dxa"/>
            <w:tcBorders>
              <w:top w:val="nil"/>
              <w:left w:val="nil"/>
              <w:bottom w:val="nil"/>
              <w:right w:val="nil"/>
            </w:tcBorders>
            <w:tcMar>
              <w:top w:w="128" w:type="dxa"/>
              <w:left w:w="43" w:type="dxa"/>
              <w:bottom w:w="43" w:type="dxa"/>
              <w:right w:w="43" w:type="dxa"/>
            </w:tcMar>
          </w:tcPr>
          <w:p w14:paraId="25B272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D0750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D26C471" w14:textId="77777777" w:rsidR="00575AC3" w:rsidRPr="006D40F0" w:rsidRDefault="00575AC3" w:rsidP="006D40F0">
            <w:r w:rsidRPr="006D40F0">
              <w:t>Miljødata, nedsettes med</w:t>
            </w:r>
          </w:p>
        </w:tc>
        <w:tc>
          <w:tcPr>
            <w:tcW w:w="1400" w:type="dxa"/>
            <w:tcBorders>
              <w:top w:val="nil"/>
              <w:left w:val="nil"/>
              <w:bottom w:val="nil"/>
              <w:right w:val="nil"/>
            </w:tcBorders>
            <w:tcMar>
              <w:top w:w="128" w:type="dxa"/>
              <w:left w:w="43" w:type="dxa"/>
              <w:bottom w:w="43" w:type="dxa"/>
              <w:right w:w="43" w:type="dxa"/>
            </w:tcMar>
            <w:vAlign w:val="bottom"/>
          </w:tcPr>
          <w:p w14:paraId="334B0BA7" w14:textId="77777777" w:rsidR="00575AC3" w:rsidRPr="006D40F0" w:rsidRDefault="00575AC3" w:rsidP="006D40F0">
            <w:r w:rsidRPr="006D40F0">
              <w:t>5 380 000</w:t>
            </w:r>
          </w:p>
        </w:tc>
      </w:tr>
      <w:tr w:rsidR="00DD49A7" w:rsidRPr="006D40F0" w14:paraId="535142D4" w14:textId="77777777">
        <w:trPr>
          <w:trHeight w:val="380"/>
        </w:trPr>
        <w:tc>
          <w:tcPr>
            <w:tcW w:w="680" w:type="dxa"/>
            <w:tcBorders>
              <w:top w:val="nil"/>
              <w:left w:val="nil"/>
              <w:bottom w:val="nil"/>
              <w:right w:val="nil"/>
            </w:tcBorders>
            <w:tcMar>
              <w:top w:w="128" w:type="dxa"/>
              <w:left w:w="43" w:type="dxa"/>
              <w:bottom w:w="43" w:type="dxa"/>
              <w:right w:w="43" w:type="dxa"/>
            </w:tcMar>
          </w:tcPr>
          <w:p w14:paraId="76B4EC5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DC04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923C9B" w14:textId="77777777" w:rsidR="00575AC3" w:rsidRPr="006D40F0" w:rsidRDefault="00575AC3" w:rsidP="006D40F0">
            <w:r w:rsidRPr="006D40F0">
              <w:t>fra kr 445 396 000 til kr 440 016 000</w:t>
            </w:r>
          </w:p>
        </w:tc>
        <w:tc>
          <w:tcPr>
            <w:tcW w:w="1400" w:type="dxa"/>
            <w:tcBorders>
              <w:top w:val="nil"/>
              <w:left w:val="nil"/>
              <w:bottom w:val="nil"/>
              <w:right w:val="nil"/>
            </w:tcBorders>
            <w:tcMar>
              <w:top w:w="128" w:type="dxa"/>
              <w:left w:w="43" w:type="dxa"/>
              <w:bottom w:w="43" w:type="dxa"/>
              <w:right w:w="43" w:type="dxa"/>
            </w:tcMar>
            <w:vAlign w:val="bottom"/>
          </w:tcPr>
          <w:p w14:paraId="692BE085" w14:textId="77777777" w:rsidR="00575AC3" w:rsidRPr="006D40F0" w:rsidRDefault="00575AC3" w:rsidP="006D40F0"/>
        </w:tc>
      </w:tr>
      <w:tr w:rsidR="00DD49A7" w:rsidRPr="006D40F0" w14:paraId="28A6F69F" w14:textId="77777777">
        <w:trPr>
          <w:trHeight w:val="380"/>
        </w:trPr>
        <w:tc>
          <w:tcPr>
            <w:tcW w:w="680" w:type="dxa"/>
            <w:tcBorders>
              <w:top w:val="nil"/>
              <w:left w:val="nil"/>
              <w:bottom w:val="nil"/>
              <w:right w:val="nil"/>
            </w:tcBorders>
            <w:tcMar>
              <w:top w:w="128" w:type="dxa"/>
              <w:left w:w="43" w:type="dxa"/>
              <w:bottom w:w="43" w:type="dxa"/>
              <w:right w:w="43" w:type="dxa"/>
            </w:tcMar>
          </w:tcPr>
          <w:p w14:paraId="6F7DAA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F5DD5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D39CCA4" w14:textId="77777777" w:rsidR="00575AC3" w:rsidRPr="006D40F0" w:rsidRDefault="00575AC3" w:rsidP="006D40F0">
            <w:r w:rsidRPr="006D40F0">
              <w:t>Nasjonale oppgaver ved miljøinstituttene, forhøyes med</w:t>
            </w:r>
          </w:p>
        </w:tc>
        <w:tc>
          <w:tcPr>
            <w:tcW w:w="1400" w:type="dxa"/>
            <w:tcBorders>
              <w:top w:val="nil"/>
              <w:left w:val="nil"/>
              <w:bottom w:val="nil"/>
              <w:right w:val="nil"/>
            </w:tcBorders>
            <w:tcMar>
              <w:top w:w="128" w:type="dxa"/>
              <w:left w:w="43" w:type="dxa"/>
              <w:bottom w:w="43" w:type="dxa"/>
              <w:right w:w="43" w:type="dxa"/>
            </w:tcMar>
            <w:vAlign w:val="bottom"/>
          </w:tcPr>
          <w:p w14:paraId="5D6C8E96" w14:textId="77777777" w:rsidR="00575AC3" w:rsidRPr="006D40F0" w:rsidRDefault="00575AC3" w:rsidP="006D40F0">
            <w:r w:rsidRPr="006D40F0">
              <w:t>380 000</w:t>
            </w:r>
          </w:p>
        </w:tc>
      </w:tr>
      <w:tr w:rsidR="00DD49A7" w:rsidRPr="006D40F0" w14:paraId="50422E5A" w14:textId="77777777">
        <w:trPr>
          <w:trHeight w:val="380"/>
        </w:trPr>
        <w:tc>
          <w:tcPr>
            <w:tcW w:w="680" w:type="dxa"/>
            <w:tcBorders>
              <w:top w:val="nil"/>
              <w:left w:val="nil"/>
              <w:bottom w:val="nil"/>
              <w:right w:val="nil"/>
            </w:tcBorders>
            <w:tcMar>
              <w:top w:w="128" w:type="dxa"/>
              <w:left w:w="43" w:type="dxa"/>
              <w:bottom w:w="43" w:type="dxa"/>
              <w:right w:w="43" w:type="dxa"/>
            </w:tcMar>
          </w:tcPr>
          <w:p w14:paraId="284FFB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6A20A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749884" w14:textId="77777777" w:rsidR="00575AC3" w:rsidRPr="006D40F0" w:rsidRDefault="00575AC3" w:rsidP="006D40F0">
            <w:r w:rsidRPr="006D40F0">
              <w:t>fra kr 55 883 000 til kr 56 263 000</w:t>
            </w:r>
          </w:p>
        </w:tc>
        <w:tc>
          <w:tcPr>
            <w:tcW w:w="1400" w:type="dxa"/>
            <w:tcBorders>
              <w:top w:val="nil"/>
              <w:left w:val="nil"/>
              <w:bottom w:val="nil"/>
              <w:right w:val="nil"/>
            </w:tcBorders>
            <w:tcMar>
              <w:top w:w="128" w:type="dxa"/>
              <w:left w:w="43" w:type="dxa"/>
              <w:bottom w:w="43" w:type="dxa"/>
              <w:right w:w="43" w:type="dxa"/>
            </w:tcMar>
            <w:vAlign w:val="bottom"/>
          </w:tcPr>
          <w:p w14:paraId="250BC99C" w14:textId="77777777" w:rsidR="00575AC3" w:rsidRPr="006D40F0" w:rsidRDefault="00575AC3" w:rsidP="006D40F0"/>
        </w:tc>
      </w:tr>
      <w:tr w:rsidR="00DD49A7" w:rsidRPr="006D40F0" w14:paraId="7BE51BB4" w14:textId="77777777">
        <w:trPr>
          <w:trHeight w:val="380"/>
        </w:trPr>
        <w:tc>
          <w:tcPr>
            <w:tcW w:w="680" w:type="dxa"/>
            <w:tcBorders>
              <w:top w:val="nil"/>
              <w:left w:val="nil"/>
              <w:bottom w:val="nil"/>
              <w:right w:val="nil"/>
            </w:tcBorders>
            <w:tcMar>
              <w:top w:w="128" w:type="dxa"/>
              <w:left w:w="43" w:type="dxa"/>
              <w:bottom w:w="43" w:type="dxa"/>
              <w:right w:w="43" w:type="dxa"/>
            </w:tcMar>
          </w:tcPr>
          <w:p w14:paraId="15F913E1" w14:textId="77777777" w:rsidR="00575AC3" w:rsidRPr="006D40F0" w:rsidRDefault="00575AC3" w:rsidP="006D40F0">
            <w:r w:rsidRPr="006D40F0">
              <w:t>1412</w:t>
            </w:r>
          </w:p>
        </w:tc>
        <w:tc>
          <w:tcPr>
            <w:tcW w:w="680" w:type="dxa"/>
            <w:tcBorders>
              <w:top w:val="nil"/>
              <w:left w:val="nil"/>
              <w:bottom w:val="nil"/>
              <w:right w:val="nil"/>
            </w:tcBorders>
            <w:tcMar>
              <w:top w:w="128" w:type="dxa"/>
              <w:left w:w="43" w:type="dxa"/>
              <w:bottom w:w="43" w:type="dxa"/>
              <w:right w:w="43" w:type="dxa"/>
            </w:tcMar>
          </w:tcPr>
          <w:p w14:paraId="0F7C68C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CC12BA" w14:textId="77777777" w:rsidR="00575AC3" w:rsidRPr="006D40F0" w:rsidRDefault="00575AC3" w:rsidP="006D40F0">
            <w:r w:rsidRPr="006D40F0">
              <w:t>Meteorologiformål:</w:t>
            </w:r>
          </w:p>
        </w:tc>
        <w:tc>
          <w:tcPr>
            <w:tcW w:w="1400" w:type="dxa"/>
            <w:tcBorders>
              <w:top w:val="nil"/>
              <w:left w:val="nil"/>
              <w:bottom w:val="nil"/>
              <w:right w:val="nil"/>
            </w:tcBorders>
            <w:tcMar>
              <w:top w:w="128" w:type="dxa"/>
              <w:left w:w="43" w:type="dxa"/>
              <w:bottom w:w="43" w:type="dxa"/>
              <w:right w:w="43" w:type="dxa"/>
            </w:tcMar>
            <w:vAlign w:val="bottom"/>
          </w:tcPr>
          <w:p w14:paraId="59F73625" w14:textId="77777777" w:rsidR="00575AC3" w:rsidRPr="006D40F0" w:rsidRDefault="00575AC3" w:rsidP="006D40F0"/>
        </w:tc>
      </w:tr>
      <w:tr w:rsidR="00DD49A7" w:rsidRPr="006D40F0" w14:paraId="73F7D1F9" w14:textId="77777777">
        <w:trPr>
          <w:trHeight w:val="380"/>
        </w:trPr>
        <w:tc>
          <w:tcPr>
            <w:tcW w:w="680" w:type="dxa"/>
            <w:tcBorders>
              <w:top w:val="nil"/>
              <w:left w:val="nil"/>
              <w:bottom w:val="nil"/>
              <w:right w:val="nil"/>
            </w:tcBorders>
            <w:tcMar>
              <w:top w:w="128" w:type="dxa"/>
              <w:left w:w="43" w:type="dxa"/>
              <w:bottom w:w="43" w:type="dxa"/>
              <w:right w:w="43" w:type="dxa"/>
            </w:tcMar>
          </w:tcPr>
          <w:p w14:paraId="1F64C8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7320C2"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3BCAE1B" w14:textId="77777777" w:rsidR="00575AC3" w:rsidRPr="006D40F0" w:rsidRDefault="00575AC3" w:rsidP="006D40F0">
            <w:r w:rsidRPr="006D40F0">
              <w:t>Meteorologisk institutt, nedsettes med</w:t>
            </w:r>
          </w:p>
        </w:tc>
        <w:tc>
          <w:tcPr>
            <w:tcW w:w="1400" w:type="dxa"/>
            <w:tcBorders>
              <w:top w:val="nil"/>
              <w:left w:val="nil"/>
              <w:bottom w:val="nil"/>
              <w:right w:val="nil"/>
            </w:tcBorders>
            <w:tcMar>
              <w:top w:w="128" w:type="dxa"/>
              <w:left w:w="43" w:type="dxa"/>
              <w:bottom w:w="43" w:type="dxa"/>
              <w:right w:w="43" w:type="dxa"/>
            </w:tcMar>
            <w:vAlign w:val="bottom"/>
          </w:tcPr>
          <w:p w14:paraId="287036EC" w14:textId="77777777" w:rsidR="00575AC3" w:rsidRPr="006D40F0" w:rsidRDefault="00575AC3" w:rsidP="006D40F0">
            <w:r w:rsidRPr="006D40F0">
              <w:t>260 000</w:t>
            </w:r>
          </w:p>
        </w:tc>
      </w:tr>
      <w:tr w:rsidR="00DD49A7" w:rsidRPr="006D40F0" w14:paraId="2AFAB6FE" w14:textId="77777777">
        <w:trPr>
          <w:trHeight w:val="380"/>
        </w:trPr>
        <w:tc>
          <w:tcPr>
            <w:tcW w:w="680" w:type="dxa"/>
            <w:tcBorders>
              <w:top w:val="nil"/>
              <w:left w:val="nil"/>
              <w:bottom w:val="nil"/>
              <w:right w:val="nil"/>
            </w:tcBorders>
            <w:tcMar>
              <w:top w:w="128" w:type="dxa"/>
              <w:left w:w="43" w:type="dxa"/>
              <w:bottom w:w="43" w:type="dxa"/>
              <w:right w:w="43" w:type="dxa"/>
            </w:tcMar>
          </w:tcPr>
          <w:p w14:paraId="053F40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91E9B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6BEF57C" w14:textId="77777777" w:rsidR="00575AC3" w:rsidRPr="006D40F0" w:rsidRDefault="00575AC3" w:rsidP="006D40F0">
            <w:r w:rsidRPr="006D40F0">
              <w:t>fra kr 387 914 000 til kr 387 654 000</w:t>
            </w:r>
          </w:p>
        </w:tc>
        <w:tc>
          <w:tcPr>
            <w:tcW w:w="1400" w:type="dxa"/>
            <w:tcBorders>
              <w:top w:val="nil"/>
              <w:left w:val="nil"/>
              <w:bottom w:val="nil"/>
              <w:right w:val="nil"/>
            </w:tcBorders>
            <w:tcMar>
              <w:top w:w="128" w:type="dxa"/>
              <w:left w:w="43" w:type="dxa"/>
              <w:bottom w:w="43" w:type="dxa"/>
              <w:right w:w="43" w:type="dxa"/>
            </w:tcMar>
            <w:vAlign w:val="bottom"/>
          </w:tcPr>
          <w:p w14:paraId="66DC42C7" w14:textId="77777777" w:rsidR="00575AC3" w:rsidRPr="006D40F0" w:rsidRDefault="00575AC3" w:rsidP="006D40F0"/>
        </w:tc>
      </w:tr>
      <w:tr w:rsidR="00DD49A7" w:rsidRPr="006D40F0" w14:paraId="44F25C5D" w14:textId="77777777">
        <w:trPr>
          <w:trHeight w:val="380"/>
        </w:trPr>
        <w:tc>
          <w:tcPr>
            <w:tcW w:w="680" w:type="dxa"/>
            <w:tcBorders>
              <w:top w:val="nil"/>
              <w:left w:val="nil"/>
              <w:bottom w:val="nil"/>
              <w:right w:val="nil"/>
            </w:tcBorders>
            <w:tcMar>
              <w:top w:w="128" w:type="dxa"/>
              <w:left w:w="43" w:type="dxa"/>
              <w:bottom w:w="43" w:type="dxa"/>
              <w:right w:w="43" w:type="dxa"/>
            </w:tcMar>
          </w:tcPr>
          <w:p w14:paraId="6F4AFAE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8928F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AF58809" w14:textId="77777777" w:rsidR="00575AC3" w:rsidRPr="006D40F0" w:rsidRDefault="00575AC3" w:rsidP="006D40F0">
            <w:r w:rsidRPr="006D40F0">
              <w:t>Internasjonale samarbeidsprosjekter, nedsettes med</w:t>
            </w:r>
          </w:p>
        </w:tc>
        <w:tc>
          <w:tcPr>
            <w:tcW w:w="1400" w:type="dxa"/>
            <w:tcBorders>
              <w:top w:val="nil"/>
              <w:left w:val="nil"/>
              <w:bottom w:val="nil"/>
              <w:right w:val="nil"/>
            </w:tcBorders>
            <w:tcMar>
              <w:top w:w="128" w:type="dxa"/>
              <w:left w:w="43" w:type="dxa"/>
              <w:bottom w:w="43" w:type="dxa"/>
              <w:right w:w="43" w:type="dxa"/>
            </w:tcMar>
            <w:vAlign w:val="bottom"/>
          </w:tcPr>
          <w:p w14:paraId="6870A838" w14:textId="77777777" w:rsidR="00575AC3" w:rsidRPr="006D40F0" w:rsidRDefault="00575AC3" w:rsidP="006D40F0">
            <w:r w:rsidRPr="006D40F0">
              <w:t>15 300 000</w:t>
            </w:r>
          </w:p>
        </w:tc>
      </w:tr>
      <w:tr w:rsidR="00DD49A7" w:rsidRPr="006D40F0" w14:paraId="7660CED2" w14:textId="77777777">
        <w:trPr>
          <w:trHeight w:val="380"/>
        </w:trPr>
        <w:tc>
          <w:tcPr>
            <w:tcW w:w="680" w:type="dxa"/>
            <w:tcBorders>
              <w:top w:val="nil"/>
              <w:left w:val="nil"/>
              <w:bottom w:val="nil"/>
              <w:right w:val="nil"/>
            </w:tcBorders>
            <w:tcMar>
              <w:top w:w="128" w:type="dxa"/>
              <w:left w:w="43" w:type="dxa"/>
              <w:bottom w:w="43" w:type="dxa"/>
              <w:right w:w="43" w:type="dxa"/>
            </w:tcMar>
          </w:tcPr>
          <w:p w14:paraId="20CE247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59CA6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B70E89" w14:textId="77777777" w:rsidR="00575AC3" w:rsidRPr="006D40F0" w:rsidRDefault="00575AC3" w:rsidP="006D40F0">
            <w:r w:rsidRPr="006D40F0">
              <w:t>fra kr 159 464 000 til kr 144 164 000</w:t>
            </w:r>
          </w:p>
        </w:tc>
        <w:tc>
          <w:tcPr>
            <w:tcW w:w="1400" w:type="dxa"/>
            <w:tcBorders>
              <w:top w:val="nil"/>
              <w:left w:val="nil"/>
              <w:bottom w:val="nil"/>
              <w:right w:val="nil"/>
            </w:tcBorders>
            <w:tcMar>
              <w:top w:w="128" w:type="dxa"/>
              <w:left w:w="43" w:type="dxa"/>
              <w:bottom w:w="43" w:type="dxa"/>
              <w:right w:w="43" w:type="dxa"/>
            </w:tcMar>
            <w:vAlign w:val="bottom"/>
          </w:tcPr>
          <w:p w14:paraId="53B5894A" w14:textId="77777777" w:rsidR="00575AC3" w:rsidRPr="006D40F0" w:rsidRDefault="00575AC3" w:rsidP="006D40F0"/>
        </w:tc>
      </w:tr>
      <w:tr w:rsidR="00DD49A7" w:rsidRPr="006D40F0" w14:paraId="267A5507" w14:textId="77777777">
        <w:trPr>
          <w:trHeight w:val="380"/>
        </w:trPr>
        <w:tc>
          <w:tcPr>
            <w:tcW w:w="680" w:type="dxa"/>
            <w:tcBorders>
              <w:top w:val="nil"/>
              <w:left w:val="nil"/>
              <w:bottom w:val="nil"/>
              <w:right w:val="nil"/>
            </w:tcBorders>
            <w:tcMar>
              <w:top w:w="128" w:type="dxa"/>
              <w:left w:w="43" w:type="dxa"/>
              <w:bottom w:w="43" w:type="dxa"/>
              <w:right w:w="43" w:type="dxa"/>
            </w:tcMar>
          </w:tcPr>
          <w:p w14:paraId="7AEB408D" w14:textId="77777777" w:rsidR="00575AC3" w:rsidRPr="006D40F0" w:rsidRDefault="00575AC3" w:rsidP="006D40F0">
            <w:r w:rsidRPr="006D40F0">
              <w:t>1420</w:t>
            </w:r>
          </w:p>
        </w:tc>
        <w:tc>
          <w:tcPr>
            <w:tcW w:w="680" w:type="dxa"/>
            <w:tcBorders>
              <w:top w:val="nil"/>
              <w:left w:val="nil"/>
              <w:bottom w:val="nil"/>
              <w:right w:val="nil"/>
            </w:tcBorders>
            <w:tcMar>
              <w:top w:w="128" w:type="dxa"/>
              <w:left w:w="43" w:type="dxa"/>
              <w:bottom w:w="43" w:type="dxa"/>
              <w:right w:w="43" w:type="dxa"/>
            </w:tcMar>
          </w:tcPr>
          <w:p w14:paraId="2E18619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642415" w14:textId="77777777" w:rsidR="00575AC3" w:rsidRPr="006D40F0" w:rsidRDefault="00575AC3" w:rsidP="006D40F0">
            <w:r w:rsidRPr="006D40F0">
              <w:t>Miljødirektoratet:</w:t>
            </w:r>
          </w:p>
        </w:tc>
        <w:tc>
          <w:tcPr>
            <w:tcW w:w="1400" w:type="dxa"/>
            <w:tcBorders>
              <w:top w:val="nil"/>
              <w:left w:val="nil"/>
              <w:bottom w:val="nil"/>
              <w:right w:val="nil"/>
            </w:tcBorders>
            <w:tcMar>
              <w:top w:w="128" w:type="dxa"/>
              <w:left w:w="43" w:type="dxa"/>
              <w:bottom w:w="43" w:type="dxa"/>
              <w:right w:w="43" w:type="dxa"/>
            </w:tcMar>
            <w:vAlign w:val="bottom"/>
          </w:tcPr>
          <w:p w14:paraId="34C9381C" w14:textId="77777777" w:rsidR="00575AC3" w:rsidRPr="006D40F0" w:rsidRDefault="00575AC3" w:rsidP="006D40F0"/>
        </w:tc>
      </w:tr>
      <w:tr w:rsidR="00DD49A7" w:rsidRPr="006D40F0" w14:paraId="0B427A7F" w14:textId="77777777">
        <w:trPr>
          <w:trHeight w:val="380"/>
        </w:trPr>
        <w:tc>
          <w:tcPr>
            <w:tcW w:w="680" w:type="dxa"/>
            <w:tcBorders>
              <w:top w:val="nil"/>
              <w:left w:val="nil"/>
              <w:bottom w:val="nil"/>
              <w:right w:val="nil"/>
            </w:tcBorders>
            <w:tcMar>
              <w:top w:w="128" w:type="dxa"/>
              <w:left w:w="43" w:type="dxa"/>
              <w:bottom w:w="43" w:type="dxa"/>
              <w:right w:w="43" w:type="dxa"/>
            </w:tcMar>
          </w:tcPr>
          <w:p w14:paraId="3E1CB2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FD901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38DDF1B"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64B4E859" w14:textId="77777777" w:rsidR="00575AC3" w:rsidRPr="006D40F0" w:rsidRDefault="00575AC3" w:rsidP="006D40F0">
            <w:r w:rsidRPr="006D40F0">
              <w:t>21 250 000</w:t>
            </w:r>
          </w:p>
        </w:tc>
      </w:tr>
      <w:tr w:rsidR="00DD49A7" w:rsidRPr="006D40F0" w14:paraId="386F9FFD" w14:textId="77777777">
        <w:trPr>
          <w:trHeight w:val="380"/>
        </w:trPr>
        <w:tc>
          <w:tcPr>
            <w:tcW w:w="680" w:type="dxa"/>
            <w:tcBorders>
              <w:top w:val="nil"/>
              <w:left w:val="nil"/>
              <w:bottom w:val="nil"/>
              <w:right w:val="nil"/>
            </w:tcBorders>
            <w:tcMar>
              <w:top w:w="128" w:type="dxa"/>
              <w:left w:w="43" w:type="dxa"/>
              <w:bottom w:w="43" w:type="dxa"/>
              <w:right w:w="43" w:type="dxa"/>
            </w:tcMar>
          </w:tcPr>
          <w:p w14:paraId="10621DA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18360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DDAABE" w14:textId="77777777" w:rsidR="00575AC3" w:rsidRPr="006D40F0" w:rsidRDefault="00575AC3" w:rsidP="006D40F0">
            <w:r w:rsidRPr="006D40F0">
              <w:t>fra kr 862 670 000 til kr 883 920 000</w:t>
            </w:r>
          </w:p>
        </w:tc>
        <w:tc>
          <w:tcPr>
            <w:tcW w:w="1400" w:type="dxa"/>
            <w:tcBorders>
              <w:top w:val="nil"/>
              <w:left w:val="nil"/>
              <w:bottom w:val="nil"/>
              <w:right w:val="nil"/>
            </w:tcBorders>
            <w:tcMar>
              <w:top w:w="128" w:type="dxa"/>
              <w:left w:w="43" w:type="dxa"/>
              <w:bottom w:w="43" w:type="dxa"/>
              <w:right w:w="43" w:type="dxa"/>
            </w:tcMar>
            <w:vAlign w:val="bottom"/>
          </w:tcPr>
          <w:p w14:paraId="18EC3310" w14:textId="77777777" w:rsidR="00575AC3" w:rsidRPr="006D40F0" w:rsidRDefault="00575AC3" w:rsidP="006D40F0"/>
        </w:tc>
      </w:tr>
      <w:tr w:rsidR="00DD49A7" w:rsidRPr="006D40F0" w14:paraId="311CA5E3" w14:textId="77777777">
        <w:trPr>
          <w:trHeight w:val="380"/>
        </w:trPr>
        <w:tc>
          <w:tcPr>
            <w:tcW w:w="680" w:type="dxa"/>
            <w:tcBorders>
              <w:top w:val="nil"/>
              <w:left w:val="nil"/>
              <w:bottom w:val="nil"/>
              <w:right w:val="nil"/>
            </w:tcBorders>
            <w:tcMar>
              <w:top w:w="128" w:type="dxa"/>
              <w:left w:w="43" w:type="dxa"/>
              <w:bottom w:w="43" w:type="dxa"/>
              <w:right w:w="43" w:type="dxa"/>
            </w:tcMar>
          </w:tcPr>
          <w:p w14:paraId="2D59891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EC616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D61EC3C" w14:textId="77777777" w:rsidR="00575AC3" w:rsidRPr="006D40F0" w:rsidRDefault="00575AC3" w:rsidP="006D40F0">
            <w:r w:rsidRPr="006D40F0">
              <w:t>Spesielle 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20B093A3" w14:textId="77777777" w:rsidR="00575AC3" w:rsidRPr="006D40F0" w:rsidRDefault="00575AC3" w:rsidP="006D40F0">
            <w:r w:rsidRPr="006D40F0">
              <w:t>750 000</w:t>
            </w:r>
          </w:p>
        </w:tc>
      </w:tr>
      <w:tr w:rsidR="00DD49A7" w:rsidRPr="006D40F0" w14:paraId="6CB4E329" w14:textId="77777777">
        <w:trPr>
          <w:trHeight w:val="380"/>
        </w:trPr>
        <w:tc>
          <w:tcPr>
            <w:tcW w:w="680" w:type="dxa"/>
            <w:tcBorders>
              <w:top w:val="nil"/>
              <w:left w:val="nil"/>
              <w:bottom w:val="nil"/>
              <w:right w:val="nil"/>
            </w:tcBorders>
            <w:tcMar>
              <w:top w:w="128" w:type="dxa"/>
              <w:left w:w="43" w:type="dxa"/>
              <w:bottom w:w="43" w:type="dxa"/>
              <w:right w:w="43" w:type="dxa"/>
            </w:tcMar>
          </w:tcPr>
          <w:p w14:paraId="3314CED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5075C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C36BC5" w14:textId="77777777" w:rsidR="00575AC3" w:rsidRPr="006D40F0" w:rsidRDefault="00575AC3" w:rsidP="006D40F0">
            <w:r w:rsidRPr="006D40F0">
              <w:t>fra kr 635 824 000 til kr 635 074 000</w:t>
            </w:r>
          </w:p>
        </w:tc>
        <w:tc>
          <w:tcPr>
            <w:tcW w:w="1400" w:type="dxa"/>
            <w:tcBorders>
              <w:top w:val="nil"/>
              <w:left w:val="nil"/>
              <w:bottom w:val="nil"/>
              <w:right w:val="nil"/>
            </w:tcBorders>
            <w:tcMar>
              <w:top w:w="128" w:type="dxa"/>
              <w:left w:w="43" w:type="dxa"/>
              <w:bottom w:w="43" w:type="dxa"/>
              <w:right w:w="43" w:type="dxa"/>
            </w:tcMar>
            <w:vAlign w:val="bottom"/>
          </w:tcPr>
          <w:p w14:paraId="090A56E9" w14:textId="77777777" w:rsidR="00575AC3" w:rsidRPr="006D40F0" w:rsidRDefault="00575AC3" w:rsidP="006D40F0"/>
        </w:tc>
      </w:tr>
      <w:tr w:rsidR="00DD49A7" w:rsidRPr="006D40F0" w14:paraId="52577CCD" w14:textId="77777777">
        <w:trPr>
          <w:trHeight w:val="380"/>
        </w:trPr>
        <w:tc>
          <w:tcPr>
            <w:tcW w:w="680" w:type="dxa"/>
            <w:tcBorders>
              <w:top w:val="nil"/>
              <w:left w:val="nil"/>
              <w:bottom w:val="nil"/>
              <w:right w:val="nil"/>
            </w:tcBorders>
            <w:tcMar>
              <w:top w:w="128" w:type="dxa"/>
              <w:left w:w="43" w:type="dxa"/>
              <w:bottom w:w="43" w:type="dxa"/>
              <w:right w:w="43" w:type="dxa"/>
            </w:tcMar>
          </w:tcPr>
          <w:p w14:paraId="727B96C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5425F1"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59403357" w14:textId="77777777" w:rsidR="00575AC3" w:rsidRPr="006D40F0" w:rsidRDefault="00575AC3" w:rsidP="006D40F0">
            <w:r w:rsidRPr="006D40F0">
              <w:t xml:space="preserve">Oppdrags- og gebyrrelatert virksomhet,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EFE7191" w14:textId="77777777" w:rsidR="00575AC3" w:rsidRPr="006D40F0" w:rsidRDefault="00575AC3" w:rsidP="006D40F0">
            <w:r w:rsidRPr="006D40F0">
              <w:t>4 000 000</w:t>
            </w:r>
          </w:p>
        </w:tc>
      </w:tr>
      <w:tr w:rsidR="00DD49A7" w:rsidRPr="006D40F0" w14:paraId="2CCE983D" w14:textId="77777777">
        <w:trPr>
          <w:trHeight w:val="380"/>
        </w:trPr>
        <w:tc>
          <w:tcPr>
            <w:tcW w:w="680" w:type="dxa"/>
            <w:tcBorders>
              <w:top w:val="nil"/>
              <w:left w:val="nil"/>
              <w:bottom w:val="nil"/>
              <w:right w:val="nil"/>
            </w:tcBorders>
            <w:tcMar>
              <w:top w:w="128" w:type="dxa"/>
              <w:left w:w="43" w:type="dxa"/>
              <w:bottom w:w="43" w:type="dxa"/>
              <w:right w:w="43" w:type="dxa"/>
            </w:tcMar>
          </w:tcPr>
          <w:p w14:paraId="015B960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96231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CCFFD2" w14:textId="77777777" w:rsidR="00575AC3" w:rsidRPr="006D40F0" w:rsidRDefault="00575AC3" w:rsidP="006D40F0">
            <w:r w:rsidRPr="006D40F0">
              <w:t>fra kr 161 801 000 til kr 165 801 000</w:t>
            </w:r>
          </w:p>
        </w:tc>
        <w:tc>
          <w:tcPr>
            <w:tcW w:w="1400" w:type="dxa"/>
            <w:tcBorders>
              <w:top w:val="nil"/>
              <w:left w:val="nil"/>
              <w:bottom w:val="nil"/>
              <w:right w:val="nil"/>
            </w:tcBorders>
            <w:tcMar>
              <w:top w:w="128" w:type="dxa"/>
              <w:left w:w="43" w:type="dxa"/>
              <w:bottom w:w="43" w:type="dxa"/>
              <w:right w:w="43" w:type="dxa"/>
            </w:tcMar>
            <w:vAlign w:val="bottom"/>
          </w:tcPr>
          <w:p w14:paraId="3E7F1828" w14:textId="77777777" w:rsidR="00575AC3" w:rsidRPr="006D40F0" w:rsidRDefault="00575AC3" w:rsidP="006D40F0"/>
        </w:tc>
      </w:tr>
      <w:tr w:rsidR="00DD49A7" w:rsidRPr="006D40F0" w14:paraId="7C20D220" w14:textId="77777777">
        <w:trPr>
          <w:trHeight w:val="380"/>
        </w:trPr>
        <w:tc>
          <w:tcPr>
            <w:tcW w:w="680" w:type="dxa"/>
            <w:tcBorders>
              <w:top w:val="nil"/>
              <w:left w:val="nil"/>
              <w:bottom w:val="nil"/>
              <w:right w:val="nil"/>
            </w:tcBorders>
            <w:tcMar>
              <w:top w:w="128" w:type="dxa"/>
              <w:left w:w="43" w:type="dxa"/>
              <w:bottom w:w="43" w:type="dxa"/>
              <w:right w:w="43" w:type="dxa"/>
            </w:tcMar>
          </w:tcPr>
          <w:p w14:paraId="0CB330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5C78FC" w14:textId="77777777" w:rsidR="00575AC3" w:rsidRPr="006D40F0" w:rsidRDefault="00575AC3" w:rsidP="006D40F0">
            <w:r w:rsidRPr="006D40F0">
              <w:t>31</w:t>
            </w:r>
          </w:p>
        </w:tc>
        <w:tc>
          <w:tcPr>
            <w:tcW w:w="6800" w:type="dxa"/>
            <w:tcBorders>
              <w:top w:val="nil"/>
              <w:left w:val="nil"/>
              <w:bottom w:val="nil"/>
              <w:right w:val="nil"/>
            </w:tcBorders>
            <w:tcMar>
              <w:top w:w="128" w:type="dxa"/>
              <w:left w:w="43" w:type="dxa"/>
              <w:bottom w:w="43" w:type="dxa"/>
              <w:right w:w="43" w:type="dxa"/>
            </w:tcMar>
          </w:tcPr>
          <w:p w14:paraId="639A2ABF" w14:textId="77777777" w:rsidR="00575AC3" w:rsidRPr="006D40F0" w:rsidRDefault="00575AC3" w:rsidP="006D40F0">
            <w:r w:rsidRPr="006D40F0">
              <w:t xml:space="preserve">Tiltak i verneområder og naturrestaurering,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C66BB01" w14:textId="77777777" w:rsidR="00575AC3" w:rsidRPr="006D40F0" w:rsidRDefault="00575AC3" w:rsidP="006D40F0">
            <w:r w:rsidRPr="006D40F0">
              <w:t>7 000 000</w:t>
            </w:r>
          </w:p>
        </w:tc>
      </w:tr>
      <w:tr w:rsidR="00DD49A7" w:rsidRPr="006D40F0" w14:paraId="0C7C9099" w14:textId="77777777">
        <w:trPr>
          <w:trHeight w:val="380"/>
        </w:trPr>
        <w:tc>
          <w:tcPr>
            <w:tcW w:w="680" w:type="dxa"/>
            <w:tcBorders>
              <w:top w:val="nil"/>
              <w:left w:val="nil"/>
              <w:bottom w:val="nil"/>
              <w:right w:val="nil"/>
            </w:tcBorders>
            <w:tcMar>
              <w:top w:w="128" w:type="dxa"/>
              <w:left w:w="43" w:type="dxa"/>
              <w:bottom w:w="43" w:type="dxa"/>
              <w:right w:w="43" w:type="dxa"/>
            </w:tcMar>
          </w:tcPr>
          <w:p w14:paraId="122A21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5D434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EAB8B0" w14:textId="77777777" w:rsidR="00575AC3" w:rsidRPr="006D40F0" w:rsidRDefault="00575AC3" w:rsidP="006D40F0">
            <w:r w:rsidRPr="006D40F0">
              <w:t>fra kr 145 452 000 til kr 138 452 000</w:t>
            </w:r>
          </w:p>
        </w:tc>
        <w:tc>
          <w:tcPr>
            <w:tcW w:w="1400" w:type="dxa"/>
            <w:tcBorders>
              <w:top w:val="nil"/>
              <w:left w:val="nil"/>
              <w:bottom w:val="nil"/>
              <w:right w:val="nil"/>
            </w:tcBorders>
            <w:tcMar>
              <w:top w:w="128" w:type="dxa"/>
              <w:left w:w="43" w:type="dxa"/>
              <w:bottom w:w="43" w:type="dxa"/>
              <w:right w:w="43" w:type="dxa"/>
            </w:tcMar>
            <w:vAlign w:val="bottom"/>
          </w:tcPr>
          <w:p w14:paraId="68BBECE9" w14:textId="77777777" w:rsidR="00575AC3" w:rsidRPr="006D40F0" w:rsidRDefault="00575AC3" w:rsidP="006D40F0"/>
        </w:tc>
      </w:tr>
      <w:tr w:rsidR="00DD49A7" w:rsidRPr="006D40F0" w14:paraId="7927088E" w14:textId="77777777">
        <w:trPr>
          <w:trHeight w:val="380"/>
        </w:trPr>
        <w:tc>
          <w:tcPr>
            <w:tcW w:w="680" w:type="dxa"/>
            <w:tcBorders>
              <w:top w:val="nil"/>
              <w:left w:val="nil"/>
              <w:bottom w:val="nil"/>
              <w:right w:val="nil"/>
            </w:tcBorders>
            <w:tcMar>
              <w:top w:w="128" w:type="dxa"/>
              <w:left w:w="43" w:type="dxa"/>
              <w:bottom w:w="43" w:type="dxa"/>
              <w:right w:w="43" w:type="dxa"/>
            </w:tcMar>
          </w:tcPr>
          <w:p w14:paraId="21C3EA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17E8B9" w14:textId="77777777" w:rsidR="00575AC3" w:rsidRPr="006D40F0" w:rsidRDefault="00575AC3" w:rsidP="006D40F0">
            <w:r w:rsidRPr="006D40F0">
              <w:t>32</w:t>
            </w:r>
          </w:p>
        </w:tc>
        <w:tc>
          <w:tcPr>
            <w:tcW w:w="6800" w:type="dxa"/>
            <w:tcBorders>
              <w:top w:val="nil"/>
              <w:left w:val="nil"/>
              <w:bottom w:val="nil"/>
              <w:right w:val="nil"/>
            </w:tcBorders>
            <w:tcMar>
              <w:top w:w="128" w:type="dxa"/>
              <w:left w:w="43" w:type="dxa"/>
              <w:bottom w:w="43" w:type="dxa"/>
              <w:right w:w="43" w:type="dxa"/>
            </w:tcMar>
          </w:tcPr>
          <w:p w14:paraId="5447F99E" w14:textId="77777777" w:rsidR="00575AC3" w:rsidRPr="006D40F0" w:rsidRDefault="00575AC3" w:rsidP="006D40F0">
            <w:r w:rsidRPr="006D40F0">
              <w:t xml:space="preserve">Statlige erverv, vern av naturområder,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83FF857" w14:textId="77777777" w:rsidR="00575AC3" w:rsidRPr="006D40F0" w:rsidRDefault="00575AC3" w:rsidP="006D40F0">
            <w:r w:rsidRPr="006D40F0">
              <w:t>2 500 000</w:t>
            </w:r>
          </w:p>
        </w:tc>
      </w:tr>
      <w:tr w:rsidR="00DD49A7" w:rsidRPr="006D40F0" w14:paraId="01CA8261" w14:textId="77777777">
        <w:trPr>
          <w:trHeight w:val="380"/>
        </w:trPr>
        <w:tc>
          <w:tcPr>
            <w:tcW w:w="680" w:type="dxa"/>
            <w:tcBorders>
              <w:top w:val="nil"/>
              <w:left w:val="nil"/>
              <w:bottom w:val="nil"/>
              <w:right w:val="nil"/>
            </w:tcBorders>
            <w:tcMar>
              <w:top w:w="128" w:type="dxa"/>
              <w:left w:w="43" w:type="dxa"/>
              <w:bottom w:w="43" w:type="dxa"/>
              <w:right w:w="43" w:type="dxa"/>
            </w:tcMar>
          </w:tcPr>
          <w:p w14:paraId="69801F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43865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84E830" w14:textId="77777777" w:rsidR="00575AC3" w:rsidRPr="006D40F0" w:rsidRDefault="00575AC3" w:rsidP="006D40F0">
            <w:r w:rsidRPr="006D40F0">
              <w:t>fra kr 815 265 000 til kr 812 765 000</w:t>
            </w:r>
          </w:p>
        </w:tc>
        <w:tc>
          <w:tcPr>
            <w:tcW w:w="1400" w:type="dxa"/>
            <w:tcBorders>
              <w:top w:val="nil"/>
              <w:left w:val="nil"/>
              <w:bottom w:val="nil"/>
              <w:right w:val="nil"/>
            </w:tcBorders>
            <w:tcMar>
              <w:top w:w="128" w:type="dxa"/>
              <w:left w:w="43" w:type="dxa"/>
              <w:bottom w:w="43" w:type="dxa"/>
              <w:right w:w="43" w:type="dxa"/>
            </w:tcMar>
            <w:vAlign w:val="bottom"/>
          </w:tcPr>
          <w:p w14:paraId="05CC183D" w14:textId="77777777" w:rsidR="00575AC3" w:rsidRPr="006D40F0" w:rsidRDefault="00575AC3" w:rsidP="006D40F0"/>
        </w:tc>
      </w:tr>
      <w:tr w:rsidR="00DD49A7" w:rsidRPr="006D40F0" w14:paraId="4AD0D959" w14:textId="77777777">
        <w:trPr>
          <w:trHeight w:val="380"/>
        </w:trPr>
        <w:tc>
          <w:tcPr>
            <w:tcW w:w="680" w:type="dxa"/>
            <w:tcBorders>
              <w:top w:val="nil"/>
              <w:left w:val="nil"/>
              <w:bottom w:val="nil"/>
              <w:right w:val="nil"/>
            </w:tcBorders>
            <w:tcMar>
              <w:top w:w="128" w:type="dxa"/>
              <w:left w:w="43" w:type="dxa"/>
              <w:bottom w:w="43" w:type="dxa"/>
              <w:right w:w="43" w:type="dxa"/>
            </w:tcMar>
          </w:tcPr>
          <w:p w14:paraId="50F8744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91825D" w14:textId="77777777" w:rsidR="00575AC3" w:rsidRPr="006D40F0" w:rsidRDefault="00575AC3" w:rsidP="006D40F0">
            <w:r w:rsidRPr="006D40F0">
              <w:t>62</w:t>
            </w:r>
          </w:p>
        </w:tc>
        <w:tc>
          <w:tcPr>
            <w:tcW w:w="6800" w:type="dxa"/>
            <w:tcBorders>
              <w:top w:val="nil"/>
              <w:left w:val="nil"/>
              <w:bottom w:val="nil"/>
              <w:right w:val="nil"/>
            </w:tcBorders>
            <w:tcMar>
              <w:top w:w="128" w:type="dxa"/>
              <w:left w:w="43" w:type="dxa"/>
              <w:bottom w:w="43" w:type="dxa"/>
              <w:right w:w="43" w:type="dxa"/>
            </w:tcMar>
          </w:tcPr>
          <w:p w14:paraId="77431C7F" w14:textId="77777777" w:rsidR="00575AC3" w:rsidRPr="006D40F0" w:rsidRDefault="00575AC3" w:rsidP="006D40F0">
            <w:r w:rsidRPr="006D40F0">
              <w:t xml:space="preserve">Tilskudd til grønn skipsfart,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4A937DC" w14:textId="77777777" w:rsidR="00575AC3" w:rsidRPr="006D40F0" w:rsidRDefault="00575AC3" w:rsidP="006D40F0">
            <w:r w:rsidRPr="006D40F0">
              <w:t>26 000 000</w:t>
            </w:r>
          </w:p>
        </w:tc>
      </w:tr>
      <w:tr w:rsidR="00DD49A7" w:rsidRPr="006D40F0" w14:paraId="29AEA1E4" w14:textId="77777777">
        <w:trPr>
          <w:trHeight w:val="380"/>
        </w:trPr>
        <w:tc>
          <w:tcPr>
            <w:tcW w:w="680" w:type="dxa"/>
            <w:tcBorders>
              <w:top w:val="nil"/>
              <w:left w:val="nil"/>
              <w:bottom w:val="nil"/>
              <w:right w:val="nil"/>
            </w:tcBorders>
            <w:tcMar>
              <w:top w:w="128" w:type="dxa"/>
              <w:left w:w="43" w:type="dxa"/>
              <w:bottom w:w="43" w:type="dxa"/>
              <w:right w:w="43" w:type="dxa"/>
            </w:tcMar>
          </w:tcPr>
          <w:p w14:paraId="492F10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A3C69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073578" w14:textId="77777777" w:rsidR="00575AC3" w:rsidRPr="006D40F0" w:rsidRDefault="00575AC3" w:rsidP="006D40F0">
            <w:r w:rsidRPr="006D40F0">
              <w:t>fra kr 56 625 000 til kr 30 625 000</w:t>
            </w:r>
          </w:p>
        </w:tc>
        <w:tc>
          <w:tcPr>
            <w:tcW w:w="1400" w:type="dxa"/>
            <w:tcBorders>
              <w:top w:val="nil"/>
              <w:left w:val="nil"/>
              <w:bottom w:val="nil"/>
              <w:right w:val="nil"/>
            </w:tcBorders>
            <w:tcMar>
              <w:top w:w="128" w:type="dxa"/>
              <w:left w:w="43" w:type="dxa"/>
              <w:bottom w:w="43" w:type="dxa"/>
              <w:right w:w="43" w:type="dxa"/>
            </w:tcMar>
            <w:vAlign w:val="bottom"/>
          </w:tcPr>
          <w:p w14:paraId="529B44E3" w14:textId="77777777" w:rsidR="00575AC3" w:rsidRPr="006D40F0" w:rsidRDefault="00575AC3" w:rsidP="006D40F0"/>
        </w:tc>
      </w:tr>
      <w:tr w:rsidR="00DD49A7" w:rsidRPr="006D40F0" w14:paraId="39850BD5" w14:textId="77777777">
        <w:trPr>
          <w:trHeight w:val="640"/>
        </w:trPr>
        <w:tc>
          <w:tcPr>
            <w:tcW w:w="680" w:type="dxa"/>
            <w:tcBorders>
              <w:top w:val="nil"/>
              <w:left w:val="nil"/>
              <w:bottom w:val="nil"/>
              <w:right w:val="nil"/>
            </w:tcBorders>
            <w:tcMar>
              <w:top w:w="128" w:type="dxa"/>
              <w:left w:w="43" w:type="dxa"/>
              <w:bottom w:w="43" w:type="dxa"/>
              <w:right w:w="43" w:type="dxa"/>
            </w:tcMar>
          </w:tcPr>
          <w:p w14:paraId="2B8571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510B60" w14:textId="77777777" w:rsidR="00575AC3" w:rsidRPr="006D40F0" w:rsidRDefault="00575AC3" w:rsidP="006D40F0">
            <w:r w:rsidRPr="006D40F0">
              <w:t>69</w:t>
            </w:r>
          </w:p>
        </w:tc>
        <w:tc>
          <w:tcPr>
            <w:tcW w:w="6800" w:type="dxa"/>
            <w:tcBorders>
              <w:top w:val="nil"/>
              <w:left w:val="nil"/>
              <w:bottom w:val="nil"/>
              <w:right w:val="nil"/>
            </w:tcBorders>
            <w:tcMar>
              <w:top w:w="128" w:type="dxa"/>
              <w:left w:w="43" w:type="dxa"/>
              <w:bottom w:w="43" w:type="dxa"/>
              <w:right w:w="43" w:type="dxa"/>
            </w:tcMar>
          </w:tcPr>
          <w:p w14:paraId="752E314C" w14:textId="77777777" w:rsidR="00575AC3" w:rsidRPr="006D40F0" w:rsidRDefault="00575AC3" w:rsidP="006D40F0">
            <w:r w:rsidRPr="006D40F0">
              <w:t xml:space="preserve">Oppryddingstiltak, </w:t>
            </w:r>
            <w:r w:rsidRPr="00575AC3">
              <w:rPr>
                <w:rStyle w:val="kursiv"/>
              </w:rPr>
              <w:t>kan overføres, kan nyttes under postene 39 og 79,</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8261F22" w14:textId="77777777" w:rsidR="00575AC3" w:rsidRPr="006D40F0" w:rsidRDefault="00575AC3" w:rsidP="006D40F0">
            <w:r w:rsidRPr="006D40F0">
              <w:t>71 100 000</w:t>
            </w:r>
          </w:p>
        </w:tc>
      </w:tr>
      <w:tr w:rsidR="00DD49A7" w:rsidRPr="006D40F0" w14:paraId="6C8BEB03" w14:textId="77777777">
        <w:trPr>
          <w:trHeight w:val="380"/>
        </w:trPr>
        <w:tc>
          <w:tcPr>
            <w:tcW w:w="680" w:type="dxa"/>
            <w:tcBorders>
              <w:top w:val="nil"/>
              <w:left w:val="nil"/>
              <w:bottom w:val="nil"/>
              <w:right w:val="nil"/>
            </w:tcBorders>
            <w:tcMar>
              <w:top w:w="128" w:type="dxa"/>
              <w:left w:w="43" w:type="dxa"/>
              <w:bottom w:w="43" w:type="dxa"/>
              <w:right w:w="43" w:type="dxa"/>
            </w:tcMar>
          </w:tcPr>
          <w:p w14:paraId="4023B1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6B29B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2B9DA2" w14:textId="77777777" w:rsidR="00575AC3" w:rsidRPr="006D40F0" w:rsidRDefault="00575AC3" w:rsidP="006D40F0">
            <w:r w:rsidRPr="006D40F0">
              <w:t>fra kr 45 632 000 til kr 116 732 000</w:t>
            </w:r>
          </w:p>
        </w:tc>
        <w:tc>
          <w:tcPr>
            <w:tcW w:w="1400" w:type="dxa"/>
            <w:tcBorders>
              <w:top w:val="nil"/>
              <w:left w:val="nil"/>
              <w:bottom w:val="nil"/>
              <w:right w:val="nil"/>
            </w:tcBorders>
            <w:tcMar>
              <w:top w:w="128" w:type="dxa"/>
              <w:left w:w="43" w:type="dxa"/>
              <w:bottom w:w="43" w:type="dxa"/>
              <w:right w:w="43" w:type="dxa"/>
            </w:tcMar>
            <w:vAlign w:val="bottom"/>
          </w:tcPr>
          <w:p w14:paraId="3A4B0F04" w14:textId="77777777" w:rsidR="00575AC3" w:rsidRPr="006D40F0" w:rsidRDefault="00575AC3" w:rsidP="006D40F0"/>
        </w:tc>
      </w:tr>
      <w:tr w:rsidR="00DD49A7" w:rsidRPr="006D40F0" w14:paraId="7E7003BE" w14:textId="77777777">
        <w:trPr>
          <w:trHeight w:val="380"/>
        </w:trPr>
        <w:tc>
          <w:tcPr>
            <w:tcW w:w="680" w:type="dxa"/>
            <w:tcBorders>
              <w:top w:val="nil"/>
              <w:left w:val="nil"/>
              <w:bottom w:val="nil"/>
              <w:right w:val="nil"/>
            </w:tcBorders>
            <w:tcMar>
              <w:top w:w="128" w:type="dxa"/>
              <w:left w:w="43" w:type="dxa"/>
              <w:bottom w:w="43" w:type="dxa"/>
              <w:right w:w="43" w:type="dxa"/>
            </w:tcMar>
          </w:tcPr>
          <w:p w14:paraId="4EC3B4C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FACBF3"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646EEFB5" w14:textId="77777777" w:rsidR="00575AC3" w:rsidRPr="006D40F0" w:rsidRDefault="00575AC3" w:rsidP="006D40F0">
            <w:r w:rsidRPr="006D40F0">
              <w:t>CO</w:t>
            </w:r>
            <w:r w:rsidRPr="00575AC3">
              <w:rPr>
                <w:rStyle w:val="skrift-senket"/>
              </w:rPr>
              <w:t>2</w:t>
            </w:r>
            <w:r w:rsidRPr="006D40F0">
              <w:t>-kompensasjonsordning for industrien, forhøyes med</w:t>
            </w:r>
          </w:p>
        </w:tc>
        <w:tc>
          <w:tcPr>
            <w:tcW w:w="1400" w:type="dxa"/>
            <w:tcBorders>
              <w:top w:val="nil"/>
              <w:left w:val="nil"/>
              <w:bottom w:val="nil"/>
              <w:right w:val="nil"/>
            </w:tcBorders>
            <w:tcMar>
              <w:top w:w="128" w:type="dxa"/>
              <w:left w:w="43" w:type="dxa"/>
              <w:bottom w:w="43" w:type="dxa"/>
              <w:right w:w="43" w:type="dxa"/>
            </w:tcMar>
            <w:vAlign w:val="bottom"/>
          </w:tcPr>
          <w:p w14:paraId="0EEEE912" w14:textId="77777777" w:rsidR="00575AC3" w:rsidRPr="006D40F0" w:rsidRDefault="00575AC3" w:rsidP="006D40F0">
            <w:r w:rsidRPr="006D40F0">
              <w:t>500 000 000</w:t>
            </w:r>
          </w:p>
        </w:tc>
      </w:tr>
      <w:tr w:rsidR="00DD49A7" w:rsidRPr="006D40F0" w14:paraId="48720DFC" w14:textId="77777777">
        <w:trPr>
          <w:trHeight w:val="380"/>
        </w:trPr>
        <w:tc>
          <w:tcPr>
            <w:tcW w:w="680" w:type="dxa"/>
            <w:tcBorders>
              <w:top w:val="nil"/>
              <w:left w:val="nil"/>
              <w:bottom w:val="nil"/>
              <w:right w:val="nil"/>
            </w:tcBorders>
            <w:tcMar>
              <w:top w:w="128" w:type="dxa"/>
              <w:left w:w="43" w:type="dxa"/>
              <w:bottom w:w="43" w:type="dxa"/>
              <w:right w:w="43" w:type="dxa"/>
            </w:tcMar>
          </w:tcPr>
          <w:p w14:paraId="2A4C96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3D07B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5D0EE1" w14:textId="77777777" w:rsidR="00575AC3" w:rsidRPr="006D40F0" w:rsidRDefault="00575AC3" w:rsidP="006D40F0">
            <w:r w:rsidRPr="006D40F0">
              <w:t>fra kr 6 446 997 000 til kr 6 946 997 000</w:t>
            </w:r>
          </w:p>
        </w:tc>
        <w:tc>
          <w:tcPr>
            <w:tcW w:w="1400" w:type="dxa"/>
            <w:tcBorders>
              <w:top w:val="nil"/>
              <w:left w:val="nil"/>
              <w:bottom w:val="nil"/>
              <w:right w:val="nil"/>
            </w:tcBorders>
            <w:tcMar>
              <w:top w:w="128" w:type="dxa"/>
              <w:left w:w="43" w:type="dxa"/>
              <w:bottom w:w="43" w:type="dxa"/>
              <w:right w:w="43" w:type="dxa"/>
            </w:tcMar>
            <w:vAlign w:val="bottom"/>
          </w:tcPr>
          <w:p w14:paraId="1C10B810" w14:textId="77777777" w:rsidR="00575AC3" w:rsidRPr="006D40F0" w:rsidRDefault="00575AC3" w:rsidP="006D40F0"/>
        </w:tc>
      </w:tr>
      <w:tr w:rsidR="00DD49A7" w:rsidRPr="006D40F0" w14:paraId="3754C7AE" w14:textId="77777777">
        <w:trPr>
          <w:trHeight w:val="380"/>
        </w:trPr>
        <w:tc>
          <w:tcPr>
            <w:tcW w:w="680" w:type="dxa"/>
            <w:tcBorders>
              <w:top w:val="nil"/>
              <w:left w:val="nil"/>
              <w:bottom w:val="nil"/>
              <w:right w:val="nil"/>
            </w:tcBorders>
            <w:tcMar>
              <w:top w:w="128" w:type="dxa"/>
              <w:left w:w="43" w:type="dxa"/>
              <w:bottom w:w="43" w:type="dxa"/>
              <w:right w:w="43" w:type="dxa"/>
            </w:tcMar>
          </w:tcPr>
          <w:p w14:paraId="5A8F640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FD0E19"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0C12BFB5" w14:textId="77777777" w:rsidR="00575AC3" w:rsidRPr="006D40F0" w:rsidRDefault="00575AC3" w:rsidP="006D40F0">
            <w:r w:rsidRPr="006D40F0">
              <w:t xml:space="preserve">Tilskudd til tiltak for å ta vare på natur,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6514870" w14:textId="77777777" w:rsidR="00575AC3" w:rsidRPr="006D40F0" w:rsidRDefault="00575AC3" w:rsidP="006D40F0">
            <w:r w:rsidRPr="006D40F0">
              <w:t>15 000 000</w:t>
            </w:r>
          </w:p>
        </w:tc>
      </w:tr>
      <w:tr w:rsidR="00DD49A7" w:rsidRPr="006D40F0" w14:paraId="0B2AA99E" w14:textId="77777777">
        <w:trPr>
          <w:trHeight w:val="380"/>
        </w:trPr>
        <w:tc>
          <w:tcPr>
            <w:tcW w:w="680" w:type="dxa"/>
            <w:tcBorders>
              <w:top w:val="nil"/>
              <w:left w:val="nil"/>
              <w:bottom w:val="nil"/>
              <w:right w:val="nil"/>
            </w:tcBorders>
            <w:tcMar>
              <w:top w:w="128" w:type="dxa"/>
              <w:left w:w="43" w:type="dxa"/>
              <w:bottom w:w="43" w:type="dxa"/>
              <w:right w:w="43" w:type="dxa"/>
            </w:tcMar>
          </w:tcPr>
          <w:p w14:paraId="4A7D33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32840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FFC088" w14:textId="77777777" w:rsidR="00575AC3" w:rsidRPr="006D40F0" w:rsidRDefault="00575AC3" w:rsidP="006D40F0">
            <w:r w:rsidRPr="006D40F0">
              <w:t>fra kr 165 942 000 til kr 180 942 000</w:t>
            </w:r>
          </w:p>
        </w:tc>
        <w:tc>
          <w:tcPr>
            <w:tcW w:w="1400" w:type="dxa"/>
            <w:tcBorders>
              <w:top w:val="nil"/>
              <w:left w:val="nil"/>
              <w:bottom w:val="nil"/>
              <w:right w:val="nil"/>
            </w:tcBorders>
            <w:tcMar>
              <w:top w:w="128" w:type="dxa"/>
              <w:left w:w="43" w:type="dxa"/>
              <w:bottom w:w="43" w:type="dxa"/>
              <w:right w:w="43" w:type="dxa"/>
            </w:tcMar>
            <w:vAlign w:val="bottom"/>
          </w:tcPr>
          <w:p w14:paraId="2A89FFE4" w14:textId="77777777" w:rsidR="00575AC3" w:rsidRPr="006D40F0" w:rsidRDefault="00575AC3" w:rsidP="006D40F0"/>
        </w:tc>
      </w:tr>
      <w:tr w:rsidR="00DD49A7" w:rsidRPr="006D40F0" w14:paraId="30DDF7EC" w14:textId="77777777">
        <w:trPr>
          <w:trHeight w:val="640"/>
        </w:trPr>
        <w:tc>
          <w:tcPr>
            <w:tcW w:w="680" w:type="dxa"/>
            <w:tcBorders>
              <w:top w:val="nil"/>
              <w:left w:val="nil"/>
              <w:bottom w:val="nil"/>
              <w:right w:val="nil"/>
            </w:tcBorders>
            <w:tcMar>
              <w:top w:w="128" w:type="dxa"/>
              <w:left w:w="43" w:type="dxa"/>
              <w:bottom w:w="43" w:type="dxa"/>
              <w:right w:w="43" w:type="dxa"/>
            </w:tcMar>
          </w:tcPr>
          <w:p w14:paraId="7EB9D96D"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3AD7324B" w14:textId="77777777" w:rsidR="00575AC3" w:rsidRPr="006D40F0" w:rsidRDefault="00575AC3" w:rsidP="006D40F0">
            <w:r w:rsidRPr="006D40F0">
              <w:t>87</w:t>
            </w:r>
          </w:p>
        </w:tc>
        <w:tc>
          <w:tcPr>
            <w:tcW w:w="6800" w:type="dxa"/>
            <w:tcBorders>
              <w:top w:val="nil"/>
              <w:left w:val="nil"/>
              <w:bottom w:val="nil"/>
              <w:right w:val="nil"/>
            </w:tcBorders>
            <w:tcMar>
              <w:top w:w="128" w:type="dxa"/>
              <w:left w:w="43" w:type="dxa"/>
              <w:bottom w:w="43" w:type="dxa"/>
              <w:right w:w="43" w:type="dxa"/>
            </w:tcMar>
          </w:tcPr>
          <w:p w14:paraId="6CB13F49" w14:textId="77777777" w:rsidR="00575AC3" w:rsidRPr="006D40F0" w:rsidRDefault="00575AC3" w:rsidP="006D40F0">
            <w:r w:rsidRPr="006D40F0">
              <w:t>Tilskudd til natur og friluftsliv i områder berørt av landbaserte vindkraftverk, bevilges med</w:t>
            </w:r>
          </w:p>
        </w:tc>
        <w:tc>
          <w:tcPr>
            <w:tcW w:w="1400" w:type="dxa"/>
            <w:tcBorders>
              <w:top w:val="nil"/>
              <w:left w:val="nil"/>
              <w:bottom w:val="nil"/>
              <w:right w:val="nil"/>
            </w:tcBorders>
            <w:tcMar>
              <w:top w:w="128" w:type="dxa"/>
              <w:left w:w="43" w:type="dxa"/>
              <w:bottom w:w="43" w:type="dxa"/>
              <w:right w:w="43" w:type="dxa"/>
            </w:tcMar>
            <w:vAlign w:val="bottom"/>
          </w:tcPr>
          <w:p w14:paraId="66D5BDC4" w14:textId="77777777" w:rsidR="00575AC3" w:rsidRPr="006D40F0" w:rsidRDefault="00575AC3" w:rsidP="006D40F0">
            <w:r w:rsidRPr="006D40F0">
              <w:t>15 000 000</w:t>
            </w:r>
          </w:p>
        </w:tc>
      </w:tr>
      <w:tr w:rsidR="00DD49A7" w:rsidRPr="006D40F0" w14:paraId="0FE49DDF" w14:textId="77777777">
        <w:trPr>
          <w:trHeight w:val="380"/>
        </w:trPr>
        <w:tc>
          <w:tcPr>
            <w:tcW w:w="680" w:type="dxa"/>
            <w:tcBorders>
              <w:top w:val="nil"/>
              <w:left w:val="nil"/>
              <w:bottom w:val="nil"/>
              <w:right w:val="nil"/>
            </w:tcBorders>
            <w:tcMar>
              <w:top w:w="128" w:type="dxa"/>
              <w:left w:w="43" w:type="dxa"/>
              <w:bottom w:w="43" w:type="dxa"/>
              <w:right w:w="43" w:type="dxa"/>
            </w:tcMar>
          </w:tcPr>
          <w:p w14:paraId="4E7CEBE7" w14:textId="77777777" w:rsidR="00575AC3" w:rsidRPr="006D40F0" w:rsidRDefault="00575AC3" w:rsidP="006D40F0">
            <w:r w:rsidRPr="006D40F0">
              <w:t>1429</w:t>
            </w:r>
          </w:p>
        </w:tc>
        <w:tc>
          <w:tcPr>
            <w:tcW w:w="680" w:type="dxa"/>
            <w:tcBorders>
              <w:top w:val="nil"/>
              <w:left w:val="nil"/>
              <w:bottom w:val="nil"/>
              <w:right w:val="nil"/>
            </w:tcBorders>
            <w:tcMar>
              <w:top w:w="128" w:type="dxa"/>
              <w:left w:w="43" w:type="dxa"/>
              <w:bottom w:w="43" w:type="dxa"/>
              <w:right w:w="43" w:type="dxa"/>
            </w:tcMar>
          </w:tcPr>
          <w:p w14:paraId="2972EE9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937B906" w14:textId="77777777" w:rsidR="00575AC3" w:rsidRPr="006D40F0" w:rsidRDefault="00575AC3" w:rsidP="006D40F0">
            <w:r w:rsidRPr="006D40F0">
              <w:t>Riksantikvaren:</w:t>
            </w:r>
          </w:p>
        </w:tc>
        <w:tc>
          <w:tcPr>
            <w:tcW w:w="1400" w:type="dxa"/>
            <w:tcBorders>
              <w:top w:val="nil"/>
              <w:left w:val="nil"/>
              <w:bottom w:val="nil"/>
              <w:right w:val="nil"/>
            </w:tcBorders>
            <w:tcMar>
              <w:top w:w="128" w:type="dxa"/>
              <w:left w:w="43" w:type="dxa"/>
              <w:bottom w:w="43" w:type="dxa"/>
              <w:right w:w="43" w:type="dxa"/>
            </w:tcMar>
            <w:vAlign w:val="bottom"/>
          </w:tcPr>
          <w:p w14:paraId="29C1EE6D" w14:textId="77777777" w:rsidR="00575AC3" w:rsidRPr="006D40F0" w:rsidRDefault="00575AC3" w:rsidP="006D40F0"/>
        </w:tc>
      </w:tr>
      <w:tr w:rsidR="00DD49A7" w:rsidRPr="006D40F0" w14:paraId="4F4EF824" w14:textId="77777777">
        <w:trPr>
          <w:trHeight w:val="380"/>
        </w:trPr>
        <w:tc>
          <w:tcPr>
            <w:tcW w:w="680" w:type="dxa"/>
            <w:tcBorders>
              <w:top w:val="nil"/>
              <w:left w:val="nil"/>
              <w:bottom w:val="nil"/>
              <w:right w:val="nil"/>
            </w:tcBorders>
            <w:tcMar>
              <w:top w:w="128" w:type="dxa"/>
              <w:left w:w="43" w:type="dxa"/>
              <w:bottom w:w="43" w:type="dxa"/>
              <w:right w:w="43" w:type="dxa"/>
            </w:tcMar>
          </w:tcPr>
          <w:p w14:paraId="5089386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465AD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5185250"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611A76DD" w14:textId="77777777" w:rsidR="00575AC3" w:rsidRPr="006D40F0" w:rsidRDefault="00575AC3" w:rsidP="006D40F0">
            <w:r w:rsidRPr="006D40F0">
              <w:t>1 000 000</w:t>
            </w:r>
          </w:p>
        </w:tc>
      </w:tr>
      <w:tr w:rsidR="00DD49A7" w:rsidRPr="006D40F0" w14:paraId="3DB25827" w14:textId="77777777">
        <w:trPr>
          <w:trHeight w:val="380"/>
        </w:trPr>
        <w:tc>
          <w:tcPr>
            <w:tcW w:w="680" w:type="dxa"/>
            <w:tcBorders>
              <w:top w:val="nil"/>
              <w:left w:val="nil"/>
              <w:bottom w:val="nil"/>
              <w:right w:val="nil"/>
            </w:tcBorders>
            <w:tcMar>
              <w:top w:w="128" w:type="dxa"/>
              <w:left w:w="43" w:type="dxa"/>
              <w:bottom w:w="43" w:type="dxa"/>
              <w:right w:w="43" w:type="dxa"/>
            </w:tcMar>
          </w:tcPr>
          <w:p w14:paraId="239260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90165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FB6A648" w14:textId="77777777" w:rsidR="00575AC3" w:rsidRPr="006D40F0" w:rsidRDefault="00575AC3" w:rsidP="006D40F0">
            <w:r w:rsidRPr="006D40F0">
              <w:t>fra kr 161 243 000 til kr 160 243 000</w:t>
            </w:r>
          </w:p>
        </w:tc>
        <w:tc>
          <w:tcPr>
            <w:tcW w:w="1400" w:type="dxa"/>
            <w:tcBorders>
              <w:top w:val="nil"/>
              <w:left w:val="nil"/>
              <w:bottom w:val="nil"/>
              <w:right w:val="nil"/>
            </w:tcBorders>
            <w:tcMar>
              <w:top w:w="128" w:type="dxa"/>
              <w:left w:w="43" w:type="dxa"/>
              <w:bottom w:w="43" w:type="dxa"/>
              <w:right w:w="43" w:type="dxa"/>
            </w:tcMar>
            <w:vAlign w:val="bottom"/>
          </w:tcPr>
          <w:p w14:paraId="2D15F059" w14:textId="77777777" w:rsidR="00575AC3" w:rsidRPr="006D40F0" w:rsidRDefault="00575AC3" w:rsidP="006D40F0"/>
        </w:tc>
      </w:tr>
      <w:tr w:rsidR="00DD49A7" w:rsidRPr="006D40F0" w14:paraId="1DD90A67" w14:textId="77777777">
        <w:trPr>
          <w:trHeight w:val="380"/>
        </w:trPr>
        <w:tc>
          <w:tcPr>
            <w:tcW w:w="680" w:type="dxa"/>
            <w:tcBorders>
              <w:top w:val="nil"/>
              <w:left w:val="nil"/>
              <w:bottom w:val="nil"/>
              <w:right w:val="nil"/>
            </w:tcBorders>
            <w:tcMar>
              <w:top w:w="128" w:type="dxa"/>
              <w:left w:w="43" w:type="dxa"/>
              <w:bottom w:w="43" w:type="dxa"/>
              <w:right w:w="43" w:type="dxa"/>
            </w:tcMar>
          </w:tcPr>
          <w:p w14:paraId="7DECB77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48491E"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5929F6EA" w14:textId="77777777" w:rsidR="00575AC3" w:rsidRPr="006D40F0" w:rsidRDefault="00575AC3" w:rsidP="006D40F0">
            <w:r w:rsidRPr="006D40F0">
              <w:t>Kulturminnekompetanse i kommunene, forhøyes med</w:t>
            </w:r>
          </w:p>
        </w:tc>
        <w:tc>
          <w:tcPr>
            <w:tcW w:w="1400" w:type="dxa"/>
            <w:tcBorders>
              <w:top w:val="nil"/>
              <w:left w:val="nil"/>
              <w:bottom w:val="nil"/>
              <w:right w:val="nil"/>
            </w:tcBorders>
            <w:tcMar>
              <w:top w:w="128" w:type="dxa"/>
              <w:left w:w="43" w:type="dxa"/>
              <w:bottom w:w="43" w:type="dxa"/>
              <w:right w:w="43" w:type="dxa"/>
            </w:tcMar>
            <w:vAlign w:val="bottom"/>
          </w:tcPr>
          <w:p w14:paraId="39F241F4" w14:textId="77777777" w:rsidR="00575AC3" w:rsidRPr="006D40F0" w:rsidRDefault="00575AC3" w:rsidP="006D40F0">
            <w:r w:rsidRPr="006D40F0">
              <w:t>5 000 000</w:t>
            </w:r>
          </w:p>
        </w:tc>
      </w:tr>
      <w:tr w:rsidR="00DD49A7" w:rsidRPr="006D40F0" w14:paraId="38F4673A" w14:textId="77777777">
        <w:trPr>
          <w:trHeight w:val="380"/>
        </w:trPr>
        <w:tc>
          <w:tcPr>
            <w:tcW w:w="680" w:type="dxa"/>
            <w:tcBorders>
              <w:top w:val="nil"/>
              <w:left w:val="nil"/>
              <w:bottom w:val="nil"/>
              <w:right w:val="nil"/>
            </w:tcBorders>
            <w:tcMar>
              <w:top w:w="128" w:type="dxa"/>
              <w:left w:w="43" w:type="dxa"/>
              <w:bottom w:w="43" w:type="dxa"/>
              <w:right w:w="43" w:type="dxa"/>
            </w:tcMar>
          </w:tcPr>
          <w:p w14:paraId="2A70E6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405D2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43B0E9" w14:textId="77777777" w:rsidR="00575AC3" w:rsidRPr="006D40F0" w:rsidRDefault="00575AC3" w:rsidP="006D40F0">
            <w:r w:rsidRPr="006D40F0">
              <w:t>fra kr 9 406 000 til kr 14 406 000</w:t>
            </w:r>
          </w:p>
        </w:tc>
        <w:tc>
          <w:tcPr>
            <w:tcW w:w="1400" w:type="dxa"/>
            <w:tcBorders>
              <w:top w:val="nil"/>
              <w:left w:val="nil"/>
              <w:bottom w:val="nil"/>
              <w:right w:val="nil"/>
            </w:tcBorders>
            <w:tcMar>
              <w:top w:w="128" w:type="dxa"/>
              <w:left w:w="43" w:type="dxa"/>
              <w:bottom w:w="43" w:type="dxa"/>
              <w:right w:w="43" w:type="dxa"/>
            </w:tcMar>
            <w:vAlign w:val="bottom"/>
          </w:tcPr>
          <w:p w14:paraId="07E6B683" w14:textId="77777777" w:rsidR="00575AC3" w:rsidRPr="006D40F0" w:rsidRDefault="00575AC3" w:rsidP="006D40F0"/>
        </w:tc>
      </w:tr>
      <w:tr w:rsidR="00DD49A7" w:rsidRPr="006D40F0" w14:paraId="739BAC86" w14:textId="77777777">
        <w:trPr>
          <w:trHeight w:val="640"/>
        </w:trPr>
        <w:tc>
          <w:tcPr>
            <w:tcW w:w="680" w:type="dxa"/>
            <w:tcBorders>
              <w:top w:val="nil"/>
              <w:left w:val="nil"/>
              <w:bottom w:val="nil"/>
              <w:right w:val="nil"/>
            </w:tcBorders>
            <w:tcMar>
              <w:top w:w="128" w:type="dxa"/>
              <w:left w:w="43" w:type="dxa"/>
              <w:bottom w:w="43" w:type="dxa"/>
              <w:right w:w="43" w:type="dxa"/>
            </w:tcMar>
          </w:tcPr>
          <w:p w14:paraId="1328F9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F0178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6C242E6" w14:textId="77777777" w:rsidR="00575AC3" w:rsidRPr="006D40F0" w:rsidRDefault="00575AC3" w:rsidP="006D40F0">
            <w:r w:rsidRPr="006D40F0">
              <w:t xml:space="preserve">Tilskudd til automatisk fredete og andre arkeologiske kulturminner, </w:t>
            </w:r>
            <w:r w:rsidRPr="00575AC3">
              <w:rPr>
                <w:rStyle w:val="kursiv"/>
              </w:rPr>
              <w:t>kan overføres</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658D2A46" w14:textId="77777777" w:rsidR="00575AC3" w:rsidRPr="006D40F0" w:rsidRDefault="00575AC3" w:rsidP="006D40F0">
            <w:r w:rsidRPr="006D40F0">
              <w:t>2 000 000</w:t>
            </w:r>
          </w:p>
        </w:tc>
      </w:tr>
      <w:tr w:rsidR="00DD49A7" w:rsidRPr="006D40F0" w14:paraId="0CD3010C" w14:textId="77777777">
        <w:trPr>
          <w:trHeight w:val="380"/>
        </w:trPr>
        <w:tc>
          <w:tcPr>
            <w:tcW w:w="680" w:type="dxa"/>
            <w:tcBorders>
              <w:top w:val="nil"/>
              <w:left w:val="nil"/>
              <w:bottom w:val="nil"/>
              <w:right w:val="nil"/>
            </w:tcBorders>
            <w:tcMar>
              <w:top w:w="128" w:type="dxa"/>
              <w:left w:w="43" w:type="dxa"/>
              <w:bottom w:w="43" w:type="dxa"/>
              <w:right w:w="43" w:type="dxa"/>
            </w:tcMar>
          </w:tcPr>
          <w:p w14:paraId="36367C8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53230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7385EF" w14:textId="77777777" w:rsidR="00575AC3" w:rsidRPr="006D40F0" w:rsidRDefault="00575AC3" w:rsidP="006D40F0">
            <w:r w:rsidRPr="006D40F0">
              <w:t>fra kr 41 522 000 til kr 43 522 000</w:t>
            </w:r>
          </w:p>
        </w:tc>
        <w:tc>
          <w:tcPr>
            <w:tcW w:w="1400" w:type="dxa"/>
            <w:tcBorders>
              <w:top w:val="nil"/>
              <w:left w:val="nil"/>
              <w:bottom w:val="nil"/>
              <w:right w:val="nil"/>
            </w:tcBorders>
            <w:tcMar>
              <w:top w:w="128" w:type="dxa"/>
              <w:left w:w="43" w:type="dxa"/>
              <w:bottom w:w="43" w:type="dxa"/>
              <w:right w:w="43" w:type="dxa"/>
            </w:tcMar>
            <w:vAlign w:val="bottom"/>
          </w:tcPr>
          <w:p w14:paraId="75E5D2C0" w14:textId="77777777" w:rsidR="00575AC3" w:rsidRPr="006D40F0" w:rsidRDefault="00575AC3" w:rsidP="006D40F0"/>
        </w:tc>
      </w:tr>
      <w:tr w:rsidR="00DD49A7" w:rsidRPr="006D40F0" w14:paraId="40D2E784" w14:textId="77777777">
        <w:trPr>
          <w:trHeight w:val="640"/>
        </w:trPr>
        <w:tc>
          <w:tcPr>
            <w:tcW w:w="680" w:type="dxa"/>
            <w:tcBorders>
              <w:top w:val="nil"/>
              <w:left w:val="nil"/>
              <w:bottom w:val="nil"/>
              <w:right w:val="nil"/>
            </w:tcBorders>
            <w:tcMar>
              <w:top w:w="128" w:type="dxa"/>
              <w:left w:w="43" w:type="dxa"/>
              <w:bottom w:w="43" w:type="dxa"/>
              <w:right w:w="43" w:type="dxa"/>
            </w:tcMar>
          </w:tcPr>
          <w:p w14:paraId="15DBCF0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A2E736"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08CD305" w14:textId="77777777" w:rsidR="00575AC3" w:rsidRPr="006D40F0" w:rsidRDefault="00575AC3" w:rsidP="006D40F0">
            <w:r w:rsidRPr="006D40F0">
              <w:t xml:space="preserve">Tilskudd til fredete kulturminner i privat eie, kulturmiljøer og kulturlandskap,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5881679" w14:textId="77777777" w:rsidR="00575AC3" w:rsidRPr="006D40F0" w:rsidRDefault="00575AC3" w:rsidP="006D40F0">
            <w:r w:rsidRPr="006D40F0">
              <w:t>2 000 000</w:t>
            </w:r>
          </w:p>
        </w:tc>
      </w:tr>
      <w:tr w:rsidR="00DD49A7" w:rsidRPr="006D40F0" w14:paraId="35FCCCEE" w14:textId="77777777">
        <w:trPr>
          <w:trHeight w:val="380"/>
        </w:trPr>
        <w:tc>
          <w:tcPr>
            <w:tcW w:w="680" w:type="dxa"/>
            <w:tcBorders>
              <w:top w:val="nil"/>
              <w:left w:val="nil"/>
              <w:bottom w:val="nil"/>
              <w:right w:val="nil"/>
            </w:tcBorders>
            <w:tcMar>
              <w:top w:w="128" w:type="dxa"/>
              <w:left w:w="43" w:type="dxa"/>
              <w:bottom w:w="43" w:type="dxa"/>
              <w:right w:w="43" w:type="dxa"/>
            </w:tcMar>
          </w:tcPr>
          <w:p w14:paraId="760883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B528F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F05488" w14:textId="77777777" w:rsidR="00575AC3" w:rsidRPr="006D40F0" w:rsidRDefault="00575AC3" w:rsidP="006D40F0">
            <w:r w:rsidRPr="006D40F0">
              <w:t>fra kr 151 889 000 til kr 149 889 000</w:t>
            </w:r>
          </w:p>
        </w:tc>
        <w:tc>
          <w:tcPr>
            <w:tcW w:w="1400" w:type="dxa"/>
            <w:tcBorders>
              <w:top w:val="nil"/>
              <w:left w:val="nil"/>
              <w:bottom w:val="nil"/>
              <w:right w:val="nil"/>
            </w:tcBorders>
            <w:tcMar>
              <w:top w:w="128" w:type="dxa"/>
              <w:left w:w="43" w:type="dxa"/>
              <w:bottom w:w="43" w:type="dxa"/>
              <w:right w:w="43" w:type="dxa"/>
            </w:tcMar>
            <w:vAlign w:val="bottom"/>
          </w:tcPr>
          <w:p w14:paraId="55E7BAF9" w14:textId="77777777" w:rsidR="00575AC3" w:rsidRPr="006D40F0" w:rsidRDefault="00575AC3" w:rsidP="006D40F0"/>
        </w:tc>
      </w:tr>
      <w:tr w:rsidR="00DD49A7" w:rsidRPr="006D40F0" w14:paraId="02F41CAC" w14:textId="77777777">
        <w:trPr>
          <w:trHeight w:val="380"/>
        </w:trPr>
        <w:tc>
          <w:tcPr>
            <w:tcW w:w="680" w:type="dxa"/>
            <w:tcBorders>
              <w:top w:val="nil"/>
              <w:left w:val="nil"/>
              <w:bottom w:val="nil"/>
              <w:right w:val="nil"/>
            </w:tcBorders>
            <w:tcMar>
              <w:top w:w="128" w:type="dxa"/>
              <w:left w:w="43" w:type="dxa"/>
              <w:bottom w:w="43" w:type="dxa"/>
              <w:right w:w="43" w:type="dxa"/>
            </w:tcMar>
          </w:tcPr>
          <w:p w14:paraId="3E4EA492" w14:textId="77777777" w:rsidR="00575AC3" w:rsidRPr="006D40F0" w:rsidRDefault="00575AC3" w:rsidP="006D40F0">
            <w:r w:rsidRPr="006D40F0">
              <w:t>1432</w:t>
            </w:r>
          </w:p>
        </w:tc>
        <w:tc>
          <w:tcPr>
            <w:tcW w:w="680" w:type="dxa"/>
            <w:tcBorders>
              <w:top w:val="nil"/>
              <w:left w:val="nil"/>
              <w:bottom w:val="nil"/>
              <w:right w:val="nil"/>
            </w:tcBorders>
            <w:tcMar>
              <w:top w:w="128" w:type="dxa"/>
              <w:left w:w="43" w:type="dxa"/>
              <w:bottom w:w="43" w:type="dxa"/>
              <w:right w:w="43" w:type="dxa"/>
            </w:tcMar>
          </w:tcPr>
          <w:p w14:paraId="6A0C544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09D618" w14:textId="77777777" w:rsidR="00575AC3" w:rsidRPr="006D40F0" w:rsidRDefault="00575AC3" w:rsidP="006D40F0">
            <w:r w:rsidRPr="006D40F0">
              <w:t>Norsk kulturminnefond:</w:t>
            </w:r>
          </w:p>
        </w:tc>
        <w:tc>
          <w:tcPr>
            <w:tcW w:w="1400" w:type="dxa"/>
            <w:tcBorders>
              <w:top w:val="nil"/>
              <w:left w:val="nil"/>
              <w:bottom w:val="nil"/>
              <w:right w:val="nil"/>
            </w:tcBorders>
            <w:tcMar>
              <w:top w:w="128" w:type="dxa"/>
              <w:left w:w="43" w:type="dxa"/>
              <w:bottom w:w="43" w:type="dxa"/>
              <w:right w:w="43" w:type="dxa"/>
            </w:tcMar>
            <w:vAlign w:val="bottom"/>
          </w:tcPr>
          <w:p w14:paraId="726760A9" w14:textId="77777777" w:rsidR="00575AC3" w:rsidRPr="006D40F0" w:rsidRDefault="00575AC3" w:rsidP="006D40F0"/>
        </w:tc>
      </w:tr>
      <w:tr w:rsidR="00DD49A7" w:rsidRPr="006D40F0" w14:paraId="1527F015" w14:textId="77777777">
        <w:trPr>
          <w:trHeight w:val="380"/>
        </w:trPr>
        <w:tc>
          <w:tcPr>
            <w:tcW w:w="680" w:type="dxa"/>
            <w:tcBorders>
              <w:top w:val="nil"/>
              <w:left w:val="nil"/>
              <w:bottom w:val="nil"/>
              <w:right w:val="nil"/>
            </w:tcBorders>
            <w:tcMar>
              <w:top w:w="128" w:type="dxa"/>
              <w:left w:w="43" w:type="dxa"/>
              <w:bottom w:w="43" w:type="dxa"/>
              <w:right w:w="43" w:type="dxa"/>
            </w:tcMar>
          </w:tcPr>
          <w:p w14:paraId="69FCADE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A85256"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5D6B686F" w14:textId="77777777" w:rsidR="00575AC3" w:rsidRPr="006D40F0" w:rsidRDefault="00575AC3" w:rsidP="006D40F0">
            <w:r w:rsidRPr="006D40F0">
              <w:t>Til disposisjon for kulturminnetiltak, nedsettes med</w:t>
            </w:r>
          </w:p>
        </w:tc>
        <w:tc>
          <w:tcPr>
            <w:tcW w:w="1400" w:type="dxa"/>
            <w:tcBorders>
              <w:top w:val="nil"/>
              <w:left w:val="nil"/>
              <w:bottom w:val="nil"/>
              <w:right w:val="nil"/>
            </w:tcBorders>
            <w:tcMar>
              <w:top w:w="128" w:type="dxa"/>
              <w:left w:w="43" w:type="dxa"/>
              <w:bottom w:w="43" w:type="dxa"/>
              <w:right w:w="43" w:type="dxa"/>
            </w:tcMar>
            <w:vAlign w:val="bottom"/>
          </w:tcPr>
          <w:p w14:paraId="7C925731" w14:textId="77777777" w:rsidR="00575AC3" w:rsidRPr="006D40F0" w:rsidRDefault="00575AC3" w:rsidP="006D40F0">
            <w:r w:rsidRPr="006D40F0">
              <w:t>5 000 000</w:t>
            </w:r>
          </w:p>
        </w:tc>
      </w:tr>
      <w:tr w:rsidR="00DD49A7" w:rsidRPr="006D40F0" w14:paraId="2DE95774" w14:textId="77777777">
        <w:trPr>
          <w:trHeight w:val="380"/>
        </w:trPr>
        <w:tc>
          <w:tcPr>
            <w:tcW w:w="680" w:type="dxa"/>
            <w:tcBorders>
              <w:top w:val="nil"/>
              <w:left w:val="nil"/>
              <w:bottom w:val="nil"/>
              <w:right w:val="nil"/>
            </w:tcBorders>
            <w:tcMar>
              <w:top w:w="128" w:type="dxa"/>
              <w:left w:w="43" w:type="dxa"/>
              <w:bottom w:w="43" w:type="dxa"/>
              <w:right w:w="43" w:type="dxa"/>
            </w:tcMar>
          </w:tcPr>
          <w:p w14:paraId="3832241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9EF3E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B008AB6" w14:textId="77777777" w:rsidR="00575AC3" w:rsidRPr="006D40F0" w:rsidRDefault="00575AC3" w:rsidP="006D40F0">
            <w:r w:rsidRPr="006D40F0">
              <w:t>fra kr 132 298 000 til kr 127 298 000</w:t>
            </w:r>
          </w:p>
        </w:tc>
        <w:tc>
          <w:tcPr>
            <w:tcW w:w="1400" w:type="dxa"/>
            <w:tcBorders>
              <w:top w:val="nil"/>
              <w:left w:val="nil"/>
              <w:bottom w:val="nil"/>
              <w:right w:val="nil"/>
            </w:tcBorders>
            <w:tcMar>
              <w:top w:w="128" w:type="dxa"/>
              <w:left w:w="43" w:type="dxa"/>
              <w:bottom w:w="43" w:type="dxa"/>
              <w:right w:w="43" w:type="dxa"/>
            </w:tcMar>
            <w:vAlign w:val="bottom"/>
          </w:tcPr>
          <w:p w14:paraId="6ED64A32" w14:textId="77777777" w:rsidR="00575AC3" w:rsidRPr="006D40F0" w:rsidRDefault="00575AC3" w:rsidP="006D40F0"/>
        </w:tc>
      </w:tr>
      <w:tr w:rsidR="00DD49A7" w:rsidRPr="006D40F0" w14:paraId="5416EDF1" w14:textId="77777777">
        <w:trPr>
          <w:trHeight w:val="380"/>
        </w:trPr>
        <w:tc>
          <w:tcPr>
            <w:tcW w:w="680" w:type="dxa"/>
            <w:tcBorders>
              <w:top w:val="nil"/>
              <w:left w:val="nil"/>
              <w:bottom w:val="nil"/>
              <w:right w:val="nil"/>
            </w:tcBorders>
            <w:tcMar>
              <w:top w:w="128" w:type="dxa"/>
              <w:left w:w="43" w:type="dxa"/>
              <w:bottom w:w="43" w:type="dxa"/>
              <w:right w:w="43" w:type="dxa"/>
            </w:tcMar>
          </w:tcPr>
          <w:p w14:paraId="6BCCB735" w14:textId="77777777" w:rsidR="00575AC3" w:rsidRPr="006D40F0" w:rsidRDefault="00575AC3" w:rsidP="006D40F0">
            <w:r w:rsidRPr="006D40F0">
              <w:t>1471</w:t>
            </w:r>
          </w:p>
        </w:tc>
        <w:tc>
          <w:tcPr>
            <w:tcW w:w="680" w:type="dxa"/>
            <w:tcBorders>
              <w:top w:val="nil"/>
              <w:left w:val="nil"/>
              <w:bottom w:val="nil"/>
              <w:right w:val="nil"/>
            </w:tcBorders>
            <w:tcMar>
              <w:top w:w="128" w:type="dxa"/>
              <w:left w:w="43" w:type="dxa"/>
              <w:bottom w:w="43" w:type="dxa"/>
              <w:right w:w="43" w:type="dxa"/>
            </w:tcMar>
          </w:tcPr>
          <w:p w14:paraId="279D63B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064575" w14:textId="77777777" w:rsidR="00575AC3" w:rsidRPr="006D40F0" w:rsidRDefault="00575AC3" w:rsidP="006D40F0">
            <w:r w:rsidRPr="006D40F0">
              <w:t>Norsk Polarinstitutt:</w:t>
            </w:r>
          </w:p>
        </w:tc>
        <w:tc>
          <w:tcPr>
            <w:tcW w:w="1400" w:type="dxa"/>
            <w:tcBorders>
              <w:top w:val="nil"/>
              <w:left w:val="nil"/>
              <w:bottom w:val="nil"/>
              <w:right w:val="nil"/>
            </w:tcBorders>
            <w:tcMar>
              <w:top w:w="128" w:type="dxa"/>
              <w:left w:w="43" w:type="dxa"/>
              <w:bottom w:w="43" w:type="dxa"/>
              <w:right w:w="43" w:type="dxa"/>
            </w:tcMar>
            <w:vAlign w:val="bottom"/>
          </w:tcPr>
          <w:p w14:paraId="77A37045" w14:textId="77777777" w:rsidR="00575AC3" w:rsidRPr="006D40F0" w:rsidRDefault="00575AC3" w:rsidP="006D40F0"/>
        </w:tc>
      </w:tr>
      <w:tr w:rsidR="00DD49A7" w:rsidRPr="006D40F0" w14:paraId="0586DCE1" w14:textId="77777777">
        <w:trPr>
          <w:trHeight w:val="380"/>
        </w:trPr>
        <w:tc>
          <w:tcPr>
            <w:tcW w:w="680" w:type="dxa"/>
            <w:tcBorders>
              <w:top w:val="nil"/>
              <w:left w:val="nil"/>
              <w:bottom w:val="nil"/>
              <w:right w:val="nil"/>
            </w:tcBorders>
            <w:tcMar>
              <w:top w:w="128" w:type="dxa"/>
              <w:left w:w="43" w:type="dxa"/>
              <w:bottom w:w="43" w:type="dxa"/>
              <w:right w:w="43" w:type="dxa"/>
            </w:tcMar>
          </w:tcPr>
          <w:p w14:paraId="0EB31F8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CD43E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5B1CD4E"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11DF683" w14:textId="77777777" w:rsidR="00575AC3" w:rsidRPr="006D40F0" w:rsidRDefault="00575AC3" w:rsidP="006D40F0">
            <w:r w:rsidRPr="006D40F0">
              <w:t>8 220 000</w:t>
            </w:r>
          </w:p>
        </w:tc>
      </w:tr>
      <w:tr w:rsidR="00DD49A7" w:rsidRPr="006D40F0" w14:paraId="3C09CD47" w14:textId="77777777">
        <w:trPr>
          <w:trHeight w:val="380"/>
        </w:trPr>
        <w:tc>
          <w:tcPr>
            <w:tcW w:w="680" w:type="dxa"/>
            <w:tcBorders>
              <w:top w:val="nil"/>
              <w:left w:val="nil"/>
              <w:bottom w:val="nil"/>
              <w:right w:val="nil"/>
            </w:tcBorders>
            <w:tcMar>
              <w:top w:w="128" w:type="dxa"/>
              <w:left w:w="43" w:type="dxa"/>
              <w:bottom w:w="43" w:type="dxa"/>
              <w:right w:w="43" w:type="dxa"/>
            </w:tcMar>
          </w:tcPr>
          <w:p w14:paraId="21D45CB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F481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0DD413" w14:textId="77777777" w:rsidR="00575AC3" w:rsidRPr="006D40F0" w:rsidRDefault="00575AC3" w:rsidP="006D40F0">
            <w:r w:rsidRPr="006D40F0">
              <w:t>fra kr 254 830 000 til kr 263 050 000</w:t>
            </w:r>
          </w:p>
        </w:tc>
        <w:tc>
          <w:tcPr>
            <w:tcW w:w="1400" w:type="dxa"/>
            <w:tcBorders>
              <w:top w:val="nil"/>
              <w:left w:val="nil"/>
              <w:bottom w:val="nil"/>
              <w:right w:val="nil"/>
            </w:tcBorders>
            <w:tcMar>
              <w:top w:w="128" w:type="dxa"/>
              <w:left w:w="43" w:type="dxa"/>
              <w:bottom w:w="43" w:type="dxa"/>
              <w:right w:w="43" w:type="dxa"/>
            </w:tcMar>
            <w:vAlign w:val="bottom"/>
          </w:tcPr>
          <w:p w14:paraId="4A8DC6A0" w14:textId="77777777" w:rsidR="00575AC3" w:rsidRPr="006D40F0" w:rsidRDefault="00575AC3" w:rsidP="006D40F0"/>
        </w:tc>
      </w:tr>
      <w:tr w:rsidR="00DD49A7" w:rsidRPr="006D40F0" w14:paraId="5E09618B" w14:textId="77777777">
        <w:trPr>
          <w:trHeight w:val="380"/>
        </w:trPr>
        <w:tc>
          <w:tcPr>
            <w:tcW w:w="680" w:type="dxa"/>
            <w:tcBorders>
              <w:top w:val="nil"/>
              <w:left w:val="nil"/>
              <w:bottom w:val="nil"/>
              <w:right w:val="nil"/>
            </w:tcBorders>
            <w:tcMar>
              <w:top w:w="128" w:type="dxa"/>
              <w:left w:w="43" w:type="dxa"/>
              <w:bottom w:w="43" w:type="dxa"/>
              <w:right w:w="43" w:type="dxa"/>
            </w:tcMar>
          </w:tcPr>
          <w:p w14:paraId="5F14FED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82A84C"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067F4C0C"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C951311" w14:textId="77777777" w:rsidR="00575AC3" w:rsidRPr="006D40F0" w:rsidRDefault="00575AC3" w:rsidP="006D40F0">
            <w:r w:rsidRPr="006D40F0">
              <w:t>25 000 000</w:t>
            </w:r>
          </w:p>
        </w:tc>
      </w:tr>
      <w:tr w:rsidR="00DD49A7" w:rsidRPr="006D40F0" w14:paraId="1AB2CE13" w14:textId="77777777">
        <w:trPr>
          <w:trHeight w:val="380"/>
        </w:trPr>
        <w:tc>
          <w:tcPr>
            <w:tcW w:w="680" w:type="dxa"/>
            <w:tcBorders>
              <w:top w:val="nil"/>
              <w:left w:val="nil"/>
              <w:bottom w:val="nil"/>
              <w:right w:val="nil"/>
            </w:tcBorders>
            <w:tcMar>
              <w:top w:w="128" w:type="dxa"/>
              <w:left w:w="43" w:type="dxa"/>
              <w:bottom w:w="43" w:type="dxa"/>
              <w:right w:w="43" w:type="dxa"/>
            </w:tcMar>
          </w:tcPr>
          <w:p w14:paraId="28F000B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574F0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280B43D" w14:textId="77777777" w:rsidR="00575AC3" w:rsidRPr="006D40F0" w:rsidRDefault="00575AC3" w:rsidP="006D40F0">
            <w:r w:rsidRPr="006D40F0">
              <w:t>fra kr 145 706 000 til kr 120 706 000</w:t>
            </w:r>
          </w:p>
        </w:tc>
        <w:tc>
          <w:tcPr>
            <w:tcW w:w="1400" w:type="dxa"/>
            <w:tcBorders>
              <w:top w:val="nil"/>
              <w:left w:val="nil"/>
              <w:bottom w:val="nil"/>
              <w:right w:val="nil"/>
            </w:tcBorders>
            <w:tcMar>
              <w:top w:w="128" w:type="dxa"/>
              <w:left w:w="43" w:type="dxa"/>
              <w:bottom w:w="43" w:type="dxa"/>
              <w:right w:w="43" w:type="dxa"/>
            </w:tcMar>
            <w:vAlign w:val="bottom"/>
          </w:tcPr>
          <w:p w14:paraId="3E8F4E12" w14:textId="77777777" w:rsidR="00575AC3" w:rsidRPr="006D40F0" w:rsidRDefault="00575AC3" w:rsidP="006D40F0"/>
        </w:tc>
      </w:tr>
      <w:tr w:rsidR="00DD49A7" w:rsidRPr="006D40F0" w14:paraId="4DE6D108" w14:textId="77777777">
        <w:trPr>
          <w:trHeight w:val="380"/>
        </w:trPr>
        <w:tc>
          <w:tcPr>
            <w:tcW w:w="680" w:type="dxa"/>
            <w:tcBorders>
              <w:top w:val="nil"/>
              <w:left w:val="nil"/>
              <w:bottom w:val="nil"/>
              <w:right w:val="nil"/>
            </w:tcBorders>
            <w:tcMar>
              <w:top w:w="128" w:type="dxa"/>
              <w:left w:w="43" w:type="dxa"/>
              <w:bottom w:w="43" w:type="dxa"/>
              <w:right w:w="43" w:type="dxa"/>
            </w:tcMar>
          </w:tcPr>
          <w:p w14:paraId="589877F5" w14:textId="77777777" w:rsidR="00575AC3" w:rsidRPr="006D40F0" w:rsidRDefault="00575AC3" w:rsidP="006D40F0">
            <w:r w:rsidRPr="006D40F0">
              <w:t>1482</w:t>
            </w:r>
          </w:p>
        </w:tc>
        <w:tc>
          <w:tcPr>
            <w:tcW w:w="680" w:type="dxa"/>
            <w:tcBorders>
              <w:top w:val="nil"/>
              <w:left w:val="nil"/>
              <w:bottom w:val="nil"/>
              <w:right w:val="nil"/>
            </w:tcBorders>
            <w:tcMar>
              <w:top w:w="128" w:type="dxa"/>
              <w:left w:w="43" w:type="dxa"/>
              <w:bottom w:w="43" w:type="dxa"/>
              <w:right w:w="43" w:type="dxa"/>
            </w:tcMar>
          </w:tcPr>
          <w:p w14:paraId="6C3ECFA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B1888C" w14:textId="77777777" w:rsidR="00575AC3" w:rsidRPr="006D40F0" w:rsidRDefault="00575AC3" w:rsidP="006D40F0">
            <w:r w:rsidRPr="006D40F0">
              <w:t>Internasjonale klima- og utviklingstiltak:</w:t>
            </w:r>
          </w:p>
        </w:tc>
        <w:tc>
          <w:tcPr>
            <w:tcW w:w="1400" w:type="dxa"/>
            <w:tcBorders>
              <w:top w:val="nil"/>
              <w:left w:val="nil"/>
              <w:bottom w:val="nil"/>
              <w:right w:val="nil"/>
            </w:tcBorders>
            <w:tcMar>
              <w:top w:w="128" w:type="dxa"/>
              <w:left w:w="43" w:type="dxa"/>
              <w:bottom w:w="43" w:type="dxa"/>
              <w:right w:w="43" w:type="dxa"/>
            </w:tcMar>
            <w:vAlign w:val="bottom"/>
          </w:tcPr>
          <w:p w14:paraId="75D029F7" w14:textId="77777777" w:rsidR="00575AC3" w:rsidRPr="006D40F0" w:rsidRDefault="00575AC3" w:rsidP="006D40F0"/>
        </w:tc>
      </w:tr>
      <w:tr w:rsidR="00DD49A7" w:rsidRPr="006D40F0" w14:paraId="5935BF1C" w14:textId="77777777">
        <w:trPr>
          <w:trHeight w:val="380"/>
        </w:trPr>
        <w:tc>
          <w:tcPr>
            <w:tcW w:w="680" w:type="dxa"/>
            <w:tcBorders>
              <w:top w:val="nil"/>
              <w:left w:val="nil"/>
              <w:bottom w:val="nil"/>
              <w:right w:val="nil"/>
            </w:tcBorders>
            <w:tcMar>
              <w:top w:w="128" w:type="dxa"/>
              <w:left w:w="43" w:type="dxa"/>
              <w:bottom w:w="43" w:type="dxa"/>
              <w:right w:w="43" w:type="dxa"/>
            </w:tcMar>
          </w:tcPr>
          <w:p w14:paraId="2AEDF3C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5ACF069"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568F8F96" w14:textId="77777777" w:rsidR="00575AC3" w:rsidRPr="006D40F0" w:rsidRDefault="00575AC3" w:rsidP="006D40F0">
            <w:r w:rsidRPr="006D40F0">
              <w:t xml:space="preserve">Klima- og skogsatsingen,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C84441C" w14:textId="77777777" w:rsidR="00575AC3" w:rsidRPr="006D40F0" w:rsidRDefault="00575AC3" w:rsidP="006D40F0">
            <w:r w:rsidRPr="006D40F0">
              <w:t>59 600 000</w:t>
            </w:r>
          </w:p>
        </w:tc>
      </w:tr>
      <w:tr w:rsidR="00DD49A7" w:rsidRPr="006D40F0" w14:paraId="3BA632CC" w14:textId="77777777">
        <w:trPr>
          <w:trHeight w:val="380"/>
        </w:trPr>
        <w:tc>
          <w:tcPr>
            <w:tcW w:w="680" w:type="dxa"/>
            <w:tcBorders>
              <w:top w:val="nil"/>
              <w:left w:val="nil"/>
              <w:bottom w:val="nil"/>
              <w:right w:val="nil"/>
            </w:tcBorders>
            <w:tcMar>
              <w:top w:w="128" w:type="dxa"/>
              <w:left w:w="43" w:type="dxa"/>
              <w:bottom w:w="43" w:type="dxa"/>
              <w:right w:w="43" w:type="dxa"/>
            </w:tcMar>
          </w:tcPr>
          <w:p w14:paraId="7DF1864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BA8F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21914D" w14:textId="77777777" w:rsidR="00575AC3" w:rsidRPr="006D40F0" w:rsidRDefault="00575AC3" w:rsidP="006D40F0">
            <w:r w:rsidRPr="006D40F0">
              <w:t>fra kr 4 100 835 000 til kr 4 041 235 000</w:t>
            </w:r>
          </w:p>
        </w:tc>
        <w:tc>
          <w:tcPr>
            <w:tcW w:w="1400" w:type="dxa"/>
            <w:tcBorders>
              <w:top w:val="nil"/>
              <w:left w:val="nil"/>
              <w:bottom w:val="nil"/>
              <w:right w:val="nil"/>
            </w:tcBorders>
            <w:tcMar>
              <w:top w:w="128" w:type="dxa"/>
              <w:left w:w="43" w:type="dxa"/>
              <w:bottom w:w="43" w:type="dxa"/>
              <w:right w:w="43" w:type="dxa"/>
            </w:tcMar>
            <w:vAlign w:val="bottom"/>
          </w:tcPr>
          <w:p w14:paraId="0FD00D98" w14:textId="77777777" w:rsidR="00575AC3" w:rsidRPr="006D40F0" w:rsidRDefault="00575AC3" w:rsidP="006D40F0"/>
        </w:tc>
      </w:tr>
      <w:tr w:rsidR="00DD49A7" w:rsidRPr="006D40F0" w14:paraId="02A7CFD0" w14:textId="77777777">
        <w:trPr>
          <w:trHeight w:val="380"/>
        </w:trPr>
        <w:tc>
          <w:tcPr>
            <w:tcW w:w="680" w:type="dxa"/>
            <w:tcBorders>
              <w:top w:val="nil"/>
              <w:left w:val="nil"/>
              <w:bottom w:val="nil"/>
              <w:right w:val="nil"/>
            </w:tcBorders>
            <w:tcMar>
              <w:top w:w="128" w:type="dxa"/>
              <w:left w:w="43" w:type="dxa"/>
              <w:bottom w:w="43" w:type="dxa"/>
              <w:right w:w="43" w:type="dxa"/>
            </w:tcMar>
          </w:tcPr>
          <w:p w14:paraId="71F786E3" w14:textId="77777777" w:rsidR="00575AC3" w:rsidRPr="006D40F0" w:rsidRDefault="00575AC3" w:rsidP="006D40F0">
            <w:r w:rsidRPr="006D40F0">
              <w:t>1500</w:t>
            </w:r>
          </w:p>
        </w:tc>
        <w:tc>
          <w:tcPr>
            <w:tcW w:w="680" w:type="dxa"/>
            <w:tcBorders>
              <w:top w:val="nil"/>
              <w:left w:val="nil"/>
              <w:bottom w:val="nil"/>
              <w:right w:val="nil"/>
            </w:tcBorders>
            <w:tcMar>
              <w:top w:w="128" w:type="dxa"/>
              <w:left w:w="43" w:type="dxa"/>
              <w:bottom w:w="43" w:type="dxa"/>
              <w:right w:w="43" w:type="dxa"/>
            </w:tcMar>
          </w:tcPr>
          <w:p w14:paraId="3FFE96F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4F18BB8" w14:textId="77777777" w:rsidR="00575AC3" w:rsidRPr="006D40F0" w:rsidRDefault="00575AC3" w:rsidP="006D40F0">
            <w:r w:rsidRPr="006D40F0">
              <w:t>Digitaliserings- og forvaltningsdepartementet:</w:t>
            </w:r>
          </w:p>
        </w:tc>
        <w:tc>
          <w:tcPr>
            <w:tcW w:w="1400" w:type="dxa"/>
            <w:tcBorders>
              <w:top w:val="nil"/>
              <w:left w:val="nil"/>
              <w:bottom w:val="nil"/>
              <w:right w:val="nil"/>
            </w:tcBorders>
            <w:tcMar>
              <w:top w:w="128" w:type="dxa"/>
              <w:left w:w="43" w:type="dxa"/>
              <w:bottom w:w="43" w:type="dxa"/>
              <w:right w:w="43" w:type="dxa"/>
            </w:tcMar>
            <w:vAlign w:val="bottom"/>
          </w:tcPr>
          <w:p w14:paraId="6189E876" w14:textId="77777777" w:rsidR="00575AC3" w:rsidRPr="006D40F0" w:rsidRDefault="00575AC3" w:rsidP="006D40F0"/>
        </w:tc>
      </w:tr>
      <w:tr w:rsidR="00DD49A7" w:rsidRPr="006D40F0" w14:paraId="39A8F221" w14:textId="77777777">
        <w:trPr>
          <w:trHeight w:val="640"/>
        </w:trPr>
        <w:tc>
          <w:tcPr>
            <w:tcW w:w="680" w:type="dxa"/>
            <w:tcBorders>
              <w:top w:val="nil"/>
              <w:left w:val="nil"/>
              <w:bottom w:val="nil"/>
              <w:right w:val="nil"/>
            </w:tcBorders>
            <w:tcMar>
              <w:top w:w="128" w:type="dxa"/>
              <w:left w:w="43" w:type="dxa"/>
              <w:bottom w:w="43" w:type="dxa"/>
              <w:right w:w="43" w:type="dxa"/>
            </w:tcMar>
          </w:tcPr>
          <w:p w14:paraId="7ADC02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6B154D"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81D0BB4" w14:textId="77777777" w:rsidR="00575AC3" w:rsidRPr="006D40F0" w:rsidRDefault="00575AC3" w:rsidP="006D40F0">
            <w:r w:rsidRPr="006D40F0">
              <w:t xml:space="preserve">Spesielle driftsutgifter, </w:t>
            </w:r>
            <w:r w:rsidRPr="00575AC3">
              <w:rPr>
                <w:rStyle w:val="kursiv"/>
              </w:rPr>
              <w:t>kan overføres, kan nyttes under post 70,</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D56E555" w14:textId="77777777" w:rsidR="00575AC3" w:rsidRPr="006D40F0" w:rsidRDefault="00575AC3" w:rsidP="006D40F0">
            <w:r w:rsidRPr="006D40F0">
              <w:t>10 310 000</w:t>
            </w:r>
          </w:p>
        </w:tc>
      </w:tr>
      <w:tr w:rsidR="00DD49A7" w:rsidRPr="006D40F0" w14:paraId="4110BEC3" w14:textId="77777777">
        <w:trPr>
          <w:trHeight w:val="380"/>
        </w:trPr>
        <w:tc>
          <w:tcPr>
            <w:tcW w:w="680" w:type="dxa"/>
            <w:tcBorders>
              <w:top w:val="nil"/>
              <w:left w:val="nil"/>
              <w:bottom w:val="nil"/>
              <w:right w:val="nil"/>
            </w:tcBorders>
            <w:tcMar>
              <w:top w:w="128" w:type="dxa"/>
              <w:left w:w="43" w:type="dxa"/>
              <w:bottom w:w="43" w:type="dxa"/>
              <w:right w:w="43" w:type="dxa"/>
            </w:tcMar>
          </w:tcPr>
          <w:p w14:paraId="215DA6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C5325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289EDA" w14:textId="77777777" w:rsidR="00575AC3" w:rsidRPr="006D40F0" w:rsidRDefault="00575AC3" w:rsidP="006D40F0">
            <w:r w:rsidRPr="006D40F0">
              <w:t>fra kr 24 251 000 til kr 34 561 000</w:t>
            </w:r>
          </w:p>
        </w:tc>
        <w:tc>
          <w:tcPr>
            <w:tcW w:w="1400" w:type="dxa"/>
            <w:tcBorders>
              <w:top w:val="nil"/>
              <w:left w:val="nil"/>
              <w:bottom w:val="nil"/>
              <w:right w:val="nil"/>
            </w:tcBorders>
            <w:tcMar>
              <w:top w:w="128" w:type="dxa"/>
              <w:left w:w="43" w:type="dxa"/>
              <w:bottom w:w="43" w:type="dxa"/>
              <w:right w:w="43" w:type="dxa"/>
            </w:tcMar>
            <w:vAlign w:val="bottom"/>
          </w:tcPr>
          <w:p w14:paraId="5962DEF8" w14:textId="77777777" w:rsidR="00575AC3" w:rsidRPr="006D40F0" w:rsidRDefault="00575AC3" w:rsidP="006D40F0"/>
        </w:tc>
      </w:tr>
      <w:tr w:rsidR="00DD49A7" w:rsidRPr="006D40F0" w14:paraId="25193313" w14:textId="77777777">
        <w:trPr>
          <w:trHeight w:val="380"/>
        </w:trPr>
        <w:tc>
          <w:tcPr>
            <w:tcW w:w="680" w:type="dxa"/>
            <w:tcBorders>
              <w:top w:val="nil"/>
              <w:left w:val="nil"/>
              <w:bottom w:val="nil"/>
              <w:right w:val="nil"/>
            </w:tcBorders>
            <w:tcMar>
              <w:top w:w="128" w:type="dxa"/>
              <w:left w:w="43" w:type="dxa"/>
              <w:bottom w:w="43" w:type="dxa"/>
              <w:right w:w="43" w:type="dxa"/>
            </w:tcMar>
          </w:tcPr>
          <w:p w14:paraId="3A7323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276A21"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91F5DA2" w14:textId="77777777" w:rsidR="00575AC3" w:rsidRPr="006D40F0" w:rsidRDefault="00575AC3" w:rsidP="006D40F0">
            <w:r w:rsidRPr="006D40F0">
              <w:t>Forskningsmidler til Norges forskningsråd m.m., nedsettes med</w:t>
            </w:r>
          </w:p>
        </w:tc>
        <w:tc>
          <w:tcPr>
            <w:tcW w:w="1400" w:type="dxa"/>
            <w:tcBorders>
              <w:top w:val="nil"/>
              <w:left w:val="nil"/>
              <w:bottom w:val="nil"/>
              <w:right w:val="nil"/>
            </w:tcBorders>
            <w:tcMar>
              <w:top w:w="128" w:type="dxa"/>
              <w:left w:w="43" w:type="dxa"/>
              <w:bottom w:w="43" w:type="dxa"/>
              <w:right w:w="43" w:type="dxa"/>
            </w:tcMar>
            <w:vAlign w:val="bottom"/>
          </w:tcPr>
          <w:p w14:paraId="4358148D" w14:textId="77777777" w:rsidR="00575AC3" w:rsidRPr="006D40F0" w:rsidRDefault="00575AC3" w:rsidP="006D40F0">
            <w:r w:rsidRPr="006D40F0">
              <w:t>500 000</w:t>
            </w:r>
          </w:p>
        </w:tc>
      </w:tr>
      <w:tr w:rsidR="00DD49A7" w:rsidRPr="006D40F0" w14:paraId="6D0145DC" w14:textId="77777777">
        <w:trPr>
          <w:trHeight w:val="380"/>
        </w:trPr>
        <w:tc>
          <w:tcPr>
            <w:tcW w:w="680" w:type="dxa"/>
            <w:tcBorders>
              <w:top w:val="nil"/>
              <w:left w:val="nil"/>
              <w:bottom w:val="nil"/>
              <w:right w:val="nil"/>
            </w:tcBorders>
            <w:tcMar>
              <w:top w:w="128" w:type="dxa"/>
              <w:left w:w="43" w:type="dxa"/>
              <w:bottom w:w="43" w:type="dxa"/>
              <w:right w:w="43" w:type="dxa"/>
            </w:tcMar>
          </w:tcPr>
          <w:p w14:paraId="52C92F2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23B1E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6DD678" w14:textId="77777777" w:rsidR="00575AC3" w:rsidRPr="006D40F0" w:rsidRDefault="00575AC3" w:rsidP="006D40F0">
            <w:r w:rsidRPr="006D40F0">
              <w:t>fra kr 101 700 000 til kr 101 200 000</w:t>
            </w:r>
          </w:p>
        </w:tc>
        <w:tc>
          <w:tcPr>
            <w:tcW w:w="1400" w:type="dxa"/>
            <w:tcBorders>
              <w:top w:val="nil"/>
              <w:left w:val="nil"/>
              <w:bottom w:val="nil"/>
              <w:right w:val="nil"/>
            </w:tcBorders>
            <w:tcMar>
              <w:top w:w="128" w:type="dxa"/>
              <w:left w:w="43" w:type="dxa"/>
              <w:bottom w:w="43" w:type="dxa"/>
              <w:right w:w="43" w:type="dxa"/>
            </w:tcMar>
            <w:vAlign w:val="bottom"/>
          </w:tcPr>
          <w:p w14:paraId="57C99FB8" w14:textId="77777777" w:rsidR="00575AC3" w:rsidRPr="006D40F0" w:rsidRDefault="00575AC3" w:rsidP="006D40F0"/>
        </w:tc>
      </w:tr>
      <w:tr w:rsidR="00DD49A7" w:rsidRPr="006D40F0" w14:paraId="3B419ABB" w14:textId="77777777">
        <w:trPr>
          <w:trHeight w:val="380"/>
        </w:trPr>
        <w:tc>
          <w:tcPr>
            <w:tcW w:w="680" w:type="dxa"/>
            <w:tcBorders>
              <w:top w:val="nil"/>
              <w:left w:val="nil"/>
              <w:bottom w:val="nil"/>
              <w:right w:val="nil"/>
            </w:tcBorders>
            <w:tcMar>
              <w:top w:w="128" w:type="dxa"/>
              <w:left w:w="43" w:type="dxa"/>
              <w:bottom w:w="43" w:type="dxa"/>
              <w:right w:w="43" w:type="dxa"/>
            </w:tcMar>
          </w:tcPr>
          <w:p w14:paraId="64E1F7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F2A01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35F35DC7" w14:textId="77777777" w:rsidR="00575AC3" w:rsidRPr="006D40F0" w:rsidRDefault="00575AC3" w:rsidP="006D40F0">
            <w:r w:rsidRPr="006D40F0">
              <w:t xml:space="preserve">Diverse formål, </w:t>
            </w:r>
            <w:r w:rsidRPr="00575AC3">
              <w:rPr>
                <w:rStyle w:val="kursiv"/>
              </w:rPr>
              <w:t>kan overføres, kan nyttes under post 21,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4617E92" w14:textId="77777777" w:rsidR="00575AC3" w:rsidRPr="006D40F0" w:rsidRDefault="00575AC3" w:rsidP="006D40F0">
            <w:r w:rsidRPr="006D40F0">
              <w:t>400 000</w:t>
            </w:r>
          </w:p>
        </w:tc>
      </w:tr>
      <w:tr w:rsidR="00DD49A7" w:rsidRPr="006D40F0" w14:paraId="1F63AC08" w14:textId="77777777">
        <w:trPr>
          <w:trHeight w:val="380"/>
        </w:trPr>
        <w:tc>
          <w:tcPr>
            <w:tcW w:w="680" w:type="dxa"/>
            <w:tcBorders>
              <w:top w:val="nil"/>
              <w:left w:val="nil"/>
              <w:bottom w:val="nil"/>
              <w:right w:val="nil"/>
            </w:tcBorders>
            <w:tcMar>
              <w:top w:w="128" w:type="dxa"/>
              <w:left w:w="43" w:type="dxa"/>
              <w:bottom w:w="43" w:type="dxa"/>
              <w:right w:w="43" w:type="dxa"/>
            </w:tcMar>
          </w:tcPr>
          <w:p w14:paraId="5ED9BCC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2C8ED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6F9DF3" w14:textId="77777777" w:rsidR="00575AC3" w:rsidRPr="006D40F0" w:rsidRDefault="00575AC3" w:rsidP="006D40F0">
            <w:r w:rsidRPr="006D40F0">
              <w:t>fra kr 600 000 til kr 1 000 000</w:t>
            </w:r>
          </w:p>
        </w:tc>
        <w:tc>
          <w:tcPr>
            <w:tcW w:w="1400" w:type="dxa"/>
            <w:tcBorders>
              <w:top w:val="nil"/>
              <w:left w:val="nil"/>
              <w:bottom w:val="nil"/>
              <w:right w:val="nil"/>
            </w:tcBorders>
            <w:tcMar>
              <w:top w:w="128" w:type="dxa"/>
              <w:left w:w="43" w:type="dxa"/>
              <w:bottom w:w="43" w:type="dxa"/>
              <w:right w:w="43" w:type="dxa"/>
            </w:tcMar>
            <w:vAlign w:val="bottom"/>
          </w:tcPr>
          <w:p w14:paraId="6F0B4BB1" w14:textId="77777777" w:rsidR="00575AC3" w:rsidRPr="006D40F0" w:rsidRDefault="00575AC3" w:rsidP="006D40F0"/>
        </w:tc>
      </w:tr>
      <w:tr w:rsidR="00DD49A7" w:rsidRPr="006D40F0" w14:paraId="0F42849D" w14:textId="77777777">
        <w:trPr>
          <w:trHeight w:val="380"/>
        </w:trPr>
        <w:tc>
          <w:tcPr>
            <w:tcW w:w="680" w:type="dxa"/>
            <w:tcBorders>
              <w:top w:val="nil"/>
              <w:left w:val="nil"/>
              <w:bottom w:val="nil"/>
              <w:right w:val="nil"/>
            </w:tcBorders>
            <w:tcMar>
              <w:top w:w="128" w:type="dxa"/>
              <w:left w:w="43" w:type="dxa"/>
              <w:bottom w:w="43" w:type="dxa"/>
              <w:right w:w="43" w:type="dxa"/>
            </w:tcMar>
          </w:tcPr>
          <w:p w14:paraId="4DCB6395" w14:textId="77777777" w:rsidR="00575AC3" w:rsidRPr="006D40F0" w:rsidRDefault="00575AC3" w:rsidP="006D40F0">
            <w:r w:rsidRPr="006D40F0">
              <w:t>1510</w:t>
            </w:r>
          </w:p>
        </w:tc>
        <w:tc>
          <w:tcPr>
            <w:tcW w:w="680" w:type="dxa"/>
            <w:tcBorders>
              <w:top w:val="nil"/>
              <w:left w:val="nil"/>
              <w:bottom w:val="nil"/>
              <w:right w:val="nil"/>
            </w:tcBorders>
            <w:tcMar>
              <w:top w:w="128" w:type="dxa"/>
              <w:left w:w="43" w:type="dxa"/>
              <w:bottom w:w="43" w:type="dxa"/>
              <w:right w:w="43" w:type="dxa"/>
            </w:tcMar>
          </w:tcPr>
          <w:p w14:paraId="0EB8193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ABC412" w14:textId="77777777" w:rsidR="00575AC3" w:rsidRPr="006D40F0" w:rsidRDefault="00575AC3" w:rsidP="006D40F0">
            <w:r w:rsidRPr="006D40F0">
              <w:t>Departementenes sikkerhets- og serviceorganisasjon:</w:t>
            </w:r>
          </w:p>
        </w:tc>
        <w:tc>
          <w:tcPr>
            <w:tcW w:w="1400" w:type="dxa"/>
            <w:tcBorders>
              <w:top w:val="nil"/>
              <w:left w:val="nil"/>
              <w:bottom w:val="nil"/>
              <w:right w:val="nil"/>
            </w:tcBorders>
            <w:tcMar>
              <w:top w:w="128" w:type="dxa"/>
              <w:left w:w="43" w:type="dxa"/>
              <w:bottom w:w="43" w:type="dxa"/>
              <w:right w:w="43" w:type="dxa"/>
            </w:tcMar>
            <w:vAlign w:val="bottom"/>
          </w:tcPr>
          <w:p w14:paraId="238DBAC3" w14:textId="77777777" w:rsidR="00575AC3" w:rsidRPr="006D40F0" w:rsidRDefault="00575AC3" w:rsidP="006D40F0"/>
        </w:tc>
      </w:tr>
      <w:tr w:rsidR="00DD49A7" w:rsidRPr="006D40F0" w14:paraId="004A5623" w14:textId="77777777">
        <w:trPr>
          <w:trHeight w:val="380"/>
        </w:trPr>
        <w:tc>
          <w:tcPr>
            <w:tcW w:w="680" w:type="dxa"/>
            <w:tcBorders>
              <w:top w:val="nil"/>
              <w:left w:val="nil"/>
              <w:bottom w:val="nil"/>
              <w:right w:val="nil"/>
            </w:tcBorders>
            <w:tcMar>
              <w:top w:w="128" w:type="dxa"/>
              <w:left w:w="43" w:type="dxa"/>
              <w:bottom w:w="43" w:type="dxa"/>
              <w:right w:w="43" w:type="dxa"/>
            </w:tcMar>
          </w:tcPr>
          <w:p w14:paraId="05E6303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D54649"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2F64C3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0DD6B0D3" w14:textId="77777777" w:rsidR="00575AC3" w:rsidRPr="006D40F0" w:rsidRDefault="00575AC3" w:rsidP="006D40F0">
            <w:r w:rsidRPr="006D40F0">
              <w:t>48 962 000</w:t>
            </w:r>
          </w:p>
        </w:tc>
      </w:tr>
      <w:tr w:rsidR="00DD49A7" w:rsidRPr="006D40F0" w14:paraId="35909C95" w14:textId="77777777">
        <w:trPr>
          <w:trHeight w:val="380"/>
        </w:trPr>
        <w:tc>
          <w:tcPr>
            <w:tcW w:w="680" w:type="dxa"/>
            <w:tcBorders>
              <w:top w:val="nil"/>
              <w:left w:val="nil"/>
              <w:bottom w:val="nil"/>
              <w:right w:val="nil"/>
            </w:tcBorders>
            <w:tcMar>
              <w:top w:w="128" w:type="dxa"/>
              <w:left w:w="43" w:type="dxa"/>
              <w:bottom w:w="43" w:type="dxa"/>
              <w:right w:w="43" w:type="dxa"/>
            </w:tcMar>
          </w:tcPr>
          <w:p w14:paraId="3ED73B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04469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1502C5" w14:textId="77777777" w:rsidR="00575AC3" w:rsidRPr="006D40F0" w:rsidRDefault="00575AC3" w:rsidP="006D40F0">
            <w:r w:rsidRPr="006D40F0">
              <w:t>fra kr 762 891 000 til kr 811 853 000</w:t>
            </w:r>
          </w:p>
        </w:tc>
        <w:tc>
          <w:tcPr>
            <w:tcW w:w="1400" w:type="dxa"/>
            <w:tcBorders>
              <w:top w:val="nil"/>
              <w:left w:val="nil"/>
              <w:bottom w:val="nil"/>
              <w:right w:val="nil"/>
            </w:tcBorders>
            <w:tcMar>
              <w:top w:w="128" w:type="dxa"/>
              <w:left w:w="43" w:type="dxa"/>
              <w:bottom w:w="43" w:type="dxa"/>
              <w:right w:w="43" w:type="dxa"/>
            </w:tcMar>
            <w:vAlign w:val="bottom"/>
          </w:tcPr>
          <w:p w14:paraId="16181955" w14:textId="77777777" w:rsidR="00575AC3" w:rsidRPr="006D40F0" w:rsidRDefault="00575AC3" w:rsidP="006D40F0"/>
        </w:tc>
      </w:tr>
      <w:tr w:rsidR="00DD49A7" w:rsidRPr="006D40F0" w14:paraId="00C54354" w14:textId="77777777">
        <w:trPr>
          <w:trHeight w:val="380"/>
        </w:trPr>
        <w:tc>
          <w:tcPr>
            <w:tcW w:w="680" w:type="dxa"/>
            <w:tcBorders>
              <w:top w:val="nil"/>
              <w:left w:val="nil"/>
              <w:bottom w:val="nil"/>
              <w:right w:val="nil"/>
            </w:tcBorders>
            <w:tcMar>
              <w:top w:w="128" w:type="dxa"/>
              <w:left w:w="43" w:type="dxa"/>
              <w:bottom w:w="43" w:type="dxa"/>
              <w:right w:w="43" w:type="dxa"/>
            </w:tcMar>
          </w:tcPr>
          <w:p w14:paraId="07D3DD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EAAA6D"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76990D3B"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89D9761" w14:textId="77777777" w:rsidR="00575AC3" w:rsidRPr="006D40F0" w:rsidRDefault="00575AC3" w:rsidP="006D40F0">
            <w:r w:rsidRPr="006D40F0">
              <w:t>128 186 000</w:t>
            </w:r>
          </w:p>
        </w:tc>
      </w:tr>
      <w:tr w:rsidR="00DD49A7" w:rsidRPr="006D40F0" w14:paraId="1E555733" w14:textId="77777777">
        <w:trPr>
          <w:trHeight w:val="380"/>
        </w:trPr>
        <w:tc>
          <w:tcPr>
            <w:tcW w:w="680" w:type="dxa"/>
            <w:tcBorders>
              <w:top w:val="nil"/>
              <w:left w:val="nil"/>
              <w:bottom w:val="nil"/>
              <w:right w:val="nil"/>
            </w:tcBorders>
            <w:tcMar>
              <w:top w:w="128" w:type="dxa"/>
              <w:left w:w="43" w:type="dxa"/>
              <w:bottom w:w="43" w:type="dxa"/>
              <w:right w:w="43" w:type="dxa"/>
            </w:tcMar>
          </w:tcPr>
          <w:p w14:paraId="2AB48DE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B402E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E10BAF" w14:textId="77777777" w:rsidR="00575AC3" w:rsidRPr="006D40F0" w:rsidRDefault="00575AC3" w:rsidP="006D40F0">
            <w:r w:rsidRPr="006D40F0">
              <w:t>fra kr 66 510 000 til kr 194 696 000</w:t>
            </w:r>
          </w:p>
        </w:tc>
        <w:tc>
          <w:tcPr>
            <w:tcW w:w="1400" w:type="dxa"/>
            <w:tcBorders>
              <w:top w:val="nil"/>
              <w:left w:val="nil"/>
              <w:bottom w:val="nil"/>
              <w:right w:val="nil"/>
            </w:tcBorders>
            <w:tcMar>
              <w:top w:w="128" w:type="dxa"/>
              <w:left w:w="43" w:type="dxa"/>
              <w:bottom w:w="43" w:type="dxa"/>
              <w:right w:w="43" w:type="dxa"/>
            </w:tcMar>
            <w:vAlign w:val="bottom"/>
          </w:tcPr>
          <w:p w14:paraId="1B8A290B" w14:textId="77777777" w:rsidR="00575AC3" w:rsidRPr="006D40F0" w:rsidRDefault="00575AC3" w:rsidP="006D40F0"/>
        </w:tc>
      </w:tr>
      <w:tr w:rsidR="00DD49A7" w:rsidRPr="006D40F0" w14:paraId="0F37E63A" w14:textId="77777777">
        <w:trPr>
          <w:trHeight w:val="380"/>
        </w:trPr>
        <w:tc>
          <w:tcPr>
            <w:tcW w:w="680" w:type="dxa"/>
            <w:tcBorders>
              <w:top w:val="nil"/>
              <w:left w:val="nil"/>
              <w:bottom w:val="nil"/>
              <w:right w:val="nil"/>
            </w:tcBorders>
            <w:tcMar>
              <w:top w:w="128" w:type="dxa"/>
              <w:left w:w="43" w:type="dxa"/>
              <w:bottom w:w="43" w:type="dxa"/>
              <w:right w:w="43" w:type="dxa"/>
            </w:tcMar>
          </w:tcPr>
          <w:p w14:paraId="4AFF0EF3" w14:textId="77777777" w:rsidR="00575AC3" w:rsidRPr="006D40F0" w:rsidRDefault="00575AC3" w:rsidP="006D40F0">
            <w:r w:rsidRPr="006D40F0">
              <w:t>1512</w:t>
            </w:r>
          </w:p>
        </w:tc>
        <w:tc>
          <w:tcPr>
            <w:tcW w:w="680" w:type="dxa"/>
            <w:tcBorders>
              <w:top w:val="nil"/>
              <w:left w:val="nil"/>
              <w:bottom w:val="nil"/>
              <w:right w:val="nil"/>
            </w:tcBorders>
            <w:tcMar>
              <w:top w:w="128" w:type="dxa"/>
              <w:left w:w="43" w:type="dxa"/>
              <w:bottom w:w="43" w:type="dxa"/>
              <w:right w:w="43" w:type="dxa"/>
            </w:tcMar>
          </w:tcPr>
          <w:p w14:paraId="35ED6EC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C05EE0" w14:textId="77777777" w:rsidR="00575AC3" w:rsidRPr="006D40F0" w:rsidRDefault="00575AC3" w:rsidP="006D40F0">
            <w:r w:rsidRPr="006D40F0">
              <w:t>Diverse fellestjenester:</w:t>
            </w:r>
          </w:p>
        </w:tc>
        <w:tc>
          <w:tcPr>
            <w:tcW w:w="1400" w:type="dxa"/>
            <w:tcBorders>
              <w:top w:val="nil"/>
              <w:left w:val="nil"/>
              <w:bottom w:val="nil"/>
              <w:right w:val="nil"/>
            </w:tcBorders>
            <w:tcMar>
              <w:top w:w="128" w:type="dxa"/>
              <w:left w:w="43" w:type="dxa"/>
              <w:bottom w:w="43" w:type="dxa"/>
              <w:right w:w="43" w:type="dxa"/>
            </w:tcMar>
            <w:vAlign w:val="bottom"/>
          </w:tcPr>
          <w:p w14:paraId="1F049E41" w14:textId="77777777" w:rsidR="00575AC3" w:rsidRPr="006D40F0" w:rsidRDefault="00575AC3" w:rsidP="006D40F0"/>
        </w:tc>
      </w:tr>
      <w:tr w:rsidR="00DD49A7" w:rsidRPr="006D40F0" w14:paraId="0D9F0E2A" w14:textId="77777777">
        <w:trPr>
          <w:trHeight w:val="380"/>
        </w:trPr>
        <w:tc>
          <w:tcPr>
            <w:tcW w:w="680" w:type="dxa"/>
            <w:tcBorders>
              <w:top w:val="nil"/>
              <w:left w:val="nil"/>
              <w:bottom w:val="nil"/>
              <w:right w:val="nil"/>
            </w:tcBorders>
            <w:tcMar>
              <w:top w:w="128" w:type="dxa"/>
              <w:left w:w="43" w:type="dxa"/>
              <w:bottom w:w="43" w:type="dxa"/>
              <w:right w:w="43" w:type="dxa"/>
            </w:tcMar>
          </w:tcPr>
          <w:p w14:paraId="6E8804E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30F6D8" w14:textId="77777777" w:rsidR="00575AC3" w:rsidRPr="006D40F0" w:rsidRDefault="00575AC3" w:rsidP="006D40F0">
            <w:r w:rsidRPr="006D40F0">
              <w:t>27</w:t>
            </w:r>
          </w:p>
        </w:tc>
        <w:tc>
          <w:tcPr>
            <w:tcW w:w="6800" w:type="dxa"/>
            <w:tcBorders>
              <w:top w:val="nil"/>
              <w:left w:val="nil"/>
              <w:bottom w:val="nil"/>
              <w:right w:val="nil"/>
            </w:tcBorders>
            <w:tcMar>
              <w:top w:w="128" w:type="dxa"/>
              <w:left w:w="43" w:type="dxa"/>
              <w:bottom w:w="43" w:type="dxa"/>
              <w:right w:w="43" w:type="dxa"/>
            </w:tcMar>
          </w:tcPr>
          <w:p w14:paraId="387AB015" w14:textId="77777777" w:rsidR="00575AC3" w:rsidRPr="006D40F0" w:rsidRDefault="00575AC3" w:rsidP="006D40F0">
            <w:r w:rsidRPr="006D40F0">
              <w:t xml:space="preserve">Sak- og arkivløsning,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5C1F9F5" w14:textId="77777777" w:rsidR="00575AC3" w:rsidRPr="006D40F0" w:rsidRDefault="00575AC3" w:rsidP="006D40F0">
            <w:r w:rsidRPr="006D40F0">
              <w:t>23 300 000</w:t>
            </w:r>
          </w:p>
        </w:tc>
      </w:tr>
      <w:tr w:rsidR="00DD49A7" w:rsidRPr="006D40F0" w14:paraId="77060096" w14:textId="77777777">
        <w:trPr>
          <w:trHeight w:val="380"/>
        </w:trPr>
        <w:tc>
          <w:tcPr>
            <w:tcW w:w="680" w:type="dxa"/>
            <w:tcBorders>
              <w:top w:val="nil"/>
              <w:left w:val="nil"/>
              <w:bottom w:val="nil"/>
              <w:right w:val="nil"/>
            </w:tcBorders>
            <w:tcMar>
              <w:top w:w="128" w:type="dxa"/>
              <w:left w:w="43" w:type="dxa"/>
              <w:bottom w:w="43" w:type="dxa"/>
              <w:right w:w="43" w:type="dxa"/>
            </w:tcMar>
          </w:tcPr>
          <w:p w14:paraId="29EF12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B0855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5F7DF54" w14:textId="77777777" w:rsidR="00575AC3" w:rsidRPr="006D40F0" w:rsidRDefault="00575AC3" w:rsidP="006D40F0">
            <w:r w:rsidRPr="006D40F0">
              <w:t>fra kr 66 447 000 til kr 43 147 000</w:t>
            </w:r>
          </w:p>
        </w:tc>
        <w:tc>
          <w:tcPr>
            <w:tcW w:w="1400" w:type="dxa"/>
            <w:tcBorders>
              <w:top w:val="nil"/>
              <w:left w:val="nil"/>
              <w:bottom w:val="nil"/>
              <w:right w:val="nil"/>
            </w:tcBorders>
            <w:tcMar>
              <w:top w:w="128" w:type="dxa"/>
              <w:left w:w="43" w:type="dxa"/>
              <w:bottom w:w="43" w:type="dxa"/>
              <w:right w:w="43" w:type="dxa"/>
            </w:tcMar>
            <w:vAlign w:val="bottom"/>
          </w:tcPr>
          <w:p w14:paraId="013F5E01" w14:textId="77777777" w:rsidR="00575AC3" w:rsidRPr="006D40F0" w:rsidRDefault="00575AC3" w:rsidP="006D40F0"/>
        </w:tc>
      </w:tr>
      <w:tr w:rsidR="00DD49A7" w:rsidRPr="006D40F0" w14:paraId="40D48F6A" w14:textId="77777777">
        <w:trPr>
          <w:trHeight w:val="380"/>
        </w:trPr>
        <w:tc>
          <w:tcPr>
            <w:tcW w:w="680" w:type="dxa"/>
            <w:tcBorders>
              <w:top w:val="nil"/>
              <w:left w:val="nil"/>
              <w:bottom w:val="nil"/>
              <w:right w:val="nil"/>
            </w:tcBorders>
            <w:tcMar>
              <w:top w:w="128" w:type="dxa"/>
              <w:left w:w="43" w:type="dxa"/>
              <w:bottom w:w="43" w:type="dxa"/>
              <w:right w:w="43" w:type="dxa"/>
            </w:tcMar>
          </w:tcPr>
          <w:p w14:paraId="3C516B7C" w14:textId="77777777" w:rsidR="00575AC3" w:rsidRPr="006D40F0" w:rsidRDefault="00575AC3" w:rsidP="006D40F0">
            <w:r w:rsidRPr="006D40F0">
              <w:t>1520</w:t>
            </w:r>
          </w:p>
        </w:tc>
        <w:tc>
          <w:tcPr>
            <w:tcW w:w="680" w:type="dxa"/>
            <w:tcBorders>
              <w:top w:val="nil"/>
              <w:left w:val="nil"/>
              <w:bottom w:val="nil"/>
              <w:right w:val="nil"/>
            </w:tcBorders>
            <w:tcMar>
              <w:top w:w="128" w:type="dxa"/>
              <w:left w:w="43" w:type="dxa"/>
              <w:bottom w:w="43" w:type="dxa"/>
              <w:right w:w="43" w:type="dxa"/>
            </w:tcMar>
          </w:tcPr>
          <w:p w14:paraId="1A95562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1600E9" w14:textId="77777777" w:rsidR="00575AC3" w:rsidRPr="006D40F0" w:rsidRDefault="00575AC3" w:rsidP="006D40F0">
            <w:r w:rsidRPr="006D40F0">
              <w:t>Statsforvalterne:</w:t>
            </w:r>
          </w:p>
        </w:tc>
        <w:tc>
          <w:tcPr>
            <w:tcW w:w="1400" w:type="dxa"/>
            <w:tcBorders>
              <w:top w:val="nil"/>
              <w:left w:val="nil"/>
              <w:bottom w:val="nil"/>
              <w:right w:val="nil"/>
            </w:tcBorders>
            <w:tcMar>
              <w:top w:w="128" w:type="dxa"/>
              <w:left w:w="43" w:type="dxa"/>
              <w:bottom w:w="43" w:type="dxa"/>
              <w:right w:w="43" w:type="dxa"/>
            </w:tcMar>
            <w:vAlign w:val="bottom"/>
          </w:tcPr>
          <w:p w14:paraId="5D2DCB13" w14:textId="77777777" w:rsidR="00575AC3" w:rsidRPr="006D40F0" w:rsidRDefault="00575AC3" w:rsidP="006D40F0"/>
        </w:tc>
      </w:tr>
      <w:tr w:rsidR="00DD49A7" w:rsidRPr="006D40F0" w14:paraId="70E448DA" w14:textId="77777777">
        <w:trPr>
          <w:trHeight w:val="380"/>
        </w:trPr>
        <w:tc>
          <w:tcPr>
            <w:tcW w:w="680" w:type="dxa"/>
            <w:tcBorders>
              <w:top w:val="nil"/>
              <w:left w:val="nil"/>
              <w:bottom w:val="nil"/>
              <w:right w:val="nil"/>
            </w:tcBorders>
            <w:tcMar>
              <w:top w:w="128" w:type="dxa"/>
              <w:left w:w="43" w:type="dxa"/>
              <w:bottom w:w="43" w:type="dxa"/>
              <w:right w:w="43" w:type="dxa"/>
            </w:tcMar>
          </w:tcPr>
          <w:p w14:paraId="358EA47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48EDC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4D5F49B"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F15C2F0" w14:textId="77777777" w:rsidR="00575AC3" w:rsidRPr="006D40F0" w:rsidRDefault="00575AC3" w:rsidP="006D40F0">
            <w:r w:rsidRPr="006D40F0">
              <w:t>17 000 000</w:t>
            </w:r>
          </w:p>
        </w:tc>
      </w:tr>
      <w:tr w:rsidR="00DD49A7" w:rsidRPr="006D40F0" w14:paraId="1F00868D" w14:textId="77777777">
        <w:trPr>
          <w:trHeight w:val="380"/>
        </w:trPr>
        <w:tc>
          <w:tcPr>
            <w:tcW w:w="680" w:type="dxa"/>
            <w:tcBorders>
              <w:top w:val="nil"/>
              <w:left w:val="nil"/>
              <w:bottom w:val="nil"/>
              <w:right w:val="nil"/>
            </w:tcBorders>
            <w:tcMar>
              <w:top w:w="128" w:type="dxa"/>
              <w:left w:w="43" w:type="dxa"/>
              <w:bottom w:w="43" w:type="dxa"/>
              <w:right w:w="43" w:type="dxa"/>
            </w:tcMar>
          </w:tcPr>
          <w:p w14:paraId="00CBC0F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B6A19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62F4BB" w14:textId="77777777" w:rsidR="00575AC3" w:rsidRPr="006D40F0" w:rsidRDefault="00575AC3" w:rsidP="006D40F0">
            <w:r w:rsidRPr="006D40F0">
              <w:t>fra kr 2 271 829 000 til kr 2 288 829 000</w:t>
            </w:r>
          </w:p>
        </w:tc>
        <w:tc>
          <w:tcPr>
            <w:tcW w:w="1400" w:type="dxa"/>
            <w:tcBorders>
              <w:top w:val="nil"/>
              <w:left w:val="nil"/>
              <w:bottom w:val="nil"/>
              <w:right w:val="nil"/>
            </w:tcBorders>
            <w:tcMar>
              <w:top w:w="128" w:type="dxa"/>
              <w:left w:w="43" w:type="dxa"/>
              <w:bottom w:w="43" w:type="dxa"/>
              <w:right w:w="43" w:type="dxa"/>
            </w:tcMar>
            <w:vAlign w:val="bottom"/>
          </w:tcPr>
          <w:p w14:paraId="5F53701A" w14:textId="77777777" w:rsidR="00575AC3" w:rsidRPr="006D40F0" w:rsidRDefault="00575AC3" w:rsidP="006D40F0"/>
        </w:tc>
      </w:tr>
      <w:tr w:rsidR="00DD49A7" w:rsidRPr="006D40F0" w14:paraId="4A18BC3E" w14:textId="77777777">
        <w:trPr>
          <w:trHeight w:val="380"/>
        </w:trPr>
        <w:tc>
          <w:tcPr>
            <w:tcW w:w="680" w:type="dxa"/>
            <w:tcBorders>
              <w:top w:val="nil"/>
              <w:left w:val="nil"/>
              <w:bottom w:val="nil"/>
              <w:right w:val="nil"/>
            </w:tcBorders>
            <w:tcMar>
              <w:top w:w="128" w:type="dxa"/>
              <w:left w:w="43" w:type="dxa"/>
              <w:bottom w:w="43" w:type="dxa"/>
              <w:right w:w="43" w:type="dxa"/>
            </w:tcMar>
          </w:tcPr>
          <w:p w14:paraId="72369CFF" w14:textId="77777777" w:rsidR="00575AC3" w:rsidRPr="006D40F0" w:rsidRDefault="00575AC3" w:rsidP="006D40F0">
            <w:r w:rsidRPr="006D40F0">
              <w:t>1530</w:t>
            </w:r>
          </w:p>
        </w:tc>
        <w:tc>
          <w:tcPr>
            <w:tcW w:w="680" w:type="dxa"/>
            <w:tcBorders>
              <w:top w:val="nil"/>
              <w:left w:val="nil"/>
              <w:bottom w:val="nil"/>
              <w:right w:val="nil"/>
            </w:tcBorders>
            <w:tcMar>
              <w:top w:w="128" w:type="dxa"/>
              <w:left w:w="43" w:type="dxa"/>
              <w:bottom w:w="43" w:type="dxa"/>
              <w:right w:w="43" w:type="dxa"/>
            </w:tcMar>
          </w:tcPr>
          <w:p w14:paraId="3431D14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37821D" w14:textId="77777777" w:rsidR="00575AC3" w:rsidRPr="006D40F0" w:rsidRDefault="00575AC3" w:rsidP="006D40F0">
            <w:r w:rsidRPr="006D40F0">
              <w:t>Byggeprosjekter utenfor husleieordningen:</w:t>
            </w:r>
          </w:p>
        </w:tc>
        <w:tc>
          <w:tcPr>
            <w:tcW w:w="1400" w:type="dxa"/>
            <w:tcBorders>
              <w:top w:val="nil"/>
              <w:left w:val="nil"/>
              <w:bottom w:val="nil"/>
              <w:right w:val="nil"/>
            </w:tcBorders>
            <w:tcMar>
              <w:top w:w="128" w:type="dxa"/>
              <w:left w:w="43" w:type="dxa"/>
              <w:bottom w:w="43" w:type="dxa"/>
              <w:right w:w="43" w:type="dxa"/>
            </w:tcMar>
            <w:vAlign w:val="bottom"/>
          </w:tcPr>
          <w:p w14:paraId="4A877823" w14:textId="77777777" w:rsidR="00575AC3" w:rsidRPr="006D40F0" w:rsidRDefault="00575AC3" w:rsidP="006D40F0"/>
        </w:tc>
      </w:tr>
      <w:tr w:rsidR="00DD49A7" w:rsidRPr="006D40F0" w14:paraId="44B475DF" w14:textId="77777777">
        <w:trPr>
          <w:trHeight w:val="380"/>
        </w:trPr>
        <w:tc>
          <w:tcPr>
            <w:tcW w:w="680" w:type="dxa"/>
            <w:tcBorders>
              <w:top w:val="nil"/>
              <w:left w:val="nil"/>
              <w:bottom w:val="nil"/>
              <w:right w:val="nil"/>
            </w:tcBorders>
            <w:tcMar>
              <w:top w:w="128" w:type="dxa"/>
              <w:left w:w="43" w:type="dxa"/>
              <w:bottom w:w="43" w:type="dxa"/>
              <w:right w:w="43" w:type="dxa"/>
            </w:tcMar>
          </w:tcPr>
          <w:p w14:paraId="31FA7516"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706A894F" w14:textId="77777777" w:rsidR="00575AC3" w:rsidRPr="006D40F0" w:rsidRDefault="00575AC3" w:rsidP="006D40F0">
            <w:r w:rsidRPr="006D40F0">
              <w:t>30</w:t>
            </w:r>
          </w:p>
        </w:tc>
        <w:tc>
          <w:tcPr>
            <w:tcW w:w="6800" w:type="dxa"/>
            <w:tcBorders>
              <w:top w:val="nil"/>
              <w:left w:val="nil"/>
              <w:bottom w:val="nil"/>
              <w:right w:val="nil"/>
            </w:tcBorders>
            <w:tcMar>
              <w:top w:w="128" w:type="dxa"/>
              <w:left w:w="43" w:type="dxa"/>
              <w:bottom w:w="43" w:type="dxa"/>
              <w:right w:w="43" w:type="dxa"/>
            </w:tcMar>
          </w:tcPr>
          <w:p w14:paraId="42227E01" w14:textId="77777777" w:rsidR="00575AC3" w:rsidRPr="006D40F0" w:rsidRDefault="00575AC3" w:rsidP="006D40F0">
            <w:r w:rsidRPr="006D40F0">
              <w:t xml:space="preserve">Prosjektering av bygg, </w:t>
            </w:r>
            <w:r w:rsidRPr="00575AC3">
              <w:rPr>
                <w:rStyle w:val="kursiv"/>
              </w:rPr>
              <w:t>kan overføres,</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4048D231" w14:textId="77777777" w:rsidR="00575AC3" w:rsidRPr="006D40F0" w:rsidRDefault="00575AC3" w:rsidP="006D40F0">
            <w:r w:rsidRPr="006D40F0">
              <w:t>10 000 000</w:t>
            </w:r>
          </w:p>
        </w:tc>
      </w:tr>
      <w:tr w:rsidR="00DD49A7" w:rsidRPr="006D40F0" w14:paraId="69F4BC09" w14:textId="77777777">
        <w:trPr>
          <w:trHeight w:val="380"/>
        </w:trPr>
        <w:tc>
          <w:tcPr>
            <w:tcW w:w="680" w:type="dxa"/>
            <w:tcBorders>
              <w:top w:val="nil"/>
              <w:left w:val="nil"/>
              <w:bottom w:val="nil"/>
              <w:right w:val="nil"/>
            </w:tcBorders>
            <w:tcMar>
              <w:top w:w="128" w:type="dxa"/>
              <w:left w:w="43" w:type="dxa"/>
              <w:bottom w:w="43" w:type="dxa"/>
              <w:right w:w="43" w:type="dxa"/>
            </w:tcMar>
          </w:tcPr>
          <w:p w14:paraId="5A1ABE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FFDB0F" w14:textId="77777777" w:rsidR="00575AC3" w:rsidRPr="006D40F0" w:rsidRDefault="00575AC3" w:rsidP="006D40F0">
            <w:r w:rsidRPr="006D40F0">
              <w:t>33</w:t>
            </w:r>
          </w:p>
        </w:tc>
        <w:tc>
          <w:tcPr>
            <w:tcW w:w="6800" w:type="dxa"/>
            <w:tcBorders>
              <w:top w:val="nil"/>
              <w:left w:val="nil"/>
              <w:bottom w:val="nil"/>
              <w:right w:val="nil"/>
            </w:tcBorders>
            <w:tcMar>
              <w:top w:w="128" w:type="dxa"/>
              <w:left w:w="43" w:type="dxa"/>
              <w:bottom w:w="43" w:type="dxa"/>
              <w:right w:w="43" w:type="dxa"/>
            </w:tcMar>
          </w:tcPr>
          <w:p w14:paraId="4883A631" w14:textId="77777777" w:rsidR="00575AC3" w:rsidRPr="006D40F0" w:rsidRDefault="00575AC3" w:rsidP="006D40F0">
            <w:r w:rsidRPr="006D40F0">
              <w:t xml:space="preserve">Videreføring av byggeprosjekter,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D8B742C" w14:textId="77777777" w:rsidR="00575AC3" w:rsidRPr="006D40F0" w:rsidRDefault="00575AC3" w:rsidP="006D40F0">
            <w:r w:rsidRPr="006D40F0">
              <w:t>150 000 000</w:t>
            </w:r>
          </w:p>
        </w:tc>
      </w:tr>
      <w:tr w:rsidR="00DD49A7" w:rsidRPr="006D40F0" w14:paraId="3D95BF00" w14:textId="77777777">
        <w:trPr>
          <w:trHeight w:val="380"/>
        </w:trPr>
        <w:tc>
          <w:tcPr>
            <w:tcW w:w="680" w:type="dxa"/>
            <w:tcBorders>
              <w:top w:val="nil"/>
              <w:left w:val="nil"/>
              <w:bottom w:val="nil"/>
              <w:right w:val="nil"/>
            </w:tcBorders>
            <w:tcMar>
              <w:top w:w="128" w:type="dxa"/>
              <w:left w:w="43" w:type="dxa"/>
              <w:bottom w:w="43" w:type="dxa"/>
              <w:right w:w="43" w:type="dxa"/>
            </w:tcMar>
          </w:tcPr>
          <w:p w14:paraId="6CDE8F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31CAA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383205" w14:textId="77777777" w:rsidR="00575AC3" w:rsidRPr="006D40F0" w:rsidRDefault="00575AC3" w:rsidP="006D40F0">
            <w:r w:rsidRPr="006D40F0">
              <w:t>fra kr 4 385 000 000 til kr 4 235 000 000</w:t>
            </w:r>
          </w:p>
        </w:tc>
        <w:tc>
          <w:tcPr>
            <w:tcW w:w="1400" w:type="dxa"/>
            <w:tcBorders>
              <w:top w:val="nil"/>
              <w:left w:val="nil"/>
              <w:bottom w:val="nil"/>
              <w:right w:val="nil"/>
            </w:tcBorders>
            <w:tcMar>
              <w:top w:w="128" w:type="dxa"/>
              <w:left w:w="43" w:type="dxa"/>
              <w:bottom w:w="43" w:type="dxa"/>
              <w:right w:w="43" w:type="dxa"/>
            </w:tcMar>
            <w:vAlign w:val="bottom"/>
          </w:tcPr>
          <w:p w14:paraId="2CE3E35A" w14:textId="77777777" w:rsidR="00575AC3" w:rsidRPr="006D40F0" w:rsidRDefault="00575AC3" w:rsidP="006D40F0"/>
        </w:tc>
      </w:tr>
      <w:tr w:rsidR="00DD49A7" w:rsidRPr="006D40F0" w14:paraId="029B24FE" w14:textId="77777777">
        <w:trPr>
          <w:trHeight w:val="380"/>
        </w:trPr>
        <w:tc>
          <w:tcPr>
            <w:tcW w:w="680" w:type="dxa"/>
            <w:tcBorders>
              <w:top w:val="nil"/>
              <w:left w:val="nil"/>
              <w:bottom w:val="nil"/>
              <w:right w:val="nil"/>
            </w:tcBorders>
            <w:tcMar>
              <w:top w:w="128" w:type="dxa"/>
              <w:left w:w="43" w:type="dxa"/>
              <w:bottom w:w="43" w:type="dxa"/>
              <w:right w:w="43" w:type="dxa"/>
            </w:tcMar>
          </w:tcPr>
          <w:p w14:paraId="34CD2B8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E0BD3A7"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66C37FF0"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51004F5" w14:textId="77777777" w:rsidR="00575AC3" w:rsidRPr="006D40F0" w:rsidRDefault="00575AC3" w:rsidP="006D40F0">
            <w:r w:rsidRPr="006D40F0">
              <w:t>65 000 000</w:t>
            </w:r>
          </w:p>
        </w:tc>
      </w:tr>
      <w:tr w:rsidR="00DD49A7" w:rsidRPr="006D40F0" w14:paraId="530D2C45" w14:textId="77777777">
        <w:trPr>
          <w:trHeight w:val="380"/>
        </w:trPr>
        <w:tc>
          <w:tcPr>
            <w:tcW w:w="680" w:type="dxa"/>
            <w:tcBorders>
              <w:top w:val="nil"/>
              <w:left w:val="nil"/>
              <w:bottom w:val="nil"/>
              <w:right w:val="nil"/>
            </w:tcBorders>
            <w:tcMar>
              <w:top w:w="128" w:type="dxa"/>
              <w:left w:w="43" w:type="dxa"/>
              <w:bottom w:w="43" w:type="dxa"/>
              <w:right w:w="43" w:type="dxa"/>
            </w:tcMar>
          </w:tcPr>
          <w:p w14:paraId="14E6CCA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46459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E791D0" w14:textId="77777777" w:rsidR="00575AC3" w:rsidRPr="006D40F0" w:rsidRDefault="00575AC3" w:rsidP="006D40F0">
            <w:r w:rsidRPr="006D40F0">
              <w:t>fra kr 1 146 900 000 til kr 1 211 900 000</w:t>
            </w:r>
          </w:p>
        </w:tc>
        <w:tc>
          <w:tcPr>
            <w:tcW w:w="1400" w:type="dxa"/>
            <w:tcBorders>
              <w:top w:val="nil"/>
              <w:left w:val="nil"/>
              <w:bottom w:val="nil"/>
              <w:right w:val="nil"/>
            </w:tcBorders>
            <w:tcMar>
              <w:top w:w="128" w:type="dxa"/>
              <w:left w:w="43" w:type="dxa"/>
              <w:bottom w:w="43" w:type="dxa"/>
              <w:right w:w="43" w:type="dxa"/>
            </w:tcMar>
            <w:vAlign w:val="bottom"/>
          </w:tcPr>
          <w:p w14:paraId="05D18CA4" w14:textId="77777777" w:rsidR="00575AC3" w:rsidRPr="006D40F0" w:rsidRDefault="00575AC3" w:rsidP="006D40F0"/>
        </w:tc>
      </w:tr>
      <w:tr w:rsidR="00DD49A7" w:rsidRPr="006D40F0" w14:paraId="10E9D676" w14:textId="77777777">
        <w:trPr>
          <w:trHeight w:val="380"/>
        </w:trPr>
        <w:tc>
          <w:tcPr>
            <w:tcW w:w="680" w:type="dxa"/>
            <w:tcBorders>
              <w:top w:val="nil"/>
              <w:left w:val="nil"/>
              <w:bottom w:val="nil"/>
              <w:right w:val="nil"/>
            </w:tcBorders>
            <w:tcMar>
              <w:top w:w="128" w:type="dxa"/>
              <w:left w:w="43" w:type="dxa"/>
              <w:bottom w:w="43" w:type="dxa"/>
              <w:right w:w="43" w:type="dxa"/>
            </w:tcMar>
          </w:tcPr>
          <w:p w14:paraId="3B6831DA" w14:textId="77777777" w:rsidR="00575AC3" w:rsidRPr="006D40F0" w:rsidRDefault="00575AC3" w:rsidP="006D40F0">
            <w:r w:rsidRPr="006D40F0">
              <w:t>1540</w:t>
            </w:r>
          </w:p>
        </w:tc>
        <w:tc>
          <w:tcPr>
            <w:tcW w:w="680" w:type="dxa"/>
            <w:tcBorders>
              <w:top w:val="nil"/>
              <w:left w:val="nil"/>
              <w:bottom w:val="nil"/>
              <w:right w:val="nil"/>
            </w:tcBorders>
            <w:tcMar>
              <w:top w:w="128" w:type="dxa"/>
              <w:left w:w="43" w:type="dxa"/>
              <w:bottom w:w="43" w:type="dxa"/>
              <w:right w:w="43" w:type="dxa"/>
            </w:tcMar>
          </w:tcPr>
          <w:p w14:paraId="274D496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0663D0" w14:textId="77777777" w:rsidR="00575AC3" w:rsidRPr="006D40F0" w:rsidRDefault="00575AC3" w:rsidP="006D40F0">
            <w:r w:rsidRPr="006D40F0">
              <w:t>Digitaliseringsdirektoratet:</w:t>
            </w:r>
          </w:p>
        </w:tc>
        <w:tc>
          <w:tcPr>
            <w:tcW w:w="1400" w:type="dxa"/>
            <w:tcBorders>
              <w:top w:val="nil"/>
              <w:left w:val="nil"/>
              <w:bottom w:val="nil"/>
              <w:right w:val="nil"/>
            </w:tcBorders>
            <w:tcMar>
              <w:top w:w="128" w:type="dxa"/>
              <w:left w:w="43" w:type="dxa"/>
              <w:bottom w:w="43" w:type="dxa"/>
              <w:right w:w="43" w:type="dxa"/>
            </w:tcMar>
            <w:vAlign w:val="bottom"/>
          </w:tcPr>
          <w:p w14:paraId="1F300984" w14:textId="77777777" w:rsidR="00575AC3" w:rsidRPr="006D40F0" w:rsidRDefault="00575AC3" w:rsidP="006D40F0"/>
        </w:tc>
      </w:tr>
      <w:tr w:rsidR="00DD49A7" w:rsidRPr="006D40F0" w14:paraId="7B8F2339" w14:textId="77777777">
        <w:trPr>
          <w:trHeight w:val="380"/>
        </w:trPr>
        <w:tc>
          <w:tcPr>
            <w:tcW w:w="680" w:type="dxa"/>
            <w:tcBorders>
              <w:top w:val="nil"/>
              <w:left w:val="nil"/>
              <w:bottom w:val="nil"/>
              <w:right w:val="nil"/>
            </w:tcBorders>
            <w:tcMar>
              <w:top w:w="128" w:type="dxa"/>
              <w:left w:w="43" w:type="dxa"/>
              <w:bottom w:w="43" w:type="dxa"/>
              <w:right w:w="43" w:type="dxa"/>
            </w:tcMar>
          </w:tcPr>
          <w:p w14:paraId="75D527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5D7519"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55620970" w14:textId="77777777" w:rsidR="00575AC3" w:rsidRPr="006D40F0" w:rsidRDefault="00575AC3" w:rsidP="006D40F0">
            <w:r w:rsidRPr="006D40F0">
              <w:t xml:space="preserve">Spesielle 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D10E0DC" w14:textId="77777777" w:rsidR="00575AC3" w:rsidRPr="006D40F0" w:rsidRDefault="00575AC3" w:rsidP="006D40F0">
            <w:r w:rsidRPr="006D40F0">
              <w:t>5 450 000</w:t>
            </w:r>
          </w:p>
        </w:tc>
      </w:tr>
      <w:tr w:rsidR="00DD49A7" w:rsidRPr="006D40F0" w14:paraId="6189466C" w14:textId="77777777">
        <w:trPr>
          <w:trHeight w:val="380"/>
        </w:trPr>
        <w:tc>
          <w:tcPr>
            <w:tcW w:w="680" w:type="dxa"/>
            <w:tcBorders>
              <w:top w:val="nil"/>
              <w:left w:val="nil"/>
              <w:bottom w:val="nil"/>
              <w:right w:val="nil"/>
            </w:tcBorders>
            <w:tcMar>
              <w:top w:w="128" w:type="dxa"/>
              <w:left w:w="43" w:type="dxa"/>
              <w:bottom w:w="43" w:type="dxa"/>
              <w:right w:w="43" w:type="dxa"/>
            </w:tcMar>
          </w:tcPr>
          <w:p w14:paraId="3D47309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2057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BDC512" w14:textId="77777777" w:rsidR="00575AC3" w:rsidRPr="006D40F0" w:rsidRDefault="00575AC3" w:rsidP="006D40F0">
            <w:r w:rsidRPr="006D40F0">
              <w:t>fra kr 11 370 000 til kr 16 820 000</w:t>
            </w:r>
          </w:p>
        </w:tc>
        <w:tc>
          <w:tcPr>
            <w:tcW w:w="1400" w:type="dxa"/>
            <w:tcBorders>
              <w:top w:val="nil"/>
              <w:left w:val="nil"/>
              <w:bottom w:val="nil"/>
              <w:right w:val="nil"/>
            </w:tcBorders>
            <w:tcMar>
              <w:top w:w="128" w:type="dxa"/>
              <w:left w:w="43" w:type="dxa"/>
              <w:bottom w:w="43" w:type="dxa"/>
              <w:right w:w="43" w:type="dxa"/>
            </w:tcMar>
            <w:vAlign w:val="bottom"/>
          </w:tcPr>
          <w:p w14:paraId="793E2E75" w14:textId="77777777" w:rsidR="00575AC3" w:rsidRPr="006D40F0" w:rsidRDefault="00575AC3" w:rsidP="006D40F0"/>
        </w:tc>
      </w:tr>
      <w:tr w:rsidR="00DD49A7" w:rsidRPr="006D40F0" w14:paraId="35E7688B" w14:textId="77777777">
        <w:trPr>
          <w:trHeight w:val="640"/>
        </w:trPr>
        <w:tc>
          <w:tcPr>
            <w:tcW w:w="680" w:type="dxa"/>
            <w:tcBorders>
              <w:top w:val="nil"/>
              <w:left w:val="nil"/>
              <w:bottom w:val="nil"/>
              <w:right w:val="nil"/>
            </w:tcBorders>
            <w:tcMar>
              <w:top w:w="128" w:type="dxa"/>
              <w:left w:w="43" w:type="dxa"/>
              <w:bottom w:w="43" w:type="dxa"/>
              <w:right w:w="43" w:type="dxa"/>
            </w:tcMar>
          </w:tcPr>
          <w:p w14:paraId="6A5F8A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47C477"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5248F5CD" w14:textId="77777777" w:rsidR="00575AC3" w:rsidRPr="006D40F0" w:rsidRDefault="00575AC3" w:rsidP="006D40F0">
            <w:r w:rsidRPr="006D40F0">
              <w:t xml:space="preserve">Utvikling og forvaltning av nasjonale fellesløsninger,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40A9AF4" w14:textId="77777777" w:rsidR="00575AC3" w:rsidRPr="006D40F0" w:rsidRDefault="00575AC3" w:rsidP="006D40F0">
            <w:r w:rsidRPr="006D40F0">
              <w:t>108 448 000</w:t>
            </w:r>
          </w:p>
        </w:tc>
      </w:tr>
      <w:tr w:rsidR="00DD49A7" w:rsidRPr="006D40F0" w14:paraId="4B60FAD0" w14:textId="77777777">
        <w:trPr>
          <w:trHeight w:val="380"/>
        </w:trPr>
        <w:tc>
          <w:tcPr>
            <w:tcW w:w="680" w:type="dxa"/>
            <w:tcBorders>
              <w:top w:val="nil"/>
              <w:left w:val="nil"/>
              <w:bottom w:val="nil"/>
              <w:right w:val="nil"/>
            </w:tcBorders>
            <w:tcMar>
              <w:top w:w="128" w:type="dxa"/>
              <w:left w:w="43" w:type="dxa"/>
              <w:bottom w:w="43" w:type="dxa"/>
              <w:right w:w="43" w:type="dxa"/>
            </w:tcMar>
          </w:tcPr>
          <w:p w14:paraId="09A277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8D090D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5192A6" w14:textId="77777777" w:rsidR="00575AC3" w:rsidRPr="006D40F0" w:rsidRDefault="00575AC3" w:rsidP="006D40F0">
            <w:r w:rsidRPr="006D40F0">
              <w:t>fra kr 422 308 000 til kr 530 756 000</w:t>
            </w:r>
          </w:p>
        </w:tc>
        <w:tc>
          <w:tcPr>
            <w:tcW w:w="1400" w:type="dxa"/>
            <w:tcBorders>
              <w:top w:val="nil"/>
              <w:left w:val="nil"/>
              <w:bottom w:val="nil"/>
              <w:right w:val="nil"/>
            </w:tcBorders>
            <w:tcMar>
              <w:top w:w="128" w:type="dxa"/>
              <w:left w:w="43" w:type="dxa"/>
              <w:bottom w:w="43" w:type="dxa"/>
              <w:right w:w="43" w:type="dxa"/>
            </w:tcMar>
            <w:vAlign w:val="bottom"/>
          </w:tcPr>
          <w:p w14:paraId="3873BE86" w14:textId="77777777" w:rsidR="00575AC3" w:rsidRPr="006D40F0" w:rsidRDefault="00575AC3" w:rsidP="006D40F0"/>
        </w:tc>
      </w:tr>
      <w:tr w:rsidR="00DD49A7" w:rsidRPr="006D40F0" w14:paraId="12A3F447" w14:textId="77777777">
        <w:trPr>
          <w:trHeight w:val="640"/>
        </w:trPr>
        <w:tc>
          <w:tcPr>
            <w:tcW w:w="680" w:type="dxa"/>
            <w:tcBorders>
              <w:top w:val="nil"/>
              <w:left w:val="nil"/>
              <w:bottom w:val="nil"/>
              <w:right w:val="nil"/>
            </w:tcBorders>
            <w:tcMar>
              <w:top w:w="128" w:type="dxa"/>
              <w:left w:w="43" w:type="dxa"/>
              <w:bottom w:w="43" w:type="dxa"/>
              <w:right w:w="43" w:type="dxa"/>
            </w:tcMar>
          </w:tcPr>
          <w:p w14:paraId="6282D92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D0791D" w14:textId="77777777" w:rsidR="00575AC3" w:rsidRPr="006D40F0" w:rsidRDefault="00575AC3" w:rsidP="006D40F0">
            <w:r w:rsidRPr="006D40F0">
              <w:t>25</w:t>
            </w:r>
          </w:p>
        </w:tc>
        <w:tc>
          <w:tcPr>
            <w:tcW w:w="6800" w:type="dxa"/>
            <w:tcBorders>
              <w:top w:val="nil"/>
              <w:left w:val="nil"/>
              <w:bottom w:val="nil"/>
              <w:right w:val="nil"/>
            </w:tcBorders>
            <w:tcMar>
              <w:top w:w="128" w:type="dxa"/>
              <w:left w:w="43" w:type="dxa"/>
              <w:bottom w:w="43" w:type="dxa"/>
              <w:right w:w="43" w:type="dxa"/>
            </w:tcMar>
          </w:tcPr>
          <w:p w14:paraId="68C33B3A" w14:textId="77777777" w:rsidR="00575AC3" w:rsidRPr="006D40F0" w:rsidRDefault="00575AC3" w:rsidP="006D40F0">
            <w:r w:rsidRPr="006D40F0">
              <w:t xml:space="preserve">Medfinansieringsordning for digitaliseringsprosjekter,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4C41D47" w14:textId="77777777" w:rsidR="00575AC3" w:rsidRPr="006D40F0" w:rsidRDefault="00575AC3" w:rsidP="006D40F0">
            <w:r w:rsidRPr="006D40F0">
              <w:t>6 200 000</w:t>
            </w:r>
          </w:p>
        </w:tc>
      </w:tr>
      <w:tr w:rsidR="00DD49A7" w:rsidRPr="006D40F0" w14:paraId="6E5308E7" w14:textId="77777777">
        <w:trPr>
          <w:trHeight w:val="380"/>
        </w:trPr>
        <w:tc>
          <w:tcPr>
            <w:tcW w:w="680" w:type="dxa"/>
            <w:tcBorders>
              <w:top w:val="nil"/>
              <w:left w:val="nil"/>
              <w:bottom w:val="nil"/>
              <w:right w:val="nil"/>
            </w:tcBorders>
            <w:tcMar>
              <w:top w:w="128" w:type="dxa"/>
              <w:left w:w="43" w:type="dxa"/>
              <w:bottom w:w="43" w:type="dxa"/>
              <w:right w:w="43" w:type="dxa"/>
            </w:tcMar>
          </w:tcPr>
          <w:p w14:paraId="36DF063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4FE04D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0D2B16" w14:textId="77777777" w:rsidR="00575AC3" w:rsidRPr="006D40F0" w:rsidRDefault="00575AC3" w:rsidP="006D40F0">
            <w:r w:rsidRPr="006D40F0">
              <w:t>fra kr 136 329 000 til kr 130 129 000</w:t>
            </w:r>
          </w:p>
        </w:tc>
        <w:tc>
          <w:tcPr>
            <w:tcW w:w="1400" w:type="dxa"/>
            <w:tcBorders>
              <w:top w:val="nil"/>
              <w:left w:val="nil"/>
              <w:bottom w:val="nil"/>
              <w:right w:val="nil"/>
            </w:tcBorders>
            <w:tcMar>
              <w:top w:w="128" w:type="dxa"/>
              <w:left w:w="43" w:type="dxa"/>
              <w:bottom w:w="43" w:type="dxa"/>
              <w:right w:w="43" w:type="dxa"/>
            </w:tcMar>
            <w:vAlign w:val="bottom"/>
          </w:tcPr>
          <w:p w14:paraId="543AC98D" w14:textId="77777777" w:rsidR="00575AC3" w:rsidRPr="006D40F0" w:rsidRDefault="00575AC3" w:rsidP="006D40F0"/>
        </w:tc>
      </w:tr>
      <w:tr w:rsidR="00DD49A7" w:rsidRPr="006D40F0" w14:paraId="71B6F2F1" w14:textId="77777777">
        <w:trPr>
          <w:trHeight w:val="380"/>
        </w:trPr>
        <w:tc>
          <w:tcPr>
            <w:tcW w:w="680" w:type="dxa"/>
            <w:tcBorders>
              <w:top w:val="nil"/>
              <w:left w:val="nil"/>
              <w:bottom w:val="nil"/>
              <w:right w:val="nil"/>
            </w:tcBorders>
            <w:tcMar>
              <w:top w:w="128" w:type="dxa"/>
              <w:left w:w="43" w:type="dxa"/>
              <w:bottom w:w="43" w:type="dxa"/>
              <w:right w:w="43" w:type="dxa"/>
            </w:tcMar>
          </w:tcPr>
          <w:p w14:paraId="0289683A" w14:textId="77777777" w:rsidR="00575AC3" w:rsidRPr="006D40F0" w:rsidRDefault="00575AC3" w:rsidP="006D40F0">
            <w:r w:rsidRPr="006D40F0">
              <w:t>1541</w:t>
            </w:r>
          </w:p>
        </w:tc>
        <w:tc>
          <w:tcPr>
            <w:tcW w:w="680" w:type="dxa"/>
            <w:tcBorders>
              <w:top w:val="nil"/>
              <w:left w:val="nil"/>
              <w:bottom w:val="nil"/>
              <w:right w:val="nil"/>
            </w:tcBorders>
            <w:tcMar>
              <w:top w:w="128" w:type="dxa"/>
              <w:left w:w="43" w:type="dxa"/>
              <w:bottom w:w="43" w:type="dxa"/>
              <w:right w:w="43" w:type="dxa"/>
            </w:tcMar>
          </w:tcPr>
          <w:p w14:paraId="6C70388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835B3D8" w14:textId="77777777" w:rsidR="00575AC3" w:rsidRPr="006D40F0" w:rsidRDefault="00575AC3" w:rsidP="006D40F0">
            <w:r w:rsidRPr="006D40F0">
              <w:t xml:space="preserve">IT- og </w:t>
            </w:r>
            <w:proofErr w:type="spellStart"/>
            <w:r w:rsidRPr="006D40F0">
              <w:t>ekompolitikk</w:t>
            </w:r>
            <w:proofErr w:type="spellEnd"/>
            <w:r w:rsidRPr="006D40F0">
              <w:t>:</w:t>
            </w:r>
          </w:p>
        </w:tc>
        <w:tc>
          <w:tcPr>
            <w:tcW w:w="1400" w:type="dxa"/>
            <w:tcBorders>
              <w:top w:val="nil"/>
              <w:left w:val="nil"/>
              <w:bottom w:val="nil"/>
              <w:right w:val="nil"/>
            </w:tcBorders>
            <w:tcMar>
              <w:top w:w="128" w:type="dxa"/>
              <w:left w:w="43" w:type="dxa"/>
              <w:bottom w:w="43" w:type="dxa"/>
              <w:right w:w="43" w:type="dxa"/>
            </w:tcMar>
            <w:vAlign w:val="bottom"/>
          </w:tcPr>
          <w:p w14:paraId="2F412862" w14:textId="77777777" w:rsidR="00575AC3" w:rsidRPr="006D40F0" w:rsidRDefault="00575AC3" w:rsidP="006D40F0"/>
        </w:tc>
      </w:tr>
      <w:tr w:rsidR="00DD49A7" w:rsidRPr="006D40F0" w14:paraId="092C07E8" w14:textId="77777777">
        <w:trPr>
          <w:trHeight w:val="640"/>
        </w:trPr>
        <w:tc>
          <w:tcPr>
            <w:tcW w:w="680" w:type="dxa"/>
            <w:tcBorders>
              <w:top w:val="nil"/>
              <w:left w:val="nil"/>
              <w:bottom w:val="nil"/>
              <w:right w:val="nil"/>
            </w:tcBorders>
            <w:tcMar>
              <w:top w:w="128" w:type="dxa"/>
              <w:left w:w="43" w:type="dxa"/>
              <w:bottom w:w="43" w:type="dxa"/>
              <w:right w:w="43" w:type="dxa"/>
            </w:tcMar>
          </w:tcPr>
          <w:p w14:paraId="129302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CE522C"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02333828" w14:textId="77777777" w:rsidR="00575AC3" w:rsidRPr="006D40F0" w:rsidRDefault="00575AC3" w:rsidP="006D40F0">
            <w:r w:rsidRPr="006D40F0">
              <w:t xml:space="preserve">Utvikling, gjennomføring og samordning av IT- og </w:t>
            </w:r>
            <w:proofErr w:type="spellStart"/>
            <w:r w:rsidRPr="006D40F0">
              <w:t>ekompolitikken</w:t>
            </w:r>
            <w:proofErr w:type="spellEnd"/>
            <w:r w:rsidRPr="006D40F0">
              <w:t xml:space="preserve">, </w:t>
            </w:r>
            <w:r w:rsidRPr="00575AC3">
              <w:rPr>
                <w:rStyle w:val="kursiv"/>
              </w:rPr>
              <w:t>kan overføres, kan nyttes under post 70,</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1FE05AA" w14:textId="77777777" w:rsidR="00575AC3" w:rsidRPr="006D40F0" w:rsidRDefault="00575AC3" w:rsidP="006D40F0">
            <w:r w:rsidRPr="006D40F0">
              <w:t>5 600 000</w:t>
            </w:r>
          </w:p>
        </w:tc>
      </w:tr>
      <w:tr w:rsidR="00DD49A7" w:rsidRPr="006D40F0" w14:paraId="19C53080" w14:textId="77777777">
        <w:trPr>
          <w:trHeight w:val="380"/>
        </w:trPr>
        <w:tc>
          <w:tcPr>
            <w:tcW w:w="680" w:type="dxa"/>
            <w:tcBorders>
              <w:top w:val="nil"/>
              <w:left w:val="nil"/>
              <w:bottom w:val="nil"/>
              <w:right w:val="nil"/>
            </w:tcBorders>
            <w:tcMar>
              <w:top w:w="128" w:type="dxa"/>
              <w:left w:w="43" w:type="dxa"/>
              <w:bottom w:w="43" w:type="dxa"/>
              <w:right w:w="43" w:type="dxa"/>
            </w:tcMar>
          </w:tcPr>
          <w:p w14:paraId="7937FBC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C31C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1D40DF" w14:textId="77777777" w:rsidR="00575AC3" w:rsidRPr="006D40F0" w:rsidRDefault="00575AC3" w:rsidP="006D40F0">
            <w:r w:rsidRPr="006D40F0">
              <w:t>fra kr 15 924 000 til kr 21 524 000</w:t>
            </w:r>
          </w:p>
        </w:tc>
        <w:tc>
          <w:tcPr>
            <w:tcW w:w="1400" w:type="dxa"/>
            <w:tcBorders>
              <w:top w:val="nil"/>
              <w:left w:val="nil"/>
              <w:bottom w:val="nil"/>
              <w:right w:val="nil"/>
            </w:tcBorders>
            <w:tcMar>
              <w:top w:w="128" w:type="dxa"/>
              <w:left w:w="43" w:type="dxa"/>
              <w:bottom w:w="43" w:type="dxa"/>
              <w:right w:w="43" w:type="dxa"/>
            </w:tcMar>
            <w:vAlign w:val="bottom"/>
          </w:tcPr>
          <w:p w14:paraId="404E5FFD" w14:textId="77777777" w:rsidR="00575AC3" w:rsidRPr="006D40F0" w:rsidRDefault="00575AC3" w:rsidP="006D40F0"/>
        </w:tc>
      </w:tr>
      <w:tr w:rsidR="00DD49A7" w:rsidRPr="006D40F0" w14:paraId="70CFD5B0" w14:textId="77777777">
        <w:trPr>
          <w:trHeight w:val="640"/>
        </w:trPr>
        <w:tc>
          <w:tcPr>
            <w:tcW w:w="680" w:type="dxa"/>
            <w:tcBorders>
              <w:top w:val="nil"/>
              <w:left w:val="nil"/>
              <w:bottom w:val="nil"/>
              <w:right w:val="nil"/>
            </w:tcBorders>
            <w:tcMar>
              <w:top w:w="128" w:type="dxa"/>
              <w:left w:w="43" w:type="dxa"/>
              <w:bottom w:w="43" w:type="dxa"/>
              <w:right w:w="43" w:type="dxa"/>
            </w:tcMar>
          </w:tcPr>
          <w:p w14:paraId="3CE24B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84001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3049120" w14:textId="77777777" w:rsidR="00575AC3" w:rsidRPr="006D40F0" w:rsidRDefault="00575AC3" w:rsidP="006D40F0">
            <w:r w:rsidRPr="006D40F0">
              <w:t xml:space="preserve">Forvaltningsutvikling, IT- og </w:t>
            </w:r>
            <w:proofErr w:type="spellStart"/>
            <w:r w:rsidRPr="006D40F0">
              <w:t>ekompolitikk</w:t>
            </w:r>
            <w:proofErr w:type="spellEnd"/>
            <w:r w:rsidRPr="006D40F0">
              <w:t xml:space="preserve">, </w:t>
            </w:r>
            <w:r w:rsidRPr="00575AC3">
              <w:rPr>
                <w:rStyle w:val="kursiv"/>
              </w:rPr>
              <w:t>kan nyttes under post 22,</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14074DC" w14:textId="77777777" w:rsidR="00575AC3" w:rsidRPr="006D40F0" w:rsidRDefault="00575AC3" w:rsidP="006D40F0">
            <w:r w:rsidRPr="006D40F0">
              <w:t>1 800 000</w:t>
            </w:r>
          </w:p>
        </w:tc>
      </w:tr>
      <w:tr w:rsidR="00DD49A7" w:rsidRPr="006D40F0" w14:paraId="7DCEDCDE" w14:textId="77777777">
        <w:trPr>
          <w:trHeight w:val="380"/>
        </w:trPr>
        <w:tc>
          <w:tcPr>
            <w:tcW w:w="680" w:type="dxa"/>
            <w:tcBorders>
              <w:top w:val="nil"/>
              <w:left w:val="nil"/>
              <w:bottom w:val="nil"/>
              <w:right w:val="nil"/>
            </w:tcBorders>
            <w:tcMar>
              <w:top w:w="128" w:type="dxa"/>
              <w:left w:w="43" w:type="dxa"/>
              <w:bottom w:w="43" w:type="dxa"/>
              <w:right w:w="43" w:type="dxa"/>
            </w:tcMar>
          </w:tcPr>
          <w:p w14:paraId="7045C2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5170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660971" w14:textId="77777777" w:rsidR="00575AC3" w:rsidRPr="006D40F0" w:rsidRDefault="00575AC3" w:rsidP="006D40F0">
            <w:r w:rsidRPr="006D40F0">
              <w:t>fra kr 34 908 000 til kr 36 708 000</w:t>
            </w:r>
          </w:p>
        </w:tc>
        <w:tc>
          <w:tcPr>
            <w:tcW w:w="1400" w:type="dxa"/>
            <w:tcBorders>
              <w:top w:val="nil"/>
              <w:left w:val="nil"/>
              <w:bottom w:val="nil"/>
              <w:right w:val="nil"/>
            </w:tcBorders>
            <w:tcMar>
              <w:top w:w="128" w:type="dxa"/>
              <w:left w:w="43" w:type="dxa"/>
              <w:bottom w:w="43" w:type="dxa"/>
              <w:right w:w="43" w:type="dxa"/>
            </w:tcMar>
            <w:vAlign w:val="bottom"/>
          </w:tcPr>
          <w:p w14:paraId="0F85099F" w14:textId="77777777" w:rsidR="00575AC3" w:rsidRPr="006D40F0" w:rsidRDefault="00575AC3" w:rsidP="006D40F0"/>
        </w:tc>
      </w:tr>
      <w:tr w:rsidR="00DD49A7" w:rsidRPr="006D40F0" w14:paraId="4AF59A73" w14:textId="77777777">
        <w:trPr>
          <w:trHeight w:val="380"/>
        </w:trPr>
        <w:tc>
          <w:tcPr>
            <w:tcW w:w="680" w:type="dxa"/>
            <w:tcBorders>
              <w:top w:val="nil"/>
              <w:left w:val="nil"/>
              <w:bottom w:val="nil"/>
              <w:right w:val="nil"/>
            </w:tcBorders>
            <w:tcMar>
              <w:top w:w="128" w:type="dxa"/>
              <w:left w:w="43" w:type="dxa"/>
              <w:bottom w:w="43" w:type="dxa"/>
              <w:right w:w="43" w:type="dxa"/>
            </w:tcMar>
          </w:tcPr>
          <w:p w14:paraId="03FC3520" w14:textId="77777777" w:rsidR="00575AC3" w:rsidRPr="006D40F0" w:rsidRDefault="00575AC3" w:rsidP="006D40F0">
            <w:r w:rsidRPr="006D40F0">
              <w:t>1542</w:t>
            </w:r>
          </w:p>
        </w:tc>
        <w:tc>
          <w:tcPr>
            <w:tcW w:w="680" w:type="dxa"/>
            <w:tcBorders>
              <w:top w:val="nil"/>
              <w:left w:val="nil"/>
              <w:bottom w:val="nil"/>
              <w:right w:val="nil"/>
            </w:tcBorders>
            <w:tcMar>
              <w:top w:w="128" w:type="dxa"/>
              <w:left w:w="43" w:type="dxa"/>
              <w:bottom w:w="43" w:type="dxa"/>
              <w:right w:w="43" w:type="dxa"/>
            </w:tcMar>
          </w:tcPr>
          <w:p w14:paraId="7D8EC57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3B6DCE" w14:textId="77777777" w:rsidR="00575AC3" w:rsidRPr="006D40F0" w:rsidRDefault="00575AC3" w:rsidP="006D40F0">
            <w:r w:rsidRPr="006D40F0">
              <w:t>Internasjonalt samarbeid:</w:t>
            </w:r>
          </w:p>
        </w:tc>
        <w:tc>
          <w:tcPr>
            <w:tcW w:w="1400" w:type="dxa"/>
            <w:tcBorders>
              <w:top w:val="nil"/>
              <w:left w:val="nil"/>
              <w:bottom w:val="nil"/>
              <w:right w:val="nil"/>
            </w:tcBorders>
            <w:tcMar>
              <w:top w:w="128" w:type="dxa"/>
              <w:left w:w="43" w:type="dxa"/>
              <w:bottom w:w="43" w:type="dxa"/>
              <w:right w:w="43" w:type="dxa"/>
            </w:tcMar>
            <w:vAlign w:val="bottom"/>
          </w:tcPr>
          <w:p w14:paraId="27F05B91" w14:textId="77777777" w:rsidR="00575AC3" w:rsidRPr="006D40F0" w:rsidRDefault="00575AC3" w:rsidP="006D40F0"/>
        </w:tc>
      </w:tr>
      <w:tr w:rsidR="00DD49A7" w:rsidRPr="006D40F0" w14:paraId="163E8667" w14:textId="77777777">
        <w:trPr>
          <w:trHeight w:val="380"/>
        </w:trPr>
        <w:tc>
          <w:tcPr>
            <w:tcW w:w="680" w:type="dxa"/>
            <w:tcBorders>
              <w:top w:val="nil"/>
              <w:left w:val="nil"/>
              <w:bottom w:val="nil"/>
              <w:right w:val="nil"/>
            </w:tcBorders>
            <w:tcMar>
              <w:top w:w="128" w:type="dxa"/>
              <w:left w:w="43" w:type="dxa"/>
              <w:bottom w:w="43" w:type="dxa"/>
              <w:right w:w="43" w:type="dxa"/>
            </w:tcMar>
          </w:tcPr>
          <w:p w14:paraId="4B33004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E9E56B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B72A4A5"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18231DE5" w14:textId="77777777" w:rsidR="00575AC3" w:rsidRPr="006D40F0" w:rsidRDefault="00575AC3" w:rsidP="006D40F0">
            <w:r w:rsidRPr="006D40F0">
              <w:t>1 500 000</w:t>
            </w:r>
          </w:p>
        </w:tc>
      </w:tr>
      <w:tr w:rsidR="00DD49A7" w:rsidRPr="006D40F0" w14:paraId="2BC95664" w14:textId="77777777">
        <w:trPr>
          <w:trHeight w:val="380"/>
        </w:trPr>
        <w:tc>
          <w:tcPr>
            <w:tcW w:w="680" w:type="dxa"/>
            <w:tcBorders>
              <w:top w:val="nil"/>
              <w:left w:val="nil"/>
              <w:bottom w:val="nil"/>
              <w:right w:val="nil"/>
            </w:tcBorders>
            <w:tcMar>
              <w:top w:w="128" w:type="dxa"/>
              <w:left w:w="43" w:type="dxa"/>
              <w:bottom w:w="43" w:type="dxa"/>
              <w:right w:w="43" w:type="dxa"/>
            </w:tcMar>
          </w:tcPr>
          <w:p w14:paraId="77B6D75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6FE7B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C1A3446" w14:textId="77777777" w:rsidR="00575AC3" w:rsidRPr="006D40F0" w:rsidRDefault="00575AC3" w:rsidP="006D40F0">
            <w:r w:rsidRPr="006D40F0">
              <w:t>fra kr 5 100 000 til kr 3 600 000</w:t>
            </w:r>
          </w:p>
        </w:tc>
        <w:tc>
          <w:tcPr>
            <w:tcW w:w="1400" w:type="dxa"/>
            <w:tcBorders>
              <w:top w:val="nil"/>
              <w:left w:val="nil"/>
              <w:bottom w:val="nil"/>
              <w:right w:val="nil"/>
            </w:tcBorders>
            <w:tcMar>
              <w:top w:w="128" w:type="dxa"/>
              <w:left w:w="43" w:type="dxa"/>
              <w:bottom w:w="43" w:type="dxa"/>
              <w:right w:w="43" w:type="dxa"/>
            </w:tcMar>
            <w:vAlign w:val="bottom"/>
          </w:tcPr>
          <w:p w14:paraId="04542984" w14:textId="77777777" w:rsidR="00575AC3" w:rsidRPr="006D40F0" w:rsidRDefault="00575AC3" w:rsidP="006D40F0"/>
        </w:tc>
      </w:tr>
      <w:tr w:rsidR="00DD49A7" w:rsidRPr="006D40F0" w14:paraId="5CD7FD73" w14:textId="77777777">
        <w:trPr>
          <w:trHeight w:val="380"/>
        </w:trPr>
        <w:tc>
          <w:tcPr>
            <w:tcW w:w="680" w:type="dxa"/>
            <w:tcBorders>
              <w:top w:val="nil"/>
              <w:left w:val="nil"/>
              <w:bottom w:val="nil"/>
              <w:right w:val="nil"/>
            </w:tcBorders>
            <w:tcMar>
              <w:top w:w="128" w:type="dxa"/>
              <w:left w:w="43" w:type="dxa"/>
              <w:bottom w:w="43" w:type="dxa"/>
              <w:right w:w="43" w:type="dxa"/>
            </w:tcMar>
          </w:tcPr>
          <w:p w14:paraId="6603FEF6" w14:textId="77777777" w:rsidR="00575AC3" w:rsidRPr="006D40F0" w:rsidRDefault="00575AC3" w:rsidP="006D40F0">
            <w:r w:rsidRPr="006D40F0">
              <w:t>1543</w:t>
            </w:r>
          </w:p>
        </w:tc>
        <w:tc>
          <w:tcPr>
            <w:tcW w:w="680" w:type="dxa"/>
            <w:tcBorders>
              <w:top w:val="nil"/>
              <w:left w:val="nil"/>
              <w:bottom w:val="nil"/>
              <w:right w:val="nil"/>
            </w:tcBorders>
            <w:tcMar>
              <w:top w:w="128" w:type="dxa"/>
              <w:left w:w="43" w:type="dxa"/>
              <w:bottom w:w="43" w:type="dxa"/>
              <w:right w:w="43" w:type="dxa"/>
            </w:tcMar>
          </w:tcPr>
          <w:p w14:paraId="42590BE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D2A1293" w14:textId="77777777" w:rsidR="00575AC3" w:rsidRPr="006D40F0" w:rsidRDefault="00575AC3" w:rsidP="006D40F0">
            <w:r w:rsidRPr="006D40F0">
              <w:t>Nasjonal kommunikasjonsmyndighet:</w:t>
            </w:r>
          </w:p>
        </w:tc>
        <w:tc>
          <w:tcPr>
            <w:tcW w:w="1400" w:type="dxa"/>
            <w:tcBorders>
              <w:top w:val="nil"/>
              <w:left w:val="nil"/>
              <w:bottom w:val="nil"/>
              <w:right w:val="nil"/>
            </w:tcBorders>
            <w:tcMar>
              <w:top w:w="128" w:type="dxa"/>
              <w:left w:w="43" w:type="dxa"/>
              <w:bottom w:w="43" w:type="dxa"/>
              <w:right w:w="43" w:type="dxa"/>
            </w:tcMar>
            <w:vAlign w:val="bottom"/>
          </w:tcPr>
          <w:p w14:paraId="02178F10" w14:textId="77777777" w:rsidR="00575AC3" w:rsidRPr="006D40F0" w:rsidRDefault="00575AC3" w:rsidP="006D40F0"/>
        </w:tc>
      </w:tr>
      <w:tr w:rsidR="00DD49A7" w:rsidRPr="006D40F0" w14:paraId="141E1C4A" w14:textId="77777777">
        <w:trPr>
          <w:trHeight w:val="380"/>
        </w:trPr>
        <w:tc>
          <w:tcPr>
            <w:tcW w:w="680" w:type="dxa"/>
            <w:tcBorders>
              <w:top w:val="nil"/>
              <w:left w:val="nil"/>
              <w:bottom w:val="nil"/>
              <w:right w:val="nil"/>
            </w:tcBorders>
            <w:tcMar>
              <w:top w:w="128" w:type="dxa"/>
              <w:left w:w="43" w:type="dxa"/>
              <w:bottom w:w="43" w:type="dxa"/>
              <w:right w:w="43" w:type="dxa"/>
            </w:tcMar>
          </w:tcPr>
          <w:p w14:paraId="65231E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F4905A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F69B931" w14:textId="77777777" w:rsidR="00575AC3" w:rsidRPr="006D40F0" w:rsidRDefault="00575AC3" w:rsidP="006D40F0">
            <w:r w:rsidRPr="006D40F0">
              <w:t xml:space="preserve">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5F2867D" w14:textId="77777777" w:rsidR="00575AC3" w:rsidRPr="006D40F0" w:rsidRDefault="00575AC3" w:rsidP="006D40F0">
            <w:r w:rsidRPr="006D40F0">
              <w:t>1 321 000</w:t>
            </w:r>
          </w:p>
        </w:tc>
      </w:tr>
      <w:tr w:rsidR="00DD49A7" w:rsidRPr="006D40F0" w14:paraId="1C8B4FE8" w14:textId="77777777">
        <w:trPr>
          <w:trHeight w:val="380"/>
        </w:trPr>
        <w:tc>
          <w:tcPr>
            <w:tcW w:w="680" w:type="dxa"/>
            <w:tcBorders>
              <w:top w:val="nil"/>
              <w:left w:val="nil"/>
              <w:bottom w:val="nil"/>
              <w:right w:val="nil"/>
            </w:tcBorders>
            <w:tcMar>
              <w:top w:w="128" w:type="dxa"/>
              <w:left w:w="43" w:type="dxa"/>
              <w:bottom w:w="43" w:type="dxa"/>
              <w:right w:w="43" w:type="dxa"/>
            </w:tcMar>
          </w:tcPr>
          <w:p w14:paraId="6230032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F682F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0BA26A" w14:textId="77777777" w:rsidR="00575AC3" w:rsidRPr="006D40F0" w:rsidRDefault="00575AC3" w:rsidP="006D40F0">
            <w:r w:rsidRPr="006D40F0">
              <w:t>fra kr 260 092 000 til kr 261 413 000</w:t>
            </w:r>
          </w:p>
        </w:tc>
        <w:tc>
          <w:tcPr>
            <w:tcW w:w="1400" w:type="dxa"/>
            <w:tcBorders>
              <w:top w:val="nil"/>
              <w:left w:val="nil"/>
              <w:bottom w:val="nil"/>
              <w:right w:val="nil"/>
            </w:tcBorders>
            <w:tcMar>
              <w:top w:w="128" w:type="dxa"/>
              <w:left w:w="43" w:type="dxa"/>
              <w:bottom w:w="43" w:type="dxa"/>
              <w:right w:w="43" w:type="dxa"/>
            </w:tcMar>
            <w:vAlign w:val="bottom"/>
          </w:tcPr>
          <w:p w14:paraId="4B627E12" w14:textId="77777777" w:rsidR="00575AC3" w:rsidRPr="006D40F0" w:rsidRDefault="00575AC3" w:rsidP="006D40F0"/>
        </w:tc>
      </w:tr>
      <w:tr w:rsidR="00DD49A7" w:rsidRPr="006D40F0" w14:paraId="6495D4E4" w14:textId="77777777">
        <w:trPr>
          <w:trHeight w:val="380"/>
        </w:trPr>
        <w:tc>
          <w:tcPr>
            <w:tcW w:w="680" w:type="dxa"/>
            <w:tcBorders>
              <w:top w:val="nil"/>
              <w:left w:val="nil"/>
              <w:bottom w:val="nil"/>
              <w:right w:val="nil"/>
            </w:tcBorders>
            <w:tcMar>
              <w:top w:w="128" w:type="dxa"/>
              <w:left w:w="43" w:type="dxa"/>
              <w:bottom w:w="43" w:type="dxa"/>
              <w:right w:w="43" w:type="dxa"/>
            </w:tcMar>
          </w:tcPr>
          <w:p w14:paraId="2785492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5531A4"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425E48CE" w14:textId="77777777" w:rsidR="00575AC3" w:rsidRPr="006D40F0" w:rsidRDefault="00575AC3" w:rsidP="006D40F0">
            <w:r w:rsidRPr="006D40F0">
              <w:t xml:space="preserve">Funksjonell internettilgang til alle,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61BD3B7" w14:textId="77777777" w:rsidR="00575AC3" w:rsidRPr="006D40F0" w:rsidRDefault="00575AC3" w:rsidP="006D40F0">
            <w:r w:rsidRPr="006D40F0">
              <w:t>10 000 000</w:t>
            </w:r>
          </w:p>
        </w:tc>
      </w:tr>
      <w:tr w:rsidR="00DD49A7" w:rsidRPr="006D40F0" w14:paraId="03F3AE6C" w14:textId="77777777">
        <w:trPr>
          <w:trHeight w:val="380"/>
        </w:trPr>
        <w:tc>
          <w:tcPr>
            <w:tcW w:w="680" w:type="dxa"/>
            <w:tcBorders>
              <w:top w:val="nil"/>
              <w:left w:val="nil"/>
              <w:bottom w:val="nil"/>
              <w:right w:val="nil"/>
            </w:tcBorders>
            <w:tcMar>
              <w:top w:w="128" w:type="dxa"/>
              <w:left w:w="43" w:type="dxa"/>
              <w:bottom w:w="43" w:type="dxa"/>
              <w:right w:w="43" w:type="dxa"/>
            </w:tcMar>
          </w:tcPr>
          <w:p w14:paraId="63151E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4493E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EACC1A" w14:textId="77777777" w:rsidR="00575AC3" w:rsidRPr="006D40F0" w:rsidRDefault="00575AC3" w:rsidP="006D40F0">
            <w:r w:rsidRPr="006D40F0">
              <w:t>fra kr 10 573 000 til kr 573 000</w:t>
            </w:r>
          </w:p>
        </w:tc>
        <w:tc>
          <w:tcPr>
            <w:tcW w:w="1400" w:type="dxa"/>
            <w:tcBorders>
              <w:top w:val="nil"/>
              <w:left w:val="nil"/>
              <w:bottom w:val="nil"/>
              <w:right w:val="nil"/>
            </w:tcBorders>
            <w:tcMar>
              <w:top w:w="128" w:type="dxa"/>
              <w:left w:w="43" w:type="dxa"/>
              <w:bottom w:w="43" w:type="dxa"/>
              <w:right w:w="43" w:type="dxa"/>
            </w:tcMar>
            <w:vAlign w:val="bottom"/>
          </w:tcPr>
          <w:p w14:paraId="23A4CA5A" w14:textId="77777777" w:rsidR="00575AC3" w:rsidRPr="006D40F0" w:rsidRDefault="00575AC3" w:rsidP="006D40F0"/>
        </w:tc>
      </w:tr>
      <w:tr w:rsidR="00DD49A7" w:rsidRPr="006D40F0" w14:paraId="09B31F79" w14:textId="77777777">
        <w:trPr>
          <w:trHeight w:val="380"/>
        </w:trPr>
        <w:tc>
          <w:tcPr>
            <w:tcW w:w="680" w:type="dxa"/>
            <w:tcBorders>
              <w:top w:val="nil"/>
              <w:left w:val="nil"/>
              <w:bottom w:val="nil"/>
              <w:right w:val="nil"/>
            </w:tcBorders>
            <w:tcMar>
              <w:top w:w="128" w:type="dxa"/>
              <w:left w:w="43" w:type="dxa"/>
              <w:bottom w:w="43" w:type="dxa"/>
              <w:right w:w="43" w:type="dxa"/>
            </w:tcMar>
          </w:tcPr>
          <w:p w14:paraId="367722E7" w14:textId="77777777" w:rsidR="00575AC3" w:rsidRPr="006D40F0" w:rsidRDefault="00575AC3" w:rsidP="006D40F0">
            <w:r w:rsidRPr="006D40F0">
              <w:t>1560</w:t>
            </w:r>
          </w:p>
        </w:tc>
        <w:tc>
          <w:tcPr>
            <w:tcW w:w="680" w:type="dxa"/>
            <w:tcBorders>
              <w:top w:val="nil"/>
              <w:left w:val="nil"/>
              <w:bottom w:val="nil"/>
              <w:right w:val="nil"/>
            </w:tcBorders>
            <w:tcMar>
              <w:top w:w="128" w:type="dxa"/>
              <w:left w:w="43" w:type="dxa"/>
              <w:bottom w:w="43" w:type="dxa"/>
              <w:right w:w="43" w:type="dxa"/>
            </w:tcMar>
          </w:tcPr>
          <w:p w14:paraId="1382BE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9C792E8" w14:textId="77777777" w:rsidR="00575AC3" w:rsidRPr="006D40F0" w:rsidRDefault="00575AC3" w:rsidP="006D40F0">
            <w:proofErr w:type="spellStart"/>
            <w:r w:rsidRPr="006D40F0">
              <w:t>Tariffavtalte</w:t>
            </w:r>
            <w:proofErr w:type="spellEnd"/>
            <w:r w:rsidRPr="006D40F0">
              <w:t xml:space="preserve"> avsetninger mv.:</w:t>
            </w:r>
          </w:p>
        </w:tc>
        <w:tc>
          <w:tcPr>
            <w:tcW w:w="1400" w:type="dxa"/>
            <w:tcBorders>
              <w:top w:val="nil"/>
              <w:left w:val="nil"/>
              <w:bottom w:val="nil"/>
              <w:right w:val="nil"/>
            </w:tcBorders>
            <w:tcMar>
              <w:top w:w="128" w:type="dxa"/>
              <w:left w:w="43" w:type="dxa"/>
              <w:bottom w:w="43" w:type="dxa"/>
              <w:right w:w="43" w:type="dxa"/>
            </w:tcMar>
            <w:vAlign w:val="bottom"/>
          </w:tcPr>
          <w:p w14:paraId="185B82BC" w14:textId="77777777" w:rsidR="00575AC3" w:rsidRPr="006D40F0" w:rsidRDefault="00575AC3" w:rsidP="006D40F0"/>
        </w:tc>
      </w:tr>
      <w:tr w:rsidR="00DD49A7" w:rsidRPr="006D40F0" w14:paraId="28082D34" w14:textId="77777777">
        <w:trPr>
          <w:trHeight w:val="380"/>
        </w:trPr>
        <w:tc>
          <w:tcPr>
            <w:tcW w:w="680" w:type="dxa"/>
            <w:tcBorders>
              <w:top w:val="nil"/>
              <w:left w:val="nil"/>
              <w:bottom w:val="nil"/>
              <w:right w:val="nil"/>
            </w:tcBorders>
            <w:tcMar>
              <w:top w:w="128" w:type="dxa"/>
              <w:left w:w="43" w:type="dxa"/>
              <w:bottom w:w="43" w:type="dxa"/>
              <w:right w:w="43" w:type="dxa"/>
            </w:tcMar>
          </w:tcPr>
          <w:p w14:paraId="37CB08C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1C6707"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73A93BE0" w14:textId="77777777" w:rsidR="00575AC3" w:rsidRPr="006D40F0" w:rsidRDefault="00575AC3" w:rsidP="006D40F0">
            <w:r w:rsidRPr="006D40F0">
              <w:t>Pensjonskostnader tjenestemannsorganisasjonene, forhøyes med</w:t>
            </w:r>
          </w:p>
        </w:tc>
        <w:tc>
          <w:tcPr>
            <w:tcW w:w="1400" w:type="dxa"/>
            <w:tcBorders>
              <w:top w:val="nil"/>
              <w:left w:val="nil"/>
              <w:bottom w:val="nil"/>
              <w:right w:val="nil"/>
            </w:tcBorders>
            <w:tcMar>
              <w:top w:w="128" w:type="dxa"/>
              <w:left w:w="43" w:type="dxa"/>
              <w:bottom w:w="43" w:type="dxa"/>
              <w:right w:w="43" w:type="dxa"/>
            </w:tcMar>
            <w:vAlign w:val="bottom"/>
          </w:tcPr>
          <w:p w14:paraId="3E6AF365" w14:textId="77777777" w:rsidR="00575AC3" w:rsidRPr="006D40F0" w:rsidRDefault="00575AC3" w:rsidP="006D40F0">
            <w:r w:rsidRPr="006D40F0">
              <w:t>1 500 000</w:t>
            </w:r>
          </w:p>
        </w:tc>
      </w:tr>
      <w:tr w:rsidR="00DD49A7" w:rsidRPr="006D40F0" w14:paraId="260077CB" w14:textId="77777777">
        <w:trPr>
          <w:trHeight w:val="380"/>
        </w:trPr>
        <w:tc>
          <w:tcPr>
            <w:tcW w:w="680" w:type="dxa"/>
            <w:tcBorders>
              <w:top w:val="nil"/>
              <w:left w:val="nil"/>
              <w:bottom w:val="nil"/>
              <w:right w:val="nil"/>
            </w:tcBorders>
            <w:tcMar>
              <w:top w:w="128" w:type="dxa"/>
              <w:left w:w="43" w:type="dxa"/>
              <w:bottom w:w="43" w:type="dxa"/>
              <w:right w:w="43" w:type="dxa"/>
            </w:tcMar>
          </w:tcPr>
          <w:p w14:paraId="5CBAF0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ADB73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5B70D5" w14:textId="77777777" w:rsidR="00575AC3" w:rsidRPr="006D40F0" w:rsidRDefault="00575AC3" w:rsidP="006D40F0">
            <w:r w:rsidRPr="006D40F0">
              <w:t>fra kr 43 000 000 til kr 44 500 000</w:t>
            </w:r>
          </w:p>
        </w:tc>
        <w:tc>
          <w:tcPr>
            <w:tcW w:w="1400" w:type="dxa"/>
            <w:tcBorders>
              <w:top w:val="nil"/>
              <w:left w:val="nil"/>
              <w:bottom w:val="nil"/>
              <w:right w:val="nil"/>
            </w:tcBorders>
            <w:tcMar>
              <w:top w:w="128" w:type="dxa"/>
              <w:left w:w="43" w:type="dxa"/>
              <w:bottom w:w="43" w:type="dxa"/>
              <w:right w:w="43" w:type="dxa"/>
            </w:tcMar>
            <w:vAlign w:val="bottom"/>
          </w:tcPr>
          <w:p w14:paraId="600474C4" w14:textId="77777777" w:rsidR="00575AC3" w:rsidRPr="006D40F0" w:rsidRDefault="00575AC3" w:rsidP="006D40F0"/>
        </w:tc>
      </w:tr>
      <w:tr w:rsidR="00DD49A7" w:rsidRPr="006D40F0" w14:paraId="2BA84D92" w14:textId="77777777">
        <w:trPr>
          <w:trHeight w:val="380"/>
        </w:trPr>
        <w:tc>
          <w:tcPr>
            <w:tcW w:w="680" w:type="dxa"/>
            <w:tcBorders>
              <w:top w:val="nil"/>
              <w:left w:val="nil"/>
              <w:bottom w:val="nil"/>
              <w:right w:val="nil"/>
            </w:tcBorders>
            <w:tcMar>
              <w:top w:w="128" w:type="dxa"/>
              <w:left w:w="43" w:type="dxa"/>
              <w:bottom w:w="43" w:type="dxa"/>
              <w:right w:w="43" w:type="dxa"/>
            </w:tcMar>
          </w:tcPr>
          <w:p w14:paraId="7B00727F" w14:textId="77777777" w:rsidR="00575AC3" w:rsidRPr="006D40F0" w:rsidRDefault="00575AC3" w:rsidP="006D40F0">
            <w:r w:rsidRPr="006D40F0">
              <w:t>1565</w:t>
            </w:r>
          </w:p>
        </w:tc>
        <w:tc>
          <w:tcPr>
            <w:tcW w:w="680" w:type="dxa"/>
            <w:tcBorders>
              <w:top w:val="nil"/>
              <w:left w:val="nil"/>
              <w:bottom w:val="nil"/>
              <w:right w:val="nil"/>
            </w:tcBorders>
            <w:tcMar>
              <w:top w:w="128" w:type="dxa"/>
              <w:left w:w="43" w:type="dxa"/>
              <w:bottom w:w="43" w:type="dxa"/>
              <w:right w:w="43" w:type="dxa"/>
            </w:tcMar>
          </w:tcPr>
          <w:p w14:paraId="5B35647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5C7D5B" w14:textId="77777777" w:rsidR="00575AC3" w:rsidRPr="006D40F0" w:rsidRDefault="00575AC3" w:rsidP="006D40F0">
            <w:r w:rsidRPr="006D40F0">
              <w:t>Boliglånsordningen i Statens pensjonskasse:</w:t>
            </w:r>
          </w:p>
        </w:tc>
        <w:tc>
          <w:tcPr>
            <w:tcW w:w="1400" w:type="dxa"/>
            <w:tcBorders>
              <w:top w:val="nil"/>
              <w:left w:val="nil"/>
              <w:bottom w:val="nil"/>
              <w:right w:val="nil"/>
            </w:tcBorders>
            <w:tcMar>
              <w:top w:w="128" w:type="dxa"/>
              <w:left w:w="43" w:type="dxa"/>
              <w:bottom w:w="43" w:type="dxa"/>
              <w:right w:w="43" w:type="dxa"/>
            </w:tcMar>
            <w:vAlign w:val="bottom"/>
          </w:tcPr>
          <w:p w14:paraId="3941C827" w14:textId="77777777" w:rsidR="00575AC3" w:rsidRPr="006D40F0" w:rsidRDefault="00575AC3" w:rsidP="006D40F0"/>
        </w:tc>
      </w:tr>
      <w:tr w:rsidR="00DD49A7" w:rsidRPr="006D40F0" w14:paraId="15A3C848" w14:textId="77777777">
        <w:trPr>
          <w:trHeight w:val="380"/>
        </w:trPr>
        <w:tc>
          <w:tcPr>
            <w:tcW w:w="680" w:type="dxa"/>
            <w:tcBorders>
              <w:top w:val="nil"/>
              <w:left w:val="nil"/>
              <w:bottom w:val="nil"/>
              <w:right w:val="nil"/>
            </w:tcBorders>
            <w:tcMar>
              <w:top w:w="128" w:type="dxa"/>
              <w:left w:w="43" w:type="dxa"/>
              <w:bottom w:w="43" w:type="dxa"/>
              <w:right w:w="43" w:type="dxa"/>
            </w:tcMar>
          </w:tcPr>
          <w:p w14:paraId="72B4A5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4C0899"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AF28C0E"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5F3D0F3" w14:textId="77777777" w:rsidR="00575AC3" w:rsidRPr="006D40F0" w:rsidRDefault="00575AC3" w:rsidP="006D40F0">
            <w:r w:rsidRPr="006D40F0">
              <w:t>5 000 000</w:t>
            </w:r>
          </w:p>
        </w:tc>
      </w:tr>
      <w:tr w:rsidR="00DD49A7" w:rsidRPr="006D40F0" w14:paraId="511411A2" w14:textId="77777777">
        <w:trPr>
          <w:trHeight w:val="380"/>
        </w:trPr>
        <w:tc>
          <w:tcPr>
            <w:tcW w:w="680" w:type="dxa"/>
            <w:tcBorders>
              <w:top w:val="nil"/>
              <w:left w:val="nil"/>
              <w:bottom w:val="nil"/>
              <w:right w:val="nil"/>
            </w:tcBorders>
            <w:tcMar>
              <w:top w:w="128" w:type="dxa"/>
              <w:left w:w="43" w:type="dxa"/>
              <w:bottom w:w="43" w:type="dxa"/>
              <w:right w:w="43" w:type="dxa"/>
            </w:tcMar>
          </w:tcPr>
          <w:p w14:paraId="4747290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FFCE3B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B85025" w14:textId="77777777" w:rsidR="00575AC3" w:rsidRPr="006D40F0" w:rsidRDefault="00575AC3" w:rsidP="006D40F0">
            <w:r w:rsidRPr="006D40F0">
              <w:t>fra kr 52 000 000 til kr 57 000 000</w:t>
            </w:r>
          </w:p>
        </w:tc>
        <w:tc>
          <w:tcPr>
            <w:tcW w:w="1400" w:type="dxa"/>
            <w:tcBorders>
              <w:top w:val="nil"/>
              <w:left w:val="nil"/>
              <w:bottom w:val="nil"/>
              <w:right w:val="nil"/>
            </w:tcBorders>
            <w:tcMar>
              <w:top w:w="128" w:type="dxa"/>
              <w:left w:w="43" w:type="dxa"/>
              <w:bottom w:w="43" w:type="dxa"/>
              <w:right w:w="43" w:type="dxa"/>
            </w:tcMar>
            <w:vAlign w:val="bottom"/>
          </w:tcPr>
          <w:p w14:paraId="00E7A0E5" w14:textId="77777777" w:rsidR="00575AC3" w:rsidRPr="006D40F0" w:rsidRDefault="00575AC3" w:rsidP="006D40F0"/>
        </w:tc>
      </w:tr>
      <w:tr w:rsidR="00DD49A7" w:rsidRPr="006D40F0" w14:paraId="324F081A" w14:textId="77777777">
        <w:trPr>
          <w:trHeight w:val="380"/>
        </w:trPr>
        <w:tc>
          <w:tcPr>
            <w:tcW w:w="680" w:type="dxa"/>
            <w:tcBorders>
              <w:top w:val="nil"/>
              <w:left w:val="nil"/>
              <w:bottom w:val="nil"/>
              <w:right w:val="nil"/>
            </w:tcBorders>
            <w:tcMar>
              <w:top w:w="128" w:type="dxa"/>
              <w:left w:w="43" w:type="dxa"/>
              <w:bottom w:w="43" w:type="dxa"/>
              <w:right w:w="43" w:type="dxa"/>
            </w:tcMar>
          </w:tcPr>
          <w:p w14:paraId="09F566A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6F915F"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2128C3A7" w14:textId="77777777" w:rsidR="00575AC3" w:rsidRPr="006D40F0" w:rsidRDefault="00575AC3" w:rsidP="006D40F0">
            <w:r w:rsidRPr="006D40F0">
              <w:t xml:space="preserve">Utlån,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3E6A4DA" w14:textId="77777777" w:rsidR="00575AC3" w:rsidRPr="006D40F0" w:rsidRDefault="00575AC3" w:rsidP="006D40F0">
            <w:r w:rsidRPr="006D40F0">
              <w:t>2 800 000 000</w:t>
            </w:r>
          </w:p>
        </w:tc>
      </w:tr>
      <w:tr w:rsidR="00DD49A7" w:rsidRPr="006D40F0" w14:paraId="69CFAD7B" w14:textId="77777777">
        <w:trPr>
          <w:trHeight w:val="380"/>
        </w:trPr>
        <w:tc>
          <w:tcPr>
            <w:tcW w:w="680" w:type="dxa"/>
            <w:tcBorders>
              <w:top w:val="nil"/>
              <w:left w:val="nil"/>
              <w:bottom w:val="nil"/>
              <w:right w:val="nil"/>
            </w:tcBorders>
            <w:tcMar>
              <w:top w:w="128" w:type="dxa"/>
              <w:left w:w="43" w:type="dxa"/>
              <w:bottom w:w="43" w:type="dxa"/>
              <w:right w:w="43" w:type="dxa"/>
            </w:tcMar>
          </w:tcPr>
          <w:p w14:paraId="1CF69D2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F85EA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53F2F3" w14:textId="77777777" w:rsidR="00575AC3" w:rsidRPr="006D40F0" w:rsidRDefault="00575AC3" w:rsidP="006D40F0">
            <w:r w:rsidRPr="006D40F0">
              <w:t>fra kr 19 400 000 000 til kr 22 200 000 000</w:t>
            </w:r>
          </w:p>
        </w:tc>
        <w:tc>
          <w:tcPr>
            <w:tcW w:w="1400" w:type="dxa"/>
            <w:tcBorders>
              <w:top w:val="nil"/>
              <w:left w:val="nil"/>
              <w:bottom w:val="nil"/>
              <w:right w:val="nil"/>
            </w:tcBorders>
            <w:tcMar>
              <w:top w:w="128" w:type="dxa"/>
              <w:left w:w="43" w:type="dxa"/>
              <w:bottom w:w="43" w:type="dxa"/>
              <w:right w:w="43" w:type="dxa"/>
            </w:tcMar>
            <w:vAlign w:val="bottom"/>
          </w:tcPr>
          <w:p w14:paraId="299C3CA7" w14:textId="77777777" w:rsidR="00575AC3" w:rsidRPr="006D40F0" w:rsidRDefault="00575AC3" w:rsidP="006D40F0"/>
        </w:tc>
      </w:tr>
      <w:tr w:rsidR="00DD49A7" w:rsidRPr="006D40F0" w14:paraId="44DB8724" w14:textId="77777777">
        <w:trPr>
          <w:trHeight w:val="380"/>
        </w:trPr>
        <w:tc>
          <w:tcPr>
            <w:tcW w:w="680" w:type="dxa"/>
            <w:tcBorders>
              <w:top w:val="nil"/>
              <w:left w:val="nil"/>
              <w:bottom w:val="nil"/>
              <w:right w:val="nil"/>
            </w:tcBorders>
            <w:tcMar>
              <w:top w:w="128" w:type="dxa"/>
              <w:left w:w="43" w:type="dxa"/>
              <w:bottom w:w="43" w:type="dxa"/>
              <w:right w:w="43" w:type="dxa"/>
            </w:tcMar>
          </w:tcPr>
          <w:p w14:paraId="5F3F2737" w14:textId="77777777" w:rsidR="00575AC3" w:rsidRPr="006D40F0" w:rsidRDefault="00575AC3" w:rsidP="006D40F0">
            <w:r w:rsidRPr="006D40F0">
              <w:t>1567</w:t>
            </w:r>
          </w:p>
        </w:tc>
        <w:tc>
          <w:tcPr>
            <w:tcW w:w="680" w:type="dxa"/>
            <w:tcBorders>
              <w:top w:val="nil"/>
              <w:left w:val="nil"/>
              <w:bottom w:val="nil"/>
              <w:right w:val="nil"/>
            </w:tcBorders>
            <w:tcMar>
              <w:top w:w="128" w:type="dxa"/>
              <w:left w:w="43" w:type="dxa"/>
              <w:bottom w:w="43" w:type="dxa"/>
              <w:right w:w="43" w:type="dxa"/>
            </w:tcMar>
          </w:tcPr>
          <w:p w14:paraId="14D0598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073CC7" w14:textId="77777777" w:rsidR="00575AC3" w:rsidRPr="006D40F0" w:rsidRDefault="00575AC3" w:rsidP="006D40F0">
            <w:r w:rsidRPr="006D40F0">
              <w:t>Gruppelivsforsikring:</w:t>
            </w:r>
          </w:p>
        </w:tc>
        <w:tc>
          <w:tcPr>
            <w:tcW w:w="1400" w:type="dxa"/>
            <w:tcBorders>
              <w:top w:val="nil"/>
              <w:left w:val="nil"/>
              <w:bottom w:val="nil"/>
              <w:right w:val="nil"/>
            </w:tcBorders>
            <w:tcMar>
              <w:top w:w="128" w:type="dxa"/>
              <w:left w:w="43" w:type="dxa"/>
              <w:bottom w:w="43" w:type="dxa"/>
              <w:right w:w="43" w:type="dxa"/>
            </w:tcMar>
            <w:vAlign w:val="bottom"/>
          </w:tcPr>
          <w:p w14:paraId="68B362A0" w14:textId="77777777" w:rsidR="00575AC3" w:rsidRPr="006D40F0" w:rsidRDefault="00575AC3" w:rsidP="006D40F0"/>
        </w:tc>
      </w:tr>
      <w:tr w:rsidR="00DD49A7" w:rsidRPr="006D40F0" w14:paraId="3C5C02BD" w14:textId="77777777">
        <w:trPr>
          <w:trHeight w:val="380"/>
        </w:trPr>
        <w:tc>
          <w:tcPr>
            <w:tcW w:w="680" w:type="dxa"/>
            <w:tcBorders>
              <w:top w:val="nil"/>
              <w:left w:val="nil"/>
              <w:bottom w:val="nil"/>
              <w:right w:val="nil"/>
            </w:tcBorders>
            <w:tcMar>
              <w:top w:w="128" w:type="dxa"/>
              <w:left w:w="43" w:type="dxa"/>
              <w:bottom w:w="43" w:type="dxa"/>
              <w:right w:w="43" w:type="dxa"/>
            </w:tcMar>
          </w:tcPr>
          <w:p w14:paraId="34DC42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013A1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71D9D8E" w14:textId="77777777" w:rsidR="00575AC3" w:rsidRPr="006D40F0" w:rsidRDefault="00575AC3" w:rsidP="006D40F0">
            <w:r w:rsidRPr="006D40F0">
              <w:t xml:space="preserve">Driftsutgifter,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6322256" w14:textId="77777777" w:rsidR="00575AC3" w:rsidRPr="006D40F0" w:rsidRDefault="00575AC3" w:rsidP="006D40F0">
            <w:r w:rsidRPr="006D40F0">
              <w:t>16 000 000</w:t>
            </w:r>
          </w:p>
        </w:tc>
      </w:tr>
      <w:tr w:rsidR="00DD49A7" w:rsidRPr="006D40F0" w14:paraId="19125EAB" w14:textId="77777777">
        <w:trPr>
          <w:trHeight w:val="380"/>
        </w:trPr>
        <w:tc>
          <w:tcPr>
            <w:tcW w:w="680" w:type="dxa"/>
            <w:tcBorders>
              <w:top w:val="nil"/>
              <w:left w:val="nil"/>
              <w:bottom w:val="nil"/>
              <w:right w:val="nil"/>
            </w:tcBorders>
            <w:tcMar>
              <w:top w:w="128" w:type="dxa"/>
              <w:left w:w="43" w:type="dxa"/>
              <w:bottom w:w="43" w:type="dxa"/>
              <w:right w:w="43" w:type="dxa"/>
            </w:tcMar>
          </w:tcPr>
          <w:p w14:paraId="30E1E5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29701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BED305" w14:textId="77777777" w:rsidR="00575AC3" w:rsidRPr="006D40F0" w:rsidRDefault="00575AC3" w:rsidP="006D40F0">
            <w:r w:rsidRPr="006D40F0">
              <w:t>fra kr 240 000 000 til kr 256 000 000</w:t>
            </w:r>
          </w:p>
        </w:tc>
        <w:tc>
          <w:tcPr>
            <w:tcW w:w="1400" w:type="dxa"/>
            <w:tcBorders>
              <w:top w:val="nil"/>
              <w:left w:val="nil"/>
              <w:bottom w:val="nil"/>
              <w:right w:val="nil"/>
            </w:tcBorders>
            <w:tcMar>
              <w:top w:w="128" w:type="dxa"/>
              <w:left w:w="43" w:type="dxa"/>
              <w:bottom w:w="43" w:type="dxa"/>
              <w:right w:w="43" w:type="dxa"/>
            </w:tcMar>
            <w:vAlign w:val="bottom"/>
          </w:tcPr>
          <w:p w14:paraId="10B20910" w14:textId="77777777" w:rsidR="00575AC3" w:rsidRPr="006D40F0" w:rsidRDefault="00575AC3" w:rsidP="006D40F0"/>
        </w:tc>
      </w:tr>
      <w:tr w:rsidR="00DD49A7" w:rsidRPr="006D40F0" w14:paraId="3C0F9638" w14:textId="77777777">
        <w:trPr>
          <w:trHeight w:val="380"/>
        </w:trPr>
        <w:tc>
          <w:tcPr>
            <w:tcW w:w="680" w:type="dxa"/>
            <w:tcBorders>
              <w:top w:val="nil"/>
              <w:left w:val="nil"/>
              <w:bottom w:val="nil"/>
              <w:right w:val="nil"/>
            </w:tcBorders>
            <w:tcMar>
              <w:top w:w="128" w:type="dxa"/>
              <w:left w:w="43" w:type="dxa"/>
              <w:bottom w:w="43" w:type="dxa"/>
              <w:right w:w="43" w:type="dxa"/>
            </w:tcMar>
          </w:tcPr>
          <w:p w14:paraId="70C684E9" w14:textId="77777777" w:rsidR="00575AC3" w:rsidRPr="006D40F0" w:rsidRDefault="00575AC3" w:rsidP="006D40F0">
            <w:r w:rsidRPr="006D40F0">
              <w:t>1600</w:t>
            </w:r>
          </w:p>
        </w:tc>
        <w:tc>
          <w:tcPr>
            <w:tcW w:w="680" w:type="dxa"/>
            <w:tcBorders>
              <w:top w:val="nil"/>
              <w:left w:val="nil"/>
              <w:bottom w:val="nil"/>
              <w:right w:val="nil"/>
            </w:tcBorders>
            <w:tcMar>
              <w:top w:w="128" w:type="dxa"/>
              <w:left w:w="43" w:type="dxa"/>
              <w:bottom w:w="43" w:type="dxa"/>
              <w:right w:w="43" w:type="dxa"/>
            </w:tcMar>
          </w:tcPr>
          <w:p w14:paraId="0AE5C0B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1F7092" w14:textId="77777777" w:rsidR="00575AC3" w:rsidRPr="006D40F0" w:rsidRDefault="00575AC3" w:rsidP="006D40F0">
            <w:r w:rsidRPr="006D40F0">
              <w:t>Finansdepartementet:</w:t>
            </w:r>
          </w:p>
        </w:tc>
        <w:tc>
          <w:tcPr>
            <w:tcW w:w="1400" w:type="dxa"/>
            <w:tcBorders>
              <w:top w:val="nil"/>
              <w:left w:val="nil"/>
              <w:bottom w:val="nil"/>
              <w:right w:val="nil"/>
            </w:tcBorders>
            <w:tcMar>
              <w:top w:w="128" w:type="dxa"/>
              <w:left w:w="43" w:type="dxa"/>
              <w:bottom w:w="43" w:type="dxa"/>
              <w:right w:w="43" w:type="dxa"/>
            </w:tcMar>
            <w:vAlign w:val="bottom"/>
          </w:tcPr>
          <w:p w14:paraId="702E5213" w14:textId="77777777" w:rsidR="00575AC3" w:rsidRPr="006D40F0" w:rsidRDefault="00575AC3" w:rsidP="006D40F0"/>
        </w:tc>
      </w:tr>
      <w:tr w:rsidR="00DD49A7" w:rsidRPr="006D40F0" w14:paraId="0CE3AC77" w14:textId="77777777">
        <w:trPr>
          <w:trHeight w:val="380"/>
        </w:trPr>
        <w:tc>
          <w:tcPr>
            <w:tcW w:w="680" w:type="dxa"/>
            <w:tcBorders>
              <w:top w:val="nil"/>
              <w:left w:val="nil"/>
              <w:bottom w:val="nil"/>
              <w:right w:val="nil"/>
            </w:tcBorders>
            <w:tcMar>
              <w:top w:w="128" w:type="dxa"/>
              <w:left w:w="43" w:type="dxa"/>
              <w:bottom w:w="43" w:type="dxa"/>
              <w:right w:w="43" w:type="dxa"/>
            </w:tcMar>
          </w:tcPr>
          <w:p w14:paraId="3D02AA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5F46C0"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42A0A25"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BD3F179" w14:textId="77777777" w:rsidR="00575AC3" w:rsidRPr="006D40F0" w:rsidRDefault="00575AC3" w:rsidP="006D40F0">
            <w:r w:rsidRPr="006D40F0">
              <w:t>1 300 000</w:t>
            </w:r>
          </w:p>
        </w:tc>
      </w:tr>
      <w:tr w:rsidR="00DD49A7" w:rsidRPr="006D40F0" w14:paraId="4FE4A8B3" w14:textId="77777777">
        <w:trPr>
          <w:trHeight w:val="380"/>
        </w:trPr>
        <w:tc>
          <w:tcPr>
            <w:tcW w:w="680" w:type="dxa"/>
            <w:tcBorders>
              <w:top w:val="nil"/>
              <w:left w:val="nil"/>
              <w:bottom w:val="nil"/>
              <w:right w:val="nil"/>
            </w:tcBorders>
            <w:tcMar>
              <w:top w:w="128" w:type="dxa"/>
              <w:left w:w="43" w:type="dxa"/>
              <w:bottom w:w="43" w:type="dxa"/>
              <w:right w:w="43" w:type="dxa"/>
            </w:tcMar>
          </w:tcPr>
          <w:p w14:paraId="155C0E4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9D54E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9CDD1FE" w14:textId="77777777" w:rsidR="00575AC3" w:rsidRPr="006D40F0" w:rsidRDefault="00575AC3" w:rsidP="006D40F0">
            <w:r w:rsidRPr="006D40F0">
              <w:t>fra kr 70 821 000 til kr 69 521 000</w:t>
            </w:r>
          </w:p>
        </w:tc>
        <w:tc>
          <w:tcPr>
            <w:tcW w:w="1400" w:type="dxa"/>
            <w:tcBorders>
              <w:top w:val="nil"/>
              <w:left w:val="nil"/>
              <w:bottom w:val="nil"/>
              <w:right w:val="nil"/>
            </w:tcBorders>
            <w:tcMar>
              <w:top w:w="128" w:type="dxa"/>
              <w:left w:w="43" w:type="dxa"/>
              <w:bottom w:w="43" w:type="dxa"/>
              <w:right w:w="43" w:type="dxa"/>
            </w:tcMar>
            <w:vAlign w:val="bottom"/>
          </w:tcPr>
          <w:p w14:paraId="27FDD517" w14:textId="77777777" w:rsidR="00575AC3" w:rsidRPr="006D40F0" w:rsidRDefault="00575AC3" w:rsidP="006D40F0"/>
        </w:tc>
      </w:tr>
      <w:tr w:rsidR="00DD49A7" w:rsidRPr="006D40F0" w14:paraId="354555E9" w14:textId="77777777">
        <w:trPr>
          <w:trHeight w:val="640"/>
        </w:trPr>
        <w:tc>
          <w:tcPr>
            <w:tcW w:w="680" w:type="dxa"/>
            <w:tcBorders>
              <w:top w:val="nil"/>
              <w:left w:val="nil"/>
              <w:bottom w:val="nil"/>
              <w:right w:val="nil"/>
            </w:tcBorders>
            <w:tcMar>
              <w:top w:w="128" w:type="dxa"/>
              <w:left w:w="43" w:type="dxa"/>
              <w:bottom w:w="43" w:type="dxa"/>
              <w:right w:w="43" w:type="dxa"/>
            </w:tcMar>
          </w:tcPr>
          <w:p w14:paraId="1228B099" w14:textId="77777777" w:rsidR="00575AC3" w:rsidRPr="006D40F0" w:rsidRDefault="00575AC3" w:rsidP="006D40F0">
            <w:r w:rsidRPr="006D40F0">
              <w:t xml:space="preserve"> (NY)</w:t>
            </w:r>
          </w:p>
        </w:tc>
        <w:tc>
          <w:tcPr>
            <w:tcW w:w="680" w:type="dxa"/>
            <w:tcBorders>
              <w:top w:val="nil"/>
              <w:left w:val="nil"/>
              <w:bottom w:val="nil"/>
              <w:right w:val="nil"/>
            </w:tcBorders>
            <w:tcMar>
              <w:top w:w="128" w:type="dxa"/>
              <w:left w:w="43" w:type="dxa"/>
              <w:bottom w:w="43" w:type="dxa"/>
              <w:right w:w="43" w:type="dxa"/>
            </w:tcMar>
          </w:tcPr>
          <w:p w14:paraId="3E0BA1B1" w14:textId="77777777" w:rsidR="00575AC3" w:rsidRPr="006D40F0" w:rsidRDefault="00575AC3" w:rsidP="006D40F0">
            <w:r w:rsidRPr="006D40F0">
              <w:t>95</w:t>
            </w:r>
          </w:p>
        </w:tc>
        <w:tc>
          <w:tcPr>
            <w:tcW w:w="6800" w:type="dxa"/>
            <w:tcBorders>
              <w:top w:val="nil"/>
              <w:left w:val="nil"/>
              <w:bottom w:val="nil"/>
              <w:right w:val="nil"/>
            </w:tcBorders>
            <w:tcMar>
              <w:top w:w="128" w:type="dxa"/>
              <w:left w:w="43" w:type="dxa"/>
              <w:bottom w:w="43" w:type="dxa"/>
              <w:right w:w="43" w:type="dxa"/>
            </w:tcMar>
          </w:tcPr>
          <w:p w14:paraId="5F46E169" w14:textId="77777777" w:rsidR="00575AC3" w:rsidRPr="006D40F0" w:rsidRDefault="00575AC3" w:rsidP="006D40F0">
            <w:r w:rsidRPr="006D40F0">
              <w:t>Kapitalinnskudd Statens fond i Tromsø, bevilges med</w:t>
            </w:r>
          </w:p>
        </w:tc>
        <w:tc>
          <w:tcPr>
            <w:tcW w:w="1400" w:type="dxa"/>
            <w:tcBorders>
              <w:top w:val="nil"/>
              <w:left w:val="nil"/>
              <w:bottom w:val="nil"/>
              <w:right w:val="nil"/>
            </w:tcBorders>
            <w:tcMar>
              <w:top w:w="128" w:type="dxa"/>
              <w:left w:w="43" w:type="dxa"/>
              <w:bottom w:w="43" w:type="dxa"/>
              <w:right w:w="43" w:type="dxa"/>
            </w:tcMar>
            <w:vAlign w:val="bottom"/>
          </w:tcPr>
          <w:p w14:paraId="3D425861" w14:textId="77777777" w:rsidR="00575AC3" w:rsidRPr="006D40F0" w:rsidRDefault="00575AC3" w:rsidP="006D40F0">
            <w:r w:rsidRPr="006D40F0">
              <w:t>15 000 000 000</w:t>
            </w:r>
          </w:p>
        </w:tc>
      </w:tr>
      <w:tr w:rsidR="00DD49A7" w:rsidRPr="006D40F0" w14:paraId="157ECDD9" w14:textId="77777777">
        <w:trPr>
          <w:trHeight w:val="380"/>
        </w:trPr>
        <w:tc>
          <w:tcPr>
            <w:tcW w:w="680" w:type="dxa"/>
            <w:tcBorders>
              <w:top w:val="nil"/>
              <w:left w:val="nil"/>
              <w:bottom w:val="nil"/>
              <w:right w:val="nil"/>
            </w:tcBorders>
            <w:tcMar>
              <w:top w:w="128" w:type="dxa"/>
              <w:left w:w="43" w:type="dxa"/>
              <w:bottom w:w="43" w:type="dxa"/>
              <w:right w:w="43" w:type="dxa"/>
            </w:tcMar>
          </w:tcPr>
          <w:p w14:paraId="3FFD88DC" w14:textId="77777777" w:rsidR="00575AC3" w:rsidRPr="006D40F0" w:rsidRDefault="00575AC3" w:rsidP="006D40F0">
            <w:r w:rsidRPr="006D40F0">
              <w:t>1605</w:t>
            </w:r>
          </w:p>
        </w:tc>
        <w:tc>
          <w:tcPr>
            <w:tcW w:w="680" w:type="dxa"/>
            <w:tcBorders>
              <w:top w:val="nil"/>
              <w:left w:val="nil"/>
              <w:bottom w:val="nil"/>
              <w:right w:val="nil"/>
            </w:tcBorders>
            <w:tcMar>
              <w:top w:w="128" w:type="dxa"/>
              <w:left w:w="43" w:type="dxa"/>
              <w:bottom w:w="43" w:type="dxa"/>
              <w:right w:w="43" w:type="dxa"/>
            </w:tcMar>
          </w:tcPr>
          <w:p w14:paraId="7C78491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9A0500" w14:textId="77777777" w:rsidR="00575AC3" w:rsidRPr="006D40F0" w:rsidRDefault="00575AC3" w:rsidP="006D40F0">
            <w:r w:rsidRPr="006D40F0">
              <w:t>Direktoratet for forvaltning og økonomistyring:</w:t>
            </w:r>
          </w:p>
        </w:tc>
        <w:tc>
          <w:tcPr>
            <w:tcW w:w="1400" w:type="dxa"/>
            <w:tcBorders>
              <w:top w:val="nil"/>
              <w:left w:val="nil"/>
              <w:bottom w:val="nil"/>
              <w:right w:val="nil"/>
            </w:tcBorders>
            <w:tcMar>
              <w:top w:w="128" w:type="dxa"/>
              <w:left w:w="43" w:type="dxa"/>
              <w:bottom w:w="43" w:type="dxa"/>
              <w:right w:w="43" w:type="dxa"/>
            </w:tcMar>
            <w:vAlign w:val="bottom"/>
          </w:tcPr>
          <w:p w14:paraId="08BEA9A5" w14:textId="77777777" w:rsidR="00575AC3" w:rsidRPr="006D40F0" w:rsidRDefault="00575AC3" w:rsidP="006D40F0"/>
        </w:tc>
      </w:tr>
      <w:tr w:rsidR="00DD49A7" w:rsidRPr="006D40F0" w14:paraId="55A764EB" w14:textId="77777777">
        <w:trPr>
          <w:trHeight w:val="380"/>
        </w:trPr>
        <w:tc>
          <w:tcPr>
            <w:tcW w:w="680" w:type="dxa"/>
            <w:tcBorders>
              <w:top w:val="nil"/>
              <w:left w:val="nil"/>
              <w:bottom w:val="nil"/>
              <w:right w:val="nil"/>
            </w:tcBorders>
            <w:tcMar>
              <w:top w:w="128" w:type="dxa"/>
              <w:left w:w="43" w:type="dxa"/>
              <w:bottom w:w="43" w:type="dxa"/>
              <w:right w:w="43" w:type="dxa"/>
            </w:tcMar>
          </w:tcPr>
          <w:p w14:paraId="3CABCC6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CE868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F0CD351"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A13D38C" w14:textId="77777777" w:rsidR="00575AC3" w:rsidRPr="006D40F0" w:rsidRDefault="00575AC3" w:rsidP="006D40F0">
            <w:r w:rsidRPr="006D40F0">
              <w:t>114 450 000</w:t>
            </w:r>
          </w:p>
        </w:tc>
      </w:tr>
      <w:tr w:rsidR="00DD49A7" w:rsidRPr="006D40F0" w14:paraId="357B7A2A" w14:textId="77777777">
        <w:trPr>
          <w:trHeight w:val="380"/>
        </w:trPr>
        <w:tc>
          <w:tcPr>
            <w:tcW w:w="680" w:type="dxa"/>
            <w:tcBorders>
              <w:top w:val="nil"/>
              <w:left w:val="nil"/>
              <w:bottom w:val="nil"/>
              <w:right w:val="nil"/>
            </w:tcBorders>
            <w:tcMar>
              <w:top w:w="128" w:type="dxa"/>
              <w:left w:w="43" w:type="dxa"/>
              <w:bottom w:w="43" w:type="dxa"/>
              <w:right w:w="43" w:type="dxa"/>
            </w:tcMar>
          </w:tcPr>
          <w:p w14:paraId="11D77B0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9714A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004074" w14:textId="77777777" w:rsidR="00575AC3" w:rsidRPr="006D40F0" w:rsidRDefault="00575AC3" w:rsidP="006D40F0">
            <w:r w:rsidRPr="006D40F0">
              <w:t>fra kr 973 804 000 til kr 1 088 254 000</w:t>
            </w:r>
          </w:p>
        </w:tc>
        <w:tc>
          <w:tcPr>
            <w:tcW w:w="1400" w:type="dxa"/>
            <w:tcBorders>
              <w:top w:val="nil"/>
              <w:left w:val="nil"/>
              <w:bottom w:val="nil"/>
              <w:right w:val="nil"/>
            </w:tcBorders>
            <w:tcMar>
              <w:top w:w="128" w:type="dxa"/>
              <w:left w:w="43" w:type="dxa"/>
              <w:bottom w:w="43" w:type="dxa"/>
              <w:right w:w="43" w:type="dxa"/>
            </w:tcMar>
            <w:vAlign w:val="bottom"/>
          </w:tcPr>
          <w:p w14:paraId="29B590A9" w14:textId="77777777" w:rsidR="00575AC3" w:rsidRPr="006D40F0" w:rsidRDefault="00575AC3" w:rsidP="006D40F0"/>
        </w:tc>
      </w:tr>
      <w:tr w:rsidR="00DD49A7" w:rsidRPr="006D40F0" w14:paraId="53111E42" w14:textId="77777777">
        <w:trPr>
          <w:trHeight w:val="380"/>
        </w:trPr>
        <w:tc>
          <w:tcPr>
            <w:tcW w:w="680" w:type="dxa"/>
            <w:tcBorders>
              <w:top w:val="nil"/>
              <w:left w:val="nil"/>
              <w:bottom w:val="nil"/>
              <w:right w:val="nil"/>
            </w:tcBorders>
            <w:tcMar>
              <w:top w:w="128" w:type="dxa"/>
              <w:left w:w="43" w:type="dxa"/>
              <w:bottom w:w="43" w:type="dxa"/>
              <w:right w:w="43" w:type="dxa"/>
            </w:tcMar>
          </w:tcPr>
          <w:p w14:paraId="5D0A5DC5" w14:textId="77777777" w:rsidR="00575AC3" w:rsidRPr="006D40F0" w:rsidRDefault="00575AC3" w:rsidP="006D40F0">
            <w:r w:rsidRPr="006D40F0">
              <w:t>1610</w:t>
            </w:r>
          </w:p>
        </w:tc>
        <w:tc>
          <w:tcPr>
            <w:tcW w:w="680" w:type="dxa"/>
            <w:tcBorders>
              <w:top w:val="nil"/>
              <w:left w:val="nil"/>
              <w:bottom w:val="nil"/>
              <w:right w:val="nil"/>
            </w:tcBorders>
            <w:tcMar>
              <w:top w:w="128" w:type="dxa"/>
              <w:left w:w="43" w:type="dxa"/>
              <w:bottom w:w="43" w:type="dxa"/>
              <w:right w:w="43" w:type="dxa"/>
            </w:tcMar>
          </w:tcPr>
          <w:p w14:paraId="71BC377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A8B575" w14:textId="77777777" w:rsidR="00575AC3" w:rsidRPr="006D40F0" w:rsidRDefault="00575AC3" w:rsidP="006D40F0">
            <w:r w:rsidRPr="006D40F0">
              <w:t>Tolletaten:</w:t>
            </w:r>
          </w:p>
        </w:tc>
        <w:tc>
          <w:tcPr>
            <w:tcW w:w="1400" w:type="dxa"/>
            <w:tcBorders>
              <w:top w:val="nil"/>
              <w:left w:val="nil"/>
              <w:bottom w:val="nil"/>
              <w:right w:val="nil"/>
            </w:tcBorders>
            <w:tcMar>
              <w:top w:w="128" w:type="dxa"/>
              <w:left w:w="43" w:type="dxa"/>
              <w:bottom w:w="43" w:type="dxa"/>
              <w:right w:w="43" w:type="dxa"/>
            </w:tcMar>
            <w:vAlign w:val="bottom"/>
          </w:tcPr>
          <w:p w14:paraId="4F4632A1" w14:textId="77777777" w:rsidR="00575AC3" w:rsidRPr="006D40F0" w:rsidRDefault="00575AC3" w:rsidP="006D40F0"/>
        </w:tc>
      </w:tr>
      <w:tr w:rsidR="00DD49A7" w:rsidRPr="006D40F0" w14:paraId="77A51B58" w14:textId="77777777">
        <w:trPr>
          <w:trHeight w:val="380"/>
        </w:trPr>
        <w:tc>
          <w:tcPr>
            <w:tcW w:w="680" w:type="dxa"/>
            <w:tcBorders>
              <w:top w:val="nil"/>
              <w:left w:val="nil"/>
              <w:bottom w:val="nil"/>
              <w:right w:val="nil"/>
            </w:tcBorders>
            <w:tcMar>
              <w:top w:w="128" w:type="dxa"/>
              <w:left w:w="43" w:type="dxa"/>
              <w:bottom w:w="43" w:type="dxa"/>
              <w:right w:w="43" w:type="dxa"/>
            </w:tcMar>
          </w:tcPr>
          <w:p w14:paraId="52C2A6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8095B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FFB30D1"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28C9E63" w14:textId="77777777" w:rsidR="00575AC3" w:rsidRPr="006D40F0" w:rsidRDefault="00575AC3" w:rsidP="006D40F0">
            <w:r w:rsidRPr="006D40F0">
              <w:t>79 500 000</w:t>
            </w:r>
          </w:p>
        </w:tc>
      </w:tr>
      <w:tr w:rsidR="00DD49A7" w:rsidRPr="006D40F0" w14:paraId="6AC7C3CA" w14:textId="77777777">
        <w:trPr>
          <w:trHeight w:val="380"/>
        </w:trPr>
        <w:tc>
          <w:tcPr>
            <w:tcW w:w="680" w:type="dxa"/>
            <w:tcBorders>
              <w:top w:val="nil"/>
              <w:left w:val="nil"/>
              <w:bottom w:val="nil"/>
              <w:right w:val="nil"/>
            </w:tcBorders>
            <w:tcMar>
              <w:top w:w="128" w:type="dxa"/>
              <w:left w:w="43" w:type="dxa"/>
              <w:bottom w:w="43" w:type="dxa"/>
              <w:right w:w="43" w:type="dxa"/>
            </w:tcMar>
          </w:tcPr>
          <w:p w14:paraId="141707F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985D8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48C7A1" w14:textId="77777777" w:rsidR="00575AC3" w:rsidRPr="006D40F0" w:rsidRDefault="00575AC3" w:rsidP="006D40F0">
            <w:r w:rsidRPr="006D40F0">
              <w:t>fra kr 1 872 504 000 til kr 1 952 004 000</w:t>
            </w:r>
          </w:p>
        </w:tc>
        <w:tc>
          <w:tcPr>
            <w:tcW w:w="1400" w:type="dxa"/>
            <w:tcBorders>
              <w:top w:val="nil"/>
              <w:left w:val="nil"/>
              <w:bottom w:val="nil"/>
              <w:right w:val="nil"/>
            </w:tcBorders>
            <w:tcMar>
              <w:top w:w="128" w:type="dxa"/>
              <w:left w:w="43" w:type="dxa"/>
              <w:bottom w:w="43" w:type="dxa"/>
              <w:right w:w="43" w:type="dxa"/>
            </w:tcMar>
            <w:vAlign w:val="bottom"/>
          </w:tcPr>
          <w:p w14:paraId="151F3F30" w14:textId="77777777" w:rsidR="00575AC3" w:rsidRPr="006D40F0" w:rsidRDefault="00575AC3" w:rsidP="006D40F0"/>
        </w:tc>
      </w:tr>
      <w:tr w:rsidR="00DD49A7" w:rsidRPr="006D40F0" w14:paraId="2F7FD0FD" w14:textId="77777777">
        <w:trPr>
          <w:trHeight w:val="380"/>
        </w:trPr>
        <w:tc>
          <w:tcPr>
            <w:tcW w:w="680" w:type="dxa"/>
            <w:tcBorders>
              <w:top w:val="nil"/>
              <w:left w:val="nil"/>
              <w:bottom w:val="nil"/>
              <w:right w:val="nil"/>
            </w:tcBorders>
            <w:tcMar>
              <w:top w:w="128" w:type="dxa"/>
              <w:left w:w="43" w:type="dxa"/>
              <w:bottom w:w="43" w:type="dxa"/>
              <w:right w:w="43" w:type="dxa"/>
            </w:tcMar>
          </w:tcPr>
          <w:p w14:paraId="0CAF14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BD85B1"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08BE97E5"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2D5CF56" w14:textId="77777777" w:rsidR="00575AC3" w:rsidRPr="006D40F0" w:rsidRDefault="00575AC3" w:rsidP="006D40F0">
            <w:r w:rsidRPr="006D40F0">
              <w:t>50 000 000</w:t>
            </w:r>
          </w:p>
        </w:tc>
      </w:tr>
      <w:tr w:rsidR="00DD49A7" w:rsidRPr="006D40F0" w14:paraId="709C2E45" w14:textId="77777777">
        <w:trPr>
          <w:trHeight w:val="380"/>
        </w:trPr>
        <w:tc>
          <w:tcPr>
            <w:tcW w:w="680" w:type="dxa"/>
            <w:tcBorders>
              <w:top w:val="nil"/>
              <w:left w:val="nil"/>
              <w:bottom w:val="nil"/>
              <w:right w:val="nil"/>
            </w:tcBorders>
            <w:tcMar>
              <w:top w:w="128" w:type="dxa"/>
              <w:left w:w="43" w:type="dxa"/>
              <w:bottom w:w="43" w:type="dxa"/>
              <w:right w:w="43" w:type="dxa"/>
            </w:tcMar>
          </w:tcPr>
          <w:p w14:paraId="55813CF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0CE5B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D64FDD" w14:textId="77777777" w:rsidR="00575AC3" w:rsidRPr="006D40F0" w:rsidRDefault="00575AC3" w:rsidP="006D40F0">
            <w:r w:rsidRPr="006D40F0">
              <w:t>fra kr 124 292 000 til kr 174 292 000</w:t>
            </w:r>
          </w:p>
        </w:tc>
        <w:tc>
          <w:tcPr>
            <w:tcW w:w="1400" w:type="dxa"/>
            <w:tcBorders>
              <w:top w:val="nil"/>
              <w:left w:val="nil"/>
              <w:bottom w:val="nil"/>
              <w:right w:val="nil"/>
            </w:tcBorders>
            <w:tcMar>
              <w:top w:w="128" w:type="dxa"/>
              <w:left w:w="43" w:type="dxa"/>
              <w:bottom w:w="43" w:type="dxa"/>
              <w:right w:w="43" w:type="dxa"/>
            </w:tcMar>
            <w:vAlign w:val="bottom"/>
          </w:tcPr>
          <w:p w14:paraId="27C2A0B6" w14:textId="77777777" w:rsidR="00575AC3" w:rsidRPr="006D40F0" w:rsidRDefault="00575AC3" w:rsidP="006D40F0"/>
        </w:tc>
      </w:tr>
      <w:tr w:rsidR="00DD49A7" w:rsidRPr="006D40F0" w14:paraId="52D9C90C" w14:textId="77777777">
        <w:trPr>
          <w:trHeight w:val="380"/>
        </w:trPr>
        <w:tc>
          <w:tcPr>
            <w:tcW w:w="680" w:type="dxa"/>
            <w:tcBorders>
              <w:top w:val="nil"/>
              <w:left w:val="nil"/>
              <w:bottom w:val="nil"/>
              <w:right w:val="nil"/>
            </w:tcBorders>
            <w:tcMar>
              <w:top w:w="128" w:type="dxa"/>
              <w:left w:w="43" w:type="dxa"/>
              <w:bottom w:w="43" w:type="dxa"/>
              <w:right w:w="43" w:type="dxa"/>
            </w:tcMar>
          </w:tcPr>
          <w:p w14:paraId="32A80A33" w14:textId="77777777" w:rsidR="00575AC3" w:rsidRPr="006D40F0" w:rsidRDefault="00575AC3" w:rsidP="006D40F0">
            <w:r w:rsidRPr="006D40F0">
              <w:t>1618</w:t>
            </w:r>
          </w:p>
        </w:tc>
        <w:tc>
          <w:tcPr>
            <w:tcW w:w="680" w:type="dxa"/>
            <w:tcBorders>
              <w:top w:val="nil"/>
              <w:left w:val="nil"/>
              <w:bottom w:val="nil"/>
              <w:right w:val="nil"/>
            </w:tcBorders>
            <w:tcMar>
              <w:top w:w="128" w:type="dxa"/>
              <w:left w:w="43" w:type="dxa"/>
              <w:bottom w:w="43" w:type="dxa"/>
              <w:right w:w="43" w:type="dxa"/>
            </w:tcMar>
          </w:tcPr>
          <w:p w14:paraId="739C07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CCB346" w14:textId="77777777" w:rsidR="00575AC3" w:rsidRPr="006D40F0" w:rsidRDefault="00575AC3" w:rsidP="006D40F0">
            <w:r w:rsidRPr="006D40F0">
              <w:t>Skatteetaten:</w:t>
            </w:r>
          </w:p>
        </w:tc>
        <w:tc>
          <w:tcPr>
            <w:tcW w:w="1400" w:type="dxa"/>
            <w:tcBorders>
              <w:top w:val="nil"/>
              <w:left w:val="nil"/>
              <w:bottom w:val="nil"/>
              <w:right w:val="nil"/>
            </w:tcBorders>
            <w:tcMar>
              <w:top w:w="128" w:type="dxa"/>
              <w:left w:w="43" w:type="dxa"/>
              <w:bottom w:w="43" w:type="dxa"/>
              <w:right w:w="43" w:type="dxa"/>
            </w:tcMar>
            <w:vAlign w:val="bottom"/>
          </w:tcPr>
          <w:p w14:paraId="1F066191" w14:textId="77777777" w:rsidR="00575AC3" w:rsidRPr="006D40F0" w:rsidRDefault="00575AC3" w:rsidP="006D40F0"/>
        </w:tc>
      </w:tr>
      <w:tr w:rsidR="00DD49A7" w:rsidRPr="006D40F0" w14:paraId="7D7733A6" w14:textId="77777777">
        <w:trPr>
          <w:trHeight w:val="380"/>
        </w:trPr>
        <w:tc>
          <w:tcPr>
            <w:tcW w:w="680" w:type="dxa"/>
            <w:tcBorders>
              <w:top w:val="nil"/>
              <w:left w:val="nil"/>
              <w:bottom w:val="nil"/>
              <w:right w:val="nil"/>
            </w:tcBorders>
            <w:tcMar>
              <w:top w:w="128" w:type="dxa"/>
              <w:left w:w="43" w:type="dxa"/>
              <w:bottom w:w="43" w:type="dxa"/>
              <w:right w:w="43" w:type="dxa"/>
            </w:tcMar>
          </w:tcPr>
          <w:p w14:paraId="0802B53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EFC3D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B3A0C45"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CF566D7" w14:textId="77777777" w:rsidR="00575AC3" w:rsidRPr="006D40F0" w:rsidRDefault="00575AC3" w:rsidP="006D40F0">
            <w:r w:rsidRPr="006D40F0">
              <w:t>87 471 000</w:t>
            </w:r>
          </w:p>
        </w:tc>
      </w:tr>
      <w:tr w:rsidR="00DD49A7" w:rsidRPr="006D40F0" w14:paraId="0CF14CA5" w14:textId="77777777">
        <w:trPr>
          <w:trHeight w:val="380"/>
        </w:trPr>
        <w:tc>
          <w:tcPr>
            <w:tcW w:w="680" w:type="dxa"/>
            <w:tcBorders>
              <w:top w:val="nil"/>
              <w:left w:val="nil"/>
              <w:bottom w:val="nil"/>
              <w:right w:val="nil"/>
            </w:tcBorders>
            <w:tcMar>
              <w:top w:w="128" w:type="dxa"/>
              <w:left w:w="43" w:type="dxa"/>
              <w:bottom w:w="43" w:type="dxa"/>
              <w:right w:w="43" w:type="dxa"/>
            </w:tcMar>
          </w:tcPr>
          <w:p w14:paraId="6105569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4D715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553086" w14:textId="77777777" w:rsidR="00575AC3" w:rsidRPr="006D40F0" w:rsidRDefault="00575AC3" w:rsidP="006D40F0">
            <w:r w:rsidRPr="006D40F0">
              <w:t>fra kr 7 856 709 000 til kr 7 944 180 000</w:t>
            </w:r>
          </w:p>
        </w:tc>
        <w:tc>
          <w:tcPr>
            <w:tcW w:w="1400" w:type="dxa"/>
            <w:tcBorders>
              <w:top w:val="nil"/>
              <w:left w:val="nil"/>
              <w:bottom w:val="nil"/>
              <w:right w:val="nil"/>
            </w:tcBorders>
            <w:tcMar>
              <w:top w:w="128" w:type="dxa"/>
              <w:left w:w="43" w:type="dxa"/>
              <w:bottom w:w="43" w:type="dxa"/>
              <w:right w:w="43" w:type="dxa"/>
            </w:tcMar>
            <w:vAlign w:val="bottom"/>
          </w:tcPr>
          <w:p w14:paraId="61336D34" w14:textId="77777777" w:rsidR="00575AC3" w:rsidRPr="006D40F0" w:rsidRDefault="00575AC3" w:rsidP="006D40F0"/>
        </w:tc>
      </w:tr>
      <w:tr w:rsidR="00DD49A7" w:rsidRPr="006D40F0" w14:paraId="399F7182" w14:textId="77777777">
        <w:trPr>
          <w:trHeight w:val="380"/>
        </w:trPr>
        <w:tc>
          <w:tcPr>
            <w:tcW w:w="680" w:type="dxa"/>
            <w:tcBorders>
              <w:top w:val="nil"/>
              <w:left w:val="nil"/>
              <w:bottom w:val="nil"/>
              <w:right w:val="nil"/>
            </w:tcBorders>
            <w:tcMar>
              <w:top w:w="128" w:type="dxa"/>
              <w:left w:w="43" w:type="dxa"/>
              <w:bottom w:w="43" w:type="dxa"/>
              <w:right w:w="43" w:type="dxa"/>
            </w:tcMar>
          </w:tcPr>
          <w:p w14:paraId="201606D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1263F2"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4490E09A" w14:textId="77777777" w:rsidR="00575AC3" w:rsidRPr="006D40F0" w:rsidRDefault="00575AC3" w:rsidP="006D40F0">
            <w:r w:rsidRPr="006D40F0">
              <w:t>Spesielle 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05055BCD" w14:textId="77777777" w:rsidR="00575AC3" w:rsidRPr="006D40F0" w:rsidRDefault="00575AC3" w:rsidP="006D40F0">
            <w:r w:rsidRPr="006D40F0">
              <w:t>65 563 000</w:t>
            </w:r>
          </w:p>
        </w:tc>
      </w:tr>
      <w:tr w:rsidR="00DD49A7" w:rsidRPr="006D40F0" w14:paraId="76204DC1" w14:textId="77777777">
        <w:trPr>
          <w:trHeight w:val="380"/>
        </w:trPr>
        <w:tc>
          <w:tcPr>
            <w:tcW w:w="680" w:type="dxa"/>
            <w:tcBorders>
              <w:top w:val="nil"/>
              <w:left w:val="nil"/>
              <w:bottom w:val="nil"/>
              <w:right w:val="nil"/>
            </w:tcBorders>
            <w:tcMar>
              <w:top w:w="128" w:type="dxa"/>
              <w:left w:w="43" w:type="dxa"/>
              <w:bottom w:w="43" w:type="dxa"/>
              <w:right w:w="43" w:type="dxa"/>
            </w:tcMar>
          </w:tcPr>
          <w:p w14:paraId="34D25E3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5765E7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91200CD" w14:textId="77777777" w:rsidR="00575AC3" w:rsidRPr="006D40F0" w:rsidRDefault="00575AC3" w:rsidP="006D40F0">
            <w:r w:rsidRPr="006D40F0">
              <w:t>fra kr 178 563 000 til kr 113 000 000</w:t>
            </w:r>
          </w:p>
        </w:tc>
        <w:tc>
          <w:tcPr>
            <w:tcW w:w="1400" w:type="dxa"/>
            <w:tcBorders>
              <w:top w:val="nil"/>
              <w:left w:val="nil"/>
              <w:bottom w:val="nil"/>
              <w:right w:val="nil"/>
            </w:tcBorders>
            <w:tcMar>
              <w:top w:w="128" w:type="dxa"/>
              <w:left w:w="43" w:type="dxa"/>
              <w:bottom w:w="43" w:type="dxa"/>
              <w:right w:w="43" w:type="dxa"/>
            </w:tcMar>
            <w:vAlign w:val="bottom"/>
          </w:tcPr>
          <w:p w14:paraId="32B57398" w14:textId="77777777" w:rsidR="00575AC3" w:rsidRPr="006D40F0" w:rsidRDefault="00575AC3" w:rsidP="006D40F0"/>
        </w:tc>
      </w:tr>
      <w:tr w:rsidR="00DD49A7" w:rsidRPr="006D40F0" w14:paraId="4E0FE2EF" w14:textId="77777777">
        <w:trPr>
          <w:trHeight w:val="380"/>
        </w:trPr>
        <w:tc>
          <w:tcPr>
            <w:tcW w:w="680" w:type="dxa"/>
            <w:tcBorders>
              <w:top w:val="nil"/>
              <w:left w:val="nil"/>
              <w:bottom w:val="nil"/>
              <w:right w:val="nil"/>
            </w:tcBorders>
            <w:tcMar>
              <w:top w:w="128" w:type="dxa"/>
              <w:left w:w="43" w:type="dxa"/>
              <w:bottom w:w="43" w:type="dxa"/>
              <w:right w:w="43" w:type="dxa"/>
            </w:tcMar>
          </w:tcPr>
          <w:p w14:paraId="5053E68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BF241B"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68D8E497" w14:textId="77777777" w:rsidR="00575AC3" w:rsidRPr="006D40F0" w:rsidRDefault="00575AC3" w:rsidP="006D40F0">
            <w:r w:rsidRPr="006D40F0">
              <w:t xml:space="preserve">Større IT-prosjekter,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3C66B51" w14:textId="77777777" w:rsidR="00575AC3" w:rsidRPr="006D40F0" w:rsidRDefault="00575AC3" w:rsidP="006D40F0">
            <w:r w:rsidRPr="006D40F0">
              <w:t>20 761 000</w:t>
            </w:r>
          </w:p>
        </w:tc>
      </w:tr>
      <w:tr w:rsidR="00DD49A7" w:rsidRPr="006D40F0" w14:paraId="6D9212A1" w14:textId="77777777">
        <w:trPr>
          <w:trHeight w:val="380"/>
        </w:trPr>
        <w:tc>
          <w:tcPr>
            <w:tcW w:w="680" w:type="dxa"/>
            <w:tcBorders>
              <w:top w:val="nil"/>
              <w:left w:val="nil"/>
              <w:bottom w:val="nil"/>
              <w:right w:val="nil"/>
            </w:tcBorders>
            <w:tcMar>
              <w:top w:w="128" w:type="dxa"/>
              <w:left w:w="43" w:type="dxa"/>
              <w:bottom w:w="43" w:type="dxa"/>
              <w:right w:w="43" w:type="dxa"/>
            </w:tcMar>
          </w:tcPr>
          <w:p w14:paraId="5281C2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1D828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2258AFA" w14:textId="77777777" w:rsidR="00575AC3" w:rsidRPr="006D40F0" w:rsidRDefault="00575AC3" w:rsidP="006D40F0">
            <w:r w:rsidRPr="006D40F0">
              <w:t>fra kr 522 100 000 til kr 542 861 000</w:t>
            </w:r>
          </w:p>
        </w:tc>
        <w:tc>
          <w:tcPr>
            <w:tcW w:w="1400" w:type="dxa"/>
            <w:tcBorders>
              <w:top w:val="nil"/>
              <w:left w:val="nil"/>
              <w:bottom w:val="nil"/>
              <w:right w:val="nil"/>
            </w:tcBorders>
            <w:tcMar>
              <w:top w:w="128" w:type="dxa"/>
              <w:left w:w="43" w:type="dxa"/>
              <w:bottom w:w="43" w:type="dxa"/>
              <w:right w:w="43" w:type="dxa"/>
            </w:tcMar>
            <w:vAlign w:val="bottom"/>
          </w:tcPr>
          <w:p w14:paraId="15515E0F" w14:textId="77777777" w:rsidR="00575AC3" w:rsidRPr="006D40F0" w:rsidRDefault="00575AC3" w:rsidP="006D40F0"/>
        </w:tc>
      </w:tr>
      <w:tr w:rsidR="00DD49A7" w:rsidRPr="006D40F0" w14:paraId="7B0BC0AD" w14:textId="77777777">
        <w:trPr>
          <w:trHeight w:val="380"/>
        </w:trPr>
        <w:tc>
          <w:tcPr>
            <w:tcW w:w="680" w:type="dxa"/>
            <w:tcBorders>
              <w:top w:val="nil"/>
              <w:left w:val="nil"/>
              <w:bottom w:val="nil"/>
              <w:right w:val="nil"/>
            </w:tcBorders>
            <w:tcMar>
              <w:top w:w="128" w:type="dxa"/>
              <w:left w:w="43" w:type="dxa"/>
              <w:bottom w:w="43" w:type="dxa"/>
              <w:right w:w="43" w:type="dxa"/>
            </w:tcMar>
          </w:tcPr>
          <w:p w14:paraId="17E198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A9594A"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2FD34EF0" w14:textId="77777777" w:rsidR="00575AC3" w:rsidRPr="006D40F0" w:rsidRDefault="00575AC3" w:rsidP="006D40F0">
            <w:r w:rsidRPr="006D40F0">
              <w:t xml:space="preserve">Skatte- og </w:t>
            </w:r>
            <w:proofErr w:type="spellStart"/>
            <w:r w:rsidRPr="006D40F0">
              <w:t>avgiftsforskning</w:t>
            </w:r>
            <w:proofErr w:type="spellEnd"/>
            <w:r w:rsidRPr="006D40F0">
              <w:t>, nedsettes med</w:t>
            </w:r>
          </w:p>
        </w:tc>
        <w:tc>
          <w:tcPr>
            <w:tcW w:w="1400" w:type="dxa"/>
            <w:tcBorders>
              <w:top w:val="nil"/>
              <w:left w:val="nil"/>
              <w:bottom w:val="nil"/>
              <w:right w:val="nil"/>
            </w:tcBorders>
            <w:tcMar>
              <w:top w:w="128" w:type="dxa"/>
              <w:left w:w="43" w:type="dxa"/>
              <w:bottom w:w="43" w:type="dxa"/>
              <w:right w:w="43" w:type="dxa"/>
            </w:tcMar>
            <w:vAlign w:val="bottom"/>
          </w:tcPr>
          <w:p w14:paraId="58882BF8" w14:textId="77777777" w:rsidR="00575AC3" w:rsidRPr="006D40F0" w:rsidRDefault="00575AC3" w:rsidP="006D40F0">
            <w:r w:rsidRPr="006D40F0">
              <w:t>700 000</w:t>
            </w:r>
          </w:p>
        </w:tc>
      </w:tr>
      <w:tr w:rsidR="00DD49A7" w:rsidRPr="006D40F0" w14:paraId="0A1D6268" w14:textId="77777777">
        <w:trPr>
          <w:trHeight w:val="380"/>
        </w:trPr>
        <w:tc>
          <w:tcPr>
            <w:tcW w:w="680" w:type="dxa"/>
            <w:tcBorders>
              <w:top w:val="nil"/>
              <w:left w:val="nil"/>
              <w:bottom w:val="nil"/>
              <w:right w:val="nil"/>
            </w:tcBorders>
            <w:tcMar>
              <w:top w:w="128" w:type="dxa"/>
              <w:left w:w="43" w:type="dxa"/>
              <w:bottom w:w="43" w:type="dxa"/>
              <w:right w:w="43" w:type="dxa"/>
            </w:tcMar>
          </w:tcPr>
          <w:p w14:paraId="0CEBA92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C5243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0A62A2" w14:textId="77777777" w:rsidR="00575AC3" w:rsidRPr="006D40F0" w:rsidRDefault="00575AC3" w:rsidP="006D40F0">
            <w:r w:rsidRPr="006D40F0">
              <w:t>fra kr 6 824 000 til kr 6 124 000</w:t>
            </w:r>
          </w:p>
        </w:tc>
        <w:tc>
          <w:tcPr>
            <w:tcW w:w="1400" w:type="dxa"/>
            <w:tcBorders>
              <w:top w:val="nil"/>
              <w:left w:val="nil"/>
              <w:bottom w:val="nil"/>
              <w:right w:val="nil"/>
            </w:tcBorders>
            <w:tcMar>
              <w:top w:w="128" w:type="dxa"/>
              <w:left w:w="43" w:type="dxa"/>
              <w:bottom w:w="43" w:type="dxa"/>
              <w:right w:w="43" w:type="dxa"/>
            </w:tcMar>
            <w:vAlign w:val="bottom"/>
          </w:tcPr>
          <w:p w14:paraId="3676E434" w14:textId="77777777" w:rsidR="00575AC3" w:rsidRPr="006D40F0" w:rsidRDefault="00575AC3" w:rsidP="006D40F0"/>
        </w:tc>
      </w:tr>
      <w:tr w:rsidR="00DD49A7" w:rsidRPr="006D40F0" w14:paraId="225E2C15" w14:textId="77777777">
        <w:trPr>
          <w:trHeight w:val="380"/>
        </w:trPr>
        <w:tc>
          <w:tcPr>
            <w:tcW w:w="680" w:type="dxa"/>
            <w:tcBorders>
              <w:top w:val="nil"/>
              <w:left w:val="nil"/>
              <w:bottom w:val="nil"/>
              <w:right w:val="nil"/>
            </w:tcBorders>
            <w:tcMar>
              <w:top w:w="128" w:type="dxa"/>
              <w:left w:w="43" w:type="dxa"/>
              <w:bottom w:w="43" w:type="dxa"/>
              <w:right w:w="43" w:type="dxa"/>
            </w:tcMar>
          </w:tcPr>
          <w:p w14:paraId="2454D626" w14:textId="77777777" w:rsidR="00575AC3" w:rsidRPr="006D40F0" w:rsidRDefault="00575AC3" w:rsidP="006D40F0">
            <w:r w:rsidRPr="006D40F0">
              <w:t>1620</w:t>
            </w:r>
          </w:p>
        </w:tc>
        <w:tc>
          <w:tcPr>
            <w:tcW w:w="680" w:type="dxa"/>
            <w:tcBorders>
              <w:top w:val="nil"/>
              <w:left w:val="nil"/>
              <w:bottom w:val="nil"/>
              <w:right w:val="nil"/>
            </w:tcBorders>
            <w:tcMar>
              <w:top w:w="128" w:type="dxa"/>
              <w:left w:w="43" w:type="dxa"/>
              <w:bottom w:w="43" w:type="dxa"/>
              <w:right w:w="43" w:type="dxa"/>
            </w:tcMar>
          </w:tcPr>
          <w:p w14:paraId="65A8234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5E52D3" w14:textId="77777777" w:rsidR="00575AC3" w:rsidRPr="006D40F0" w:rsidRDefault="00575AC3" w:rsidP="006D40F0">
            <w:r w:rsidRPr="006D40F0">
              <w:t>Statistisk sentralbyrå:</w:t>
            </w:r>
          </w:p>
        </w:tc>
        <w:tc>
          <w:tcPr>
            <w:tcW w:w="1400" w:type="dxa"/>
            <w:tcBorders>
              <w:top w:val="nil"/>
              <w:left w:val="nil"/>
              <w:bottom w:val="nil"/>
              <w:right w:val="nil"/>
            </w:tcBorders>
            <w:tcMar>
              <w:top w:w="128" w:type="dxa"/>
              <w:left w:w="43" w:type="dxa"/>
              <w:bottom w:w="43" w:type="dxa"/>
              <w:right w:w="43" w:type="dxa"/>
            </w:tcMar>
            <w:vAlign w:val="bottom"/>
          </w:tcPr>
          <w:p w14:paraId="039C6869" w14:textId="77777777" w:rsidR="00575AC3" w:rsidRPr="006D40F0" w:rsidRDefault="00575AC3" w:rsidP="006D40F0"/>
        </w:tc>
      </w:tr>
      <w:tr w:rsidR="00DD49A7" w:rsidRPr="006D40F0" w14:paraId="7EFBF7AF" w14:textId="77777777">
        <w:trPr>
          <w:trHeight w:val="380"/>
        </w:trPr>
        <w:tc>
          <w:tcPr>
            <w:tcW w:w="680" w:type="dxa"/>
            <w:tcBorders>
              <w:top w:val="nil"/>
              <w:left w:val="nil"/>
              <w:bottom w:val="nil"/>
              <w:right w:val="nil"/>
            </w:tcBorders>
            <w:tcMar>
              <w:top w:w="128" w:type="dxa"/>
              <w:left w:w="43" w:type="dxa"/>
              <w:bottom w:w="43" w:type="dxa"/>
              <w:right w:w="43" w:type="dxa"/>
            </w:tcMar>
          </w:tcPr>
          <w:p w14:paraId="11CDF45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23E88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D9D4A7A"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63F21AE" w14:textId="77777777" w:rsidR="00575AC3" w:rsidRPr="006D40F0" w:rsidRDefault="00575AC3" w:rsidP="006D40F0">
            <w:r w:rsidRPr="006D40F0">
              <w:t>9 718 000</w:t>
            </w:r>
          </w:p>
        </w:tc>
      </w:tr>
      <w:tr w:rsidR="00DD49A7" w:rsidRPr="006D40F0" w14:paraId="46FEC016" w14:textId="77777777">
        <w:trPr>
          <w:trHeight w:val="380"/>
        </w:trPr>
        <w:tc>
          <w:tcPr>
            <w:tcW w:w="680" w:type="dxa"/>
            <w:tcBorders>
              <w:top w:val="nil"/>
              <w:left w:val="nil"/>
              <w:bottom w:val="nil"/>
              <w:right w:val="nil"/>
            </w:tcBorders>
            <w:tcMar>
              <w:top w:w="128" w:type="dxa"/>
              <w:left w:w="43" w:type="dxa"/>
              <w:bottom w:w="43" w:type="dxa"/>
              <w:right w:w="43" w:type="dxa"/>
            </w:tcMar>
          </w:tcPr>
          <w:p w14:paraId="2359EE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2D322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EAFAC1" w14:textId="77777777" w:rsidR="00575AC3" w:rsidRPr="006D40F0" w:rsidRDefault="00575AC3" w:rsidP="006D40F0">
            <w:r w:rsidRPr="006D40F0">
              <w:t>fra kr 751 006 000 til kr 760 724 000</w:t>
            </w:r>
          </w:p>
        </w:tc>
        <w:tc>
          <w:tcPr>
            <w:tcW w:w="1400" w:type="dxa"/>
            <w:tcBorders>
              <w:top w:val="nil"/>
              <w:left w:val="nil"/>
              <w:bottom w:val="nil"/>
              <w:right w:val="nil"/>
            </w:tcBorders>
            <w:tcMar>
              <w:top w:w="128" w:type="dxa"/>
              <w:left w:w="43" w:type="dxa"/>
              <w:bottom w:w="43" w:type="dxa"/>
              <w:right w:w="43" w:type="dxa"/>
            </w:tcMar>
            <w:vAlign w:val="bottom"/>
          </w:tcPr>
          <w:p w14:paraId="5DA2BB78" w14:textId="77777777" w:rsidR="00575AC3" w:rsidRPr="006D40F0" w:rsidRDefault="00575AC3" w:rsidP="006D40F0"/>
        </w:tc>
      </w:tr>
      <w:tr w:rsidR="00DD49A7" w:rsidRPr="006D40F0" w14:paraId="7AC02B31" w14:textId="77777777">
        <w:trPr>
          <w:trHeight w:val="380"/>
        </w:trPr>
        <w:tc>
          <w:tcPr>
            <w:tcW w:w="680" w:type="dxa"/>
            <w:tcBorders>
              <w:top w:val="nil"/>
              <w:left w:val="nil"/>
              <w:bottom w:val="nil"/>
              <w:right w:val="nil"/>
            </w:tcBorders>
            <w:tcMar>
              <w:top w:w="128" w:type="dxa"/>
              <w:left w:w="43" w:type="dxa"/>
              <w:bottom w:w="43" w:type="dxa"/>
              <w:right w:w="43" w:type="dxa"/>
            </w:tcMar>
          </w:tcPr>
          <w:p w14:paraId="361BEF7F" w14:textId="77777777" w:rsidR="00575AC3" w:rsidRPr="006D40F0" w:rsidRDefault="00575AC3" w:rsidP="006D40F0">
            <w:r w:rsidRPr="006D40F0">
              <w:t>1645</w:t>
            </w:r>
          </w:p>
        </w:tc>
        <w:tc>
          <w:tcPr>
            <w:tcW w:w="680" w:type="dxa"/>
            <w:tcBorders>
              <w:top w:val="nil"/>
              <w:left w:val="nil"/>
              <w:bottom w:val="nil"/>
              <w:right w:val="nil"/>
            </w:tcBorders>
            <w:tcMar>
              <w:top w:w="128" w:type="dxa"/>
              <w:left w:w="43" w:type="dxa"/>
              <w:bottom w:w="43" w:type="dxa"/>
              <w:right w:w="43" w:type="dxa"/>
            </w:tcMar>
          </w:tcPr>
          <w:p w14:paraId="68BFBD5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D09E03" w14:textId="77777777" w:rsidR="00575AC3" w:rsidRPr="006D40F0" w:rsidRDefault="00575AC3" w:rsidP="006D40F0">
            <w:r w:rsidRPr="006D40F0">
              <w:t>Statlig garantiordning for lån til små og mellomstore bedrifter:</w:t>
            </w:r>
          </w:p>
        </w:tc>
        <w:tc>
          <w:tcPr>
            <w:tcW w:w="1400" w:type="dxa"/>
            <w:tcBorders>
              <w:top w:val="nil"/>
              <w:left w:val="nil"/>
              <w:bottom w:val="nil"/>
              <w:right w:val="nil"/>
            </w:tcBorders>
            <w:tcMar>
              <w:top w:w="128" w:type="dxa"/>
              <w:left w:w="43" w:type="dxa"/>
              <w:bottom w:w="43" w:type="dxa"/>
              <w:right w:w="43" w:type="dxa"/>
            </w:tcMar>
            <w:vAlign w:val="bottom"/>
          </w:tcPr>
          <w:p w14:paraId="444A8AEB" w14:textId="77777777" w:rsidR="00575AC3" w:rsidRPr="006D40F0" w:rsidRDefault="00575AC3" w:rsidP="006D40F0"/>
        </w:tc>
      </w:tr>
      <w:tr w:rsidR="00DD49A7" w:rsidRPr="006D40F0" w14:paraId="6C295F35" w14:textId="77777777">
        <w:trPr>
          <w:trHeight w:val="640"/>
        </w:trPr>
        <w:tc>
          <w:tcPr>
            <w:tcW w:w="680" w:type="dxa"/>
            <w:tcBorders>
              <w:top w:val="nil"/>
              <w:left w:val="nil"/>
              <w:bottom w:val="nil"/>
              <w:right w:val="nil"/>
            </w:tcBorders>
            <w:tcMar>
              <w:top w:w="128" w:type="dxa"/>
              <w:left w:w="43" w:type="dxa"/>
              <w:bottom w:w="43" w:type="dxa"/>
              <w:right w:w="43" w:type="dxa"/>
            </w:tcMar>
          </w:tcPr>
          <w:p w14:paraId="3945DE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675E0C"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408FC5D4" w14:textId="77777777" w:rsidR="00575AC3" w:rsidRPr="006D40F0" w:rsidRDefault="00575AC3" w:rsidP="006D40F0">
            <w:r w:rsidRPr="006D40F0">
              <w:t>Spesielle driftsutgifter til administrasjon av statlig garantiordning for små og mellomstore bedrifter, nedsettes med</w:t>
            </w:r>
          </w:p>
        </w:tc>
        <w:tc>
          <w:tcPr>
            <w:tcW w:w="1400" w:type="dxa"/>
            <w:tcBorders>
              <w:top w:val="nil"/>
              <w:left w:val="nil"/>
              <w:bottom w:val="nil"/>
              <w:right w:val="nil"/>
            </w:tcBorders>
            <w:tcMar>
              <w:top w:w="128" w:type="dxa"/>
              <w:left w:w="43" w:type="dxa"/>
              <w:bottom w:w="43" w:type="dxa"/>
              <w:right w:w="43" w:type="dxa"/>
            </w:tcMar>
            <w:vAlign w:val="bottom"/>
          </w:tcPr>
          <w:p w14:paraId="66A53D31" w14:textId="77777777" w:rsidR="00575AC3" w:rsidRPr="006D40F0" w:rsidRDefault="00575AC3" w:rsidP="006D40F0">
            <w:r w:rsidRPr="006D40F0">
              <w:t>5 310 000</w:t>
            </w:r>
          </w:p>
        </w:tc>
      </w:tr>
      <w:tr w:rsidR="00DD49A7" w:rsidRPr="006D40F0" w14:paraId="61579067" w14:textId="77777777">
        <w:trPr>
          <w:trHeight w:val="380"/>
        </w:trPr>
        <w:tc>
          <w:tcPr>
            <w:tcW w:w="680" w:type="dxa"/>
            <w:tcBorders>
              <w:top w:val="nil"/>
              <w:left w:val="nil"/>
              <w:bottom w:val="nil"/>
              <w:right w:val="nil"/>
            </w:tcBorders>
            <w:tcMar>
              <w:top w:w="128" w:type="dxa"/>
              <w:left w:w="43" w:type="dxa"/>
              <w:bottom w:w="43" w:type="dxa"/>
              <w:right w:w="43" w:type="dxa"/>
            </w:tcMar>
          </w:tcPr>
          <w:p w14:paraId="0A366F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5B070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2A1D0A" w14:textId="77777777" w:rsidR="00575AC3" w:rsidRPr="006D40F0" w:rsidRDefault="00575AC3" w:rsidP="006D40F0">
            <w:r w:rsidRPr="006D40F0">
              <w:t>fra kr 5 310 000 til kr 0</w:t>
            </w:r>
          </w:p>
        </w:tc>
        <w:tc>
          <w:tcPr>
            <w:tcW w:w="1400" w:type="dxa"/>
            <w:tcBorders>
              <w:top w:val="nil"/>
              <w:left w:val="nil"/>
              <w:bottom w:val="nil"/>
              <w:right w:val="nil"/>
            </w:tcBorders>
            <w:tcMar>
              <w:top w:w="128" w:type="dxa"/>
              <w:left w:w="43" w:type="dxa"/>
              <w:bottom w:w="43" w:type="dxa"/>
              <w:right w:w="43" w:type="dxa"/>
            </w:tcMar>
            <w:vAlign w:val="bottom"/>
          </w:tcPr>
          <w:p w14:paraId="1AA905FE" w14:textId="77777777" w:rsidR="00575AC3" w:rsidRPr="006D40F0" w:rsidRDefault="00575AC3" w:rsidP="006D40F0"/>
        </w:tc>
      </w:tr>
      <w:tr w:rsidR="00DD49A7" w:rsidRPr="006D40F0" w14:paraId="2E48EC13" w14:textId="77777777">
        <w:trPr>
          <w:trHeight w:val="380"/>
        </w:trPr>
        <w:tc>
          <w:tcPr>
            <w:tcW w:w="680" w:type="dxa"/>
            <w:tcBorders>
              <w:top w:val="nil"/>
              <w:left w:val="nil"/>
              <w:bottom w:val="nil"/>
              <w:right w:val="nil"/>
            </w:tcBorders>
            <w:tcMar>
              <w:top w:w="128" w:type="dxa"/>
              <w:left w:w="43" w:type="dxa"/>
              <w:bottom w:w="43" w:type="dxa"/>
              <w:right w:w="43" w:type="dxa"/>
            </w:tcMar>
          </w:tcPr>
          <w:p w14:paraId="774BA2EB" w14:textId="77777777" w:rsidR="00575AC3" w:rsidRPr="006D40F0" w:rsidRDefault="00575AC3" w:rsidP="006D40F0">
            <w:r w:rsidRPr="006D40F0">
              <w:t>1650</w:t>
            </w:r>
          </w:p>
        </w:tc>
        <w:tc>
          <w:tcPr>
            <w:tcW w:w="680" w:type="dxa"/>
            <w:tcBorders>
              <w:top w:val="nil"/>
              <w:left w:val="nil"/>
              <w:bottom w:val="nil"/>
              <w:right w:val="nil"/>
            </w:tcBorders>
            <w:tcMar>
              <w:top w:w="128" w:type="dxa"/>
              <w:left w:w="43" w:type="dxa"/>
              <w:bottom w:w="43" w:type="dxa"/>
              <w:right w:w="43" w:type="dxa"/>
            </w:tcMar>
          </w:tcPr>
          <w:p w14:paraId="2BB619F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40EF7AB" w14:textId="77777777" w:rsidR="00575AC3" w:rsidRPr="006D40F0" w:rsidRDefault="00575AC3" w:rsidP="006D40F0">
            <w:r w:rsidRPr="006D40F0">
              <w:t>Statsgjeld, renter mv.:</w:t>
            </w:r>
          </w:p>
        </w:tc>
        <w:tc>
          <w:tcPr>
            <w:tcW w:w="1400" w:type="dxa"/>
            <w:tcBorders>
              <w:top w:val="nil"/>
              <w:left w:val="nil"/>
              <w:bottom w:val="nil"/>
              <w:right w:val="nil"/>
            </w:tcBorders>
            <w:tcMar>
              <w:top w:w="128" w:type="dxa"/>
              <w:left w:w="43" w:type="dxa"/>
              <w:bottom w:w="43" w:type="dxa"/>
              <w:right w:w="43" w:type="dxa"/>
            </w:tcMar>
            <w:vAlign w:val="bottom"/>
          </w:tcPr>
          <w:p w14:paraId="4D4013EB" w14:textId="77777777" w:rsidR="00575AC3" w:rsidRPr="006D40F0" w:rsidRDefault="00575AC3" w:rsidP="006D40F0"/>
        </w:tc>
      </w:tr>
      <w:tr w:rsidR="00DD49A7" w:rsidRPr="006D40F0" w14:paraId="672F2728" w14:textId="77777777">
        <w:trPr>
          <w:trHeight w:val="640"/>
        </w:trPr>
        <w:tc>
          <w:tcPr>
            <w:tcW w:w="680" w:type="dxa"/>
            <w:tcBorders>
              <w:top w:val="nil"/>
              <w:left w:val="nil"/>
              <w:bottom w:val="nil"/>
              <w:right w:val="nil"/>
            </w:tcBorders>
            <w:tcMar>
              <w:top w:w="128" w:type="dxa"/>
              <w:left w:w="43" w:type="dxa"/>
              <w:bottom w:w="43" w:type="dxa"/>
              <w:right w:w="43" w:type="dxa"/>
            </w:tcMar>
          </w:tcPr>
          <w:p w14:paraId="3E95563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1A4AFD" w14:textId="77777777" w:rsidR="00575AC3" w:rsidRPr="006D40F0" w:rsidRDefault="00575AC3" w:rsidP="006D40F0">
            <w:r w:rsidRPr="006D40F0">
              <w:t>89</w:t>
            </w:r>
          </w:p>
        </w:tc>
        <w:tc>
          <w:tcPr>
            <w:tcW w:w="6800" w:type="dxa"/>
            <w:tcBorders>
              <w:top w:val="nil"/>
              <w:left w:val="nil"/>
              <w:bottom w:val="nil"/>
              <w:right w:val="nil"/>
            </w:tcBorders>
            <w:tcMar>
              <w:top w:w="128" w:type="dxa"/>
              <w:left w:w="43" w:type="dxa"/>
              <w:bottom w:w="43" w:type="dxa"/>
              <w:right w:w="43" w:type="dxa"/>
            </w:tcMar>
          </w:tcPr>
          <w:p w14:paraId="45BB83CF" w14:textId="77777777" w:rsidR="00575AC3" w:rsidRPr="006D40F0" w:rsidRDefault="00575AC3" w:rsidP="006D40F0">
            <w:r w:rsidRPr="006D40F0">
              <w:t xml:space="preserve">Renter og provisjon mv. på innenlandsk statsgjeld,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5BC6302" w14:textId="77777777" w:rsidR="00575AC3" w:rsidRPr="006D40F0" w:rsidRDefault="00575AC3" w:rsidP="006D40F0">
            <w:r w:rsidRPr="006D40F0">
              <w:t>1 520 800 000</w:t>
            </w:r>
          </w:p>
        </w:tc>
      </w:tr>
      <w:tr w:rsidR="00DD49A7" w:rsidRPr="006D40F0" w14:paraId="1A604458" w14:textId="77777777">
        <w:trPr>
          <w:trHeight w:val="380"/>
        </w:trPr>
        <w:tc>
          <w:tcPr>
            <w:tcW w:w="680" w:type="dxa"/>
            <w:tcBorders>
              <w:top w:val="nil"/>
              <w:left w:val="nil"/>
              <w:bottom w:val="nil"/>
              <w:right w:val="nil"/>
            </w:tcBorders>
            <w:tcMar>
              <w:top w:w="128" w:type="dxa"/>
              <w:left w:w="43" w:type="dxa"/>
              <w:bottom w:w="43" w:type="dxa"/>
              <w:right w:w="43" w:type="dxa"/>
            </w:tcMar>
          </w:tcPr>
          <w:p w14:paraId="16FE04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0AC2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DD3162" w14:textId="77777777" w:rsidR="00575AC3" w:rsidRPr="006D40F0" w:rsidRDefault="00575AC3" w:rsidP="006D40F0">
            <w:r w:rsidRPr="006D40F0">
              <w:t>fra kr 12 454 300 000 til kr 13 975 100 000</w:t>
            </w:r>
          </w:p>
        </w:tc>
        <w:tc>
          <w:tcPr>
            <w:tcW w:w="1400" w:type="dxa"/>
            <w:tcBorders>
              <w:top w:val="nil"/>
              <w:left w:val="nil"/>
              <w:bottom w:val="nil"/>
              <w:right w:val="nil"/>
            </w:tcBorders>
            <w:tcMar>
              <w:top w:w="128" w:type="dxa"/>
              <w:left w:w="43" w:type="dxa"/>
              <w:bottom w:w="43" w:type="dxa"/>
              <w:right w:w="43" w:type="dxa"/>
            </w:tcMar>
            <w:vAlign w:val="bottom"/>
          </w:tcPr>
          <w:p w14:paraId="35BC784F" w14:textId="77777777" w:rsidR="00575AC3" w:rsidRPr="006D40F0" w:rsidRDefault="00575AC3" w:rsidP="006D40F0"/>
        </w:tc>
      </w:tr>
      <w:tr w:rsidR="00DD49A7" w:rsidRPr="006D40F0" w14:paraId="6D783BE4" w14:textId="77777777">
        <w:trPr>
          <w:trHeight w:val="380"/>
        </w:trPr>
        <w:tc>
          <w:tcPr>
            <w:tcW w:w="680" w:type="dxa"/>
            <w:tcBorders>
              <w:top w:val="nil"/>
              <w:left w:val="nil"/>
              <w:bottom w:val="nil"/>
              <w:right w:val="nil"/>
            </w:tcBorders>
            <w:tcMar>
              <w:top w:w="128" w:type="dxa"/>
              <w:left w:w="43" w:type="dxa"/>
              <w:bottom w:w="43" w:type="dxa"/>
              <w:right w:w="43" w:type="dxa"/>
            </w:tcMar>
          </w:tcPr>
          <w:p w14:paraId="7A2AAF0B" w14:textId="77777777" w:rsidR="00575AC3" w:rsidRPr="006D40F0" w:rsidRDefault="00575AC3" w:rsidP="006D40F0">
            <w:r w:rsidRPr="006D40F0">
              <w:t>1651</w:t>
            </w:r>
          </w:p>
        </w:tc>
        <w:tc>
          <w:tcPr>
            <w:tcW w:w="680" w:type="dxa"/>
            <w:tcBorders>
              <w:top w:val="nil"/>
              <w:left w:val="nil"/>
              <w:bottom w:val="nil"/>
              <w:right w:val="nil"/>
            </w:tcBorders>
            <w:tcMar>
              <w:top w:w="128" w:type="dxa"/>
              <w:left w:w="43" w:type="dxa"/>
              <w:bottom w:w="43" w:type="dxa"/>
              <w:right w:w="43" w:type="dxa"/>
            </w:tcMar>
          </w:tcPr>
          <w:p w14:paraId="528A395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C6EB05" w14:textId="77777777" w:rsidR="00575AC3" w:rsidRPr="006D40F0" w:rsidRDefault="00575AC3" w:rsidP="006D40F0">
            <w:r w:rsidRPr="006D40F0">
              <w:t>Statsgjeld, avdrag og innløsning:</w:t>
            </w:r>
          </w:p>
        </w:tc>
        <w:tc>
          <w:tcPr>
            <w:tcW w:w="1400" w:type="dxa"/>
            <w:tcBorders>
              <w:top w:val="nil"/>
              <w:left w:val="nil"/>
              <w:bottom w:val="nil"/>
              <w:right w:val="nil"/>
            </w:tcBorders>
            <w:tcMar>
              <w:top w:w="128" w:type="dxa"/>
              <w:left w:w="43" w:type="dxa"/>
              <w:bottom w:w="43" w:type="dxa"/>
              <w:right w:w="43" w:type="dxa"/>
            </w:tcMar>
            <w:vAlign w:val="bottom"/>
          </w:tcPr>
          <w:p w14:paraId="3932D092" w14:textId="77777777" w:rsidR="00575AC3" w:rsidRPr="006D40F0" w:rsidRDefault="00575AC3" w:rsidP="006D40F0"/>
        </w:tc>
      </w:tr>
      <w:tr w:rsidR="00DD49A7" w:rsidRPr="006D40F0" w14:paraId="0958DE6D" w14:textId="77777777">
        <w:trPr>
          <w:trHeight w:val="380"/>
        </w:trPr>
        <w:tc>
          <w:tcPr>
            <w:tcW w:w="680" w:type="dxa"/>
            <w:tcBorders>
              <w:top w:val="nil"/>
              <w:left w:val="nil"/>
              <w:bottom w:val="nil"/>
              <w:right w:val="nil"/>
            </w:tcBorders>
            <w:tcMar>
              <w:top w:w="128" w:type="dxa"/>
              <w:left w:w="43" w:type="dxa"/>
              <w:bottom w:w="43" w:type="dxa"/>
              <w:right w:w="43" w:type="dxa"/>
            </w:tcMar>
          </w:tcPr>
          <w:p w14:paraId="389E85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6BBA8D" w14:textId="77777777" w:rsidR="00575AC3" w:rsidRPr="006D40F0" w:rsidRDefault="00575AC3" w:rsidP="006D40F0">
            <w:r w:rsidRPr="006D40F0">
              <w:t>98</w:t>
            </w:r>
          </w:p>
        </w:tc>
        <w:tc>
          <w:tcPr>
            <w:tcW w:w="6800" w:type="dxa"/>
            <w:tcBorders>
              <w:top w:val="nil"/>
              <w:left w:val="nil"/>
              <w:bottom w:val="nil"/>
              <w:right w:val="nil"/>
            </w:tcBorders>
            <w:tcMar>
              <w:top w:w="128" w:type="dxa"/>
              <w:left w:w="43" w:type="dxa"/>
              <w:bottom w:w="43" w:type="dxa"/>
              <w:right w:w="43" w:type="dxa"/>
            </w:tcMar>
          </w:tcPr>
          <w:p w14:paraId="23E0912F" w14:textId="77777777" w:rsidR="00575AC3" w:rsidRPr="006D40F0" w:rsidRDefault="00575AC3" w:rsidP="006D40F0">
            <w:r w:rsidRPr="006D40F0">
              <w:t xml:space="preserve">Avdrag på innenlandsk statsgjeld,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92E895E" w14:textId="77777777" w:rsidR="00575AC3" w:rsidRPr="006D40F0" w:rsidRDefault="00575AC3" w:rsidP="006D40F0">
            <w:r w:rsidRPr="006D40F0">
              <w:t>5 175 000 000</w:t>
            </w:r>
          </w:p>
        </w:tc>
      </w:tr>
      <w:tr w:rsidR="00DD49A7" w:rsidRPr="006D40F0" w14:paraId="4F41D67D" w14:textId="77777777">
        <w:trPr>
          <w:trHeight w:val="380"/>
        </w:trPr>
        <w:tc>
          <w:tcPr>
            <w:tcW w:w="680" w:type="dxa"/>
            <w:tcBorders>
              <w:top w:val="nil"/>
              <w:left w:val="nil"/>
              <w:bottom w:val="nil"/>
              <w:right w:val="nil"/>
            </w:tcBorders>
            <w:tcMar>
              <w:top w:w="128" w:type="dxa"/>
              <w:left w:w="43" w:type="dxa"/>
              <w:bottom w:w="43" w:type="dxa"/>
              <w:right w:w="43" w:type="dxa"/>
            </w:tcMar>
          </w:tcPr>
          <w:p w14:paraId="3159B81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9F72E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AEACAB" w14:textId="77777777" w:rsidR="00575AC3" w:rsidRPr="006D40F0" w:rsidRDefault="00575AC3" w:rsidP="006D40F0">
            <w:r w:rsidRPr="006D40F0">
              <w:t>fra kr 68 000 000 000 til kr 62 825 000 000</w:t>
            </w:r>
          </w:p>
        </w:tc>
        <w:tc>
          <w:tcPr>
            <w:tcW w:w="1400" w:type="dxa"/>
            <w:tcBorders>
              <w:top w:val="nil"/>
              <w:left w:val="nil"/>
              <w:bottom w:val="nil"/>
              <w:right w:val="nil"/>
            </w:tcBorders>
            <w:tcMar>
              <w:top w:w="128" w:type="dxa"/>
              <w:left w:w="43" w:type="dxa"/>
              <w:bottom w:w="43" w:type="dxa"/>
              <w:right w:w="43" w:type="dxa"/>
            </w:tcMar>
            <w:vAlign w:val="bottom"/>
          </w:tcPr>
          <w:p w14:paraId="1A23174E" w14:textId="77777777" w:rsidR="00575AC3" w:rsidRPr="006D40F0" w:rsidRDefault="00575AC3" w:rsidP="006D40F0"/>
        </w:tc>
      </w:tr>
      <w:tr w:rsidR="00DD49A7" w:rsidRPr="006D40F0" w14:paraId="64F4F200" w14:textId="77777777">
        <w:trPr>
          <w:trHeight w:val="380"/>
        </w:trPr>
        <w:tc>
          <w:tcPr>
            <w:tcW w:w="680" w:type="dxa"/>
            <w:tcBorders>
              <w:top w:val="nil"/>
              <w:left w:val="nil"/>
              <w:bottom w:val="nil"/>
              <w:right w:val="nil"/>
            </w:tcBorders>
            <w:tcMar>
              <w:top w:w="128" w:type="dxa"/>
              <w:left w:w="43" w:type="dxa"/>
              <w:bottom w:w="43" w:type="dxa"/>
              <w:right w:w="43" w:type="dxa"/>
            </w:tcMar>
          </w:tcPr>
          <w:p w14:paraId="2BCE5A5E" w14:textId="77777777" w:rsidR="00575AC3" w:rsidRPr="006D40F0" w:rsidRDefault="00575AC3" w:rsidP="006D40F0">
            <w:r w:rsidRPr="006D40F0">
              <w:t>1700</w:t>
            </w:r>
          </w:p>
        </w:tc>
        <w:tc>
          <w:tcPr>
            <w:tcW w:w="680" w:type="dxa"/>
            <w:tcBorders>
              <w:top w:val="nil"/>
              <w:left w:val="nil"/>
              <w:bottom w:val="nil"/>
              <w:right w:val="nil"/>
            </w:tcBorders>
            <w:tcMar>
              <w:top w:w="128" w:type="dxa"/>
              <w:left w:w="43" w:type="dxa"/>
              <w:bottom w:w="43" w:type="dxa"/>
              <w:right w:w="43" w:type="dxa"/>
            </w:tcMar>
          </w:tcPr>
          <w:p w14:paraId="266DA3A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72B75BC" w14:textId="77777777" w:rsidR="00575AC3" w:rsidRPr="006D40F0" w:rsidRDefault="00575AC3" w:rsidP="006D40F0">
            <w:r w:rsidRPr="006D40F0">
              <w:t>Forsvarsdepartementet:</w:t>
            </w:r>
          </w:p>
        </w:tc>
        <w:tc>
          <w:tcPr>
            <w:tcW w:w="1400" w:type="dxa"/>
            <w:tcBorders>
              <w:top w:val="nil"/>
              <w:left w:val="nil"/>
              <w:bottom w:val="nil"/>
              <w:right w:val="nil"/>
            </w:tcBorders>
            <w:tcMar>
              <w:top w:w="128" w:type="dxa"/>
              <w:left w:w="43" w:type="dxa"/>
              <w:bottom w:w="43" w:type="dxa"/>
              <w:right w:w="43" w:type="dxa"/>
            </w:tcMar>
            <w:vAlign w:val="bottom"/>
          </w:tcPr>
          <w:p w14:paraId="39509F1D" w14:textId="77777777" w:rsidR="00575AC3" w:rsidRPr="006D40F0" w:rsidRDefault="00575AC3" w:rsidP="006D40F0"/>
        </w:tc>
      </w:tr>
      <w:tr w:rsidR="00DD49A7" w:rsidRPr="006D40F0" w14:paraId="259BDC17" w14:textId="77777777">
        <w:trPr>
          <w:trHeight w:val="380"/>
        </w:trPr>
        <w:tc>
          <w:tcPr>
            <w:tcW w:w="680" w:type="dxa"/>
            <w:tcBorders>
              <w:top w:val="nil"/>
              <w:left w:val="nil"/>
              <w:bottom w:val="nil"/>
              <w:right w:val="nil"/>
            </w:tcBorders>
            <w:tcMar>
              <w:top w:w="128" w:type="dxa"/>
              <w:left w:w="43" w:type="dxa"/>
              <w:bottom w:w="43" w:type="dxa"/>
              <w:right w:w="43" w:type="dxa"/>
            </w:tcMar>
          </w:tcPr>
          <w:p w14:paraId="23F4DB5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90782C"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85EED59"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4CC46678" w14:textId="77777777" w:rsidR="00575AC3" w:rsidRPr="006D40F0" w:rsidRDefault="00575AC3" w:rsidP="006D40F0">
            <w:r w:rsidRPr="006D40F0">
              <w:t>25 935 000</w:t>
            </w:r>
          </w:p>
        </w:tc>
      </w:tr>
      <w:tr w:rsidR="00DD49A7" w:rsidRPr="006D40F0" w14:paraId="36FF69F0" w14:textId="77777777">
        <w:trPr>
          <w:trHeight w:val="380"/>
        </w:trPr>
        <w:tc>
          <w:tcPr>
            <w:tcW w:w="680" w:type="dxa"/>
            <w:tcBorders>
              <w:top w:val="nil"/>
              <w:left w:val="nil"/>
              <w:bottom w:val="nil"/>
              <w:right w:val="nil"/>
            </w:tcBorders>
            <w:tcMar>
              <w:top w:w="128" w:type="dxa"/>
              <w:left w:w="43" w:type="dxa"/>
              <w:bottom w:w="43" w:type="dxa"/>
              <w:right w:w="43" w:type="dxa"/>
            </w:tcMar>
          </w:tcPr>
          <w:p w14:paraId="675737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FF88B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2DB0E6" w14:textId="77777777" w:rsidR="00575AC3" w:rsidRPr="006D40F0" w:rsidRDefault="00575AC3" w:rsidP="006D40F0">
            <w:r w:rsidRPr="006D40F0">
              <w:t>fra kr 719 231 000 til kr 745 166 000</w:t>
            </w:r>
          </w:p>
        </w:tc>
        <w:tc>
          <w:tcPr>
            <w:tcW w:w="1400" w:type="dxa"/>
            <w:tcBorders>
              <w:top w:val="nil"/>
              <w:left w:val="nil"/>
              <w:bottom w:val="nil"/>
              <w:right w:val="nil"/>
            </w:tcBorders>
            <w:tcMar>
              <w:top w:w="128" w:type="dxa"/>
              <w:left w:w="43" w:type="dxa"/>
              <w:bottom w:w="43" w:type="dxa"/>
              <w:right w:w="43" w:type="dxa"/>
            </w:tcMar>
            <w:vAlign w:val="bottom"/>
          </w:tcPr>
          <w:p w14:paraId="10E83329" w14:textId="77777777" w:rsidR="00575AC3" w:rsidRPr="006D40F0" w:rsidRDefault="00575AC3" w:rsidP="006D40F0"/>
        </w:tc>
      </w:tr>
      <w:tr w:rsidR="00DD49A7" w:rsidRPr="006D40F0" w14:paraId="0042B18C" w14:textId="77777777">
        <w:trPr>
          <w:trHeight w:val="380"/>
        </w:trPr>
        <w:tc>
          <w:tcPr>
            <w:tcW w:w="680" w:type="dxa"/>
            <w:tcBorders>
              <w:top w:val="nil"/>
              <w:left w:val="nil"/>
              <w:bottom w:val="nil"/>
              <w:right w:val="nil"/>
            </w:tcBorders>
            <w:tcMar>
              <w:top w:w="128" w:type="dxa"/>
              <w:left w:w="43" w:type="dxa"/>
              <w:bottom w:w="43" w:type="dxa"/>
              <w:right w:w="43" w:type="dxa"/>
            </w:tcMar>
          </w:tcPr>
          <w:p w14:paraId="7F8FDE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68E40C" w14:textId="77777777" w:rsidR="00575AC3" w:rsidRPr="006D40F0" w:rsidRDefault="00575AC3" w:rsidP="006D40F0">
            <w:r w:rsidRPr="006D40F0">
              <w:t>22</w:t>
            </w:r>
          </w:p>
        </w:tc>
        <w:tc>
          <w:tcPr>
            <w:tcW w:w="6800" w:type="dxa"/>
            <w:tcBorders>
              <w:top w:val="nil"/>
              <w:left w:val="nil"/>
              <w:bottom w:val="nil"/>
              <w:right w:val="nil"/>
            </w:tcBorders>
            <w:tcMar>
              <w:top w:w="128" w:type="dxa"/>
              <w:left w:w="43" w:type="dxa"/>
              <w:bottom w:w="43" w:type="dxa"/>
              <w:right w:w="43" w:type="dxa"/>
            </w:tcMar>
          </w:tcPr>
          <w:p w14:paraId="4C017D32" w14:textId="77777777" w:rsidR="00575AC3" w:rsidRPr="006D40F0" w:rsidRDefault="00575AC3" w:rsidP="006D40F0">
            <w:r w:rsidRPr="006D40F0">
              <w:t xml:space="preserve">IKT-virksomhet,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02CC306" w14:textId="77777777" w:rsidR="00575AC3" w:rsidRPr="006D40F0" w:rsidRDefault="00575AC3" w:rsidP="006D40F0">
            <w:r w:rsidRPr="006D40F0">
              <w:t>51 800 000</w:t>
            </w:r>
          </w:p>
        </w:tc>
      </w:tr>
      <w:tr w:rsidR="00DD49A7" w:rsidRPr="006D40F0" w14:paraId="29975563" w14:textId="77777777">
        <w:trPr>
          <w:trHeight w:val="380"/>
        </w:trPr>
        <w:tc>
          <w:tcPr>
            <w:tcW w:w="680" w:type="dxa"/>
            <w:tcBorders>
              <w:top w:val="nil"/>
              <w:left w:val="nil"/>
              <w:bottom w:val="nil"/>
              <w:right w:val="nil"/>
            </w:tcBorders>
            <w:tcMar>
              <w:top w:w="128" w:type="dxa"/>
              <w:left w:w="43" w:type="dxa"/>
              <w:bottom w:w="43" w:type="dxa"/>
              <w:right w:w="43" w:type="dxa"/>
            </w:tcMar>
          </w:tcPr>
          <w:p w14:paraId="19A1FEC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B81DF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06276BD" w14:textId="77777777" w:rsidR="00575AC3" w:rsidRPr="006D40F0" w:rsidRDefault="00575AC3" w:rsidP="006D40F0">
            <w:r w:rsidRPr="006D40F0">
              <w:t>fra kr 881 024 000 til kr 829 224 000</w:t>
            </w:r>
          </w:p>
        </w:tc>
        <w:tc>
          <w:tcPr>
            <w:tcW w:w="1400" w:type="dxa"/>
            <w:tcBorders>
              <w:top w:val="nil"/>
              <w:left w:val="nil"/>
              <w:bottom w:val="nil"/>
              <w:right w:val="nil"/>
            </w:tcBorders>
            <w:tcMar>
              <w:top w:w="128" w:type="dxa"/>
              <w:left w:w="43" w:type="dxa"/>
              <w:bottom w:w="43" w:type="dxa"/>
              <w:right w:w="43" w:type="dxa"/>
            </w:tcMar>
            <w:vAlign w:val="bottom"/>
          </w:tcPr>
          <w:p w14:paraId="2C71ECD4" w14:textId="77777777" w:rsidR="00575AC3" w:rsidRPr="006D40F0" w:rsidRDefault="00575AC3" w:rsidP="006D40F0"/>
        </w:tc>
      </w:tr>
      <w:tr w:rsidR="00DD49A7" w:rsidRPr="006D40F0" w14:paraId="3BE4D195" w14:textId="77777777">
        <w:trPr>
          <w:trHeight w:val="380"/>
        </w:trPr>
        <w:tc>
          <w:tcPr>
            <w:tcW w:w="680" w:type="dxa"/>
            <w:tcBorders>
              <w:top w:val="nil"/>
              <w:left w:val="nil"/>
              <w:bottom w:val="nil"/>
              <w:right w:val="nil"/>
            </w:tcBorders>
            <w:tcMar>
              <w:top w:w="128" w:type="dxa"/>
              <w:left w:w="43" w:type="dxa"/>
              <w:bottom w:w="43" w:type="dxa"/>
              <w:right w:w="43" w:type="dxa"/>
            </w:tcMar>
          </w:tcPr>
          <w:p w14:paraId="2DB37E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0F5FCE" w14:textId="77777777" w:rsidR="00575AC3" w:rsidRPr="006D40F0" w:rsidRDefault="00575AC3" w:rsidP="006D40F0">
            <w:r w:rsidRPr="006D40F0">
              <w:t>43</w:t>
            </w:r>
          </w:p>
        </w:tc>
        <w:tc>
          <w:tcPr>
            <w:tcW w:w="6800" w:type="dxa"/>
            <w:tcBorders>
              <w:top w:val="nil"/>
              <w:left w:val="nil"/>
              <w:bottom w:val="nil"/>
              <w:right w:val="nil"/>
            </w:tcBorders>
            <w:tcMar>
              <w:top w:w="128" w:type="dxa"/>
              <w:left w:w="43" w:type="dxa"/>
              <w:bottom w:w="43" w:type="dxa"/>
              <w:right w:w="43" w:type="dxa"/>
            </w:tcMar>
          </w:tcPr>
          <w:p w14:paraId="1ADB3B14" w14:textId="77777777" w:rsidR="00575AC3" w:rsidRPr="006D40F0" w:rsidRDefault="00575AC3" w:rsidP="006D40F0">
            <w:r w:rsidRPr="006D40F0">
              <w:t xml:space="preserve">Til disposisjon for Forsvarsdepartementet,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7762E8D" w14:textId="77777777" w:rsidR="00575AC3" w:rsidRPr="006D40F0" w:rsidRDefault="00575AC3" w:rsidP="006D40F0">
            <w:r w:rsidRPr="006D40F0">
              <w:t>2 200 000</w:t>
            </w:r>
          </w:p>
        </w:tc>
      </w:tr>
      <w:tr w:rsidR="00DD49A7" w:rsidRPr="006D40F0" w14:paraId="68590E49" w14:textId="77777777">
        <w:trPr>
          <w:trHeight w:val="380"/>
        </w:trPr>
        <w:tc>
          <w:tcPr>
            <w:tcW w:w="680" w:type="dxa"/>
            <w:tcBorders>
              <w:top w:val="nil"/>
              <w:left w:val="nil"/>
              <w:bottom w:val="nil"/>
              <w:right w:val="nil"/>
            </w:tcBorders>
            <w:tcMar>
              <w:top w:w="128" w:type="dxa"/>
              <w:left w:w="43" w:type="dxa"/>
              <w:bottom w:w="43" w:type="dxa"/>
              <w:right w:w="43" w:type="dxa"/>
            </w:tcMar>
          </w:tcPr>
          <w:p w14:paraId="54490C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16BE6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8928E9" w14:textId="77777777" w:rsidR="00575AC3" w:rsidRPr="006D40F0" w:rsidRDefault="00575AC3" w:rsidP="006D40F0">
            <w:r w:rsidRPr="006D40F0">
              <w:t>fra kr 6 402 000 til kr 4 202 000</w:t>
            </w:r>
          </w:p>
        </w:tc>
        <w:tc>
          <w:tcPr>
            <w:tcW w:w="1400" w:type="dxa"/>
            <w:tcBorders>
              <w:top w:val="nil"/>
              <w:left w:val="nil"/>
              <w:bottom w:val="nil"/>
              <w:right w:val="nil"/>
            </w:tcBorders>
            <w:tcMar>
              <w:top w:w="128" w:type="dxa"/>
              <w:left w:w="43" w:type="dxa"/>
              <w:bottom w:w="43" w:type="dxa"/>
              <w:right w:w="43" w:type="dxa"/>
            </w:tcMar>
            <w:vAlign w:val="bottom"/>
          </w:tcPr>
          <w:p w14:paraId="6FF36AE7" w14:textId="77777777" w:rsidR="00575AC3" w:rsidRPr="006D40F0" w:rsidRDefault="00575AC3" w:rsidP="006D40F0"/>
        </w:tc>
      </w:tr>
      <w:tr w:rsidR="00DD49A7" w:rsidRPr="006D40F0" w14:paraId="57161957" w14:textId="77777777">
        <w:trPr>
          <w:trHeight w:val="380"/>
        </w:trPr>
        <w:tc>
          <w:tcPr>
            <w:tcW w:w="680" w:type="dxa"/>
            <w:tcBorders>
              <w:top w:val="nil"/>
              <w:left w:val="nil"/>
              <w:bottom w:val="nil"/>
              <w:right w:val="nil"/>
            </w:tcBorders>
            <w:tcMar>
              <w:top w:w="128" w:type="dxa"/>
              <w:left w:w="43" w:type="dxa"/>
              <w:bottom w:w="43" w:type="dxa"/>
              <w:right w:w="43" w:type="dxa"/>
            </w:tcMar>
          </w:tcPr>
          <w:p w14:paraId="3B85F5C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33161C" w14:textId="77777777" w:rsidR="00575AC3" w:rsidRPr="006D40F0" w:rsidRDefault="00575AC3" w:rsidP="006D40F0">
            <w:r w:rsidRPr="006D40F0">
              <w:t>52</w:t>
            </w:r>
          </w:p>
        </w:tc>
        <w:tc>
          <w:tcPr>
            <w:tcW w:w="6800" w:type="dxa"/>
            <w:tcBorders>
              <w:top w:val="nil"/>
              <w:left w:val="nil"/>
              <w:bottom w:val="nil"/>
              <w:right w:val="nil"/>
            </w:tcBorders>
            <w:tcMar>
              <w:top w:w="128" w:type="dxa"/>
              <w:left w:w="43" w:type="dxa"/>
              <w:bottom w:w="43" w:type="dxa"/>
              <w:right w:w="43" w:type="dxa"/>
            </w:tcMar>
          </w:tcPr>
          <w:p w14:paraId="4BE3EDD6" w14:textId="77777777" w:rsidR="00575AC3" w:rsidRPr="006D40F0" w:rsidRDefault="00575AC3" w:rsidP="006D40F0">
            <w:r w:rsidRPr="006D40F0">
              <w:t>Overføringer til statlige forvaltningsorganer, forhøyes med</w:t>
            </w:r>
          </w:p>
        </w:tc>
        <w:tc>
          <w:tcPr>
            <w:tcW w:w="1400" w:type="dxa"/>
            <w:tcBorders>
              <w:top w:val="nil"/>
              <w:left w:val="nil"/>
              <w:bottom w:val="nil"/>
              <w:right w:val="nil"/>
            </w:tcBorders>
            <w:tcMar>
              <w:top w:w="128" w:type="dxa"/>
              <w:left w:w="43" w:type="dxa"/>
              <w:bottom w:w="43" w:type="dxa"/>
              <w:right w:w="43" w:type="dxa"/>
            </w:tcMar>
            <w:vAlign w:val="bottom"/>
          </w:tcPr>
          <w:p w14:paraId="02281764" w14:textId="77777777" w:rsidR="00575AC3" w:rsidRPr="006D40F0" w:rsidRDefault="00575AC3" w:rsidP="006D40F0">
            <w:r w:rsidRPr="006D40F0">
              <w:t>1 500 000</w:t>
            </w:r>
          </w:p>
        </w:tc>
      </w:tr>
      <w:tr w:rsidR="00DD49A7" w:rsidRPr="006D40F0" w14:paraId="24BA1FD1" w14:textId="77777777">
        <w:trPr>
          <w:trHeight w:val="380"/>
        </w:trPr>
        <w:tc>
          <w:tcPr>
            <w:tcW w:w="680" w:type="dxa"/>
            <w:tcBorders>
              <w:top w:val="nil"/>
              <w:left w:val="nil"/>
              <w:bottom w:val="nil"/>
              <w:right w:val="nil"/>
            </w:tcBorders>
            <w:tcMar>
              <w:top w:w="128" w:type="dxa"/>
              <w:left w:w="43" w:type="dxa"/>
              <w:bottom w:w="43" w:type="dxa"/>
              <w:right w:w="43" w:type="dxa"/>
            </w:tcMar>
          </w:tcPr>
          <w:p w14:paraId="05D6F9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2B746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1DA142" w14:textId="77777777" w:rsidR="00575AC3" w:rsidRPr="006D40F0" w:rsidRDefault="00575AC3" w:rsidP="006D40F0">
            <w:r w:rsidRPr="006D40F0">
              <w:t>fra kr 25 585 000 til kr 27 085 000</w:t>
            </w:r>
          </w:p>
        </w:tc>
        <w:tc>
          <w:tcPr>
            <w:tcW w:w="1400" w:type="dxa"/>
            <w:tcBorders>
              <w:top w:val="nil"/>
              <w:left w:val="nil"/>
              <w:bottom w:val="nil"/>
              <w:right w:val="nil"/>
            </w:tcBorders>
            <w:tcMar>
              <w:top w:w="128" w:type="dxa"/>
              <w:left w:w="43" w:type="dxa"/>
              <w:bottom w:w="43" w:type="dxa"/>
              <w:right w:w="43" w:type="dxa"/>
            </w:tcMar>
            <w:vAlign w:val="bottom"/>
          </w:tcPr>
          <w:p w14:paraId="6CC034E5" w14:textId="77777777" w:rsidR="00575AC3" w:rsidRPr="006D40F0" w:rsidRDefault="00575AC3" w:rsidP="006D40F0"/>
        </w:tc>
      </w:tr>
      <w:tr w:rsidR="00DD49A7" w:rsidRPr="006D40F0" w14:paraId="203121D3" w14:textId="77777777">
        <w:trPr>
          <w:trHeight w:val="380"/>
        </w:trPr>
        <w:tc>
          <w:tcPr>
            <w:tcW w:w="680" w:type="dxa"/>
            <w:tcBorders>
              <w:top w:val="nil"/>
              <w:left w:val="nil"/>
              <w:bottom w:val="nil"/>
              <w:right w:val="nil"/>
            </w:tcBorders>
            <w:tcMar>
              <w:top w:w="128" w:type="dxa"/>
              <w:left w:w="43" w:type="dxa"/>
              <w:bottom w:w="43" w:type="dxa"/>
              <w:right w:w="43" w:type="dxa"/>
            </w:tcMar>
          </w:tcPr>
          <w:p w14:paraId="13635AB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9AC988"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7E325E10" w14:textId="77777777" w:rsidR="00575AC3" w:rsidRPr="006D40F0" w:rsidRDefault="00575AC3" w:rsidP="006D40F0">
            <w:r w:rsidRPr="006D40F0">
              <w:t xml:space="preserve">Overføringer til andre,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D4F8F16" w14:textId="77777777" w:rsidR="00575AC3" w:rsidRPr="006D40F0" w:rsidRDefault="00575AC3" w:rsidP="006D40F0">
            <w:r w:rsidRPr="006D40F0">
              <w:t>2 550 000</w:t>
            </w:r>
          </w:p>
        </w:tc>
      </w:tr>
      <w:tr w:rsidR="00DD49A7" w:rsidRPr="006D40F0" w14:paraId="25629257" w14:textId="77777777">
        <w:trPr>
          <w:trHeight w:val="380"/>
        </w:trPr>
        <w:tc>
          <w:tcPr>
            <w:tcW w:w="680" w:type="dxa"/>
            <w:tcBorders>
              <w:top w:val="nil"/>
              <w:left w:val="nil"/>
              <w:bottom w:val="nil"/>
              <w:right w:val="nil"/>
            </w:tcBorders>
            <w:tcMar>
              <w:top w:w="128" w:type="dxa"/>
              <w:left w:w="43" w:type="dxa"/>
              <w:bottom w:w="43" w:type="dxa"/>
              <w:right w:w="43" w:type="dxa"/>
            </w:tcMar>
          </w:tcPr>
          <w:p w14:paraId="17EB65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A5CFD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2421FC" w14:textId="77777777" w:rsidR="00575AC3" w:rsidRPr="006D40F0" w:rsidRDefault="00575AC3" w:rsidP="006D40F0">
            <w:r w:rsidRPr="006D40F0">
              <w:t>fra kr 91 517 000 til kr 88 967 000</w:t>
            </w:r>
          </w:p>
        </w:tc>
        <w:tc>
          <w:tcPr>
            <w:tcW w:w="1400" w:type="dxa"/>
            <w:tcBorders>
              <w:top w:val="nil"/>
              <w:left w:val="nil"/>
              <w:bottom w:val="nil"/>
              <w:right w:val="nil"/>
            </w:tcBorders>
            <w:tcMar>
              <w:top w:w="128" w:type="dxa"/>
              <w:left w:w="43" w:type="dxa"/>
              <w:bottom w:w="43" w:type="dxa"/>
              <w:right w:w="43" w:type="dxa"/>
            </w:tcMar>
            <w:vAlign w:val="bottom"/>
          </w:tcPr>
          <w:p w14:paraId="45388C13" w14:textId="77777777" w:rsidR="00575AC3" w:rsidRPr="006D40F0" w:rsidRDefault="00575AC3" w:rsidP="006D40F0"/>
        </w:tc>
      </w:tr>
      <w:tr w:rsidR="00DD49A7" w:rsidRPr="006D40F0" w14:paraId="30BE2E6A" w14:textId="77777777">
        <w:trPr>
          <w:trHeight w:val="380"/>
        </w:trPr>
        <w:tc>
          <w:tcPr>
            <w:tcW w:w="680" w:type="dxa"/>
            <w:tcBorders>
              <w:top w:val="nil"/>
              <w:left w:val="nil"/>
              <w:bottom w:val="nil"/>
              <w:right w:val="nil"/>
            </w:tcBorders>
            <w:tcMar>
              <w:top w:w="128" w:type="dxa"/>
              <w:left w:w="43" w:type="dxa"/>
              <w:bottom w:w="43" w:type="dxa"/>
              <w:right w:w="43" w:type="dxa"/>
            </w:tcMar>
          </w:tcPr>
          <w:p w14:paraId="5194DA7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8EC0CE"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3D877F0B" w14:textId="77777777" w:rsidR="00575AC3" w:rsidRPr="006D40F0" w:rsidRDefault="00575AC3" w:rsidP="006D40F0">
            <w:r w:rsidRPr="006D40F0">
              <w:t xml:space="preserve">Forskning og utvikling,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221AB88" w14:textId="77777777" w:rsidR="00575AC3" w:rsidRPr="006D40F0" w:rsidRDefault="00575AC3" w:rsidP="006D40F0">
            <w:r w:rsidRPr="006D40F0">
              <w:t>1 612 000</w:t>
            </w:r>
          </w:p>
        </w:tc>
      </w:tr>
      <w:tr w:rsidR="00DD49A7" w:rsidRPr="006D40F0" w14:paraId="2BFEE110" w14:textId="77777777">
        <w:trPr>
          <w:trHeight w:val="380"/>
        </w:trPr>
        <w:tc>
          <w:tcPr>
            <w:tcW w:w="680" w:type="dxa"/>
            <w:tcBorders>
              <w:top w:val="nil"/>
              <w:left w:val="nil"/>
              <w:bottom w:val="nil"/>
              <w:right w:val="nil"/>
            </w:tcBorders>
            <w:tcMar>
              <w:top w:w="128" w:type="dxa"/>
              <w:left w:w="43" w:type="dxa"/>
              <w:bottom w:w="43" w:type="dxa"/>
              <w:right w:w="43" w:type="dxa"/>
            </w:tcMar>
          </w:tcPr>
          <w:p w14:paraId="0B0760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02F14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CEFF036" w14:textId="77777777" w:rsidR="00575AC3" w:rsidRPr="006D40F0" w:rsidRDefault="00575AC3" w:rsidP="006D40F0">
            <w:r w:rsidRPr="006D40F0">
              <w:t>fra kr 125 958 000 til kr 127 570 000</w:t>
            </w:r>
          </w:p>
        </w:tc>
        <w:tc>
          <w:tcPr>
            <w:tcW w:w="1400" w:type="dxa"/>
            <w:tcBorders>
              <w:top w:val="nil"/>
              <w:left w:val="nil"/>
              <w:bottom w:val="nil"/>
              <w:right w:val="nil"/>
            </w:tcBorders>
            <w:tcMar>
              <w:top w:w="128" w:type="dxa"/>
              <w:left w:w="43" w:type="dxa"/>
              <w:bottom w:w="43" w:type="dxa"/>
              <w:right w:w="43" w:type="dxa"/>
            </w:tcMar>
            <w:vAlign w:val="bottom"/>
          </w:tcPr>
          <w:p w14:paraId="2BDF2E45" w14:textId="77777777" w:rsidR="00575AC3" w:rsidRPr="006D40F0" w:rsidRDefault="00575AC3" w:rsidP="006D40F0"/>
        </w:tc>
      </w:tr>
      <w:tr w:rsidR="00DD49A7" w:rsidRPr="006D40F0" w14:paraId="02B820FA" w14:textId="77777777">
        <w:trPr>
          <w:trHeight w:val="640"/>
        </w:trPr>
        <w:tc>
          <w:tcPr>
            <w:tcW w:w="680" w:type="dxa"/>
            <w:tcBorders>
              <w:top w:val="nil"/>
              <w:left w:val="nil"/>
              <w:bottom w:val="nil"/>
              <w:right w:val="nil"/>
            </w:tcBorders>
            <w:tcMar>
              <w:top w:w="128" w:type="dxa"/>
              <w:left w:w="43" w:type="dxa"/>
              <w:bottom w:w="43" w:type="dxa"/>
              <w:right w:w="43" w:type="dxa"/>
            </w:tcMar>
          </w:tcPr>
          <w:p w14:paraId="6C0CEE0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14DD8F"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06848E65" w14:textId="6408F1C3" w:rsidR="00575AC3" w:rsidRPr="006D40F0" w:rsidRDefault="00575AC3" w:rsidP="006D40F0">
            <w:r w:rsidRPr="006D40F0">
              <w:t>Norges tilskudd til NATOs og internasjonale driftsbudsjetter,</w:t>
            </w:r>
            <w:r w:rsidR="006D40F0">
              <w:t xml:space="preserve">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6576B32" w14:textId="77777777" w:rsidR="00575AC3" w:rsidRPr="006D40F0" w:rsidRDefault="00575AC3" w:rsidP="006D40F0">
            <w:r w:rsidRPr="006D40F0">
              <w:t>1 038 500 000</w:t>
            </w:r>
          </w:p>
        </w:tc>
      </w:tr>
      <w:tr w:rsidR="00DD49A7" w:rsidRPr="006D40F0" w14:paraId="66F9C2DE" w14:textId="77777777">
        <w:trPr>
          <w:trHeight w:val="380"/>
        </w:trPr>
        <w:tc>
          <w:tcPr>
            <w:tcW w:w="680" w:type="dxa"/>
            <w:tcBorders>
              <w:top w:val="nil"/>
              <w:left w:val="nil"/>
              <w:bottom w:val="nil"/>
              <w:right w:val="nil"/>
            </w:tcBorders>
            <w:tcMar>
              <w:top w:w="128" w:type="dxa"/>
              <w:left w:w="43" w:type="dxa"/>
              <w:bottom w:w="43" w:type="dxa"/>
              <w:right w:w="43" w:type="dxa"/>
            </w:tcMar>
          </w:tcPr>
          <w:p w14:paraId="6CD5D9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F4DDC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EE1202" w14:textId="77777777" w:rsidR="00575AC3" w:rsidRPr="006D40F0" w:rsidRDefault="00575AC3" w:rsidP="006D40F0">
            <w:r w:rsidRPr="006D40F0">
              <w:t>fra kr 1 068 330 000 til kr 2 106 830 000</w:t>
            </w:r>
          </w:p>
        </w:tc>
        <w:tc>
          <w:tcPr>
            <w:tcW w:w="1400" w:type="dxa"/>
            <w:tcBorders>
              <w:top w:val="nil"/>
              <w:left w:val="nil"/>
              <w:bottom w:val="nil"/>
              <w:right w:val="nil"/>
            </w:tcBorders>
            <w:tcMar>
              <w:top w:w="128" w:type="dxa"/>
              <w:left w:w="43" w:type="dxa"/>
              <w:bottom w:w="43" w:type="dxa"/>
              <w:right w:w="43" w:type="dxa"/>
            </w:tcMar>
            <w:vAlign w:val="bottom"/>
          </w:tcPr>
          <w:p w14:paraId="5635BF53" w14:textId="77777777" w:rsidR="00575AC3" w:rsidRPr="006D40F0" w:rsidRDefault="00575AC3" w:rsidP="006D40F0"/>
        </w:tc>
      </w:tr>
      <w:tr w:rsidR="00DD49A7" w:rsidRPr="006D40F0" w14:paraId="34D3F4D6" w14:textId="77777777">
        <w:trPr>
          <w:trHeight w:val="640"/>
        </w:trPr>
        <w:tc>
          <w:tcPr>
            <w:tcW w:w="680" w:type="dxa"/>
            <w:tcBorders>
              <w:top w:val="nil"/>
              <w:left w:val="nil"/>
              <w:bottom w:val="nil"/>
              <w:right w:val="nil"/>
            </w:tcBorders>
            <w:tcMar>
              <w:top w:w="128" w:type="dxa"/>
              <w:left w:w="43" w:type="dxa"/>
              <w:bottom w:w="43" w:type="dxa"/>
              <w:right w:w="43" w:type="dxa"/>
            </w:tcMar>
          </w:tcPr>
          <w:p w14:paraId="16B5B8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467AE60" w14:textId="77777777" w:rsidR="00575AC3" w:rsidRPr="006D40F0" w:rsidRDefault="00575AC3" w:rsidP="006D40F0">
            <w:r w:rsidRPr="006D40F0">
              <w:t>79</w:t>
            </w:r>
          </w:p>
        </w:tc>
        <w:tc>
          <w:tcPr>
            <w:tcW w:w="6800" w:type="dxa"/>
            <w:tcBorders>
              <w:top w:val="nil"/>
              <w:left w:val="nil"/>
              <w:bottom w:val="nil"/>
              <w:right w:val="nil"/>
            </w:tcBorders>
            <w:tcMar>
              <w:top w:w="128" w:type="dxa"/>
              <w:left w:w="43" w:type="dxa"/>
              <w:bottom w:w="43" w:type="dxa"/>
              <w:right w:w="43" w:type="dxa"/>
            </w:tcMar>
          </w:tcPr>
          <w:p w14:paraId="289987C5" w14:textId="77777777" w:rsidR="00575AC3" w:rsidRPr="006D40F0" w:rsidRDefault="00575AC3" w:rsidP="006D40F0">
            <w:r w:rsidRPr="006D40F0">
              <w:t xml:space="preserve">Militær støtte til Ukraina, </w:t>
            </w:r>
            <w:r w:rsidRPr="00575AC3">
              <w:rPr>
                <w:rStyle w:val="kursiv"/>
              </w:rPr>
              <w:t>kan overføres, kan nyttes under kap. 1710, post 1 og 47, kap. 1720, post 1 og kap. 1760, post 1 og 45</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24FA63D0" w14:textId="77777777" w:rsidR="00575AC3" w:rsidRPr="006D40F0" w:rsidRDefault="00575AC3" w:rsidP="006D40F0">
            <w:r w:rsidRPr="006D40F0">
              <w:t>3 575 750 000</w:t>
            </w:r>
          </w:p>
        </w:tc>
      </w:tr>
      <w:tr w:rsidR="00DD49A7" w:rsidRPr="006D40F0" w14:paraId="17A1DED0" w14:textId="77777777">
        <w:trPr>
          <w:trHeight w:val="380"/>
        </w:trPr>
        <w:tc>
          <w:tcPr>
            <w:tcW w:w="680" w:type="dxa"/>
            <w:tcBorders>
              <w:top w:val="nil"/>
              <w:left w:val="nil"/>
              <w:bottom w:val="nil"/>
              <w:right w:val="nil"/>
            </w:tcBorders>
            <w:tcMar>
              <w:top w:w="128" w:type="dxa"/>
              <w:left w:w="43" w:type="dxa"/>
              <w:bottom w:w="43" w:type="dxa"/>
              <w:right w:w="43" w:type="dxa"/>
            </w:tcMar>
          </w:tcPr>
          <w:p w14:paraId="42647A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AEFD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B4AFD23" w14:textId="77777777" w:rsidR="00575AC3" w:rsidRPr="006D40F0" w:rsidRDefault="00575AC3" w:rsidP="006D40F0">
            <w:r w:rsidRPr="006D40F0">
              <w:t>fra kr 4 450 000 000 til kr 8 025 750 000</w:t>
            </w:r>
          </w:p>
        </w:tc>
        <w:tc>
          <w:tcPr>
            <w:tcW w:w="1400" w:type="dxa"/>
            <w:tcBorders>
              <w:top w:val="nil"/>
              <w:left w:val="nil"/>
              <w:bottom w:val="nil"/>
              <w:right w:val="nil"/>
            </w:tcBorders>
            <w:tcMar>
              <w:top w:w="128" w:type="dxa"/>
              <w:left w:w="43" w:type="dxa"/>
              <w:bottom w:w="43" w:type="dxa"/>
              <w:right w:w="43" w:type="dxa"/>
            </w:tcMar>
            <w:vAlign w:val="bottom"/>
          </w:tcPr>
          <w:p w14:paraId="56DDD785" w14:textId="77777777" w:rsidR="00575AC3" w:rsidRPr="006D40F0" w:rsidRDefault="00575AC3" w:rsidP="006D40F0"/>
        </w:tc>
      </w:tr>
      <w:tr w:rsidR="00DD49A7" w:rsidRPr="006D40F0" w14:paraId="47117876" w14:textId="77777777">
        <w:trPr>
          <w:trHeight w:val="380"/>
        </w:trPr>
        <w:tc>
          <w:tcPr>
            <w:tcW w:w="680" w:type="dxa"/>
            <w:tcBorders>
              <w:top w:val="nil"/>
              <w:left w:val="nil"/>
              <w:bottom w:val="nil"/>
              <w:right w:val="nil"/>
            </w:tcBorders>
            <w:tcMar>
              <w:top w:w="128" w:type="dxa"/>
              <w:left w:w="43" w:type="dxa"/>
              <w:bottom w:w="43" w:type="dxa"/>
              <w:right w:w="43" w:type="dxa"/>
            </w:tcMar>
          </w:tcPr>
          <w:p w14:paraId="37ED8EB4" w14:textId="77777777" w:rsidR="00575AC3" w:rsidRPr="006D40F0" w:rsidRDefault="00575AC3" w:rsidP="006D40F0">
            <w:r w:rsidRPr="006D40F0">
              <w:t>1710</w:t>
            </w:r>
          </w:p>
        </w:tc>
        <w:tc>
          <w:tcPr>
            <w:tcW w:w="680" w:type="dxa"/>
            <w:tcBorders>
              <w:top w:val="nil"/>
              <w:left w:val="nil"/>
              <w:bottom w:val="nil"/>
              <w:right w:val="nil"/>
            </w:tcBorders>
            <w:tcMar>
              <w:top w:w="128" w:type="dxa"/>
              <w:left w:w="43" w:type="dxa"/>
              <w:bottom w:w="43" w:type="dxa"/>
              <w:right w:w="43" w:type="dxa"/>
            </w:tcMar>
          </w:tcPr>
          <w:p w14:paraId="2F88719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7BBFA0" w14:textId="77777777" w:rsidR="00575AC3" w:rsidRPr="006D40F0" w:rsidRDefault="00575AC3" w:rsidP="006D40F0">
            <w:r w:rsidRPr="006D40F0">
              <w:t>Forsvarsbygg og nybygg og nyanlegg:</w:t>
            </w:r>
          </w:p>
        </w:tc>
        <w:tc>
          <w:tcPr>
            <w:tcW w:w="1400" w:type="dxa"/>
            <w:tcBorders>
              <w:top w:val="nil"/>
              <w:left w:val="nil"/>
              <w:bottom w:val="nil"/>
              <w:right w:val="nil"/>
            </w:tcBorders>
            <w:tcMar>
              <w:top w:w="128" w:type="dxa"/>
              <w:left w:w="43" w:type="dxa"/>
              <w:bottom w:w="43" w:type="dxa"/>
              <w:right w:w="43" w:type="dxa"/>
            </w:tcMar>
            <w:vAlign w:val="bottom"/>
          </w:tcPr>
          <w:p w14:paraId="46730EF4" w14:textId="77777777" w:rsidR="00575AC3" w:rsidRPr="006D40F0" w:rsidRDefault="00575AC3" w:rsidP="006D40F0"/>
        </w:tc>
      </w:tr>
      <w:tr w:rsidR="00DD49A7" w:rsidRPr="006D40F0" w14:paraId="4EC643E3" w14:textId="77777777">
        <w:trPr>
          <w:trHeight w:val="380"/>
        </w:trPr>
        <w:tc>
          <w:tcPr>
            <w:tcW w:w="680" w:type="dxa"/>
            <w:tcBorders>
              <w:top w:val="nil"/>
              <w:left w:val="nil"/>
              <w:bottom w:val="nil"/>
              <w:right w:val="nil"/>
            </w:tcBorders>
            <w:tcMar>
              <w:top w:w="128" w:type="dxa"/>
              <w:left w:w="43" w:type="dxa"/>
              <w:bottom w:w="43" w:type="dxa"/>
              <w:right w:w="43" w:type="dxa"/>
            </w:tcMar>
          </w:tcPr>
          <w:p w14:paraId="04472E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C3FA2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E60504F" w14:textId="77777777" w:rsidR="00575AC3" w:rsidRPr="006D40F0" w:rsidRDefault="00575AC3" w:rsidP="006D40F0">
            <w:r w:rsidRPr="006D40F0">
              <w:t xml:space="preserve">Driftsutgifter,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FF5ABA2" w14:textId="77777777" w:rsidR="00575AC3" w:rsidRPr="006D40F0" w:rsidRDefault="00575AC3" w:rsidP="006D40F0">
            <w:r w:rsidRPr="006D40F0">
              <w:t>112 960 000</w:t>
            </w:r>
          </w:p>
        </w:tc>
      </w:tr>
      <w:tr w:rsidR="00DD49A7" w:rsidRPr="006D40F0" w14:paraId="73578AA0" w14:textId="77777777">
        <w:trPr>
          <w:trHeight w:val="380"/>
        </w:trPr>
        <w:tc>
          <w:tcPr>
            <w:tcW w:w="680" w:type="dxa"/>
            <w:tcBorders>
              <w:top w:val="nil"/>
              <w:left w:val="nil"/>
              <w:bottom w:val="nil"/>
              <w:right w:val="nil"/>
            </w:tcBorders>
            <w:tcMar>
              <w:top w:w="128" w:type="dxa"/>
              <w:left w:w="43" w:type="dxa"/>
              <w:bottom w:w="43" w:type="dxa"/>
              <w:right w:w="43" w:type="dxa"/>
            </w:tcMar>
          </w:tcPr>
          <w:p w14:paraId="272733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F865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634D69" w14:textId="77777777" w:rsidR="00575AC3" w:rsidRPr="006D40F0" w:rsidRDefault="00575AC3" w:rsidP="006D40F0">
            <w:r w:rsidRPr="006D40F0">
              <w:t>fra kr 6 236 577 000 til kr 6 349 537 000</w:t>
            </w:r>
          </w:p>
        </w:tc>
        <w:tc>
          <w:tcPr>
            <w:tcW w:w="1400" w:type="dxa"/>
            <w:tcBorders>
              <w:top w:val="nil"/>
              <w:left w:val="nil"/>
              <w:bottom w:val="nil"/>
              <w:right w:val="nil"/>
            </w:tcBorders>
            <w:tcMar>
              <w:top w:w="128" w:type="dxa"/>
              <w:left w:w="43" w:type="dxa"/>
              <w:bottom w:w="43" w:type="dxa"/>
              <w:right w:w="43" w:type="dxa"/>
            </w:tcMar>
            <w:vAlign w:val="bottom"/>
          </w:tcPr>
          <w:p w14:paraId="0D9DA1DE" w14:textId="77777777" w:rsidR="00575AC3" w:rsidRPr="006D40F0" w:rsidRDefault="00575AC3" w:rsidP="006D40F0"/>
        </w:tc>
      </w:tr>
      <w:tr w:rsidR="00DD49A7" w:rsidRPr="006D40F0" w14:paraId="4AC17221" w14:textId="77777777">
        <w:trPr>
          <w:trHeight w:val="380"/>
        </w:trPr>
        <w:tc>
          <w:tcPr>
            <w:tcW w:w="680" w:type="dxa"/>
            <w:tcBorders>
              <w:top w:val="nil"/>
              <w:left w:val="nil"/>
              <w:bottom w:val="nil"/>
              <w:right w:val="nil"/>
            </w:tcBorders>
            <w:tcMar>
              <w:top w:w="128" w:type="dxa"/>
              <w:left w:w="43" w:type="dxa"/>
              <w:bottom w:w="43" w:type="dxa"/>
              <w:right w:w="43" w:type="dxa"/>
            </w:tcMar>
          </w:tcPr>
          <w:p w14:paraId="006E19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AC8D9B2" w14:textId="77777777" w:rsidR="00575AC3" w:rsidRPr="006D40F0" w:rsidRDefault="00575AC3" w:rsidP="006D40F0">
            <w:r w:rsidRPr="006D40F0">
              <w:t>47</w:t>
            </w:r>
          </w:p>
        </w:tc>
        <w:tc>
          <w:tcPr>
            <w:tcW w:w="6800" w:type="dxa"/>
            <w:tcBorders>
              <w:top w:val="nil"/>
              <w:left w:val="nil"/>
              <w:bottom w:val="nil"/>
              <w:right w:val="nil"/>
            </w:tcBorders>
            <w:tcMar>
              <w:top w:w="128" w:type="dxa"/>
              <w:left w:w="43" w:type="dxa"/>
              <w:bottom w:w="43" w:type="dxa"/>
              <w:right w:w="43" w:type="dxa"/>
            </w:tcMar>
          </w:tcPr>
          <w:p w14:paraId="26544F4B" w14:textId="77777777" w:rsidR="00575AC3" w:rsidRPr="006D40F0" w:rsidRDefault="00575AC3" w:rsidP="006D40F0">
            <w:r w:rsidRPr="006D40F0">
              <w:t xml:space="preserve">Nybygg og nyanlegg,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B72B61F" w14:textId="77777777" w:rsidR="00575AC3" w:rsidRPr="006D40F0" w:rsidRDefault="00575AC3" w:rsidP="006D40F0">
            <w:r w:rsidRPr="006D40F0">
              <w:t>667 500 000</w:t>
            </w:r>
          </w:p>
        </w:tc>
      </w:tr>
      <w:tr w:rsidR="00DD49A7" w:rsidRPr="006D40F0" w14:paraId="3434C355" w14:textId="77777777">
        <w:trPr>
          <w:trHeight w:val="380"/>
        </w:trPr>
        <w:tc>
          <w:tcPr>
            <w:tcW w:w="680" w:type="dxa"/>
            <w:tcBorders>
              <w:top w:val="nil"/>
              <w:left w:val="nil"/>
              <w:bottom w:val="nil"/>
              <w:right w:val="nil"/>
            </w:tcBorders>
            <w:tcMar>
              <w:top w:w="128" w:type="dxa"/>
              <w:left w:w="43" w:type="dxa"/>
              <w:bottom w:w="43" w:type="dxa"/>
              <w:right w:w="43" w:type="dxa"/>
            </w:tcMar>
          </w:tcPr>
          <w:p w14:paraId="7A443A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7CE00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AB60C2" w14:textId="77777777" w:rsidR="00575AC3" w:rsidRPr="006D40F0" w:rsidRDefault="00575AC3" w:rsidP="006D40F0">
            <w:r w:rsidRPr="006D40F0">
              <w:t>fra kr 4 736 401 000 til kr 5 403 901 000</w:t>
            </w:r>
          </w:p>
        </w:tc>
        <w:tc>
          <w:tcPr>
            <w:tcW w:w="1400" w:type="dxa"/>
            <w:tcBorders>
              <w:top w:val="nil"/>
              <w:left w:val="nil"/>
              <w:bottom w:val="nil"/>
              <w:right w:val="nil"/>
            </w:tcBorders>
            <w:tcMar>
              <w:top w:w="128" w:type="dxa"/>
              <w:left w:w="43" w:type="dxa"/>
              <w:bottom w:w="43" w:type="dxa"/>
              <w:right w:w="43" w:type="dxa"/>
            </w:tcMar>
            <w:vAlign w:val="bottom"/>
          </w:tcPr>
          <w:p w14:paraId="0CABC1C1" w14:textId="77777777" w:rsidR="00575AC3" w:rsidRPr="006D40F0" w:rsidRDefault="00575AC3" w:rsidP="006D40F0"/>
        </w:tc>
      </w:tr>
      <w:tr w:rsidR="00DD49A7" w:rsidRPr="006D40F0" w14:paraId="6642F660" w14:textId="77777777">
        <w:trPr>
          <w:trHeight w:val="380"/>
        </w:trPr>
        <w:tc>
          <w:tcPr>
            <w:tcW w:w="680" w:type="dxa"/>
            <w:tcBorders>
              <w:top w:val="nil"/>
              <w:left w:val="nil"/>
              <w:bottom w:val="nil"/>
              <w:right w:val="nil"/>
            </w:tcBorders>
            <w:tcMar>
              <w:top w:w="128" w:type="dxa"/>
              <w:left w:w="43" w:type="dxa"/>
              <w:bottom w:w="43" w:type="dxa"/>
              <w:right w:w="43" w:type="dxa"/>
            </w:tcMar>
          </w:tcPr>
          <w:p w14:paraId="673672E3" w14:textId="77777777" w:rsidR="00575AC3" w:rsidRPr="006D40F0" w:rsidRDefault="00575AC3" w:rsidP="006D40F0">
            <w:r w:rsidRPr="006D40F0">
              <w:t>1716</w:t>
            </w:r>
          </w:p>
        </w:tc>
        <w:tc>
          <w:tcPr>
            <w:tcW w:w="680" w:type="dxa"/>
            <w:tcBorders>
              <w:top w:val="nil"/>
              <w:left w:val="nil"/>
              <w:bottom w:val="nil"/>
              <w:right w:val="nil"/>
            </w:tcBorders>
            <w:tcMar>
              <w:top w:w="128" w:type="dxa"/>
              <w:left w:w="43" w:type="dxa"/>
              <w:bottom w:w="43" w:type="dxa"/>
              <w:right w:w="43" w:type="dxa"/>
            </w:tcMar>
          </w:tcPr>
          <w:p w14:paraId="2EE2549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D414CD" w14:textId="77777777" w:rsidR="00575AC3" w:rsidRPr="006D40F0" w:rsidRDefault="00575AC3" w:rsidP="006D40F0">
            <w:r w:rsidRPr="006D40F0">
              <w:t>Forsvarets forskningsinstitutt:</w:t>
            </w:r>
          </w:p>
        </w:tc>
        <w:tc>
          <w:tcPr>
            <w:tcW w:w="1400" w:type="dxa"/>
            <w:tcBorders>
              <w:top w:val="nil"/>
              <w:left w:val="nil"/>
              <w:bottom w:val="nil"/>
              <w:right w:val="nil"/>
            </w:tcBorders>
            <w:tcMar>
              <w:top w:w="128" w:type="dxa"/>
              <w:left w:w="43" w:type="dxa"/>
              <w:bottom w:w="43" w:type="dxa"/>
              <w:right w:w="43" w:type="dxa"/>
            </w:tcMar>
            <w:vAlign w:val="bottom"/>
          </w:tcPr>
          <w:p w14:paraId="522EBE2F" w14:textId="77777777" w:rsidR="00575AC3" w:rsidRPr="006D40F0" w:rsidRDefault="00575AC3" w:rsidP="006D40F0"/>
        </w:tc>
      </w:tr>
      <w:tr w:rsidR="00DD49A7" w:rsidRPr="006D40F0" w14:paraId="07FD4454" w14:textId="77777777">
        <w:trPr>
          <w:trHeight w:val="380"/>
        </w:trPr>
        <w:tc>
          <w:tcPr>
            <w:tcW w:w="680" w:type="dxa"/>
            <w:tcBorders>
              <w:top w:val="nil"/>
              <w:left w:val="nil"/>
              <w:bottom w:val="nil"/>
              <w:right w:val="nil"/>
            </w:tcBorders>
            <w:tcMar>
              <w:top w:w="128" w:type="dxa"/>
              <w:left w:w="43" w:type="dxa"/>
              <w:bottom w:w="43" w:type="dxa"/>
              <w:right w:w="43" w:type="dxa"/>
            </w:tcMar>
          </w:tcPr>
          <w:p w14:paraId="31F2B0E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7909DF" w14:textId="77777777" w:rsidR="00575AC3" w:rsidRPr="006D40F0" w:rsidRDefault="00575AC3" w:rsidP="006D40F0">
            <w:r w:rsidRPr="006D40F0">
              <w:t>51</w:t>
            </w:r>
          </w:p>
        </w:tc>
        <w:tc>
          <w:tcPr>
            <w:tcW w:w="6800" w:type="dxa"/>
            <w:tcBorders>
              <w:top w:val="nil"/>
              <w:left w:val="nil"/>
              <w:bottom w:val="nil"/>
              <w:right w:val="nil"/>
            </w:tcBorders>
            <w:tcMar>
              <w:top w:w="128" w:type="dxa"/>
              <w:left w:w="43" w:type="dxa"/>
              <w:bottom w:w="43" w:type="dxa"/>
              <w:right w:w="43" w:type="dxa"/>
            </w:tcMar>
          </w:tcPr>
          <w:p w14:paraId="2C7C9132" w14:textId="77777777" w:rsidR="00575AC3" w:rsidRPr="006D40F0" w:rsidRDefault="00575AC3" w:rsidP="006D40F0">
            <w:r w:rsidRPr="006D40F0">
              <w:t>Tilskudd til Forsvarets forskningsinstitutt, forhøyes med</w:t>
            </w:r>
          </w:p>
        </w:tc>
        <w:tc>
          <w:tcPr>
            <w:tcW w:w="1400" w:type="dxa"/>
            <w:tcBorders>
              <w:top w:val="nil"/>
              <w:left w:val="nil"/>
              <w:bottom w:val="nil"/>
              <w:right w:val="nil"/>
            </w:tcBorders>
            <w:tcMar>
              <w:top w:w="128" w:type="dxa"/>
              <w:left w:w="43" w:type="dxa"/>
              <w:bottom w:w="43" w:type="dxa"/>
              <w:right w:w="43" w:type="dxa"/>
            </w:tcMar>
            <w:vAlign w:val="bottom"/>
          </w:tcPr>
          <w:p w14:paraId="41DAF532" w14:textId="77777777" w:rsidR="00575AC3" w:rsidRPr="006D40F0" w:rsidRDefault="00575AC3" w:rsidP="006D40F0">
            <w:r w:rsidRPr="006D40F0">
              <w:t>25 800 000</w:t>
            </w:r>
          </w:p>
        </w:tc>
      </w:tr>
      <w:tr w:rsidR="00DD49A7" w:rsidRPr="006D40F0" w14:paraId="01B1F4C2" w14:textId="77777777">
        <w:trPr>
          <w:trHeight w:val="380"/>
        </w:trPr>
        <w:tc>
          <w:tcPr>
            <w:tcW w:w="680" w:type="dxa"/>
            <w:tcBorders>
              <w:top w:val="nil"/>
              <w:left w:val="nil"/>
              <w:bottom w:val="nil"/>
              <w:right w:val="nil"/>
            </w:tcBorders>
            <w:tcMar>
              <w:top w:w="128" w:type="dxa"/>
              <w:left w:w="43" w:type="dxa"/>
              <w:bottom w:w="43" w:type="dxa"/>
              <w:right w:w="43" w:type="dxa"/>
            </w:tcMar>
          </w:tcPr>
          <w:p w14:paraId="1A32F0B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4A01D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3548A8" w14:textId="77777777" w:rsidR="00575AC3" w:rsidRPr="006D40F0" w:rsidRDefault="00575AC3" w:rsidP="006D40F0">
            <w:r w:rsidRPr="006D40F0">
              <w:t>fra kr 273 357 000 til kr 299 157 000</w:t>
            </w:r>
          </w:p>
        </w:tc>
        <w:tc>
          <w:tcPr>
            <w:tcW w:w="1400" w:type="dxa"/>
            <w:tcBorders>
              <w:top w:val="nil"/>
              <w:left w:val="nil"/>
              <w:bottom w:val="nil"/>
              <w:right w:val="nil"/>
            </w:tcBorders>
            <w:tcMar>
              <w:top w:w="128" w:type="dxa"/>
              <w:left w:w="43" w:type="dxa"/>
              <w:bottom w:w="43" w:type="dxa"/>
              <w:right w:w="43" w:type="dxa"/>
            </w:tcMar>
            <w:vAlign w:val="bottom"/>
          </w:tcPr>
          <w:p w14:paraId="28312DAC" w14:textId="77777777" w:rsidR="00575AC3" w:rsidRPr="006D40F0" w:rsidRDefault="00575AC3" w:rsidP="006D40F0"/>
        </w:tc>
      </w:tr>
      <w:tr w:rsidR="00DD49A7" w:rsidRPr="006D40F0" w14:paraId="29BB85BA" w14:textId="77777777">
        <w:trPr>
          <w:trHeight w:val="380"/>
        </w:trPr>
        <w:tc>
          <w:tcPr>
            <w:tcW w:w="680" w:type="dxa"/>
            <w:tcBorders>
              <w:top w:val="nil"/>
              <w:left w:val="nil"/>
              <w:bottom w:val="nil"/>
              <w:right w:val="nil"/>
            </w:tcBorders>
            <w:tcMar>
              <w:top w:w="128" w:type="dxa"/>
              <w:left w:w="43" w:type="dxa"/>
              <w:bottom w:w="43" w:type="dxa"/>
              <w:right w:w="43" w:type="dxa"/>
            </w:tcMar>
          </w:tcPr>
          <w:p w14:paraId="23075EB7" w14:textId="77777777" w:rsidR="00575AC3" w:rsidRPr="006D40F0" w:rsidRDefault="00575AC3" w:rsidP="006D40F0">
            <w:r w:rsidRPr="006D40F0">
              <w:lastRenderedPageBreak/>
              <w:t>1720</w:t>
            </w:r>
          </w:p>
        </w:tc>
        <w:tc>
          <w:tcPr>
            <w:tcW w:w="680" w:type="dxa"/>
            <w:tcBorders>
              <w:top w:val="nil"/>
              <w:left w:val="nil"/>
              <w:bottom w:val="nil"/>
              <w:right w:val="nil"/>
            </w:tcBorders>
            <w:tcMar>
              <w:top w:w="128" w:type="dxa"/>
              <w:left w:w="43" w:type="dxa"/>
              <w:bottom w:w="43" w:type="dxa"/>
              <w:right w:w="43" w:type="dxa"/>
            </w:tcMar>
          </w:tcPr>
          <w:p w14:paraId="6CC95AB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A9ECDC" w14:textId="77777777" w:rsidR="00575AC3" w:rsidRPr="006D40F0" w:rsidRDefault="00575AC3" w:rsidP="006D40F0">
            <w:r w:rsidRPr="006D40F0">
              <w:t>Forsvaret:</w:t>
            </w:r>
          </w:p>
        </w:tc>
        <w:tc>
          <w:tcPr>
            <w:tcW w:w="1400" w:type="dxa"/>
            <w:tcBorders>
              <w:top w:val="nil"/>
              <w:left w:val="nil"/>
              <w:bottom w:val="nil"/>
              <w:right w:val="nil"/>
            </w:tcBorders>
            <w:tcMar>
              <w:top w:w="128" w:type="dxa"/>
              <w:left w:w="43" w:type="dxa"/>
              <w:bottom w:w="43" w:type="dxa"/>
              <w:right w:w="43" w:type="dxa"/>
            </w:tcMar>
            <w:vAlign w:val="bottom"/>
          </w:tcPr>
          <w:p w14:paraId="28F06766" w14:textId="77777777" w:rsidR="00575AC3" w:rsidRPr="006D40F0" w:rsidRDefault="00575AC3" w:rsidP="006D40F0"/>
        </w:tc>
      </w:tr>
      <w:tr w:rsidR="00DD49A7" w:rsidRPr="006D40F0" w14:paraId="7F50E126" w14:textId="77777777">
        <w:trPr>
          <w:trHeight w:val="380"/>
        </w:trPr>
        <w:tc>
          <w:tcPr>
            <w:tcW w:w="680" w:type="dxa"/>
            <w:tcBorders>
              <w:top w:val="nil"/>
              <w:left w:val="nil"/>
              <w:bottom w:val="nil"/>
              <w:right w:val="nil"/>
            </w:tcBorders>
            <w:tcMar>
              <w:top w:w="128" w:type="dxa"/>
              <w:left w:w="43" w:type="dxa"/>
              <w:bottom w:w="43" w:type="dxa"/>
              <w:right w:w="43" w:type="dxa"/>
            </w:tcMar>
          </w:tcPr>
          <w:p w14:paraId="1A0609F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B8F097"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5F2C2F8"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D2E9681" w14:textId="77777777" w:rsidR="00575AC3" w:rsidRPr="006D40F0" w:rsidRDefault="00575AC3" w:rsidP="006D40F0">
            <w:r w:rsidRPr="006D40F0">
              <w:t>2 525 453 000</w:t>
            </w:r>
          </w:p>
        </w:tc>
      </w:tr>
      <w:tr w:rsidR="00DD49A7" w:rsidRPr="006D40F0" w14:paraId="11C421BB" w14:textId="77777777">
        <w:trPr>
          <w:trHeight w:val="380"/>
        </w:trPr>
        <w:tc>
          <w:tcPr>
            <w:tcW w:w="680" w:type="dxa"/>
            <w:tcBorders>
              <w:top w:val="nil"/>
              <w:left w:val="nil"/>
              <w:bottom w:val="nil"/>
              <w:right w:val="nil"/>
            </w:tcBorders>
            <w:tcMar>
              <w:top w:w="128" w:type="dxa"/>
              <w:left w:w="43" w:type="dxa"/>
              <w:bottom w:w="43" w:type="dxa"/>
              <w:right w:w="43" w:type="dxa"/>
            </w:tcMar>
          </w:tcPr>
          <w:p w14:paraId="5CDA6C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85759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4FDD2D1" w14:textId="77777777" w:rsidR="00575AC3" w:rsidRPr="006D40F0" w:rsidRDefault="00575AC3" w:rsidP="006D40F0">
            <w:r w:rsidRPr="006D40F0">
              <w:t>fra kr 40 164 620 000 til kr 42 690 073 000</w:t>
            </w:r>
          </w:p>
        </w:tc>
        <w:tc>
          <w:tcPr>
            <w:tcW w:w="1400" w:type="dxa"/>
            <w:tcBorders>
              <w:top w:val="nil"/>
              <w:left w:val="nil"/>
              <w:bottom w:val="nil"/>
              <w:right w:val="nil"/>
            </w:tcBorders>
            <w:tcMar>
              <w:top w:w="128" w:type="dxa"/>
              <w:left w:w="43" w:type="dxa"/>
              <w:bottom w:w="43" w:type="dxa"/>
              <w:right w:w="43" w:type="dxa"/>
            </w:tcMar>
            <w:vAlign w:val="bottom"/>
          </w:tcPr>
          <w:p w14:paraId="688D5A0A" w14:textId="77777777" w:rsidR="00575AC3" w:rsidRPr="006D40F0" w:rsidRDefault="00575AC3" w:rsidP="006D40F0"/>
        </w:tc>
      </w:tr>
      <w:tr w:rsidR="00DD49A7" w:rsidRPr="006D40F0" w14:paraId="4C290F3D" w14:textId="77777777">
        <w:trPr>
          <w:trHeight w:val="380"/>
        </w:trPr>
        <w:tc>
          <w:tcPr>
            <w:tcW w:w="680" w:type="dxa"/>
            <w:tcBorders>
              <w:top w:val="nil"/>
              <w:left w:val="nil"/>
              <w:bottom w:val="nil"/>
              <w:right w:val="nil"/>
            </w:tcBorders>
            <w:tcMar>
              <w:top w:w="128" w:type="dxa"/>
              <w:left w:w="43" w:type="dxa"/>
              <w:bottom w:w="43" w:type="dxa"/>
              <w:right w:w="43" w:type="dxa"/>
            </w:tcMar>
          </w:tcPr>
          <w:p w14:paraId="2C4EAC38" w14:textId="77777777" w:rsidR="00575AC3" w:rsidRPr="006D40F0" w:rsidRDefault="00575AC3" w:rsidP="006D40F0">
            <w:r w:rsidRPr="006D40F0">
              <w:t>1735</w:t>
            </w:r>
          </w:p>
        </w:tc>
        <w:tc>
          <w:tcPr>
            <w:tcW w:w="680" w:type="dxa"/>
            <w:tcBorders>
              <w:top w:val="nil"/>
              <w:left w:val="nil"/>
              <w:bottom w:val="nil"/>
              <w:right w:val="nil"/>
            </w:tcBorders>
            <w:tcMar>
              <w:top w:w="128" w:type="dxa"/>
              <w:left w:w="43" w:type="dxa"/>
              <w:bottom w:w="43" w:type="dxa"/>
              <w:right w:w="43" w:type="dxa"/>
            </w:tcMar>
          </w:tcPr>
          <w:p w14:paraId="6131BD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C3C092F" w14:textId="77777777" w:rsidR="00575AC3" w:rsidRPr="006D40F0" w:rsidRDefault="00575AC3" w:rsidP="006D40F0">
            <w:r w:rsidRPr="006D40F0">
              <w:t>Etterretningstjenesten:</w:t>
            </w:r>
          </w:p>
        </w:tc>
        <w:tc>
          <w:tcPr>
            <w:tcW w:w="1400" w:type="dxa"/>
            <w:tcBorders>
              <w:top w:val="nil"/>
              <w:left w:val="nil"/>
              <w:bottom w:val="nil"/>
              <w:right w:val="nil"/>
            </w:tcBorders>
            <w:tcMar>
              <w:top w:w="128" w:type="dxa"/>
              <w:left w:w="43" w:type="dxa"/>
              <w:bottom w:w="43" w:type="dxa"/>
              <w:right w:w="43" w:type="dxa"/>
            </w:tcMar>
            <w:vAlign w:val="bottom"/>
          </w:tcPr>
          <w:p w14:paraId="36393813" w14:textId="77777777" w:rsidR="00575AC3" w:rsidRPr="006D40F0" w:rsidRDefault="00575AC3" w:rsidP="006D40F0"/>
        </w:tc>
      </w:tr>
      <w:tr w:rsidR="00DD49A7" w:rsidRPr="006D40F0" w14:paraId="065A28E8" w14:textId="77777777">
        <w:trPr>
          <w:trHeight w:val="380"/>
        </w:trPr>
        <w:tc>
          <w:tcPr>
            <w:tcW w:w="680" w:type="dxa"/>
            <w:tcBorders>
              <w:top w:val="nil"/>
              <w:left w:val="nil"/>
              <w:bottom w:val="nil"/>
              <w:right w:val="nil"/>
            </w:tcBorders>
            <w:tcMar>
              <w:top w:w="128" w:type="dxa"/>
              <w:left w:w="43" w:type="dxa"/>
              <w:bottom w:w="43" w:type="dxa"/>
              <w:right w:w="43" w:type="dxa"/>
            </w:tcMar>
          </w:tcPr>
          <w:p w14:paraId="5E3A64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3F137F"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6BDBAD7A" w14:textId="77777777" w:rsidR="00575AC3" w:rsidRPr="006D40F0" w:rsidRDefault="00575AC3" w:rsidP="006D40F0">
            <w:r w:rsidRPr="006D40F0">
              <w:t>Spesielle 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659AFFF4" w14:textId="77777777" w:rsidR="00575AC3" w:rsidRPr="006D40F0" w:rsidRDefault="00575AC3" w:rsidP="006D40F0">
            <w:r w:rsidRPr="006D40F0">
              <w:t>5 497 000</w:t>
            </w:r>
          </w:p>
        </w:tc>
      </w:tr>
      <w:tr w:rsidR="00DD49A7" w:rsidRPr="006D40F0" w14:paraId="47742B60" w14:textId="77777777">
        <w:trPr>
          <w:trHeight w:val="380"/>
        </w:trPr>
        <w:tc>
          <w:tcPr>
            <w:tcW w:w="680" w:type="dxa"/>
            <w:tcBorders>
              <w:top w:val="nil"/>
              <w:left w:val="nil"/>
              <w:bottom w:val="nil"/>
              <w:right w:val="nil"/>
            </w:tcBorders>
            <w:tcMar>
              <w:top w:w="128" w:type="dxa"/>
              <w:left w:w="43" w:type="dxa"/>
              <w:bottom w:w="43" w:type="dxa"/>
              <w:right w:w="43" w:type="dxa"/>
            </w:tcMar>
          </w:tcPr>
          <w:p w14:paraId="4BE00A0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CED556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F34137" w14:textId="77777777" w:rsidR="00575AC3" w:rsidRPr="006D40F0" w:rsidRDefault="00575AC3" w:rsidP="006D40F0">
            <w:r w:rsidRPr="006D40F0">
              <w:t>fra kr 3 345 180 000 til kr 3 339 683 000</w:t>
            </w:r>
          </w:p>
        </w:tc>
        <w:tc>
          <w:tcPr>
            <w:tcW w:w="1400" w:type="dxa"/>
            <w:tcBorders>
              <w:top w:val="nil"/>
              <w:left w:val="nil"/>
              <w:bottom w:val="nil"/>
              <w:right w:val="nil"/>
            </w:tcBorders>
            <w:tcMar>
              <w:top w:w="128" w:type="dxa"/>
              <w:left w:w="43" w:type="dxa"/>
              <w:bottom w:w="43" w:type="dxa"/>
              <w:right w:w="43" w:type="dxa"/>
            </w:tcMar>
            <w:vAlign w:val="bottom"/>
          </w:tcPr>
          <w:p w14:paraId="7A19B651" w14:textId="77777777" w:rsidR="00575AC3" w:rsidRPr="006D40F0" w:rsidRDefault="00575AC3" w:rsidP="006D40F0"/>
        </w:tc>
      </w:tr>
      <w:tr w:rsidR="00DD49A7" w:rsidRPr="006D40F0" w14:paraId="6F3DE273" w14:textId="77777777">
        <w:trPr>
          <w:trHeight w:val="380"/>
        </w:trPr>
        <w:tc>
          <w:tcPr>
            <w:tcW w:w="680" w:type="dxa"/>
            <w:tcBorders>
              <w:top w:val="nil"/>
              <w:left w:val="nil"/>
              <w:bottom w:val="nil"/>
              <w:right w:val="nil"/>
            </w:tcBorders>
            <w:tcMar>
              <w:top w:w="128" w:type="dxa"/>
              <w:left w:w="43" w:type="dxa"/>
              <w:bottom w:w="43" w:type="dxa"/>
              <w:right w:w="43" w:type="dxa"/>
            </w:tcMar>
          </w:tcPr>
          <w:p w14:paraId="4EB0D5B8" w14:textId="77777777" w:rsidR="00575AC3" w:rsidRPr="006D40F0" w:rsidRDefault="00575AC3" w:rsidP="006D40F0">
            <w:r w:rsidRPr="006D40F0">
              <w:t>1760</w:t>
            </w:r>
          </w:p>
        </w:tc>
        <w:tc>
          <w:tcPr>
            <w:tcW w:w="680" w:type="dxa"/>
            <w:tcBorders>
              <w:top w:val="nil"/>
              <w:left w:val="nil"/>
              <w:bottom w:val="nil"/>
              <w:right w:val="nil"/>
            </w:tcBorders>
            <w:tcMar>
              <w:top w:w="128" w:type="dxa"/>
              <w:left w:w="43" w:type="dxa"/>
              <w:bottom w:w="43" w:type="dxa"/>
              <w:right w:w="43" w:type="dxa"/>
            </w:tcMar>
          </w:tcPr>
          <w:p w14:paraId="7103D77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6F134E" w14:textId="77777777" w:rsidR="00575AC3" w:rsidRPr="006D40F0" w:rsidRDefault="00575AC3" w:rsidP="006D40F0">
            <w:r w:rsidRPr="006D40F0">
              <w:t>Forsvarsmateriell og større 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2F446E08" w14:textId="77777777" w:rsidR="00575AC3" w:rsidRPr="006D40F0" w:rsidRDefault="00575AC3" w:rsidP="006D40F0"/>
        </w:tc>
      </w:tr>
      <w:tr w:rsidR="00DD49A7" w:rsidRPr="006D40F0" w14:paraId="5FBC6F5B" w14:textId="77777777">
        <w:trPr>
          <w:trHeight w:val="380"/>
        </w:trPr>
        <w:tc>
          <w:tcPr>
            <w:tcW w:w="680" w:type="dxa"/>
            <w:tcBorders>
              <w:top w:val="nil"/>
              <w:left w:val="nil"/>
              <w:bottom w:val="nil"/>
              <w:right w:val="nil"/>
            </w:tcBorders>
            <w:tcMar>
              <w:top w:w="128" w:type="dxa"/>
              <w:left w:w="43" w:type="dxa"/>
              <w:bottom w:w="43" w:type="dxa"/>
              <w:right w:w="43" w:type="dxa"/>
            </w:tcMar>
          </w:tcPr>
          <w:p w14:paraId="342542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80710A"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E7D59D0" w14:textId="77777777" w:rsidR="00575AC3" w:rsidRPr="006D40F0" w:rsidRDefault="00575AC3" w:rsidP="006D40F0">
            <w:r w:rsidRPr="006D40F0">
              <w:t xml:space="preserve">Driftsutgifter, </w:t>
            </w:r>
            <w:r w:rsidRPr="00575AC3">
              <w:rPr>
                <w:rStyle w:val="kursiv"/>
              </w:rPr>
              <w:t>kan nyttes under kap. 1760, post 45,</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9EB377C" w14:textId="77777777" w:rsidR="00575AC3" w:rsidRPr="006D40F0" w:rsidRDefault="00575AC3" w:rsidP="006D40F0">
            <w:r w:rsidRPr="006D40F0">
              <w:t>273 260 000</w:t>
            </w:r>
          </w:p>
        </w:tc>
      </w:tr>
      <w:tr w:rsidR="00DD49A7" w:rsidRPr="006D40F0" w14:paraId="1D02A433" w14:textId="77777777">
        <w:trPr>
          <w:trHeight w:val="380"/>
        </w:trPr>
        <w:tc>
          <w:tcPr>
            <w:tcW w:w="680" w:type="dxa"/>
            <w:tcBorders>
              <w:top w:val="nil"/>
              <w:left w:val="nil"/>
              <w:bottom w:val="nil"/>
              <w:right w:val="nil"/>
            </w:tcBorders>
            <w:tcMar>
              <w:top w:w="128" w:type="dxa"/>
              <w:left w:w="43" w:type="dxa"/>
              <w:bottom w:w="43" w:type="dxa"/>
              <w:right w:w="43" w:type="dxa"/>
            </w:tcMar>
          </w:tcPr>
          <w:p w14:paraId="5B08D1B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C6179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7083D6" w14:textId="77777777" w:rsidR="00575AC3" w:rsidRPr="006D40F0" w:rsidRDefault="00575AC3" w:rsidP="006D40F0">
            <w:r w:rsidRPr="006D40F0">
              <w:t>fra kr 2 308 484 000 til kr 2 581 744 000</w:t>
            </w:r>
          </w:p>
        </w:tc>
        <w:tc>
          <w:tcPr>
            <w:tcW w:w="1400" w:type="dxa"/>
            <w:tcBorders>
              <w:top w:val="nil"/>
              <w:left w:val="nil"/>
              <w:bottom w:val="nil"/>
              <w:right w:val="nil"/>
            </w:tcBorders>
            <w:tcMar>
              <w:top w:w="128" w:type="dxa"/>
              <w:left w:w="43" w:type="dxa"/>
              <w:bottom w:w="43" w:type="dxa"/>
              <w:right w:w="43" w:type="dxa"/>
            </w:tcMar>
            <w:vAlign w:val="bottom"/>
          </w:tcPr>
          <w:p w14:paraId="717E8008" w14:textId="77777777" w:rsidR="00575AC3" w:rsidRPr="006D40F0" w:rsidRDefault="00575AC3" w:rsidP="006D40F0"/>
        </w:tc>
      </w:tr>
      <w:tr w:rsidR="00DD49A7" w:rsidRPr="006D40F0" w14:paraId="45EE538B" w14:textId="77777777">
        <w:trPr>
          <w:trHeight w:val="640"/>
        </w:trPr>
        <w:tc>
          <w:tcPr>
            <w:tcW w:w="680" w:type="dxa"/>
            <w:tcBorders>
              <w:top w:val="nil"/>
              <w:left w:val="nil"/>
              <w:bottom w:val="nil"/>
              <w:right w:val="nil"/>
            </w:tcBorders>
            <w:tcMar>
              <w:top w:w="128" w:type="dxa"/>
              <w:left w:w="43" w:type="dxa"/>
              <w:bottom w:w="43" w:type="dxa"/>
              <w:right w:w="43" w:type="dxa"/>
            </w:tcMar>
          </w:tcPr>
          <w:p w14:paraId="096204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56899F" w14:textId="77777777" w:rsidR="00575AC3" w:rsidRPr="006D40F0" w:rsidRDefault="00575AC3" w:rsidP="006D40F0">
            <w:r w:rsidRPr="006D40F0">
              <w:t>44</w:t>
            </w:r>
          </w:p>
        </w:tc>
        <w:tc>
          <w:tcPr>
            <w:tcW w:w="6800" w:type="dxa"/>
            <w:tcBorders>
              <w:top w:val="nil"/>
              <w:left w:val="nil"/>
              <w:bottom w:val="nil"/>
              <w:right w:val="nil"/>
            </w:tcBorders>
            <w:tcMar>
              <w:top w:w="128" w:type="dxa"/>
              <w:left w:w="43" w:type="dxa"/>
              <w:bottom w:w="43" w:type="dxa"/>
              <w:right w:w="43" w:type="dxa"/>
            </w:tcMar>
          </w:tcPr>
          <w:p w14:paraId="62EA42CB" w14:textId="77777777" w:rsidR="00575AC3" w:rsidRPr="006D40F0" w:rsidRDefault="00575AC3" w:rsidP="006D40F0">
            <w:r w:rsidRPr="006D40F0">
              <w:t xml:space="preserve">Fellesfinansierte investeringer, nasjonalfinansiert andel,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50116220" w14:textId="77777777" w:rsidR="00575AC3" w:rsidRPr="006D40F0" w:rsidRDefault="00575AC3" w:rsidP="006D40F0">
            <w:r w:rsidRPr="006D40F0">
              <w:t>15 000 000</w:t>
            </w:r>
          </w:p>
        </w:tc>
      </w:tr>
      <w:tr w:rsidR="00DD49A7" w:rsidRPr="006D40F0" w14:paraId="3678251A" w14:textId="77777777">
        <w:trPr>
          <w:trHeight w:val="380"/>
        </w:trPr>
        <w:tc>
          <w:tcPr>
            <w:tcW w:w="680" w:type="dxa"/>
            <w:tcBorders>
              <w:top w:val="nil"/>
              <w:left w:val="nil"/>
              <w:bottom w:val="nil"/>
              <w:right w:val="nil"/>
            </w:tcBorders>
            <w:tcMar>
              <w:top w:w="128" w:type="dxa"/>
              <w:left w:w="43" w:type="dxa"/>
              <w:bottom w:w="43" w:type="dxa"/>
              <w:right w:w="43" w:type="dxa"/>
            </w:tcMar>
          </w:tcPr>
          <w:p w14:paraId="6307E73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3F170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C626744" w14:textId="77777777" w:rsidR="00575AC3" w:rsidRPr="006D40F0" w:rsidRDefault="00575AC3" w:rsidP="006D40F0">
            <w:r w:rsidRPr="006D40F0">
              <w:t>fra kr 165 312 000 til kr 180 312 000</w:t>
            </w:r>
          </w:p>
        </w:tc>
        <w:tc>
          <w:tcPr>
            <w:tcW w:w="1400" w:type="dxa"/>
            <w:tcBorders>
              <w:top w:val="nil"/>
              <w:left w:val="nil"/>
              <w:bottom w:val="nil"/>
              <w:right w:val="nil"/>
            </w:tcBorders>
            <w:tcMar>
              <w:top w:w="128" w:type="dxa"/>
              <w:left w:w="43" w:type="dxa"/>
              <w:bottom w:w="43" w:type="dxa"/>
              <w:right w:w="43" w:type="dxa"/>
            </w:tcMar>
            <w:vAlign w:val="bottom"/>
          </w:tcPr>
          <w:p w14:paraId="562076BD" w14:textId="77777777" w:rsidR="00575AC3" w:rsidRPr="006D40F0" w:rsidRDefault="00575AC3" w:rsidP="006D40F0"/>
        </w:tc>
      </w:tr>
      <w:tr w:rsidR="00DD49A7" w:rsidRPr="006D40F0" w14:paraId="7B055529" w14:textId="77777777">
        <w:trPr>
          <w:trHeight w:val="380"/>
        </w:trPr>
        <w:tc>
          <w:tcPr>
            <w:tcW w:w="680" w:type="dxa"/>
            <w:tcBorders>
              <w:top w:val="nil"/>
              <w:left w:val="nil"/>
              <w:bottom w:val="nil"/>
              <w:right w:val="nil"/>
            </w:tcBorders>
            <w:tcMar>
              <w:top w:w="128" w:type="dxa"/>
              <w:left w:w="43" w:type="dxa"/>
              <w:bottom w:w="43" w:type="dxa"/>
              <w:right w:w="43" w:type="dxa"/>
            </w:tcMar>
          </w:tcPr>
          <w:p w14:paraId="3A34144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FA228E"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690CA814"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5990945" w14:textId="77777777" w:rsidR="00575AC3" w:rsidRPr="006D40F0" w:rsidRDefault="00575AC3" w:rsidP="006D40F0">
            <w:r w:rsidRPr="006D40F0">
              <w:t>4 833 422 000</w:t>
            </w:r>
          </w:p>
        </w:tc>
      </w:tr>
      <w:tr w:rsidR="00DD49A7" w:rsidRPr="006D40F0" w14:paraId="3C6C96F3" w14:textId="77777777">
        <w:trPr>
          <w:trHeight w:val="380"/>
        </w:trPr>
        <w:tc>
          <w:tcPr>
            <w:tcW w:w="680" w:type="dxa"/>
            <w:tcBorders>
              <w:top w:val="nil"/>
              <w:left w:val="nil"/>
              <w:bottom w:val="nil"/>
              <w:right w:val="nil"/>
            </w:tcBorders>
            <w:tcMar>
              <w:top w:w="128" w:type="dxa"/>
              <w:left w:w="43" w:type="dxa"/>
              <w:bottom w:w="43" w:type="dxa"/>
              <w:right w:w="43" w:type="dxa"/>
            </w:tcMar>
          </w:tcPr>
          <w:p w14:paraId="16A0EF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0FA5E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5BC064" w14:textId="77777777" w:rsidR="00575AC3" w:rsidRPr="006D40F0" w:rsidRDefault="00575AC3" w:rsidP="006D40F0">
            <w:r w:rsidRPr="006D40F0">
              <w:t>fra kr 24 812 572 000 til kr 29 645 994 000</w:t>
            </w:r>
          </w:p>
        </w:tc>
        <w:tc>
          <w:tcPr>
            <w:tcW w:w="1400" w:type="dxa"/>
            <w:tcBorders>
              <w:top w:val="nil"/>
              <w:left w:val="nil"/>
              <w:bottom w:val="nil"/>
              <w:right w:val="nil"/>
            </w:tcBorders>
            <w:tcMar>
              <w:top w:w="128" w:type="dxa"/>
              <w:left w:w="43" w:type="dxa"/>
              <w:bottom w:w="43" w:type="dxa"/>
              <w:right w:w="43" w:type="dxa"/>
            </w:tcMar>
            <w:vAlign w:val="bottom"/>
          </w:tcPr>
          <w:p w14:paraId="50F0AEBE" w14:textId="77777777" w:rsidR="00575AC3" w:rsidRPr="006D40F0" w:rsidRDefault="00575AC3" w:rsidP="006D40F0"/>
        </w:tc>
      </w:tr>
      <w:tr w:rsidR="00DD49A7" w:rsidRPr="006D40F0" w14:paraId="50A81803" w14:textId="77777777">
        <w:trPr>
          <w:trHeight w:val="640"/>
        </w:trPr>
        <w:tc>
          <w:tcPr>
            <w:tcW w:w="680" w:type="dxa"/>
            <w:tcBorders>
              <w:top w:val="nil"/>
              <w:left w:val="nil"/>
              <w:bottom w:val="nil"/>
              <w:right w:val="nil"/>
            </w:tcBorders>
            <w:tcMar>
              <w:top w:w="128" w:type="dxa"/>
              <w:left w:w="43" w:type="dxa"/>
              <w:bottom w:w="43" w:type="dxa"/>
              <w:right w:w="43" w:type="dxa"/>
            </w:tcMar>
          </w:tcPr>
          <w:p w14:paraId="2CE7BF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AFEED6" w14:textId="77777777" w:rsidR="00575AC3" w:rsidRPr="006D40F0" w:rsidRDefault="00575AC3" w:rsidP="006D40F0">
            <w:r w:rsidRPr="006D40F0">
              <w:t>48</w:t>
            </w:r>
          </w:p>
        </w:tc>
        <w:tc>
          <w:tcPr>
            <w:tcW w:w="6800" w:type="dxa"/>
            <w:tcBorders>
              <w:top w:val="nil"/>
              <w:left w:val="nil"/>
              <w:bottom w:val="nil"/>
              <w:right w:val="nil"/>
            </w:tcBorders>
            <w:tcMar>
              <w:top w:w="128" w:type="dxa"/>
              <w:left w:w="43" w:type="dxa"/>
              <w:bottom w:w="43" w:type="dxa"/>
              <w:right w:w="43" w:type="dxa"/>
            </w:tcMar>
          </w:tcPr>
          <w:p w14:paraId="656A7609" w14:textId="77777777" w:rsidR="00575AC3" w:rsidRPr="006D40F0" w:rsidRDefault="00575AC3" w:rsidP="006D40F0">
            <w:r w:rsidRPr="006D40F0">
              <w:t xml:space="preserve">Fellesfinansierte investeringer, fellesfinansiert andel,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03F1F7F" w14:textId="77777777" w:rsidR="00575AC3" w:rsidRPr="006D40F0" w:rsidRDefault="00575AC3" w:rsidP="006D40F0">
            <w:r w:rsidRPr="006D40F0">
              <w:t>255 400 000</w:t>
            </w:r>
          </w:p>
        </w:tc>
      </w:tr>
      <w:tr w:rsidR="00DD49A7" w:rsidRPr="006D40F0" w14:paraId="32FE91A3" w14:textId="77777777">
        <w:trPr>
          <w:trHeight w:val="380"/>
        </w:trPr>
        <w:tc>
          <w:tcPr>
            <w:tcW w:w="680" w:type="dxa"/>
            <w:tcBorders>
              <w:top w:val="nil"/>
              <w:left w:val="nil"/>
              <w:bottom w:val="nil"/>
              <w:right w:val="nil"/>
            </w:tcBorders>
            <w:tcMar>
              <w:top w:w="128" w:type="dxa"/>
              <w:left w:w="43" w:type="dxa"/>
              <w:bottom w:w="43" w:type="dxa"/>
              <w:right w:w="43" w:type="dxa"/>
            </w:tcMar>
          </w:tcPr>
          <w:p w14:paraId="5BAE12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1698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D51168" w14:textId="77777777" w:rsidR="00575AC3" w:rsidRPr="006D40F0" w:rsidRDefault="00575AC3" w:rsidP="006D40F0">
            <w:r w:rsidRPr="006D40F0">
              <w:t>fra kr 390 000 000 til kr 645 400 000</w:t>
            </w:r>
          </w:p>
        </w:tc>
        <w:tc>
          <w:tcPr>
            <w:tcW w:w="1400" w:type="dxa"/>
            <w:tcBorders>
              <w:top w:val="nil"/>
              <w:left w:val="nil"/>
              <w:bottom w:val="nil"/>
              <w:right w:val="nil"/>
            </w:tcBorders>
            <w:tcMar>
              <w:top w:w="128" w:type="dxa"/>
              <w:left w:w="43" w:type="dxa"/>
              <w:bottom w:w="43" w:type="dxa"/>
              <w:right w:w="43" w:type="dxa"/>
            </w:tcMar>
            <w:vAlign w:val="bottom"/>
          </w:tcPr>
          <w:p w14:paraId="320989F7" w14:textId="77777777" w:rsidR="00575AC3" w:rsidRPr="006D40F0" w:rsidRDefault="00575AC3" w:rsidP="006D40F0"/>
        </w:tc>
      </w:tr>
      <w:tr w:rsidR="00DD49A7" w:rsidRPr="006D40F0" w14:paraId="27B70735" w14:textId="77777777">
        <w:trPr>
          <w:trHeight w:val="380"/>
        </w:trPr>
        <w:tc>
          <w:tcPr>
            <w:tcW w:w="680" w:type="dxa"/>
            <w:tcBorders>
              <w:top w:val="nil"/>
              <w:left w:val="nil"/>
              <w:bottom w:val="nil"/>
              <w:right w:val="nil"/>
            </w:tcBorders>
            <w:tcMar>
              <w:top w:w="128" w:type="dxa"/>
              <w:left w:w="43" w:type="dxa"/>
              <w:bottom w:w="43" w:type="dxa"/>
              <w:right w:w="43" w:type="dxa"/>
            </w:tcMar>
          </w:tcPr>
          <w:p w14:paraId="6B25E9F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8C8038"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311FAAB4" w14:textId="77777777" w:rsidR="00575AC3" w:rsidRPr="006D40F0" w:rsidRDefault="00575AC3" w:rsidP="006D40F0">
            <w:r w:rsidRPr="006D40F0">
              <w:t xml:space="preserve">Fellesfinansierte investeringer, Norges tilskudd til NATOs </w:t>
            </w:r>
          </w:p>
        </w:tc>
        <w:tc>
          <w:tcPr>
            <w:tcW w:w="1400" w:type="dxa"/>
            <w:tcBorders>
              <w:top w:val="nil"/>
              <w:left w:val="nil"/>
              <w:bottom w:val="nil"/>
              <w:right w:val="nil"/>
            </w:tcBorders>
            <w:tcMar>
              <w:top w:w="128" w:type="dxa"/>
              <w:left w:w="43" w:type="dxa"/>
              <w:bottom w:w="43" w:type="dxa"/>
              <w:right w:w="43" w:type="dxa"/>
            </w:tcMar>
            <w:vAlign w:val="bottom"/>
          </w:tcPr>
          <w:p w14:paraId="26E4845F" w14:textId="77777777" w:rsidR="00575AC3" w:rsidRPr="006D40F0" w:rsidRDefault="00575AC3" w:rsidP="006D40F0"/>
        </w:tc>
      </w:tr>
      <w:tr w:rsidR="00DD49A7" w:rsidRPr="006D40F0" w14:paraId="0FCFA842" w14:textId="77777777">
        <w:trPr>
          <w:trHeight w:val="640"/>
        </w:trPr>
        <w:tc>
          <w:tcPr>
            <w:tcW w:w="680" w:type="dxa"/>
            <w:tcBorders>
              <w:top w:val="nil"/>
              <w:left w:val="nil"/>
              <w:bottom w:val="nil"/>
              <w:right w:val="nil"/>
            </w:tcBorders>
            <w:tcMar>
              <w:top w:w="128" w:type="dxa"/>
              <w:left w:w="43" w:type="dxa"/>
              <w:bottom w:w="43" w:type="dxa"/>
              <w:right w:w="43" w:type="dxa"/>
            </w:tcMar>
          </w:tcPr>
          <w:p w14:paraId="339C35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C8C0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27F96D7" w14:textId="77777777" w:rsidR="00575AC3" w:rsidRPr="006D40F0" w:rsidRDefault="00575AC3" w:rsidP="006D40F0">
            <w:r w:rsidRPr="006D40F0">
              <w:t xml:space="preserve">investeringsprogram for sikkerhet, </w:t>
            </w:r>
            <w:r w:rsidRPr="00575AC3">
              <w:rPr>
                <w:rStyle w:val="kursiv"/>
              </w:rPr>
              <w:t>kan overføres, kan nyttes under kap.</w:t>
            </w:r>
            <w:r w:rsidRPr="006D40F0">
              <w:t xml:space="preserve"> </w:t>
            </w:r>
            <w:r w:rsidRPr="00575AC3">
              <w:rPr>
                <w:rStyle w:val="kursiv"/>
              </w:rPr>
              <w:t>1760, post 44</w:t>
            </w:r>
            <w:r w:rsidRPr="006D40F0">
              <w:t>, forhøyes med</w:t>
            </w:r>
          </w:p>
        </w:tc>
        <w:tc>
          <w:tcPr>
            <w:tcW w:w="1400" w:type="dxa"/>
            <w:tcBorders>
              <w:top w:val="nil"/>
              <w:left w:val="nil"/>
              <w:bottom w:val="nil"/>
              <w:right w:val="nil"/>
            </w:tcBorders>
            <w:tcMar>
              <w:top w:w="128" w:type="dxa"/>
              <w:left w:w="43" w:type="dxa"/>
              <w:bottom w:w="43" w:type="dxa"/>
              <w:right w:w="43" w:type="dxa"/>
            </w:tcMar>
            <w:vAlign w:val="bottom"/>
          </w:tcPr>
          <w:p w14:paraId="03CAA2AE" w14:textId="77777777" w:rsidR="00575AC3" w:rsidRPr="006D40F0" w:rsidRDefault="00575AC3" w:rsidP="006D40F0">
            <w:r w:rsidRPr="006D40F0">
              <w:t>80 000 000</w:t>
            </w:r>
          </w:p>
        </w:tc>
      </w:tr>
      <w:tr w:rsidR="00DD49A7" w:rsidRPr="006D40F0" w14:paraId="728D5D7D" w14:textId="77777777">
        <w:trPr>
          <w:trHeight w:val="380"/>
        </w:trPr>
        <w:tc>
          <w:tcPr>
            <w:tcW w:w="680" w:type="dxa"/>
            <w:tcBorders>
              <w:top w:val="nil"/>
              <w:left w:val="nil"/>
              <w:bottom w:val="nil"/>
              <w:right w:val="nil"/>
            </w:tcBorders>
            <w:tcMar>
              <w:top w:w="128" w:type="dxa"/>
              <w:left w:w="43" w:type="dxa"/>
              <w:bottom w:w="43" w:type="dxa"/>
              <w:right w:w="43" w:type="dxa"/>
            </w:tcMar>
          </w:tcPr>
          <w:p w14:paraId="2C76A48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936E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F08384" w14:textId="77777777" w:rsidR="00575AC3" w:rsidRPr="006D40F0" w:rsidRDefault="00575AC3" w:rsidP="006D40F0">
            <w:r w:rsidRPr="006D40F0">
              <w:t>fra kr 158 165 000 til kr 238 165 000</w:t>
            </w:r>
          </w:p>
        </w:tc>
        <w:tc>
          <w:tcPr>
            <w:tcW w:w="1400" w:type="dxa"/>
            <w:tcBorders>
              <w:top w:val="nil"/>
              <w:left w:val="nil"/>
              <w:bottom w:val="nil"/>
              <w:right w:val="nil"/>
            </w:tcBorders>
            <w:tcMar>
              <w:top w:w="128" w:type="dxa"/>
              <w:left w:w="43" w:type="dxa"/>
              <w:bottom w:w="43" w:type="dxa"/>
              <w:right w:w="43" w:type="dxa"/>
            </w:tcMar>
            <w:vAlign w:val="bottom"/>
          </w:tcPr>
          <w:p w14:paraId="1DF246A8" w14:textId="77777777" w:rsidR="00575AC3" w:rsidRPr="006D40F0" w:rsidRDefault="00575AC3" w:rsidP="006D40F0"/>
        </w:tc>
      </w:tr>
      <w:tr w:rsidR="00DD49A7" w:rsidRPr="006D40F0" w14:paraId="24AE010D" w14:textId="77777777">
        <w:trPr>
          <w:trHeight w:val="380"/>
        </w:trPr>
        <w:tc>
          <w:tcPr>
            <w:tcW w:w="680" w:type="dxa"/>
            <w:tcBorders>
              <w:top w:val="nil"/>
              <w:left w:val="nil"/>
              <w:bottom w:val="nil"/>
              <w:right w:val="nil"/>
            </w:tcBorders>
            <w:tcMar>
              <w:top w:w="128" w:type="dxa"/>
              <w:left w:w="43" w:type="dxa"/>
              <w:bottom w:w="43" w:type="dxa"/>
              <w:right w:w="43" w:type="dxa"/>
            </w:tcMar>
          </w:tcPr>
          <w:p w14:paraId="34488909" w14:textId="77777777" w:rsidR="00575AC3" w:rsidRPr="006D40F0" w:rsidRDefault="00575AC3" w:rsidP="006D40F0">
            <w:r w:rsidRPr="006D40F0">
              <w:t>1791</w:t>
            </w:r>
          </w:p>
        </w:tc>
        <w:tc>
          <w:tcPr>
            <w:tcW w:w="680" w:type="dxa"/>
            <w:tcBorders>
              <w:top w:val="nil"/>
              <w:left w:val="nil"/>
              <w:bottom w:val="nil"/>
              <w:right w:val="nil"/>
            </w:tcBorders>
            <w:tcMar>
              <w:top w:w="128" w:type="dxa"/>
              <w:left w:w="43" w:type="dxa"/>
              <w:bottom w:w="43" w:type="dxa"/>
              <w:right w:w="43" w:type="dxa"/>
            </w:tcMar>
          </w:tcPr>
          <w:p w14:paraId="5DBDE53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0FBC6F" w14:textId="77777777" w:rsidR="00575AC3" w:rsidRPr="006D40F0" w:rsidRDefault="00575AC3" w:rsidP="006D40F0">
            <w:r w:rsidRPr="006D40F0">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4BBCCA69" w14:textId="77777777" w:rsidR="00575AC3" w:rsidRPr="006D40F0" w:rsidRDefault="00575AC3" w:rsidP="006D40F0"/>
        </w:tc>
      </w:tr>
      <w:tr w:rsidR="00DD49A7" w:rsidRPr="006D40F0" w14:paraId="562538FB" w14:textId="77777777">
        <w:trPr>
          <w:trHeight w:val="380"/>
        </w:trPr>
        <w:tc>
          <w:tcPr>
            <w:tcW w:w="680" w:type="dxa"/>
            <w:tcBorders>
              <w:top w:val="nil"/>
              <w:left w:val="nil"/>
              <w:bottom w:val="nil"/>
              <w:right w:val="nil"/>
            </w:tcBorders>
            <w:tcMar>
              <w:top w:w="128" w:type="dxa"/>
              <w:left w:w="43" w:type="dxa"/>
              <w:bottom w:w="43" w:type="dxa"/>
              <w:right w:w="43" w:type="dxa"/>
            </w:tcMar>
          </w:tcPr>
          <w:p w14:paraId="426B209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2CD5A8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B15DC0F"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0A7F314" w14:textId="77777777" w:rsidR="00575AC3" w:rsidRPr="006D40F0" w:rsidRDefault="00575AC3" w:rsidP="006D40F0">
            <w:r w:rsidRPr="006D40F0">
              <w:t>29 429 000</w:t>
            </w:r>
          </w:p>
        </w:tc>
      </w:tr>
      <w:tr w:rsidR="00DD49A7" w:rsidRPr="006D40F0" w14:paraId="618DB0D4" w14:textId="77777777">
        <w:trPr>
          <w:trHeight w:val="380"/>
        </w:trPr>
        <w:tc>
          <w:tcPr>
            <w:tcW w:w="680" w:type="dxa"/>
            <w:tcBorders>
              <w:top w:val="nil"/>
              <w:left w:val="nil"/>
              <w:bottom w:val="nil"/>
              <w:right w:val="nil"/>
            </w:tcBorders>
            <w:tcMar>
              <w:top w:w="128" w:type="dxa"/>
              <w:left w:w="43" w:type="dxa"/>
              <w:bottom w:w="43" w:type="dxa"/>
              <w:right w:w="43" w:type="dxa"/>
            </w:tcMar>
          </w:tcPr>
          <w:p w14:paraId="6D07D2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2504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34F786" w14:textId="77777777" w:rsidR="00575AC3" w:rsidRPr="006D40F0" w:rsidRDefault="00575AC3" w:rsidP="006D40F0">
            <w:r w:rsidRPr="006D40F0">
              <w:t>fra kr 643 151 000 til kr 672 580 000</w:t>
            </w:r>
          </w:p>
        </w:tc>
        <w:tc>
          <w:tcPr>
            <w:tcW w:w="1400" w:type="dxa"/>
            <w:tcBorders>
              <w:top w:val="nil"/>
              <w:left w:val="nil"/>
              <w:bottom w:val="nil"/>
              <w:right w:val="nil"/>
            </w:tcBorders>
            <w:tcMar>
              <w:top w:w="128" w:type="dxa"/>
              <w:left w:w="43" w:type="dxa"/>
              <w:bottom w:w="43" w:type="dxa"/>
              <w:right w:w="43" w:type="dxa"/>
            </w:tcMar>
            <w:vAlign w:val="bottom"/>
          </w:tcPr>
          <w:p w14:paraId="1608901F" w14:textId="77777777" w:rsidR="00575AC3" w:rsidRPr="006D40F0" w:rsidRDefault="00575AC3" w:rsidP="006D40F0"/>
        </w:tc>
      </w:tr>
      <w:tr w:rsidR="00DD49A7" w:rsidRPr="006D40F0" w14:paraId="6E0631DF" w14:textId="77777777">
        <w:trPr>
          <w:trHeight w:val="380"/>
        </w:trPr>
        <w:tc>
          <w:tcPr>
            <w:tcW w:w="680" w:type="dxa"/>
            <w:tcBorders>
              <w:top w:val="nil"/>
              <w:left w:val="nil"/>
              <w:bottom w:val="nil"/>
              <w:right w:val="nil"/>
            </w:tcBorders>
            <w:tcMar>
              <w:top w:w="128" w:type="dxa"/>
              <w:left w:w="43" w:type="dxa"/>
              <w:bottom w:w="43" w:type="dxa"/>
              <w:right w:w="43" w:type="dxa"/>
            </w:tcMar>
          </w:tcPr>
          <w:p w14:paraId="13C59E5E" w14:textId="77777777" w:rsidR="00575AC3" w:rsidRPr="006D40F0" w:rsidRDefault="00575AC3" w:rsidP="006D40F0">
            <w:r w:rsidRPr="006D40F0">
              <w:t>1810</w:t>
            </w:r>
          </w:p>
        </w:tc>
        <w:tc>
          <w:tcPr>
            <w:tcW w:w="680" w:type="dxa"/>
            <w:tcBorders>
              <w:top w:val="nil"/>
              <w:left w:val="nil"/>
              <w:bottom w:val="nil"/>
              <w:right w:val="nil"/>
            </w:tcBorders>
            <w:tcMar>
              <w:top w:w="128" w:type="dxa"/>
              <w:left w:w="43" w:type="dxa"/>
              <w:bottom w:w="43" w:type="dxa"/>
              <w:right w:w="43" w:type="dxa"/>
            </w:tcMar>
          </w:tcPr>
          <w:p w14:paraId="1F593E7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BE0531" w14:textId="77777777" w:rsidR="00575AC3" w:rsidRPr="006D40F0" w:rsidRDefault="00575AC3" w:rsidP="006D40F0">
            <w:r w:rsidRPr="006D40F0">
              <w:t>Sokkeldirektoratet:</w:t>
            </w:r>
          </w:p>
        </w:tc>
        <w:tc>
          <w:tcPr>
            <w:tcW w:w="1400" w:type="dxa"/>
            <w:tcBorders>
              <w:top w:val="nil"/>
              <w:left w:val="nil"/>
              <w:bottom w:val="nil"/>
              <w:right w:val="nil"/>
            </w:tcBorders>
            <w:tcMar>
              <w:top w:w="128" w:type="dxa"/>
              <w:left w:w="43" w:type="dxa"/>
              <w:bottom w:w="43" w:type="dxa"/>
              <w:right w:w="43" w:type="dxa"/>
            </w:tcMar>
            <w:vAlign w:val="bottom"/>
          </w:tcPr>
          <w:p w14:paraId="3DD9F7DA" w14:textId="77777777" w:rsidR="00575AC3" w:rsidRPr="006D40F0" w:rsidRDefault="00575AC3" w:rsidP="006D40F0"/>
        </w:tc>
      </w:tr>
      <w:tr w:rsidR="00DD49A7" w:rsidRPr="006D40F0" w14:paraId="1D5D2E1E" w14:textId="77777777">
        <w:trPr>
          <w:trHeight w:val="380"/>
        </w:trPr>
        <w:tc>
          <w:tcPr>
            <w:tcW w:w="680" w:type="dxa"/>
            <w:tcBorders>
              <w:top w:val="nil"/>
              <w:left w:val="nil"/>
              <w:bottom w:val="nil"/>
              <w:right w:val="nil"/>
            </w:tcBorders>
            <w:tcMar>
              <w:top w:w="128" w:type="dxa"/>
              <w:left w:w="43" w:type="dxa"/>
              <w:bottom w:w="43" w:type="dxa"/>
              <w:right w:w="43" w:type="dxa"/>
            </w:tcMar>
          </w:tcPr>
          <w:p w14:paraId="7EB423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BE4BAE" w14:textId="77777777" w:rsidR="00575AC3" w:rsidRPr="006D40F0" w:rsidRDefault="00575AC3" w:rsidP="006D40F0">
            <w:r w:rsidRPr="006D40F0">
              <w:t>21</w:t>
            </w:r>
          </w:p>
        </w:tc>
        <w:tc>
          <w:tcPr>
            <w:tcW w:w="6800" w:type="dxa"/>
            <w:tcBorders>
              <w:top w:val="nil"/>
              <w:left w:val="nil"/>
              <w:bottom w:val="nil"/>
              <w:right w:val="nil"/>
            </w:tcBorders>
            <w:tcMar>
              <w:top w:w="128" w:type="dxa"/>
              <w:left w:w="43" w:type="dxa"/>
              <w:bottom w:w="43" w:type="dxa"/>
              <w:right w:w="43" w:type="dxa"/>
            </w:tcMar>
          </w:tcPr>
          <w:p w14:paraId="226A2D67" w14:textId="77777777" w:rsidR="00575AC3" w:rsidRPr="006D40F0" w:rsidRDefault="00575AC3" w:rsidP="006D40F0">
            <w:r w:rsidRPr="006D40F0">
              <w:t xml:space="preserve">Spesielle driftsutgifter,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E5C7E11" w14:textId="77777777" w:rsidR="00575AC3" w:rsidRPr="006D40F0" w:rsidRDefault="00575AC3" w:rsidP="006D40F0">
            <w:r w:rsidRPr="006D40F0">
              <w:t>400 000</w:t>
            </w:r>
          </w:p>
        </w:tc>
      </w:tr>
      <w:tr w:rsidR="00DD49A7" w:rsidRPr="006D40F0" w14:paraId="52D7F616" w14:textId="77777777">
        <w:trPr>
          <w:trHeight w:val="380"/>
        </w:trPr>
        <w:tc>
          <w:tcPr>
            <w:tcW w:w="680" w:type="dxa"/>
            <w:tcBorders>
              <w:top w:val="nil"/>
              <w:left w:val="nil"/>
              <w:bottom w:val="nil"/>
              <w:right w:val="nil"/>
            </w:tcBorders>
            <w:tcMar>
              <w:top w:w="128" w:type="dxa"/>
              <w:left w:w="43" w:type="dxa"/>
              <w:bottom w:w="43" w:type="dxa"/>
              <w:right w:w="43" w:type="dxa"/>
            </w:tcMar>
          </w:tcPr>
          <w:p w14:paraId="1ABEE38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2AA4F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06FD5C" w14:textId="77777777" w:rsidR="00575AC3" w:rsidRPr="006D40F0" w:rsidRDefault="00575AC3" w:rsidP="006D40F0">
            <w:r w:rsidRPr="006D40F0">
              <w:t>fra kr 102 500 000 til kr 102 100 000</w:t>
            </w:r>
          </w:p>
        </w:tc>
        <w:tc>
          <w:tcPr>
            <w:tcW w:w="1400" w:type="dxa"/>
            <w:tcBorders>
              <w:top w:val="nil"/>
              <w:left w:val="nil"/>
              <w:bottom w:val="nil"/>
              <w:right w:val="nil"/>
            </w:tcBorders>
            <w:tcMar>
              <w:top w:w="128" w:type="dxa"/>
              <w:left w:w="43" w:type="dxa"/>
              <w:bottom w:w="43" w:type="dxa"/>
              <w:right w:w="43" w:type="dxa"/>
            </w:tcMar>
            <w:vAlign w:val="bottom"/>
          </w:tcPr>
          <w:p w14:paraId="3232684C" w14:textId="77777777" w:rsidR="00575AC3" w:rsidRPr="006D40F0" w:rsidRDefault="00575AC3" w:rsidP="006D40F0"/>
        </w:tc>
      </w:tr>
      <w:tr w:rsidR="00DD49A7" w:rsidRPr="006D40F0" w14:paraId="209FE0CD" w14:textId="77777777">
        <w:trPr>
          <w:trHeight w:val="380"/>
        </w:trPr>
        <w:tc>
          <w:tcPr>
            <w:tcW w:w="680" w:type="dxa"/>
            <w:tcBorders>
              <w:top w:val="nil"/>
              <w:left w:val="nil"/>
              <w:bottom w:val="nil"/>
              <w:right w:val="nil"/>
            </w:tcBorders>
            <w:tcMar>
              <w:top w:w="128" w:type="dxa"/>
              <w:left w:w="43" w:type="dxa"/>
              <w:bottom w:w="43" w:type="dxa"/>
              <w:right w:w="43" w:type="dxa"/>
            </w:tcMar>
          </w:tcPr>
          <w:p w14:paraId="420898F6" w14:textId="77777777" w:rsidR="00575AC3" w:rsidRPr="006D40F0" w:rsidRDefault="00575AC3" w:rsidP="006D40F0">
            <w:r w:rsidRPr="006D40F0">
              <w:t>1820</w:t>
            </w:r>
          </w:p>
        </w:tc>
        <w:tc>
          <w:tcPr>
            <w:tcW w:w="680" w:type="dxa"/>
            <w:tcBorders>
              <w:top w:val="nil"/>
              <w:left w:val="nil"/>
              <w:bottom w:val="nil"/>
              <w:right w:val="nil"/>
            </w:tcBorders>
            <w:tcMar>
              <w:top w:w="128" w:type="dxa"/>
              <w:left w:w="43" w:type="dxa"/>
              <w:bottom w:w="43" w:type="dxa"/>
              <w:right w:w="43" w:type="dxa"/>
            </w:tcMar>
          </w:tcPr>
          <w:p w14:paraId="5EE0EF9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53F547" w14:textId="77777777" w:rsidR="00575AC3" w:rsidRPr="006D40F0" w:rsidRDefault="00575AC3" w:rsidP="006D40F0">
            <w:r w:rsidRPr="006D40F0">
              <w:t>Norges vassdrags- og energidirektorat:</w:t>
            </w:r>
          </w:p>
        </w:tc>
        <w:tc>
          <w:tcPr>
            <w:tcW w:w="1400" w:type="dxa"/>
            <w:tcBorders>
              <w:top w:val="nil"/>
              <w:left w:val="nil"/>
              <w:bottom w:val="nil"/>
              <w:right w:val="nil"/>
            </w:tcBorders>
            <w:tcMar>
              <w:top w:w="128" w:type="dxa"/>
              <w:left w:w="43" w:type="dxa"/>
              <w:bottom w:w="43" w:type="dxa"/>
              <w:right w:w="43" w:type="dxa"/>
            </w:tcMar>
            <w:vAlign w:val="bottom"/>
          </w:tcPr>
          <w:p w14:paraId="0DF58FF2" w14:textId="77777777" w:rsidR="00575AC3" w:rsidRPr="006D40F0" w:rsidRDefault="00575AC3" w:rsidP="006D40F0"/>
        </w:tc>
      </w:tr>
      <w:tr w:rsidR="00DD49A7" w:rsidRPr="006D40F0" w14:paraId="025FEF90" w14:textId="77777777">
        <w:trPr>
          <w:trHeight w:val="380"/>
        </w:trPr>
        <w:tc>
          <w:tcPr>
            <w:tcW w:w="680" w:type="dxa"/>
            <w:tcBorders>
              <w:top w:val="nil"/>
              <w:left w:val="nil"/>
              <w:bottom w:val="nil"/>
              <w:right w:val="nil"/>
            </w:tcBorders>
            <w:tcMar>
              <w:top w:w="128" w:type="dxa"/>
              <w:left w:w="43" w:type="dxa"/>
              <w:bottom w:w="43" w:type="dxa"/>
              <w:right w:w="43" w:type="dxa"/>
            </w:tcMar>
          </w:tcPr>
          <w:p w14:paraId="307FE08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D67763" w14:textId="77777777" w:rsidR="00575AC3" w:rsidRPr="006D40F0" w:rsidRDefault="00575AC3" w:rsidP="006D40F0">
            <w:r w:rsidRPr="006D40F0">
              <w:t>23</w:t>
            </w:r>
          </w:p>
        </w:tc>
        <w:tc>
          <w:tcPr>
            <w:tcW w:w="6800" w:type="dxa"/>
            <w:tcBorders>
              <w:top w:val="nil"/>
              <w:left w:val="nil"/>
              <w:bottom w:val="nil"/>
              <w:right w:val="nil"/>
            </w:tcBorders>
            <w:tcMar>
              <w:top w:w="128" w:type="dxa"/>
              <w:left w:w="43" w:type="dxa"/>
              <w:bottom w:w="43" w:type="dxa"/>
              <w:right w:w="43" w:type="dxa"/>
            </w:tcMar>
          </w:tcPr>
          <w:p w14:paraId="22AED59A" w14:textId="77777777" w:rsidR="00575AC3" w:rsidRPr="006D40F0" w:rsidRDefault="00575AC3" w:rsidP="006D40F0">
            <w:r w:rsidRPr="006D40F0">
              <w:t xml:space="preserve">Oppdrags- og samarbeidsvirksomhet,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845371C" w14:textId="77777777" w:rsidR="00575AC3" w:rsidRPr="006D40F0" w:rsidRDefault="00575AC3" w:rsidP="006D40F0">
            <w:r w:rsidRPr="006D40F0">
              <w:t>11 000 000</w:t>
            </w:r>
          </w:p>
        </w:tc>
      </w:tr>
      <w:tr w:rsidR="00DD49A7" w:rsidRPr="006D40F0" w14:paraId="55DBD580" w14:textId="77777777">
        <w:trPr>
          <w:trHeight w:val="380"/>
        </w:trPr>
        <w:tc>
          <w:tcPr>
            <w:tcW w:w="680" w:type="dxa"/>
            <w:tcBorders>
              <w:top w:val="nil"/>
              <w:left w:val="nil"/>
              <w:bottom w:val="nil"/>
              <w:right w:val="nil"/>
            </w:tcBorders>
            <w:tcMar>
              <w:top w:w="128" w:type="dxa"/>
              <w:left w:w="43" w:type="dxa"/>
              <w:bottom w:w="43" w:type="dxa"/>
              <w:right w:w="43" w:type="dxa"/>
            </w:tcMar>
          </w:tcPr>
          <w:p w14:paraId="3576183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8CCD7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AB2BE32" w14:textId="77777777" w:rsidR="00575AC3" w:rsidRPr="006D40F0" w:rsidRDefault="00575AC3" w:rsidP="006D40F0">
            <w:r w:rsidRPr="006D40F0">
              <w:t>fra kr 70 000 000 til kr 59 000 000</w:t>
            </w:r>
          </w:p>
        </w:tc>
        <w:tc>
          <w:tcPr>
            <w:tcW w:w="1400" w:type="dxa"/>
            <w:tcBorders>
              <w:top w:val="nil"/>
              <w:left w:val="nil"/>
              <w:bottom w:val="nil"/>
              <w:right w:val="nil"/>
            </w:tcBorders>
            <w:tcMar>
              <w:top w:w="128" w:type="dxa"/>
              <w:left w:w="43" w:type="dxa"/>
              <w:bottom w:w="43" w:type="dxa"/>
              <w:right w:w="43" w:type="dxa"/>
            </w:tcMar>
            <w:vAlign w:val="bottom"/>
          </w:tcPr>
          <w:p w14:paraId="463762F3" w14:textId="77777777" w:rsidR="00575AC3" w:rsidRPr="006D40F0" w:rsidRDefault="00575AC3" w:rsidP="006D40F0"/>
        </w:tc>
      </w:tr>
      <w:tr w:rsidR="00DD49A7" w:rsidRPr="006D40F0" w14:paraId="3E076452" w14:textId="77777777">
        <w:trPr>
          <w:trHeight w:val="640"/>
        </w:trPr>
        <w:tc>
          <w:tcPr>
            <w:tcW w:w="680" w:type="dxa"/>
            <w:tcBorders>
              <w:top w:val="nil"/>
              <w:left w:val="nil"/>
              <w:bottom w:val="nil"/>
              <w:right w:val="nil"/>
            </w:tcBorders>
            <w:tcMar>
              <w:top w:w="128" w:type="dxa"/>
              <w:left w:w="43" w:type="dxa"/>
              <w:bottom w:w="43" w:type="dxa"/>
              <w:right w:w="43" w:type="dxa"/>
            </w:tcMar>
          </w:tcPr>
          <w:p w14:paraId="6D9A65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328700" w14:textId="77777777" w:rsidR="00575AC3" w:rsidRPr="006D40F0" w:rsidRDefault="00575AC3" w:rsidP="006D40F0">
            <w:r w:rsidRPr="006D40F0">
              <w:t>25</w:t>
            </w:r>
          </w:p>
        </w:tc>
        <w:tc>
          <w:tcPr>
            <w:tcW w:w="6800" w:type="dxa"/>
            <w:tcBorders>
              <w:top w:val="nil"/>
              <w:left w:val="nil"/>
              <w:bottom w:val="nil"/>
              <w:right w:val="nil"/>
            </w:tcBorders>
            <w:tcMar>
              <w:top w:w="128" w:type="dxa"/>
              <w:left w:w="43" w:type="dxa"/>
              <w:bottom w:w="43" w:type="dxa"/>
              <w:right w:w="43" w:type="dxa"/>
            </w:tcMar>
          </w:tcPr>
          <w:p w14:paraId="4871FB05" w14:textId="2EF90642" w:rsidR="00575AC3" w:rsidRPr="006D40F0" w:rsidRDefault="00575AC3" w:rsidP="006D40F0">
            <w:r w:rsidRPr="006D40F0">
              <w:t>Krise- og hastetiltak i forbindelse med flom- og skredhendelser,</w:t>
            </w:r>
            <w:r w:rsidR="006D40F0">
              <w:t xml:space="preserve"> </w:t>
            </w:r>
            <w:r w:rsidRPr="00575AC3">
              <w:rPr>
                <w:rStyle w:val="kursiv"/>
              </w:rPr>
              <w:t>kan overføres, kan nyttes under post 61,</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7B7B77F" w14:textId="77777777" w:rsidR="00575AC3" w:rsidRPr="006D40F0" w:rsidRDefault="00575AC3" w:rsidP="006D40F0">
            <w:r w:rsidRPr="006D40F0">
              <w:t>100 000 000</w:t>
            </w:r>
          </w:p>
        </w:tc>
      </w:tr>
      <w:tr w:rsidR="00DD49A7" w:rsidRPr="006D40F0" w14:paraId="158BFD07" w14:textId="77777777">
        <w:trPr>
          <w:trHeight w:val="380"/>
        </w:trPr>
        <w:tc>
          <w:tcPr>
            <w:tcW w:w="680" w:type="dxa"/>
            <w:tcBorders>
              <w:top w:val="nil"/>
              <w:left w:val="nil"/>
              <w:bottom w:val="nil"/>
              <w:right w:val="nil"/>
            </w:tcBorders>
            <w:tcMar>
              <w:top w:w="128" w:type="dxa"/>
              <w:left w:w="43" w:type="dxa"/>
              <w:bottom w:w="43" w:type="dxa"/>
              <w:right w:w="43" w:type="dxa"/>
            </w:tcMar>
          </w:tcPr>
          <w:p w14:paraId="3CA067D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BBA87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3A105A" w14:textId="77777777" w:rsidR="00575AC3" w:rsidRPr="006D40F0" w:rsidRDefault="00575AC3" w:rsidP="006D40F0">
            <w:r w:rsidRPr="006D40F0">
              <w:t>fra kr 200 000 000 til kr 100 000 000</w:t>
            </w:r>
          </w:p>
        </w:tc>
        <w:tc>
          <w:tcPr>
            <w:tcW w:w="1400" w:type="dxa"/>
            <w:tcBorders>
              <w:top w:val="nil"/>
              <w:left w:val="nil"/>
              <w:bottom w:val="nil"/>
              <w:right w:val="nil"/>
            </w:tcBorders>
            <w:tcMar>
              <w:top w:w="128" w:type="dxa"/>
              <w:left w:w="43" w:type="dxa"/>
              <w:bottom w:w="43" w:type="dxa"/>
              <w:right w:w="43" w:type="dxa"/>
            </w:tcMar>
            <w:vAlign w:val="bottom"/>
          </w:tcPr>
          <w:p w14:paraId="50923F1C" w14:textId="77777777" w:rsidR="00575AC3" w:rsidRPr="006D40F0" w:rsidRDefault="00575AC3" w:rsidP="006D40F0"/>
        </w:tc>
      </w:tr>
      <w:tr w:rsidR="00DD49A7" w:rsidRPr="006D40F0" w14:paraId="2D2E2E29" w14:textId="77777777">
        <w:trPr>
          <w:trHeight w:val="380"/>
        </w:trPr>
        <w:tc>
          <w:tcPr>
            <w:tcW w:w="680" w:type="dxa"/>
            <w:tcBorders>
              <w:top w:val="nil"/>
              <w:left w:val="nil"/>
              <w:bottom w:val="nil"/>
              <w:right w:val="nil"/>
            </w:tcBorders>
            <w:tcMar>
              <w:top w:w="128" w:type="dxa"/>
              <w:left w:w="43" w:type="dxa"/>
              <w:bottom w:w="43" w:type="dxa"/>
              <w:right w:w="43" w:type="dxa"/>
            </w:tcMar>
          </w:tcPr>
          <w:p w14:paraId="36769F94"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7FD4C6C8" w14:textId="77777777" w:rsidR="00575AC3" w:rsidRPr="006D40F0" w:rsidRDefault="00575AC3" w:rsidP="006D40F0">
            <w:r w:rsidRPr="006D40F0">
              <w:t>61</w:t>
            </w:r>
          </w:p>
        </w:tc>
        <w:tc>
          <w:tcPr>
            <w:tcW w:w="6800" w:type="dxa"/>
            <w:tcBorders>
              <w:top w:val="nil"/>
              <w:left w:val="nil"/>
              <w:bottom w:val="nil"/>
              <w:right w:val="nil"/>
            </w:tcBorders>
            <w:tcMar>
              <w:top w:w="128" w:type="dxa"/>
              <w:left w:w="43" w:type="dxa"/>
              <w:bottom w:w="43" w:type="dxa"/>
              <w:right w:w="43" w:type="dxa"/>
            </w:tcMar>
          </w:tcPr>
          <w:p w14:paraId="20DAD494" w14:textId="77777777" w:rsidR="00575AC3" w:rsidRPr="006D40F0" w:rsidRDefault="00575AC3" w:rsidP="006D40F0">
            <w:r w:rsidRPr="006D40F0">
              <w:t xml:space="preserve">Tilskudd til krise- og hastetiltak i forbindelse med flom- og </w:t>
            </w:r>
          </w:p>
        </w:tc>
        <w:tc>
          <w:tcPr>
            <w:tcW w:w="1400" w:type="dxa"/>
            <w:tcBorders>
              <w:top w:val="nil"/>
              <w:left w:val="nil"/>
              <w:bottom w:val="nil"/>
              <w:right w:val="nil"/>
            </w:tcBorders>
            <w:tcMar>
              <w:top w:w="128" w:type="dxa"/>
              <w:left w:w="43" w:type="dxa"/>
              <w:bottom w:w="43" w:type="dxa"/>
              <w:right w:w="43" w:type="dxa"/>
            </w:tcMar>
            <w:vAlign w:val="bottom"/>
          </w:tcPr>
          <w:p w14:paraId="0619F73A" w14:textId="77777777" w:rsidR="00575AC3" w:rsidRPr="006D40F0" w:rsidRDefault="00575AC3" w:rsidP="006D40F0"/>
        </w:tc>
      </w:tr>
      <w:tr w:rsidR="00DD49A7" w:rsidRPr="006D40F0" w14:paraId="3346F05F" w14:textId="77777777">
        <w:trPr>
          <w:trHeight w:val="380"/>
        </w:trPr>
        <w:tc>
          <w:tcPr>
            <w:tcW w:w="680" w:type="dxa"/>
            <w:tcBorders>
              <w:top w:val="nil"/>
              <w:left w:val="nil"/>
              <w:bottom w:val="nil"/>
              <w:right w:val="nil"/>
            </w:tcBorders>
            <w:tcMar>
              <w:top w:w="128" w:type="dxa"/>
              <w:left w:w="43" w:type="dxa"/>
              <w:bottom w:w="43" w:type="dxa"/>
              <w:right w:w="43" w:type="dxa"/>
            </w:tcMar>
          </w:tcPr>
          <w:p w14:paraId="5FAD96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6C567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3E50E0" w14:textId="77777777" w:rsidR="00575AC3" w:rsidRPr="006D40F0" w:rsidRDefault="00575AC3" w:rsidP="006D40F0">
            <w:r w:rsidRPr="006D40F0">
              <w:t xml:space="preserve">skredhendelser, </w:t>
            </w:r>
            <w:r w:rsidRPr="00575AC3">
              <w:rPr>
                <w:rStyle w:val="kursiv"/>
              </w:rPr>
              <w:t>kan overføres, kan nyttes under post 25,</w:t>
            </w:r>
            <w:r w:rsidRPr="006D40F0">
              <w:t xml:space="preserve"> bevilges med</w:t>
            </w:r>
          </w:p>
        </w:tc>
        <w:tc>
          <w:tcPr>
            <w:tcW w:w="1400" w:type="dxa"/>
            <w:tcBorders>
              <w:top w:val="nil"/>
              <w:left w:val="nil"/>
              <w:bottom w:val="nil"/>
              <w:right w:val="nil"/>
            </w:tcBorders>
            <w:tcMar>
              <w:top w:w="128" w:type="dxa"/>
              <w:left w:w="43" w:type="dxa"/>
              <w:bottom w:w="43" w:type="dxa"/>
              <w:right w:w="43" w:type="dxa"/>
            </w:tcMar>
            <w:vAlign w:val="bottom"/>
          </w:tcPr>
          <w:p w14:paraId="75B170F2" w14:textId="77777777" w:rsidR="00575AC3" w:rsidRPr="006D40F0" w:rsidRDefault="00575AC3" w:rsidP="006D40F0">
            <w:r w:rsidRPr="006D40F0">
              <w:t>100 000 000</w:t>
            </w:r>
          </w:p>
        </w:tc>
      </w:tr>
      <w:tr w:rsidR="00DD49A7" w:rsidRPr="006D40F0" w14:paraId="5E5DC2D3" w14:textId="77777777">
        <w:trPr>
          <w:trHeight w:val="640"/>
        </w:trPr>
        <w:tc>
          <w:tcPr>
            <w:tcW w:w="680" w:type="dxa"/>
            <w:tcBorders>
              <w:top w:val="nil"/>
              <w:left w:val="nil"/>
              <w:bottom w:val="nil"/>
              <w:right w:val="nil"/>
            </w:tcBorders>
            <w:tcMar>
              <w:top w:w="128" w:type="dxa"/>
              <w:left w:w="43" w:type="dxa"/>
              <w:bottom w:w="43" w:type="dxa"/>
              <w:right w:w="43" w:type="dxa"/>
            </w:tcMar>
          </w:tcPr>
          <w:p w14:paraId="43803B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688FC5" w14:textId="77777777" w:rsidR="00575AC3" w:rsidRPr="006D40F0" w:rsidRDefault="00575AC3" w:rsidP="006D40F0">
            <w:r w:rsidRPr="006D40F0">
              <w:t>62</w:t>
            </w:r>
          </w:p>
        </w:tc>
        <w:tc>
          <w:tcPr>
            <w:tcW w:w="6800" w:type="dxa"/>
            <w:tcBorders>
              <w:top w:val="nil"/>
              <w:left w:val="nil"/>
              <w:bottom w:val="nil"/>
              <w:right w:val="nil"/>
            </w:tcBorders>
            <w:tcMar>
              <w:top w:w="128" w:type="dxa"/>
              <w:left w:w="43" w:type="dxa"/>
              <w:bottom w:w="43" w:type="dxa"/>
              <w:right w:w="43" w:type="dxa"/>
            </w:tcMar>
          </w:tcPr>
          <w:p w14:paraId="2B602FF1" w14:textId="77777777" w:rsidR="00575AC3" w:rsidRPr="006D40F0" w:rsidRDefault="00575AC3" w:rsidP="006D40F0">
            <w:r w:rsidRPr="006D40F0">
              <w:t>Tilbakeføring av produksjonsavgift fra landbasert vindkraft, nedsettes med</w:t>
            </w:r>
          </w:p>
        </w:tc>
        <w:tc>
          <w:tcPr>
            <w:tcW w:w="1400" w:type="dxa"/>
            <w:tcBorders>
              <w:top w:val="nil"/>
              <w:left w:val="nil"/>
              <w:bottom w:val="nil"/>
              <w:right w:val="nil"/>
            </w:tcBorders>
            <w:tcMar>
              <w:top w:w="128" w:type="dxa"/>
              <w:left w:w="43" w:type="dxa"/>
              <w:bottom w:w="43" w:type="dxa"/>
              <w:right w:w="43" w:type="dxa"/>
            </w:tcMar>
            <w:vAlign w:val="bottom"/>
          </w:tcPr>
          <w:p w14:paraId="241BECF2" w14:textId="77777777" w:rsidR="00575AC3" w:rsidRPr="006D40F0" w:rsidRDefault="00575AC3" w:rsidP="006D40F0">
            <w:r w:rsidRPr="006D40F0">
              <w:t>59 370 000</w:t>
            </w:r>
          </w:p>
        </w:tc>
      </w:tr>
      <w:tr w:rsidR="00DD49A7" w:rsidRPr="006D40F0" w14:paraId="1E1A4F50" w14:textId="77777777">
        <w:trPr>
          <w:trHeight w:val="380"/>
        </w:trPr>
        <w:tc>
          <w:tcPr>
            <w:tcW w:w="680" w:type="dxa"/>
            <w:tcBorders>
              <w:top w:val="nil"/>
              <w:left w:val="nil"/>
              <w:bottom w:val="nil"/>
              <w:right w:val="nil"/>
            </w:tcBorders>
            <w:tcMar>
              <w:top w:w="128" w:type="dxa"/>
              <w:left w:w="43" w:type="dxa"/>
              <w:bottom w:w="43" w:type="dxa"/>
              <w:right w:w="43" w:type="dxa"/>
            </w:tcMar>
          </w:tcPr>
          <w:p w14:paraId="4E07FA5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1C6FD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4FC6653" w14:textId="77777777" w:rsidR="00575AC3" w:rsidRPr="006D40F0" w:rsidRDefault="00575AC3" w:rsidP="006D40F0">
            <w:r w:rsidRPr="006D40F0">
              <w:t>fra kr 338 000 000 til kr 278 630 000</w:t>
            </w:r>
          </w:p>
        </w:tc>
        <w:tc>
          <w:tcPr>
            <w:tcW w:w="1400" w:type="dxa"/>
            <w:tcBorders>
              <w:top w:val="nil"/>
              <w:left w:val="nil"/>
              <w:bottom w:val="nil"/>
              <w:right w:val="nil"/>
            </w:tcBorders>
            <w:tcMar>
              <w:top w:w="128" w:type="dxa"/>
              <w:left w:w="43" w:type="dxa"/>
              <w:bottom w:w="43" w:type="dxa"/>
              <w:right w:w="43" w:type="dxa"/>
            </w:tcMar>
            <w:vAlign w:val="bottom"/>
          </w:tcPr>
          <w:p w14:paraId="31EE4D5A" w14:textId="77777777" w:rsidR="00575AC3" w:rsidRPr="006D40F0" w:rsidRDefault="00575AC3" w:rsidP="006D40F0"/>
        </w:tc>
      </w:tr>
      <w:tr w:rsidR="00DD49A7" w:rsidRPr="006D40F0" w14:paraId="69983E0C" w14:textId="77777777">
        <w:trPr>
          <w:trHeight w:val="640"/>
        </w:trPr>
        <w:tc>
          <w:tcPr>
            <w:tcW w:w="680" w:type="dxa"/>
            <w:tcBorders>
              <w:top w:val="nil"/>
              <w:left w:val="nil"/>
              <w:bottom w:val="nil"/>
              <w:right w:val="nil"/>
            </w:tcBorders>
            <w:tcMar>
              <w:top w:w="128" w:type="dxa"/>
              <w:left w:w="43" w:type="dxa"/>
              <w:bottom w:w="43" w:type="dxa"/>
              <w:right w:w="43" w:type="dxa"/>
            </w:tcMar>
          </w:tcPr>
          <w:p w14:paraId="72616CD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98E6C5"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6AD9E0D1" w14:textId="07C6BEB9" w:rsidR="00575AC3" w:rsidRPr="006D40F0" w:rsidRDefault="00575AC3" w:rsidP="006D40F0">
            <w:r w:rsidRPr="006D40F0">
              <w:t>Stønad til husholdninger for ekstraordinære strømutgifter,</w:t>
            </w:r>
            <w:r w:rsidR="006D40F0">
              <w:t xml:space="preserve">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392962E" w14:textId="77777777" w:rsidR="00575AC3" w:rsidRPr="006D40F0" w:rsidRDefault="00575AC3" w:rsidP="006D40F0">
            <w:r w:rsidRPr="006D40F0">
              <w:t>4 950 000 000</w:t>
            </w:r>
          </w:p>
        </w:tc>
      </w:tr>
      <w:tr w:rsidR="00DD49A7" w:rsidRPr="006D40F0" w14:paraId="0896C9AC" w14:textId="77777777">
        <w:trPr>
          <w:trHeight w:val="380"/>
        </w:trPr>
        <w:tc>
          <w:tcPr>
            <w:tcW w:w="680" w:type="dxa"/>
            <w:tcBorders>
              <w:top w:val="nil"/>
              <w:left w:val="nil"/>
              <w:bottom w:val="nil"/>
              <w:right w:val="nil"/>
            </w:tcBorders>
            <w:tcMar>
              <w:top w:w="128" w:type="dxa"/>
              <w:left w:w="43" w:type="dxa"/>
              <w:bottom w:w="43" w:type="dxa"/>
              <w:right w:w="43" w:type="dxa"/>
            </w:tcMar>
          </w:tcPr>
          <w:p w14:paraId="10913C5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C3766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A1D669" w14:textId="77777777" w:rsidR="00575AC3" w:rsidRPr="006D40F0" w:rsidRDefault="00575AC3" w:rsidP="006D40F0">
            <w:r w:rsidRPr="006D40F0">
              <w:t>fra kr 9 750 000 000 til kr 4 800 000 000</w:t>
            </w:r>
          </w:p>
        </w:tc>
        <w:tc>
          <w:tcPr>
            <w:tcW w:w="1400" w:type="dxa"/>
            <w:tcBorders>
              <w:top w:val="nil"/>
              <w:left w:val="nil"/>
              <w:bottom w:val="nil"/>
              <w:right w:val="nil"/>
            </w:tcBorders>
            <w:tcMar>
              <w:top w:w="128" w:type="dxa"/>
              <w:left w:w="43" w:type="dxa"/>
              <w:bottom w:w="43" w:type="dxa"/>
              <w:right w:w="43" w:type="dxa"/>
            </w:tcMar>
            <w:vAlign w:val="bottom"/>
          </w:tcPr>
          <w:p w14:paraId="2AAB4C31" w14:textId="77777777" w:rsidR="00575AC3" w:rsidRPr="006D40F0" w:rsidRDefault="00575AC3" w:rsidP="006D40F0"/>
        </w:tc>
      </w:tr>
      <w:tr w:rsidR="00DD49A7" w:rsidRPr="006D40F0" w14:paraId="7C48EBCA" w14:textId="77777777">
        <w:trPr>
          <w:trHeight w:val="640"/>
        </w:trPr>
        <w:tc>
          <w:tcPr>
            <w:tcW w:w="680" w:type="dxa"/>
            <w:tcBorders>
              <w:top w:val="nil"/>
              <w:left w:val="nil"/>
              <w:bottom w:val="nil"/>
              <w:right w:val="nil"/>
            </w:tcBorders>
            <w:tcMar>
              <w:top w:w="128" w:type="dxa"/>
              <w:left w:w="43" w:type="dxa"/>
              <w:bottom w:w="43" w:type="dxa"/>
              <w:right w:w="43" w:type="dxa"/>
            </w:tcMar>
          </w:tcPr>
          <w:p w14:paraId="1BC3851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6D62A6F"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5126C50E" w14:textId="77777777" w:rsidR="00575AC3" w:rsidRPr="006D40F0" w:rsidRDefault="00575AC3" w:rsidP="006D40F0">
            <w:r w:rsidRPr="006D40F0">
              <w:t xml:space="preserve">Stønad til husholdningskunder av nærvarmeanlegg,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7629708" w14:textId="77777777" w:rsidR="00575AC3" w:rsidRPr="006D40F0" w:rsidRDefault="00575AC3" w:rsidP="006D40F0">
            <w:r w:rsidRPr="006D40F0">
              <w:t>12 500 000</w:t>
            </w:r>
          </w:p>
        </w:tc>
      </w:tr>
      <w:tr w:rsidR="00DD49A7" w:rsidRPr="006D40F0" w14:paraId="3F6EE1C7" w14:textId="77777777">
        <w:trPr>
          <w:trHeight w:val="380"/>
        </w:trPr>
        <w:tc>
          <w:tcPr>
            <w:tcW w:w="680" w:type="dxa"/>
            <w:tcBorders>
              <w:top w:val="nil"/>
              <w:left w:val="nil"/>
              <w:bottom w:val="nil"/>
              <w:right w:val="nil"/>
            </w:tcBorders>
            <w:tcMar>
              <w:top w:w="128" w:type="dxa"/>
              <w:left w:w="43" w:type="dxa"/>
              <w:bottom w:w="43" w:type="dxa"/>
              <w:right w:w="43" w:type="dxa"/>
            </w:tcMar>
          </w:tcPr>
          <w:p w14:paraId="148A951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85DAF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12CE547" w14:textId="77777777" w:rsidR="00575AC3" w:rsidRPr="006D40F0" w:rsidRDefault="00575AC3" w:rsidP="006D40F0">
            <w:r w:rsidRPr="006D40F0">
              <w:t>fra kr 22 500 000 til kr 10 000 000</w:t>
            </w:r>
          </w:p>
        </w:tc>
        <w:tc>
          <w:tcPr>
            <w:tcW w:w="1400" w:type="dxa"/>
            <w:tcBorders>
              <w:top w:val="nil"/>
              <w:left w:val="nil"/>
              <w:bottom w:val="nil"/>
              <w:right w:val="nil"/>
            </w:tcBorders>
            <w:tcMar>
              <w:top w:w="128" w:type="dxa"/>
              <w:left w:w="43" w:type="dxa"/>
              <w:bottom w:w="43" w:type="dxa"/>
              <w:right w:w="43" w:type="dxa"/>
            </w:tcMar>
            <w:vAlign w:val="bottom"/>
          </w:tcPr>
          <w:p w14:paraId="1264C88F" w14:textId="77777777" w:rsidR="00575AC3" w:rsidRPr="006D40F0" w:rsidRDefault="00575AC3" w:rsidP="006D40F0"/>
        </w:tc>
      </w:tr>
      <w:tr w:rsidR="00DD49A7" w:rsidRPr="006D40F0" w14:paraId="71C16B81" w14:textId="77777777">
        <w:trPr>
          <w:trHeight w:val="380"/>
        </w:trPr>
        <w:tc>
          <w:tcPr>
            <w:tcW w:w="680" w:type="dxa"/>
            <w:tcBorders>
              <w:top w:val="nil"/>
              <w:left w:val="nil"/>
              <w:bottom w:val="nil"/>
              <w:right w:val="nil"/>
            </w:tcBorders>
            <w:tcMar>
              <w:top w:w="128" w:type="dxa"/>
              <w:left w:w="43" w:type="dxa"/>
              <w:bottom w:w="43" w:type="dxa"/>
              <w:right w:w="43" w:type="dxa"/>
            </w:tcMar>
          </w:tcPr>
          <w:p w14:paraId="1BD8623E" w14:textId="77777777" w:rsidR="00575AC3" w:rsidRPr="006D40F0" w:rsidRDefault="00575AC3" w:rsidP="006D40F0">
            <w:r w:rsidRPr="006D40F0">
              <w:t>1850</w:t>
            </w:r>
          </w:p>
        </w:tc>
        <w:tc>
          <w:tcPr>
            <w:tcW w:w="680" w:type="dxa"/>
            <w:tcBorders>
              <w:top w:val="nil"/>
              <w:left w:val="nil"/>
              <w:bottom w:val="nil"/>
              <w:right w:val="nil"/>
            </w:tcBorders>
            <w:tcMar>
              <w:top w:w="128" w:type="dxa"/>
              <w:left w:w="43" w:type="dxa"/>
              <w:bottom w:w="43" w:type="dxa"/>
              <w:right w:w="43" w:type="dxa"/>
            </w:tcMar>
          </w:tcPr>
          <w:p w14:paraId="573D9AE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6D24A0" w14:textId="77777777" w:rsidR="00575AC3" w:rsidRPr="006D40F0" w:rsidRDefault="00575AC3" w:rsidP="006D40F0">
            <w:r w:rsidRPr="006D40F0">
              <w:t>Klima, industri og teknologi:</w:t>
            </w:r>
          </w:p>
        </w:tc>
        <w:tc>
          <w:tcPr>
            <w:tcW w:w="1400" w:type="dxa"/>
            <w:tcBorders>
              <w:top w:val="nil"/>
              <w:left w:val="nil"/>
              <w:bottom w:val="nil"/>
              <w:right w:val="nil"/>
            </w:tcBorders>
            <w:tcMar>
              <w:top w:w="128" w:type="dxa"/>
              <w:left w:w="43" w:type="dxa"/>
              <w:bottom w:w="43" w:type="dxa"/>
              <w:right w:w="43" w:type="dxa"/>
            </w:tcMar>
            <w:vAlign w:val="bottom"/>
          </w:tcPr>
          <w:p w14:paraId="0323069D" w14:textId="77777777" w:rsidR="00575AC3" w:rsidRPr="006D40F0" w:rsidRDefault="00575AC3" w:rsidP="006D40F0"/>
        </w:tc>
      </w:tr>
      <w:tr w:rsidR="00DD49A7" w:rsidRPr="006D40F0" w14:paraId="49FEDD11" w14:textId="77777777">
        <w:trPr>
          <w:trHeight w:val="380"/>
        </w:trPr>
        <w:tc>
          <w:tcPr>
            <w:tcW w:w="680" w:type="dxa"/>
            <w:tcBorders>
              <w:top w:val="nil"/>
              <w:left w:val="nil"/>
              <w:bottom w:val="nil"/>
              <w:right w:val="nil"/>
            </w:tcBorders>
            <w:tcMar>
              <w:top w:w="128" w:type="dxa"/>
              <w:left w:w="43" w:type="dxa"/>
              <w:bottom w:w="43" w:type="dxa"/>
              <w:right w:w="43" w:type="dxa"/>
            </w:tcMar>
          </w:tcPr>
          <w:p w14:paraId="244636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95F56F"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77F57E6F" w14:textId="77777777" w:rsidR="00575AC3" w:rsidRPr="006D40F0" w:rsidRDefault="00575AC3" w:rsidP="006D40F0">
            <w:r w:rsidRPr="006D40F0">
              <w:t>Langskip – fangst og lagring av CO</w:t>
            </w:r>
            <w:r w:rsidRPr="00575AC3">
              <w:rPr>
                <w:rStyle w:val="skrift-senket"/>
              </w:rPr>
              <w:t>2</w:t>
            </w:r>
            <w:r w:rsidRPr="006D40F0">
              <w:t xml:space="preserve">,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00063BC" w14:textId="77777777" w:rsidR="00575AC3" w:rsidRPr="006D40F0" w:rsidRDefault="00575AC3" w:rsidP="006D40F0">
            <w:r w:rsidRPr="006D40F0">
              <w:t>900 000 000</w:t>
            </w:r>
          </w:p>
        </w:tc>
      </w:tr>
      <w:tr w:rsidR="00DD49A7" w:rsidRPr="006D40F0" w14:paraId="06242674" w14:textId="77777777">
        <w:trPr>
          <w:trHeight w:val="380"/>
        </w:trPr>
        <w:tc>
          <w:tcPr>
            <w:tcW w:w="680" w:type="dxa"/>
            <w:tcBorders>
              <w:top w:val="nil"/>
              <w:left w:val="nil"/>
              <w:bottom w:val="nil"/>
              <w:right w:val="nil"/>
            </w:tcBorders>
            <w:tcMar>
              <w:top w:w="128" w:type="dxa"/>
              <w:left w:w="43" w:type="dxa"/>
              <w:bottom w:w="43" w:type="dxa"/>
              <w:right w:w="43" w:type="dxa"/>
            </w:tcMar>
          </w:tcPr>
          <w:p w14:paraId="5173B0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501B2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2E6E80" w14:textId="77777777" w:rsidR="00575AC3" w:rsidRPr="006D40F0" w:rsidRDefault="00575AC3" w:rsidP="006D40F0">
            <w:r w:rsidRPr="006D40F0">
              <w:t>fra kr 2 600 000 000 til kr 1 700 000 000</w:t>
            </w:r>
          </w:p>
        </w:tc>
        <w:tc>
          <w:tcPr>
            <w:tcW w:w="1400" w:type="dxa"/>
            <w:tcBorders>
              <w:top w:val="nil"/>
              <w:left w:val="nil"/>
              <w:bottom w:val="nil"/>
              <w:right w:val="nil"/>
            </w:tcBorders>
            <w:tcMar>
              <w:top w:w="128" w:type="dxa"/>
              <w:left w:w="43" w:type="dxa"/>
              <w:bottom w:w="43" w:type="dxa"/>
              <w:right w:w="43" w:type="dxa"/>
            </w:tcMar>
            <w:vAlign w:val="bottom"/>
          </w:tcPr>
          <w:p w14:paraId="0A51FB58" w14:textId="77777777" w:rsidR="00575AC3" w:rsidRPr="006D40F0" w:rsidRDefault="00575AC3" w:rsidP="006D40F0"/>
        </w:tc>
      </w:tr>
      <w:tr w:rsidR="00DD49A7" w:rsidRPr="006D40F0" w14:paraId="08708891" w14:textId="77777777">
        <w:trPr>
          <w:trHeight w:val="380"/>
        </w:trPr>
        <w:tc>
          <w:tcPr>
            <w:tcW w:w="680" w:type="dxa"/>
            <w:tcBorders>
              <w:top w:val="nil"/>
              <w:left w:val="nil"/>
              <w:bottom w:val="nil"/>
              <w:right w:val="nil"/>
            </w:tcBorders>
            <w:tcMar>
              <w:top w:w="128" w:type="dxa"/>
              <w:left w:w="43" w:type="dxa"/>
              <w:bottom w:w="43" w:type="dxa"/>
              <w:right w:w="43" w:type="dxa"/>
            </w:tcMar>
          </w:tcPr>
          <w:p w14:paraId="33E3EE8F" w14:textId="77777777" w:rsidR="00575AC3" w:rsidRPr="006D40F0" w:rsidRDefault="00575AC3" w:rsidP="006D40F0">
            <w:r w:rsidRPr="006D40F0">
              <w:lastRenderedPageBreak/>
              <w:t>2309</w:t>
            </w:r>
          </w:p>
        </w:tc>
        <w:tc>
          <w:tcPr>
            <w:tcW w:w="680" w:type="dxa"/>
            <w:tcBorders>
              <w:top w:val="nil"/>
              <w:left w:val="nil"/>
              <w:bottom w:val="nil"/>
              <w:right w:val="nil"/>
            </w:tcBorders>
            <w:tcMar>
              <w:top w:w="128" w:type="dxa"/>
              <w:left w:w="43" w:type="dxa"/>
              <w:bottom w:w="43" w:type="dxa"/>
              <w:right w:w="43" w:type="dxa"/>
            </w:tcMar>
          </w:tcPr>
          <w:p w14:paraId="4A43A3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D84DF8" w14:textId="77777777" w:rsidR="00575AC3" w:rsidRPr="006D40F0" w:rsidRDefault="00575AC3" w:rsidP="006D40F0">
            <w:r w:rsidRPr="006D40F0">
              <w:t>Tilfeldige utgifter:</w:t>
            </w:r>
          </w:p>
        </w:tc>
        <w:tc>
          <w:tcPr>
            <w:tcW w:w="1400" w:type="dxa"/>
            <w:tcBorders>
              <w:top w:val="nil"/>
              <w:left w:val="nil"/>
              <w:bottom w:val="nil"/>
              <w:right w:val="nil"/>
            </w:tcBorders>
            <w:tcMar>
              <w:top w:w="128" w:type="dxa"/>
              <w:left w:w="43" w:type="dxa"/>
              <w:bottom w:w="43" w:type="dxa"/>
              <w:right w:w="43" w:type="dxa"/>
            </w:tcMar>
            <w:vAlign w:val="bottom"/>
          </w:tcPr>
          <w:p w14:paraId="4833DB4A" w14:textId="77777777" w:rsidR="00575AC3" w:rsidRPr="006D40F0" w:rsidRDefault="00575AC3" w:rsidP="006D40F0"/>
        </w:tc>
      </w:tr>
      <w:tr w:rsidR="00DD49A7" w:rsidRPr="006D40F0" w14:paraId="732EE63B" w14:textId="77777777">
        <w:trPr>
          <w:trHeight w:val="380"/>
        </w:trPr>
        <w:tc>
          <w:tcPr>
            <w:tcW w:w="680" w:type="dxa"/>
            <w:tcBorders>
              <w:top w:val="nil"/>
              <w:left w:val="nil"/>
              <w:bottom w:val="nil"/>
              <w:right w:val="nil"/>
            </w:tcBorders>
            <w:tcMar>
              <w:top w:w="128" w:type="dxa"/>
              <w:left w:w="43" w:type="dxa"/>
              <w:bottom w:w="43" w:type="dxa"/>
              <w:right w:w="43" w:type="dxa"/>
            </w:tcMar>
          </w:tcPr>
          <w:p w14:paraId="6033DE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F0393A"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AD03A23" w14:textId="77777777" w:rsidR="00575AC3" w:rsidRPr="006D40F0" w:rsidRDefault="00575AC3" w:rsidP="006D40F0">
            <w:r w:rsidRPr="006D40F0">
              <w:t>Driftsutgifter,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01534947" w14:textId="77777777" w:rsidR="00575AC3" w:rsidRPr="006D40F0" w:rsidRDefault="00575AC3" w:rsidP="006D40F0">
            <w:r w:rsidRPr="006D40F0">
              <w:t>1 250 000 000</w:t>
            </w:r>
          </w:p>
        </w:tc>
      </w:tr>
      <w:tr w:rsidR="00DD49A7" w:rsidRPr="006D40F0" w14:paraId="41BBDEDF" w14:textId="77777777">
        <w:trPr>
          <w:trHeight w:val="380"/>
        </w:trPr>
        <w:tc>
          <w:tcPr>
            <w:tcW w:w="680" w:type="dxa"/>
            <w:tcBorders>
              <w:top w:val="nil"/>
              <w:left w:val="nil"/>
              <w:bottom w:val="nil"/>
              <w:right w:val="nil"/>
            </w:tcBorders>
            <w:tcMar>
              <w:top w:w="128" w:type="dxa"/>
              <w:left w:w="43" w:type="dxa"/>
              <w:bottom w:w="43" w:type="dxa"/>
              <w:right w:w="43" w:type="dxa"/>
            </w:tcMar>
          </w:tcPr>
          <w:p w14:paraId="6943638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94E7F1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36FA7DF" w14:textId="77777777" w:rsidR="00575AC3" w:rsidRPr="006D40F0" w:rsidRDefault="00575AC3" w:rsidP="006D40F0">
            <w:r w:rsidRPr="006D40F0">
              <w:t>fra kr 6 950 000 000 til kr 5 700 000 000</w:t>
            </w:r>
          </w:p>
        </w:tc>
        <w:tc>
          <w:tcPr>
            <w:tcW w:w="1400" w:type="dxa"/>
            <w:tcBorders>
              <w:top w:val="nil"/>
              <w:left w:val="nil"/>
              <w:bottom w:val="nil"/>
              <w:right w:val="nil"/>
            </w:tcBorders>
            <w:tcMar>
              <w:top w:w="128" w:type="dxa"/>
              <w:left w:w="43" w:type="dxa"/>
              <w:bottom w:w="43" w:type="dxa"/>
              <w:right w:w="43" w:type="dxa"/>
            </w:tcMar>
            <w:vAlign w:val="bottom"/>
          </w:tcPr>
          <w:p w14:paraId="5D87E728" w14:textId="77777777" w:rsidR="00575AC3" w:rsidRPr="006D40F0" w:rsidRDefault="00575AC3" w:rsidP="006D40F0"/>
        </w:tc>
      </w:tr>
      <w:tr w:rsidR="00DD49A7" w:rsidRPr="006D40F0" w14:paraId="4FD5829E" w14:textId="77777777">
        <w:trPr>
          <w:trHeight w:val="380"/>
        </w:trPr>
        <w:tc>
          <w:tcPr>
            <w:tcW w:w="680" w:type="dxa"/>
            <w:tcBorders>
              <w:top w:val="nil"/>
              <w:left w:val="nil"/>
              <w:bottom w:val="nil"/>
              <w:right w:val="nil"/>
            </w:tcBorders>
            <w:tcMar>
              <w:top w:w="128" w:type="dxa"/>
              <w:left w:w="43" w:type="dxa"/>
              <w:bottom w:w="43" w:type="dxa"/>
              <w:right w:w="43" w:type="dxa"/>
            </w:tcMar>
          </w:tcPr>
          <w:p w14:paraId="5F61D5B8" w14:textId="77777777" w:rsidR="00575AC3" w:rsidRPr="006D40F0" w:rsidRDefault="00575AC3" w:rsidP="006D40F0">
            <w:r w:rsidRPr="006D40F0">
              <w:t>2410</w:t>
            </w:r>
          </w:p>
        </w:tc>
        <w:tc>
          <w:tcPr>
            <w:tcW w:w="680" w:type="dxa"/>
            <w:tcBorders>
              <w:top w:val="nil"/>
              <w:left w:val="nil"/>
              <w:bottom w:val="nil"/>
              <w:right w:val="nil"/>
            </w:tcBorders>
            <w:tcMar>
              <w:top w:w="128" w:type="dxa"/>
              <w:left w:w="43" w:type="dxa"/>
              <w:bottom w:w="43" w:type="dxa"/>
              <w:right w:w="43" w:type="dxa"/>
            </w:tcMar>
          </w:tcPr>
          <w:p w14:paraId="4750E35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52E3EE0" w14:textId="77777777" w:rsidR="00575AC3" w:rsidRPr="006D40F0" w:rsidRDefault="00575AC3" w:rsidP="006D40F0">
            <w:r w:rsidRPr="006D40F0">
              <w:t>Statens lånekasse for utdanning:</w:t>
            </w:r>
          </w:p>
        </w:tc>
        <w:tc>
          <w:tcPr>
            <w:tcW w:w="1400" w:type="dxa"/>
            <w:tcBorders>
              <w:top w:val="nil"/>
              <w:left w:val="nil"/>
              <w:bottom w:val="nil"/>
              <w:right w:val="nil"/>
            </w:tcBorders>
            <w:tcMar>
              <w:top w:w="128" w:type="dxa"/>
              <w:left w:w="43" w:type="dxa"/>
              <w:bottom w:w="43" w:type="dxa"/>
              <w:right w:w="43" w:type="dxa"/>
            </w:tcMar>
            <w:vAlign w:val="bottom"/>
          </w:tcPr>
          <w:p w14:paraId="5A2EC8AD" w14:textId="77777777" w:rsidR="00575AC3" w:rsidRPr="006D40F0" w:rsidRDefault="00575AC3" w:rsidP="006D40F0"/>
        </w:tc>
      </w:tr>
      <w:tr w:rsidR="00DD49A7" w:rsidRPr="006D40F0" w14:paraId="291E330F" w14:textId="77777777">
        <w:trPr>
          <w:trHeight w:val="380"/>
        </w:trPr>
        <w:tc>
          <w:tcPr>
            <w:tcW w:w="680" w:type="dxa"/>
            <w:tcBorders>
              <w:top w:val="nil"/>
              <w:left w:val="nil"/>
              <w:bottom w:val="nil"/>
              <w:right w:val="nil"/>
            </w:tcBorders>
            <w:tcMar>
              <w:top w:w="128" w:type="dxa"/>
              <w:left w:w="43" w:type="dxa"/>
              <w:bottom w:w="43" w:type="dxa"/>
              <w:right w:w="43" w:type="dxa"/>
            </w:tcMar>
          </w:tcPr>
          <w:p w14:paraId="4D00C5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9A6BF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C2D3AFA"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3E3C448A" w14:textId="77777777" w:rsidR="00575AC3" w:rsidRPr="006D40F0" w:rsidRDefault="00575AC3" w:rsidP="006D40F0">
            <w:r w:rsidRPr="006D40F0">
              <w:t>1 400 000</w:t>
            </w:r>
          </w:p>
        </w:tc>
      </w:tr>
      <w:tr w:rsidR="00DD49A7" w:rsidRPr="006D40F0" w14:paraId="77193CA8" w14:textId="77777777">
        <w:trPr>
          <w:trHeight w:val="380"/>
        </w:trPr>
        <w:tc>
          <w:tcPr>
            <w:tcW w:w="680" w:type="dxa"/>
            <w:tcBorders>
              <w:top w:val="nil"/>
              <w:left w:val="nil"/>
              <w:bottom w:val="nil"/>
              <w:right w:val="nil"/>
            </w:tcBorders>
            <w:tcMar>
              <w:top w:w="128" w:type="dxa"/>
              <w:left w:w="43" w:type="dxa"/>
              <w:bottom w:w="43" w:type="dxa"/>
              <w:right w:w="43" w:type="dxa"/>
            </w:tcMar>
          </w:tcPr>
          <w:p w14:paraId="069980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E43F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60A755" w14:textId="77777777" w:rsidR="00575AC3" w:rsidRPr="006D40F0" w:rsidRDefault="00575AC3" w:rsidP="006D40F0">
            <w:r w:rsidRPr="006D40F0">
              <w:t>fra kr 440 597 000 til kr 441 997 000</w:t>
            </w:r>
          </w:p>
        </w:tc>
        <w:tc>
          <w:tcPr>
            <w:tcW w:w="1400" w:type="dxa"/>
            <w:tcBorders>
              <w:top w:val="nil"/>
              <w:left w:val="nil"/>
              <w:bottom w:val="nil"/>
              <w:right w:val="nil"/>
            </w:tcBorders>
            <w:tcMar>
              <w:top w:w="128" w:type="dxa"/>
              <w:left w:w="43" w:type="dxa"/>
              <w:bottom w:w="43" w:type="dxa"/>
              <w:right w:w="43" w:type="dxa"/>
            </w:tcMar>
            <w:vAlign w:val="bottom"/>
          </w:tcPr>
          <w:p w14:paraId="1B005713" w14:textId="77777777" w:rsidR="00575AC3" w:rsidRPr="006D40F0" w:rsidRDefault="00575AC3" w:rsidP="006D40F0"/>
        </w:tc>
      </w:tr>
      <w:tr w:rsidR="00DD49A7" w:rsidRPr="006D40F0" w14:paraId="55897FB7" w14:textId="77777777">
        <w:trPr>
          <w:trHeight w:val="380"/>
        </w:trPr>
        <w:tc>
          <w:tcPr>
            <w:tcW w:w="680" w:type="dxa"/>
            <w:tcBorders>
              <w:top w:val="nil"/>
              <w:left w:val="nil"/>
              <w:bottom w:val="nil"/>
              <w:right w:val="nil"/>
            </w:tcBorders>
            <w:tcMar>
              <w:top w:w="128" w:type="dxa"/>
              <w:left w:w="43" w:type="dxa"/>
              <w:bottom w:w="43" w:type="dxa"/>
              <w:right w:w="43" w:type="dxa"/>
            </w:tcMar>
          </w:tcPr>
          <w:p w14:paraId="1E38E1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238E23"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A1081D2" w14:textId="77777777" w:rsidR="00575AC3" w:rsidRPr="006D40F0" w:rsidRDefault="00575AC3" w:rsidP="006D40F0">
            <w:r w:rsidRPr="006D40F0">
              <w:t xml:space="preserve">Avsetning til utdanningsstipend,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6513C77" w14:textId="77777777" w:rsidR="00575AC3" w:rsidRPr="006D40F0" w:rsidRDefault="00575AC3" w:rsidP="006D40F0">
            <w:r w:rsidRPr="006D40F0">
              <w:t>191 000 000</w:t>
            </w:r>
          </w:p>
        </w:tc>
      </w:tr>
      <w:tr w:rsidR="00DD49A7" w:rsidRPr="006D40F0" w14:paraId="450450F1" w14:textId="77777777">
        <w:trPr>
          <w:trHeight w:val="380"/>
        </w:trPr>
        <w:tc>
          <w:tcPr>
            <w:tcW w:w="680" w:type="dxa"/>
            <w:tcBorders>
              <w:top w:val="nil"/>
              <w:left w:val="nil"/>
              <w:bottom w:val="nil"/>
              <w:right w:val="nil"/>
            </w:tcBorders>
            <w:tcMar>
              <w:top w:w="128" w:type="dxa"/>
              <w:left w:w="43" w:type="dxa"/>
              <w:bottom w:w="43" w:type="dxa"/>
              <w:right w:w="43" w:type="dxa"/>
            </w:tcMar>
          </w:tcPr>
          <w:p w14:paraId="16F56B3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1E1D3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541F85" w14:textId="77777777" w:rsidR="00575AC3" w:rsidRPr="006D40F0" w:rsidRDefault="00575AC3" w:rsidP="006D40F0">
            <w:r w:rsidRPr="006D40F0">
              <w:t>fra kr 9 079 641 000 til kr 8 888 641 000</w:t>
            </w:r>
          </w:p>
        </w:tc>
        <w:tc>
          <w:tcPr>
            <w:tcW w:w="1400" w:type="dxa"/>
            <w:tcBorders>
              <w:top w:val="nil"/>
              <w:left w:val="nil"/>
              <w:bottom w:val="nil"/>
              <w:right w:val="nil"/>
            </w:tcBorders>
            <w:tcMar>
              <w:top w:w="128" w:type="dxa"/>
              <w:left w:w="43" w:type="dxa"/>
              <w:bottom w:w="43" w:type="dxa"/>
              <w:right w:w="43" w:type="dxa"/>
            </w:tcMar>
            <w:vAlign w:val="bottom"/>
          </w:tcPr>
          <w:p w14:paraId="7C4A2F44" w14:textId="77777777" w:rsidR="00575AC3" w:rsidRPr="006D40F0" w:rsidRDefault="00575AC3" w:rsidP="006D40F0"/>
        </w:tc>
      </w:tr>
      <w:tr w:rsidR="00DD49A7" w:rsidRPr="006D40F0" w14:paraId="2FFF83E0" w14:textId="77777777">
        <w:trPr>
          <w:trHeight w:val="380"/>
        </w:trPr>
        <w:tc>
          <w:tcPr>
            <w:tcW w:w="680" w:type="dxa"/>
            <w:tcBorders>
              <w:top w:val="nil"/>
              <w:left w:val="nil"/>
              <w:bottom w:val="nil"/>
              <w:right w:val="nil"/>
            </w:tcBorders>
            <w:tcMar>
              <w:top w:w="128" w:type="dxa"/>
              <w:left w:w="43" w:type="dxa"/>
              <w:bottom w:w="43" w:type="dxa"/>
              <w:right w:w="43" w:type="dxa"/>
            </w:tcMar>
          </w:tcPr>
          <w:p w14:paraId="51A216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46FEE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8ACBC4F" w14:textId="77777777" w:rsidR="00575AC3" w:rsidRPr="006D40F0" w:rsidRDefault="00575AC3" w:rsidP="006D40F0">
            <w:r w:rsidRPr="006D40F0">
              <w:t xml:space="preserve">Utdanningsstipend,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5C0C983" w14:textId="77777777" w:rsidR="00575AC3" w:rsidRPr="006D40F0" w:rsidRDefault="00575AC3" w:rsidP="006D40F0">
            <w:r w:rsidRPr="006D40F0">
              <w:t>190 860 000</w:t>
            </w:r>
          </w:p>
        </w:tc>
      </w:tr>
      <w:tr w:rsidR="00DD49A7" w:rsidRPr="006D40F0" w14:paraId="18A3F260" w14:textId="77777777">
        <w:trPr>
          <w:trHeight w:val="380"/>
        </w:trPr>
        <w:tc>
          <w:tcPr>
            <w:tcW w:w="680" w:type="dxa"/>
            <w:tcBorders>
              <w:top w:val="nil"/>
              <w:left w:val="nil"/>
              <w:bottom w:val="nil"/>
              <w:right w:val="nil"/>
            </w:tcBorders>
            <w:tcMar>
              <w:top w:w="128" w:type="dxa"/>
              <w:left w:w="43" w:type="dxa"/>
              <w:bottom w:w="43" w:type="dxa"/>
              <w:right w:w="43" w:type="dxa"/>
            </w:tcMar>
          </w:tcPr>
          <w:p w14:paraId="787307A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FAA03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E11726" w14:textId="77777777" w:rsidR="00575AC3" w:rsidRPr="006D40F0" w:rsidRDefault="00575AC3" w:rsidP="006D40F0">
            <w:r w:rsidRPr="006D40F0">
              <w:t>fra kr 4 139 022 000 til kr 3 948 162 000</w:t>
            </w:r>
          </w:p>
        </w:tc>
        <w:tc>
          <w:tcPr>
            <w:tcW w:w="1400" w:type="dxa"/>
            <w:tcBorders>
              <w:top w:val="nil"/>
              <w:left w:val="nil"/>
              <w:bottom w:val="nil"/>
              <w:right w:val="nil"/>
            </w:tcBorders>
            <w:tcMar>
              <w:top w:w="128" w:type="dxa"/>
              <w:left w:w="43" w:type="dxa"/>
              <w:bottom w:w="43" w:type="dxa"/>
              <w:right w:w="43" w:type="dxa"/>
            </w:tcMar>
            <w:vAlign w:val="bottom"/>
          </w:tcPr>
          <w:p w14:paraId="6241FD6C" w14:textId="77777777" w:rsidR="00575AC3" w:rsidRPr="006D40F0" w:rsidRDefault="00575AC3" w:rsidP="006D40F0"/>
        </w:tc>
      </w:tr>
      <w:tr w:rsidR="00DD49A7" w:rsidRPr="006D40F0" w14:paraId="106C1039" w14:textId="77777777">
        <w:trPr>
          <w:trHeight w:val="380"/>
        </w:trPr>
        <w:tc>
          <w:tcPr>
            <w:tcW w:w="680" w:type="dxa"/>
            <w:tcBorders>
              <w:top w:val="nil"/>
              <w:left w:val="nil"/>
              <w:bottom w:val="nil"/>
              <w:right w:val="nil"/>
            </w:tcBorders>
            <w:tcMar>
              <w:top w:w="128" w:type="dxa"/>
              <w:left w:w="43" w:type="dxa"/>
              <w:bottom w:w="43" w:type="dxa"/>
              <w:right w:w="43" w:type="dxa"/>
            </w:tcMar>
          </w:tcPr>
          <w:p w14:paraId="649614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C8C4C5A"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D5A0EC8" w14:textId="77777777" w:rsidR="00575AC3" w:rsidRPr="006D40F0" w:rsidRDefault="00575AC3" w:rsidP="006D40F0">
            <w:r w:rsidRPr="006D40F0">
              <w:t xml:space="preserve">Andre stipend,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62F5F2AF" w14:textId="77777777" w:rsidR="00575AC3" w:rsidRPr="006D40F0" w:rsidRDefault="00575AC3" w:rsidP="006D40F0">
            <w:r w:rsidRPr="006D40F0">
              <w:t>26 954 000</w:t>
            </w:r>
          </w:p>
        </w:tc>
      </w:tr>
      <w:tr w:rsidR="00DD49A7" w:rsidRPr="006D40F0" w14:paraId="03BF01A8" w14:textId="77777777">
        <w:trPr>
          <w:trHeight w:val="380"/>
        </w:trPr>
        <w:tc>
          <w:tcPr>
            <w:tcW w:w="680" w:type="dxa"/>
            <w:tcBorders>
              <w:top w:val="nil"/>
              <w:left w:val="nil"/>
              <w:bottom w:val="nil"/>
              <w:right w:val="nil"/>
            </w:tcBorders>
            <w:tcMar>
              <w:top w:w="128" w:type="dxa"/>
              <w:left w:w="43" w:type="dxa"/>
              <w:bottom w:w="43" w:type="dxa"/>
              <w:right w:w="43" w:type="dxa"/>
            </w:tcMar>
          </w:tcPr>
          <w:p w14:paraId="1CB71CB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D599A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74A191" w14:textId="77777777" w:rsidR="00575AC3" w:rsidRPr="006D40F0" w:rsidRDefault="00575AC3" w:rsidP="006D40F0">
            <w:r w:rsidRPr="006D40F0">
              <w:t>fra kr 585 756 000 til kr 558 802 000</w:t>
            </w:r>
          </w:p>
        </w:tc>
        <w:tc>
          <w:tcPr>
            <w:tcW w:w="1400" w:type="dxa"/>
            <w:tcBorders>
              <w:top w:val="nil"/>
              <w:left w:val="nil"/>
              <w:bottom w:val="nil"/>
              <w:right w:val="nil"/>
            </w:tcBorders>
            <w:tcMar>
              <w:top w:w="128" w:type="dxa"/>
              <w:left w:w="43" w:type="dxa"/>
              <w:bottom w:w="43" w:type="dxa"/>
              <w:right w:w="43" w:type="dxa"/>
            </w:tcMar>
            <w:vAlign w:val="bottom"/>
          </w:tcPr>
          <w:p w14:paraId="4D6701DB" w14:textId="77777777" w:rsidR="00575AC3" w:rsidRPr="006D40F0" w:rsidRDefault="00575AC3" w:rsidP="006D40F0"/>
        </w:tc>
      </w:tr>
      <w:tr w:rsidR="00DD49A7" w:rsidRPr="006D40F0" w14:paraId="46C21DDB" w14:textId="77777777">
        <w:trPr>
          <w:trHeight w:val="380"/>
        </w:trPr>
        <w:tc>
          <w:tcPr>
            <w:tcW w:w="680" w:type="dxa"/>
            <w:tcBorders>
              <w:top w:val="nil"/>
              <w:left w:val="nil"/>
              <w:bottom w:val="nil"/>
              <w:right w:val="nil"/>
            </w:tcBorders>
            <w:tcMar>
              <w:top w:w="128" w:type="dxa"/>
              <w:left w:w="43" w:type="dxa"/>
              <w:bottom w:w="43" w:type="dxa"/>
              <w:right w:w="43" w:type="dxa"/>
            </w:tcMar>
          </w:tcPr>
          <w:p w14:paraId="51AF4E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5E38CD"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32B5E358" w14:textId="77777777" w:rsidR="00575AC3" w:rsidRPr="006D40F0" w:rsidRDefault="00575AC3" w:rsidP="006D40F0">
            <w:r w:rsidRPr="006D40F0">
              <w:t xml:space="preserve">Rentestøtte,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6DF7CC4" w14:textId="77777777" w:rsidR="00575AC3" w:rsidRPr="006D40F0" w:rsidRDefault="00575AC3" w:rsidP="006D40F0">
            <w:r w:rsidRPr="006D40F0">
              <w:t>664 431 000</w:t>
            </w:r>
          </w:p>
        </w:tc>
      </w:tr>
      <w:tr w:rsidR="00DD49A7" w:rsidRPr="006D40F0" w14:paraId="5979441E" w14:textId="77777777">
        <w:trPr>
          <w:trHeight w:val="380"/>
        </w:trPr>
        <w:tc>
          <w:tcPr>
            <w:tcW w:w="680" w:type="dxa"/>
            <w:tcBorders>
              <w:top w:val="nil"/>
              <w:left w:val="nil"/>
              <w:bottom w:val="nil"/>
              <w:right w:val="nil"/>
            </w:tcBorders>
            <w:tcMar>
              <w:top w:w="128" w:type="dxa"/>
              <w:left w:w="43" w:type="dxa"/>
              <w:bottom w:w="43" w:type="dxa"/>
              <w:right w:w="43" w:type="dxa"/>
            </w:tcMar>
          </w:tcPr>
          <w:p w14:paraId="20002C4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B08CB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1252C5" w14:textId="77777777" w:rsidR="00575AC3" w:rsidRPr="006D40F0" w:rsidRDefault="00575AC3" w:rsidP="006D40F0">
            <w:r w:rsidRPr="006D40F0">
              <w:t>fra kr 2 822 961 000 til kr 3 487 392 000</w:t>
            </w:r>
          </w:p>
        </w:tc>
        <w:tc>
          <w:tcPr>
            <w:tcW w:w="1400" w:type="dxa"/>
            <w:tcBorders>
              <w:top w:val="nil"/>
              <w:left w:val="nil"/>
              <w:bottom w:val="nil"/>
              <w:right w:val="nil"/>
            </w:tcBorders>
            <w:tcMar>
              <w:top w:w="128" w:type="dxa"/>
              <w:left w:w="43" w:type="dxa"/>
              <w:bottom w:w="43" w:type="dxa"/>
              <w:right w:w="43" w:type="dxa"/>
            </w:tcMar>
            <w:vAlign w:val="bottom"/>
          </w:tcPr>
          <w:p w14:paraId="32FE1BB2" w14:textId="77777777" w:rsidR="00575AC3" w:rsidRPr="006D40F0" w:rsidRDefault="00575AC3" w:rsidP="006D40F0"/>
        </w:tc>
      </w:tr>
      <w:tr w:rsidR="00DD49A7" w:rsidRPr="006D40F0" w14:paraId="0F7C3724" w14:textId="77777777">
        <w:trPr>
          <w:trHeight w:val="380"/>
        </w:trPr>
        <w:tc>
          <w:tcPr>
            <w:tcW w:w="680" w:type="dxa"/>
            <w:tcBorders>
              <w:top w:val="nil"/>
              <w:left w:val="nil"/>
              <w:bottom w:val="nil"/>
              <w:right w:val="nil"/>
            </w:tcBorders>
            <w:tcMar>
              <w:top w:w="128" w:type="dxa"/>
              <w:left w:w="43" w:type="dxa"/>
              <w:bottom w:w="43" w:type="dxa"/>
              <w:right w:w="43" w:type="dxa"/>
            </w:tcMar>
          </w:tcPr>
          <w:p w14:paraId="1C3725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A7F587"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68830013" w14:textId="77777777" w:rsidR="00575AC3" w:rsidRPr="006D40F0" w:rsidRDefault="00575AC3" w:rsidP="006D40F0">
            <w:r w:rsidRPr="006D40F0">
              <w:t xml:space="preserve">Avskrivninger,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4A6D669" w14:textId="77777777" w:rsidR="00575AC3" w:rsidRPr="006D40F0" w:rsidRDefault="00575AC3" w:rsidP="006D40F0">
            <w:r w:rsidRPr="006D40F0">
              <w:t>67 562 000</w:t>
            </w:r>
          </w:p>
        </w:tc>
      </w:tr>
      <w:tr w:rsidR="00DD49A7" w:rsidRPr="006D40F0" w14:paraId="30A02653" w14:textId="77777777">
        <w:trPr>
          <w:trHeight w:val="380"/>
        </w:trPr>
        <w:tc>
          <w:tcPr>
            <w:tcW w:w="680" w:type="dxa"/>
            <w:tcBorders>
              <w:top w:val="nil"/>
              <w:left w:val="nil"/>
              <w:bottom w:val="nil"/>
              <w:right w:val="nil"/>
            </w:tcBorders>
            <w:tcMar>
              <w:top w:w="128" w:type="dxa"/>
              <w:left w:w="43" w:type="dxa"/>
              <w:bottom w:w="43" w:type="dxa"/>
              <w:right w:w="43" w:type="dxa"/>
            </w:tcMar>
          </w:tcPr>
          <w:p w14:paraId="2B5C0E0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59249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272175" w14:textId="77777777" w:rsidR="00575AC3" w:rsidRPr="006D40F0" w:rsidRDefault="00575AC3" w:rsidP="006D40F0">
            <w:r w:rsidRPr="006D40F0">
              <w:t>fra kr 904 593 000 til kr 972 155 000</w:t>
            </w:r>
          </w:p>
        </w:tc>
        <w:tc>
          <w:tcPr>
            <w:tcW w:w="1400" w:type="dxa"/>
            <w:tcBorders>
              <w:top w:val="nil"/>
              <w:left w:val="nil"/>
              <w:bottom w:val="nil"/>
              <w:right w:val="nil"/>
            </w:tcBorders>
            <w:tcMar>
              <w:top w:w="128" w:type="dxa"/>
              <w:left w:w="43" w:type="dxa"/>
              <w:bottom w:w="43" w:type="dxa"/>
              <w:right w:w="43" w:type="dxa"/>
            </w:tcMar>
            <w:vAlign w:val="bottom"/>
          </w:tcPr>
          <w:p w14:paraId="703B5E5E" w14:textId="77777777" w:rsidR="00575AC3" w:rsidRPr="006D40F0" w:rsidRDefault="00575AC3" w:rsidP="006D40F0"/>
        </w:tc>
      </w:tr>
      <w:tr w:rsidR="00DD49A7" w:rsidRPr="006D40F0" w14:paraId="4E64CD12" w14:textId="77777777">
        <w:trPr>
          <w:trHeight w:val="380"/>
        </w:trPr>
        <w:tc>
          <w:tcPr>
            <w:tcW w:w="680" w:type="dxa"/>
            <w:tcBorders>
              <w:top w:val="nil"/>
              <w:left w:val="nil"/>
              <w:bottom w:val="nil"/>
              <w:right w:val="nil"/>
            </w:tcBorders>
            <w:tcMar>
              <w:top w:w="128" w:type="dxa"/>
              <w:left w:w="43" w:type="dxa"/>
              <w:bottom w:w="43" w:type="dxa"/>
              <w:right w:w="43" w:type="dxa"/>
            </w:tcMar>
          </w:tcPr>
          <w:p w14:paraId="0AEB007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47DA58D"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134507A3" w14:textId="77777777" w:rsidR="00575AC3" w:rsidRPr="006D40F0" w:rsidRDefault="00575AC3" w:rsidP="006D40F0">
            <w:r w:rsidRPr="006D40F0">
              <w:t>Tap på utlån, nedsettes med</w:t>
            </w:r>
          </w:p>
        </w:tc>
        <w:tc>
          <w:tcPr>
            <w:tcW w:w="1400" w:type="dxa"/>
            <w:tcBorders>
              <w:top w:val="nil"/>
              <w:left w:val="nil"/>
              <w:bottom w:val="nil"/>
              <w:right w:val="nil"/>
            </w:tcBorders>
            <w:tcMar>
              <w:top w:w="128" w:type="dxa"/>
              <w:left w:w="43" w:type="dxa"/>
              <w:bottom w:w="43" w:type="dxa"/>
              <w:right w:w="43" w:type="dxa"/>
            </w:tcMar>
            <w:vAlign w:val="bottom"/>
          </w:tcPr>
          <w:p w14:paraId="5A42C3F7" w14:textId="77777777" w:rsidR="00575AC3" w:rsidRPr="006D40F0" w:rsidRDefault="00575AC3" w:rsidP="006D40F0">
            <w:r w:rsidRPr="006D40F0">
              <w:t>70 000 000</w:t>
            </w:r>
          </w:p>
        </w:tc>
      </w:tr>
      <w:tr w:rsidR="00DD49A7" w:rsidRPr="006D40F0" w14:paraId="2D0DCEBA" w14:textId="77777777">
        <w:trPr>
          <w:trHeight w:val="380"/>
        </w:trPr>
        <w:tc>
          <w:tcPr>
            <w:tcW w:w="680" w:type="dxa"/>
            <w:tcBorders>
              <w:top w:val="nil"/>
              <w:left w:val="nil"/>
              <w:bottom w:val="nil"/>
              <w:right w:val="nil"/>
            </w:tcBorders>
            <w:tcMar>
              <w:top w:w="128" w:type="dxa"/>
              <w:left w:w="43" w:type="dxa"/>
              <w:bottom w:w="43" w:type="dxa"/>
              <w:right w:w="43" w:type="dxa"/>
            </w:tcMar>
          </w:tcPr>
          <w:p w14:paraId="0C1C0C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155FC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0744C1" w14:textId="77777777" w:rsidR="00575AC3" w:rsidRPr="006D40F0" w:rsidRDefault="00575AC3" w:rsidP="006D40F0">
            <w:r w:rsidRPr="006D40F0">
              <w:t>fra kr 380 500 000 til kr 310 500 000</w:t>
            </w:r>
          </w:p>
        </w:tc>
        <w:tc>
          <w:tcPr>
            <w:tcW w:w="1400" w:type="dxa"/>
            <w:tcBorders>
              <w:top w:val="nil"/>
              <w:left w:val="nil"/>
              <w:bottom w:val="nil"/>
              <w:right w:val="nil"/>
            </w:tcBorders>
            <w:tcMar>
              <w:top w:w="128" w:type="dxa"/>
              <w:left w:w="43" w:type="dxa"/>
              <w:bottom w:w="43" w:type="dxa"/>
              <w:right w:w="43" w:type="dxa"/>
            </w:tcMar>
            <w:vAlign w:val="bottom"/>
          </w:tcPr>
          <w:p w14:paraId="27E5918E" w14:textId="77777777" w:rsidR="00575AC3" w:rsidRPr="006D40F0" w:rsidRDefault="00575AC3" w:rsidP="006D40F0"/>
        </w:tc>
      </w:tr>
      <w:tr w:rsidR="00DD49A7" w:rsidRPr="006D40F0" w14:paraId="536B278A" w14:textId="77777777">
        <w:trPr>
          <w:trHeight w:val="380"/>
        </w:trPr>
        <w:tc>
          <w:tcPr>
            <w:tcW w:w="680" w:type="dxa"/>
            <w:tcBorders>
              <w:top w:val="nil"/>
              <w:left w:val="nil"/>
              <w:bottom w:val="nil"/>
              <w:right w:val="nil"/>
            </w:tcBorders>
            <w:tcMar>
              <w:top w:w="128" w:type="dxa"/>
              <w:left w:w="43" w:type="dxa"/>
              <w:bottom w:w="43" w:type="dxa"/>
              <w:right w:w="43" w:type="dxa"/>
            </w:tcMar>
          </w:tcPr>
          <w:p w14:paraId="05C07CC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7EC105"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4DBFAC8A" w14:textId="77777777" w:rsidR="00575AC3" w:rsidRPr="006D40F0" w:rsidRDefault="00575AC3" w:rsidP="006D40F0">
            <w:r w:rsidRPr="006D40F0">
              <w:t xml:space="preserve">Økt lån og rentegjeld,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D4B0E29" w14:textId="77777777" w:rsidR="00575AC3" w:rsidRPr="006D40F0" w:rsidRDefault="00575AC3" w:rsidP="006D40F0">
            <w:r w:rsidRPr="006D40F0">
              <w:t>763 156 000</w:t>
            </w:r>
          </w:p>
        </w:tc>
      </w:tr>
      <w:tr w:rsidR="00DD49A7" w:rsidRPr="006D40F0" w14:paraId="0AC3D092" w14:textId="77777777">
        <w:trPr>
          <w:trHeight w:val="380"/>
        </w:trPr>
        <w:tc>
          <w:tcPr>
            <w:tcW w:w="680" w:type="dxa"/>
            <w:tcBorders>
              <w:top w:val="nil"/>
              <w:left w:val="nil"/>
              <w:bottom w:val="nil"/>
              <w:right w:val="nil"/>
            </w:tcBorders>
            <w:tcMar>
              <w:top w:w="128" w:type="dxa"/>
              <w:left w:w="43" w:type="dxa"/>
              <w:bottom w:w="43" w:type="dxa"/>
              <w:right w:w="43" w:type="dxa"/>
            </w:tcMar>
          </w:tcPr>
          <w:p w14:paraId="50D8C18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84730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3E262B" w14:textId="77777777" w:rsidR="00575AC3" w:rsidRPr="006D40F0" w:rsidRDefault="00575AC3" w:rsidP="006D40F0">
            <w:r w:rsidRPr="006D40F0">
              <w:t>fra kr 39 751 273 000 til kr 40 514 429 000</w:t>
            </w:r>
          </w:p>
        </w:tc>
        <w:tc>
          <w:tcPr>
            <w:tcW w:w="1400" w:type="dxa"/>
            <w:tcBorders>
              <w:top w:val="nil"/>
              <w:left w:val="nil"/>
              <w:bottom w:val="nil"/>
              <w:right w:val="nil"/>
            </w:tcBorders>
            <w:tcMar>
              <w:top w:w="128" w:type="dxa"/>
              <w:left w:w="43" w:type="dxa"/>
              <w:bottom w:w="43" w:type="dxa"/>
              <w:right w:w="43" w:type="dxa"/>
            </w:tcMar>
            <w:vAlign w:val="bottom"/>
          </w:tcPr>
          <w:p w14:paraId="654B09CC" w14:textId="77777777" w:rsidR="00575AC3" w:rsidRPr="006D40F0" w:rsidRDefault="00575AC3" w:rsidP="006D40F0"/>
        </w:tc>
      </w:tr>
      <w:tr w:rsidR="00DD49A7" w:rsidRPr="006D40F0" w14:paraId="5B35847C" w14:textId="77777777">
        <w:trPr>
          <w:trHeight w:val="380"/>
        </w:trPr>
        <w:tc>
          <w:tcPr>
            <w:tcW w:w="680" w:type="dxa"/>
            <w:tcBorders>
              <w:top w:val="nil"/>
              <w:left w:val="nil"/>
              <w:bottom w:val="nil"/>
              <w:right w:val="nil"/>
            </w:tcBorders>
            <w:tcMar>
              <w:top w:w="128" w:type="dxa"/>
              <w:left w:w="43" w:type="dxa"/>
              <w:bottom w:w="43" w:type="dxa"/>
              <w:right w:w="43" w:type="dxa"/>
            </w:tcMar>
          </w:tcPr>
          <w:p w14:paraId="15253560" w14:textId="77777777" w:rsidR="00575AC3" w:rsidRPr="006D40F0" w:rsidRDefault="00575AC3" w:rsidP="006D40F0">
            <w:r w:rsidRPr="006D40F0">
              <w:t>2412</w:t>
            </w:r>
          </w:p>
        </w:tc>
        <w:tc>
          <w:tcPr>
            <w:tcW w:w="680" w:type="dxa"/>
            <w:tcBorders>
              <w:top w:val="nil"/>
              <w:left w:val="nil"/>
              <w:bottom w:val="nil"/>
              <w:right w:val="nil"/>
            </w:tcBorders>
            <w:tcMar>
              <w:top w:w="128" w:type="dxa"/>
              <w:left w:w="43" w:type="dxa"/>
              <w:bottom w:w="43" w:type="dxa"/>
              <w:right w:w="43" w:type="dxa"/>
            </w:tcMar>
          </w:tcPr>
          <w:p w14:paraId="4F7D708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52BDEB" w14:textId="77777777" w:rsidR="00575AC3" w:rsidRPr="006D40F0" w:rsidRDefault="00575AC3" w:rsidP="006D40F0">
            <w:r w:rsidRPr="006D40F0">
              <w:t>Husbanken:</w:t>
            </w:r>
          </w:p>
        </w:tc>
        <w:tc>
          <w:tcPr>
            <w:tcW w:w="1400" w:type="dxa"/>
            <w:tcBorders>
              <w:top w:val="nil"/>
              <w:left w:val="nil"/>
              <w:bottom w:val="nil"/>
              <w:right w:val="nil"/>
            </w:tcBorders>
            <w:tcMar>
              <w:top w:w="128" w:type="dxa"/>
              <w:left w:w="43" w:type="dxa"/>
              <w:bottom w:w="43" w:type="dxa"/>
              <w:right w:w="43" w:type="dxa"/>
            </w:tcMar>
            <w:vAlign w:val="bottom"/>
          </w:tcPr>
          <w:p w14:paraId="734C8FCC" w14:textId="77777777" w:rsidR="00575AC3" w:rsidRPr="006D40F0" w:rsidRDefault="00575AC3" w:rsidP="006D40F0"/>
        </w:tc>
      </w:tr>
      <w:tr w:rsidR="00DD49A7" w:rsidRPr="006D40F0" w14:paraId="6BCA4018" w14:textId="77777777">
        <w:trPr>
          <w:trHeight w:val="380"/>
        </w:trPr>
        <w:tc>
          <w:tcPr>
            <w:tcW w:w="680" w:type="dxa"/>
            <w:tcBorders>
              <w:top w:val="nil"/>
              <w:left w:val="nil"/>
              <w:bottom w:val="nil"/>
              <w:right w:val="nil"/>
            </w:tcBorders>
            <w:tcMar>
              <w:top w:w="128" w:type="dxa"/>
              <w:left w:w="43" w:type="dxa"/>
              <w:bottom w:w="43" w:type="dxa"/>
              <w:right w:w="43" w:type="dxa"/>
            </w:tcMar>
          </w:tcPr>
          <w:p w14:paraId="2F2881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EFBBE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B07E3EE" w14:textId="77777777" w:rsidR="00575AC3" w:rsidRPr="006D40F0" w:rsidRDefault="00575AC3" w:rsidP="006D40F0">
            <w:r w:rsidRPr="006D40F0">
              <w:t>Driftsutgifter,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28C013F4" w14:textId="77777777" w:rsidR="00575AC3" w:rsidRPr="006D40F0" w:rsidRDefault="00575AC3" w:rsidP="006D40F0">
            <w:r w:rsidRPr="006D40F0">
              <w:t>1 500 000</w:t>
            </w:r>
          </w:p>
        </w:tc>
      </w:tr>
      <w:tr w:rsidR="00DD49A7" w:rsidRPr="006D40F0" w14:paraId="4205B610" w14:textId="77777777">
        <w:trPr>
          <w:trHeight w:val="380"/>
        </w:trPr>
        <w:tc>
          <w:tcPr>
            <w:tcW w:w="680" w:type="dxa"/>
            <w:tcBorders>
              <w:top w:val="nil"/>
              <w:left w:val="nil"/>
              <w:bottom w:val="nil"/>
              <w:right w:val="nil"/>
            </w:tcBorders>
            <w:tcMar>
              <w:top w:w="128" w:type="dxa"/>
              <w:left w:w="43" w:type="dxa"/>
              <w:bottom w:w="43" w:type="dxa"/>
              <w:right w:w="43" w:type="dxa"/>
            </w:tcMar>
          </w:tcPr>
          <w:p w14:paraId="4909CB5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CB5EF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06FBB3" w14:textId="77777777" w:rsidR="00575AC3" w:rsidRPr="006D40F0" w:rsidRDefault="00575AC3" w:rsidP="006D40F0">
            <w:r w:rsidRPr="006D40F0">
              <w:t>fra kr 382 678 000 til kr 384 178 000</w:t>
            </w:r>
          </w:p>
        </w:tc>
        <w:tc>
          <w:tcPr>
            <w:tcW w:w="1400" w:type="dxa"/>
            <w:tcBorders>
              <w:top w:val="nil"/>
              <w:left w:val="nil"/>
              <w:bottom w:val="nil"/>
              <w:right w:val="nil"/>
            </w:tcBorders>
            <w:tcMar>
              <w:top w:w="128" w:type="dxa"/>
              <w:left w:w="43" w:type="dxa"/>
              <w:bottom w:w="43" w:type="dxa"/>
              <w:right w:w="43" w:type="dxa"/>
            </w:tcMar>
            <w:vAlign w:val="bottom"/>
          </w:tcPr>
          <w:p w14:paraId="56F2F74A" w14:textId="77777777" w:rsidR="00575AC3" w:rsidRPr="006D40F0" w:rsidRDefault="00575AC3" w:rsidP="006D40F0"/>
        </w:tc>
      </w:tr>
      <w:tr w:rsidR="00DD49A7" w:rsidRPr="006D40F0" w14:paraId="4CDC4641" w14:textId="77777777">
        <w:trPr>
          <w:trHeight w:val="380"/>
        </w:trPr>
        <w:tc>
          <w:tcPr>
            <w:tcW w:w="680" w:type="dxa"/>
            <w:tcBorders>
              <w:top w:val="nil"/>
              <w:left w:val="nil"/>
              <w:bottom w:val="nil"/>
              <w:right w:val="nil"/>
            </w:tcBorders>
            <w:tcMar>
              <w:top w:w="128" w:type="dxa"/>
              <w:left w:w="43" w:type="dxa"/>
              <w:bottom w:w="43" w:type="dxa"/>
              <w:right w:w="43" w:type="dxa"/>
            </w:tcMar>
          </w:tcPr>
          <w:p w14:paraId="702658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0C0B0B"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0B105A46" w14:textId="77777777" w:rsidR="00575AC3" w:rsidRPr="006D40F0" w:rsidRDefault="00575AC3" w:rsidP="006D40F0">
            <w:r w:rsidRPr="006D40F0">
              <w:t xml:space="preserve">Nye lån,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D63E887" w14:textId="77777777" w:rsidR="00575AC3" w:rsidRPr="006D40F0" w:rsidRDefault="00575AC3" w:rsidP="006D40F0">
            <w:r w:rsidRPr="006D40F0">
              <w:t>697 000 000</w:t>
            </w:r>
          </w:p>
        </w:tc>
      </w:tr>
      <w:tr w:rsidR="00DD49A7" w:rsidRPr="006D40F0" w14:paraId="7492BC39" w14:textId="77777777">
        <w:trPr>
          <w:trHeight w:val="380"/>
        </w:trPr>
        <w:tc>
          <w:tcPr>
            <w:tcW w:w="680" w:type="dxa"/>
            <w:tcBorders>
              <w:top w:val="nil"/>
              <w:left w:val="nil"/>
              <w:bottom w:val="nil"/>
              <w:right w:val="nil"/>
            </w:tcBorders>
            <w:tcMar>
              <w:top w:w="128" w:type="dxa"/>
              <w:left w:w="43" w:type="dxa"/>
              <w:bottom w:w="43" w:type="dxa"/>
              <w:right w:w="43" w:type="dxa"/>
            </w:tcMar>
          </w:tcPr>
          <w:p w14:paraId="398002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EF9695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4AFEC7" w14:textId="77777777" w:rsidR="00575AC3" w:rsidRPr="006D40F0" w:rsidRDefault="00575AC3" w:rsidP="006D40F0">
            <w:r w:rsidRPr="006D40F0">
              <w:t>fra kr 24 155 000 000 til kr 24 852 000 000</w:t>
            </w:r>
          </w:p>
        </w:tc>
        <w:tc>
          <w:tcPr>
            <w:tcW w:w="1400" w:type="dxa"/>
            <w:tcBorders>
              <w:top w:val="nil"/>
              <w:left w:val="nil"/>
              <w:bottom w:val="nil"/>
              <w:right w:val="nil"/>
            </w:tcBorders>
            <w:tcMar>
              <w:top w:w="128" w:type="dxa"/>
              <w:left w:w="43" w:type="dxa"/>
              <w:bottom w:w="43" w:type="dxa"/>
              <w:right w:w="43" w:type="dxa"/>
            </w:tcMar>
            <w:vAlign w:val="bottom"/>
          </w:tcPr>
          <w:p w14:paraId="751CFFEA" w14:textId="77777777" w:rsidR="00575AC3" w:rsidRPr="006D40F0" w:rsidRDefault="00575AC3" w:rsidP="006D40F0"/>
        </w:tc>
      </w:tr>
      <w:tr w:rsidR="00DD49A7" w:rsidRPr="006D40F0" w14:paraId="0B8468EE" w14:textId="77777777">
        <w:trPr>
          <w:trHeight w:val="380"/>
        </w:trPr>
        <w:tc>
          <w:tcPr>
            <w:tcW w:w="680" w:type="dxa"/>
            <w:tcBorders>
              <w:top w:val="nil"/>
              <w:left w:val="nil"/>
              <w:bottom w:val="nil"/>
              <w:right w:val="nil"/>
            </w:tcBorders>
            <w:tcMar>
              <w:top w:w="128" w:type="dxa"/>
              <w:left w:w="43" w:type="dxa"/>
              <w:bottom w:w="43" w:type="dxa"/>
              <w:right w:w="43" w:type="dxa"/>
            </w:tcMar>
          </w:tcPr>
          <w:p w14:paraId="3C4BDF9A" w14:textId="77777777" w:rsidR="00575AC3" w:rsidRPr="006D40F0" w:rsidRDefault="00575AC3" w:rsidP="006D40F0">
            <w:r w:rsidRPr="006D40F0">
              <w:t>2421</w:t>
            </w:r>
          </w:p>
        </w:tc>
        <w:tc>
          <w:tcPr>
            <w:tcW w:w="680" w:type="dxa"/>
            <w:tcBorders>
              <w:top w:val="nil"/>
              <w:left w:val="nil"/>
              <w:bottom w:val="nil"/>
              <w:right w:val="nil"/>
            </w:tcBorders>
            <w:tcMar>
              <w:top w:w="128" w:type="dxa"/>
              <w:left w:w="43" w:type="dxa"/>
              <w:bottom w:w="43" w:type="dxa"/>
              <w:right w:w="43" w:type="dxa"/>
            </w:tcMar>
          </w:tcPr>
          <w:p w14:paraId="45CDEB6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CC2A02" w14:textId="77777777" w:rsidR="00575AC3" w:rsidRPr="006D40F0" w:rsidRDefault="00575AC3" w:rsidP="006D40F0">
            <w:r w:rsidRPr="006D40F0">
              <w:t>Innovasjon Norge:</w:t>
            </w:r>
          </w:p>
        </w:tc>
        <w:tc>
          <w:tcPr>
            <w:tcW w:w="1400" w:type="dxa"/>
            <w:tcBorders>
              <w:top w:val="nil"/>
              <w:left w:val="nil"/>
              <w:bottom w:val="nil"/>
              <w:right w:val="nil"/>
            </w:tcBorders>
            <w:tcMar>
              <w:top w:w="128" w:type="dxa"/>
              <w:left w:w="43" w:type="dxa"/>
              <w:bottom w:w="43" w:type="dxa"/>
              <w:right w:w="43" w:type="dxa"/>
            </w:tcMar>
            <w:vAlign w:val="bottom"/>
          </w:tcPr>
          <w:p w14:paraId="3E743790" w14:textId="77777777" w:rsidR="00575AC3" w:rsidRPr="006D40F0" w:rsidRDefault="00575AC3" w:rsidP="006D40F0"/>
        </w:tc>
      </w:tr>
      <w:tr w:rsidR="00DD49A7" w:rsidRPr="006D40F0" w14:paraId="2705FD53" w14:textId="77777777">
        <w:trPr>
          <w:trHeight w:val="380"/>
        </w:trPr>
        <w:tc>
          <w:tcPr>
            <w:tcW w:w="680" w:type="dxa"/>
            <w:tcBorders>
              <w:top w:val="nil"/>
              <w:left w:val="nil"/>
              <w:bottom w:val="nil"/>
              <w:right w:val="nil"/>
            </w:tcBorders>
            <w:tcMar>
              <w:top w:w="128" w:type="dxa"/>
              <w:left w:w="43" w:type="dxa"/>
              <w:bottom w:w="43" w:type="dxa"/>
              <w:right w:w="43" w:type="dxa"/>
            </w:tcMar>
          </w:tcPr>
          <w:p w14:paraId="71BA2F3A"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0EB2A9D4" w14:textId="77777777" w:rsidR="00575AC3" w:rsidRPr="006D40F0" w:rsidRDefault="00575AC3" w:rsidP="006D40F0">
            <w:r w:rsidRPr="006D40F0">
              <w:t>55</w:t>
            </w:r>
          </w:p>
        </w:tc>
        <w:tc>
          <w:tcPr>
            <w:tcW w:w="6800" w:type="dxa"/>
            <w:tcBorders>
              <w:top w:val="nil"/>
              <w:left w:val="nil"/>
              <w:bottom w:val="nil"/>
              <w:right w:val="nil"/>
            </w:tcBorders>
            <w:tcMar>
              <w:top w:w="128" w:type="dxa"/>
              <w:left w:w="43" w:type="dxa"/>
              <w:bottom w:w="43" w:type="dxa"/>
              <w:right w:w="43" w:type="dxa"/>
            </w:tcMar>
          </w:tcPr>
          <w:p w14:paraId="7729D0E6" w14:textId="77777777" w:rsidR="00575AC3" w:rsidRPr="006D40F0" w:rsidRDefault="00575AC3" w:rsidP="006D40F0">
            <w:r w:rsidRPr="006D40F0">
              <w:t>Grønn industrifinansiering, bevilges med</w:t>
            </w:r>
          </w:p>
        </w:tc>
        <w:tc>
          <w:tcPr>
            <w:tcW w:w="1400" w:type="dxa"/>
            <w:tcBorders>
              <w:top w:val="nil"/>
              <w:left w:val="nil"/>
              <w:bottom w:val="nil"/>
              <w:right w:val="nil"/>
            </w:tcBorders>
            <w:tcMar>
              <w:top w:w="128" w:type="dxa"/>
              <w:left w:w="43" w:type="dxa"/>
              <w:bottom w:w="43" w:type="dxa"/>
              <w:right w:w="43" w:type="dxa"/>
            </w:tcMar>
            <w:vAlign w:val="bottom"/>
          </w:tcPr>
          <w:p w14:paraId="1A40122D" w14:textId="77777777" w:rsidR="00575AC3" w:rsidRPr="006D40F0" w:rsidRDefault="00575AC3" w:rsidP="006D40F0">
            <w:r w:rsidRPr="006D40F0">
              <w:t>1 750 000 000</w:t>
            </w:r>
          </w:p>
        </w:tc>
      </w:tr>
      <w:tr w:rsidR="00DD49A7" w:rsidRPr="006D40F0" w14:paraId="473C458C" w14:textId="77777777">
        <w:trPr>
          <w:trHeight w:val="380"/>
        </w:trPr>
        <w:tc>
          <w:tcPr>
            <w:tcW w:w="680" w:type="dxa"/>
            <w:tcBorders>
              <w:top w:val="nil"/>
              <w:left w:val="nil"/>
              <w:bottom w:val="nil"/>
              <w:right w:val="nil"/>
            </w:tcBorders>
            <w:tcMar>
              <w:top w:w="128" w:type="dxa"/>
              <w:left w:w="43" w:type="dxa"/>
              <w:bottom w:w="43" w:type="dxa"/>
              <w:right w:w="43" w:type="dxa"/>
            </w:tcMar>
          </w:tcPr>
          <w:p w14:paraId="2BD41C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5F525C"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7AE742C6" w14:textId="77777777" w:rsidR="00575AC3" w:rsidRPr="006D40F0" w:rsidRDefault="00575AC3" w:rsidP="006D40F0">
            <w:r w:rsidRPr="006D40F0">
              <w:t xml:space="preserve">Innovative næringsmiljøer,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4F99E58" w14:textId="77777777" w:rsidR="00575AC3" w:rsidRPr="006D40F0" w:rsidRDefault="00575AC3" w:rsidP="006D40F0">
            <w:r w:rsidRPr="006D40F0">
              <w:t>35 000 000</w:t>
            </w:r>
          </w:p>
        </w:tc>
      </w:tr>
      <w:tr w:rsidR="00DD49A7" w:rsidRPr="006D40F0" w14:paraId="2D187E4D" w14:textId="77777777">
        <w:trPr>
          <w:trHeight w:val="380"/>
        </w:trPr>
        <w:tc>
          <w:tcPr>
            <w:tcW w:w="680" w:type="dxa"/>
            <w:tcBorders>
              <w:top w:val="nil"/>
              <w:left w:val="nil"/>
              <w:bottom w:val="nil"/>
              <w:right w:val="nil"/>
            </w:tcBorders>
            <w:tcMar>
              <w:top w:w="128" w:type="dxa"/>
              <w:left w:w="43" w:type="dxa"/>
              <w:bottom w:w="43" w:type="dxa"/>
              <w:right w:w="43" w:type="dxa"/>
            </w:tcMar>
          </w:tcPr>
          <w:p w14:paraId="6E44F2C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623DF1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931705D" w14:textId="77777777" w:rsidR="00575AC3" w:rsidRPr="006D40F0" w:rsidRDefault="00575AC3" w:rsidP="006D40F0">
            <w:r w:rsidRPr="006D40F0">
              <w:t>fra kr 126 320 000 til kr 161 320 000</w:t>
            </w:r>
          </w:p>
        </w:tc>
        <w:tc>
          <w:tcPr>
            <w:tcW w:w="1400" w:type="dxa"/>
            <w:tcBorders>
              <w:top w:val="nil"/>
              <w:left w:val="nil"/>
              <w:bottom w:val="nil"/>
              <w:right w:val="nil"/>
            </w:tcBorders>
            <w:tcMar>
              <w:top w:w="128" w:type="dxa"/>
              <w:left w:w="43" w:type="dxa"/>
              <w:bottom w:w="43" w:type="dxa"/>
              <w:right w:w="43" w:type="dxa"/>
            </w:tcMar>
            <w:vAlign w:val="bottom"/>
          </w:tcPr>
          <w:p w14:paraId="48B04373" w14:textId="77777777" w:rsidR="00575AC3" w:rsidRPr="006D40F0" w:rsidRDefault="00575AC3" w:rsidP="006D40F0"/>
        </w:tc>
      </w:tr>
      <w:tr w:rsidR="00DD49A7" w:rsidRPr="006D40F0" w14:paraId="3C663933" w14:textId="77777777">
        <w:trPr>
          <w:trHeight w:val="380"/>
        </w:trPr>
        <w:tc>
          <w:tcPr>
            <w:tcW w:w="680" w:type="dxa"/>
            <w:tcBorders>
              <w:top w:val="nil"/>
              <w:left w:val="nil"/>
              <w:bottom w:val="nil"/>
              <w:right w:val="nil"/>
            </w:tcBorders>
            <w:tcMar>
              <w:top w:w="128" w:type="dxa"/>
              <w:left w:w="43" w:type="dxa"/>
              <w:bottom w:w="43" w:type="dxa"/>
              <w:right w:w="43" w:type="dxa"/>
            </w:tcMar>
          </w:tcPr>
          <w:p w14:paraId="1FB21C8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FE1921"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4516BA8A" w14:textId="77777777" w:rsidR="00575AC3" w:rsidRPr="006D40F0" w:rsidRDefault="00575AC3" w:rsidP="006D40F0">
            <w:r w:rsidRPr="006D40F0">
              <w:t xml:space="preserve">Reiseliv, profilering og kompetanse,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3FF18C7" w14:textId="77777777" w:rsidR="00575AC3" w:rsidRPr="006D40F0" w:rsidRDefault="00575AC3" w:rsidP="006D40F0">
            <w:r w:rsidRPr="006D40F0">
              <w:t>2 000 000</w:t>
            </w:r>
          </w:p>
        </w:tc>
      </w:tr>
      <w:tr w:rsidR="00DD49A7" w:rsidRPr="006D40F0" w14:paraId="1DE7DF18" w14:textId="77777777">
        <w:trPr>
          <w:trHeight w:val="380"/>
        </w:trPr>
        <w:tc>
          <w:tcPr>
            <w:tcW w:w="680" w:type="dxa"/>
            <w:tcBorders>
              <w:top w:val="nil"/>
              <w:left w:val="nil"/>
              <w:bottom w:val="nil"/>
              <w:right w:val="nil"/>
            </w:tcBorders>
            <w:tcMar>
              <w:top w:w="128" w:type="dxa"/>
              <w:left w:w="43" w:type="dxa"/>
              <w:bottom w:w="43" w:type="dxa"/>
              <w:right w:w="43" w:type="dxa"/>
            </w:tcMar>
          </w:tcPr>
          <w:p w14:paraId="38AD28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E9423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9E3C14" w14:textId="77777777" w:rsidR="00575AC3" w:rsidRPr="006D40F0" w:rsidRDefault="00575AC3" w:rsidP="006D40F0">
            <w:r w:rsidRPr="006D40F0">
              <w:t>fra kr 574 429 000 til kr 576 429 000</w:t>
            </w:r>
          </w:p>
        </w:tc>
        <w:tc>
          <w:tcPr>
            <w:tcW w:w="1400" w:type="dxa"/>
            <w:tcBorders>
              <w:top w:val="nil"/>
              <w:left w:val="nil"/>
              <w:bottom w:val="nil"/>
              <w:right w:val="nil"/>
            </w:tcBorders>
            <w:tcMar>
              <w:top w:w="128" w:type="dxa"/>
              <w:left w:w="43" w:type="dxa"/>
              <w:bottom w:w="43" w:type="dxa"/>
              <w:right w:w="43" w:type="dxa"/>
            </w:tcMar>
            <w:vAlign w:val="bottom"/>
          </w:tcPr>
          <w:p w14:paraId="1173AE06" w14:textId="77777777" w:rsidR="00575AC3" w:rsidRPr="006D40F0" w:rsidRDefault="00575AC3" w:rsidP="006D40F0"/>
        </w:tc>
      </w:tr>
      <w:tr w:rsidR="00DD49A7" w:rsidRPr="006D40F0" w14:paraId="57F06A43" w14:textId="77777777">
        <w:trPr>
          <w:trHeight w:val="380"/>
        </w:trPr>
        <w:tc>
          <w:tcPr>
            <w:tcW w:w="680" w:type="dxa"/>
            <w:tcBorders>
              <w:top w:val="nil"/>
              <w:left w:val="nil"/>
              <w:bottom w:val="nil"/>
              <w:right w:val="nil"/>
            </w:tcBorders>
            <w:tcMar>
              <w:top w:w="128" w:type="dxa"/>
              <w:left w:w="43" w:type="dxa"/>
              <w:bottom w:w="43" w:type="dxa"/>
              <w:right w:w="43" w:type="dxa"/>
            </w:tcMar>
          </w:tcPr>
          <w:p w14:paraId="6366570F" w14:textId="77777777" w:rsidR="00575AC3" w:rsidRPr="006D40F0" w:rsidRDefault="00575AC3" w:rsidP="006D40F0">
            <w:r w:rsidRPr="006D40F0">
              <w:t>2426</w:t>
            </w:r>
          </w:p>
        </w:tc>
        <w:tc>
          <w:tcPr>
            <w:tcW w:w="680" w:type="dxa"/>
            <w:tcBorders>
              <w:top w:val="nil"/>
              <w:left w:val="nil"/>
              <w:bottom w:val="nil"/>
              <w:right w:val="nil"/>
            </w:tcBorders>
            <w:tcMar>
              <w:top w:w="128" w:type="dxa"/>
              <w:left w:w="43" w:type="dxa"/>
              <w:bottom w:w="43" w:type="dxa"/>
              <w:right w:w="43" w:type="dxa"/>
            </w:tcMar>
          </w:tcPr>
          <w:p w14:paraId="6826D54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4D013A7" w14:textId="77777777" w:rsidR="00575AC3" w:rsidRPr="006D40F0" w:rsidRDefault="00575AC3" w:rsidP="006D40F0">
            <w:r w:rsidRPr="006D40F0">
              <w:t>Siva SF:</w:t>
            </w:r>
          </w:p>
        </w:tc>
        <w:tc>
          <w:tcPr>
            <w:tcW w:w="1400" w:type="dxa"/>
            <w:tcBorders>
              <w:top w:val="nil"/>
              <w:left w:val="nil"/>
              <w:bottom w:val="nil"/>
              <w:right w:val="nil"/>
            </w:tcBorders>
            <w:tcMar>
              <w:top w:w="128" w:type="dxa"/>
              <w:left w:w="43" w:type="dxa"/>
              <w:bottom w:w="43" w:type="dxa"/>
              <w:right w:w="43" w:type="dxa"/>
            </w:tcMar>
            <w:vAlign w:val="bottom"/>
          </w:tcPr>
          <w:p w14:paraId="2D8EBCDE" w14:textId="77777777" w:rsidR="00575AC3" w:rsidRPr="006D40F0" w:rsidRDefault="00575AC3" w:rsidP="006D40F0"/>
        </w:tc>
      </w:tr>
      <w:tr w:rsidR="00DD49A7" w:rsidRPr="006D40F0" w14:paraId="19E86DF5" w14:textId="77777777">
        <w:trPr>
          <w:trHeight w:val="380"/>
        </w:trPr>
        <w:tc>
          <w:tcPr>
            <w:tcW w:w="680" w:type="dxa"/>
            <w:tcBorders>
              <w:top w:val="nil"/>
              <w:left w:val="nil"/>
              <w:bottom w:val="nil"/>
              <w:right w:val="nil"/>
            </w:tcBorders>
            <w:tcMar>
              <w:top w:w="128" w:type="dxa"/>
              <w:left w:w="43" w:type="dxa"/>
              <w:bottom w:w="43" w:type="dxa"/>
              <w:right w:w="43" w:type="dxa"/>
            </w:tcMar>
          </w:tcPr>
          <w:p w14:paraId="3D296F7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A6345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833076E" w14:textId="77777777" w:rsidR="00575AC3" w:rsidRPr="006D40F0" w:rsidRDefault="00575AC3" w:rsidP="006D40F0">
            <w:r w:rsidRPr="006D40F0">
              <w:t>Tilskudd, forhøyes med</w:t>
            </w:r>
          </w:p>
        </w:tc>
        <w:tc>
          <w:tcPr>
            <w:tcW w:w="1400" w:type="dxa"/>
            <w:tcBorders>
              <w:top w:val="nil"/>
              <w:left w:val="nil"/>
              <w:bottom w:val="nil"/>
              <w:right w:val="nil"/>
            </w:tcBorders>
            <w:tcMar>
              <w:top w:w="128" w:type="dxa"/>
              <w:left w:w="43" w:type="dxa"/>
              <w:bottom w:w="43" w:type="dxa"/>
              <w:right w:w="43" w:type="dxa"/>
            </w:tcMar>
            <w:vAlign w:val="bottom"/>
          </w:tcPr>
          <w:p w14:paraId="58B103B7" w14:textId="77777777" w:rsidR="00575AC3" w:rsidRPr="006D40F0" w:rsidRDefault="00575AC3" w:rsidP="006D40F0">
            <w:r w:rsidRPr="006D40F0">
              <w:t>2 000 000</w:t>
            </w:r>
          </w:p>
        </w:tc>
      </w:tr>
      <w:tr w:rsidR="00DD49A7" w:rsidRPr="006D40F0" w14:paraId="066C973A" w14:textId="77777777">
        <w:trPr>
          <w:trHeight w:val="380"/>
        </w:trPr>
        <w:tc>
          <w:tcPr>
            <w:tcW w:w="680" w:type="dxa"/>
            <w:tcBorders>
              <w:top w:val="nil"/>
              <w:left w:val="nil"/>
              <w:bottom w:val="nil"/>
              <w:right w:val="nil"/>
            </w:tcBorders>
            <w:tcMar>
              <w:top w:w="128" w:type="dxa"/>
              <w:left w:w="43" w:type="dxa"/>
              <w:bottom w:w="43" w:type="dxa"/>
              <w:right w:w="43" w:type="dxa"/>
            </w:tcMar>
          </w:tcPr>
          <w:p w14:paraId="04CF07C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692F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62AB36" w14:textId="77777777" w:rsidR="00575AC3" w:rsidRPr="006D40F0" w:rsidRDefault="00575AC3" w:rsidP="006D40F0">
            <w:r w:rsidRPr="006D40F0">
              <w:t>fra kr 48 063 000 til kr 50 063 000</w:t>
            </w:r>
          </w:p>
        </w:tc>
        <w:tc>
          <w:tcPr>
            <w:tcW w:w="1400" w:type="dxa"/>
            <w:tcBorders>
              <w:top w:val="nil"/>
              <w:left w:val="nil"/>
              <w:bottom w:val="nil"/>
              <w:right w:val="nil"/>
            </w:tcBorders>
            <w:tcMar>
              <w:top w:w="128" w:type="dxa"/>
              <w:left w:w="43" w:type="dxa"/>
              <w:bottom w:w="43" w:type="dxa"/>
              <w:right w:w="43" w:type="dxa"/>
            </w:tcMar>
            <w:vAlign w:val="bottom"/>
          </w:tcPr>
          <w:p w14:paraId="074F4090" w14:textId="77777777" w:rsidR="00575AC3" w:rsidRPr="006D40F0" w:rsidRDefault="00575AC3" w:rsidP="006D40F0"/>
        </w:tc>
      </w:tr>
      <w:tr w:rsidR="00DD49A7" w:rsidRPr="006D40F0" w14:paraId="5B29997B" w14:textId="77777777">
        <w:trPr>
          <w:trHeight w:val="380"/>
        </w:trPr>
        <w:tc>
          <w:tcPr>
            <w:tcW w:w="680" w:type="dxa"/>
            <w:tcBorders>
              <w:top w:val="nil"/>
              <w:left w:val="nil"/>
              <w:bottom w:val="nil"/>
              <w:right w:val="nil"/>
            </w:tcBorders>
            <w:tcMar>
              <w:top w:w="128" w:type="dxa"/>
              <w:left w:w="43" w:type="dxa"/>
              <w:bottom w:w="43" w:type="dxa"/>
              <w:right w:w="43" w:type="dxa"/>
            </w:tcMar>
          </w:tcPr>
          <w:p w14:paraId="0EF2476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FAA81F3"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4B483C51" w14:textId="77777777" w:rsidR="00575AC3" w:rsidRPr="006D40F0" w:rsidRDefault="00575AC3" w:rsidP="006D40F0">
            <w:r w:rsidRPr="006D40F0">
              <w:t>Tilskudd til testfasiliteter, nedsettes med</w:t>
            </w:r>
          </w:p>
        </w:tc>
        <w:tc>
          <w:tcPr>
            <w:tcW w:w="1400" w:type="dxa"/>
            <w:tcBorders>
              <w:top w:val="nil"/>
              <w:left w:val="nil"/>
              <w:bottom w:val="nil"/>
              <w:right w:val="nil"/>
            </w:tcBorders>
            <w:tcMar>
              <w:top w:w="128" w:type="dxa"/>
              <w:left w:w="43" w:type="dxa"/>
              <w:bottom w:w="43" w:type="dxa"/>
              <w:right w:w="43" w:type="dxa"/>
            </w:tcMar>
            <w:vAlign w:val="bottom"/>
          </w:tcPr>
          <w:p w14:paraId="2D3EBEC7" w14:textId="77777777" w:rsidR="00575AC3" w:rsidRPr="006D40F0" w:rsidRDefault="00575AC3" w:rsidP="006D40F0">
            <w:r w:rsidRPr="006D40F0">
              <w:t>2 000 000</w:t>
            </w:r>
          </w:p>
        </w:tc>
      </w:tr>
      <w:tr w:rsidR="00DD49A7" w:rsidRPr="006D40F0" w14:paraId="0B76DA44" w14:textId="77777777">
        <w:trPr>
          <w:trHeight w:val="380"/>
        </w:trPr>
        <w:tc>
          <w:tcPr>
            <w:tcW w:w="680" w:type="dxa"/>
            <w:tcBorders>
              <w:top w:val="nil"/>
              <w:left w:val="nil"/>
              <w:bottom w:val="nil"/>
              <w:right w:val="nil"/>
            </w:tcBorders>
            <w:tcMar>
              <w:top w:w="128" w:type="dxa"/>
              <w:left w:w="43" w:type="dxa"/>
              <w:bottom w:w="43" w:type="dxa"/>
              <w:right w:w="43" w:type="dxa"/>
            </w:tcMar>
          </w:tcPr>
          <w:p w14:paraId="65F1DE9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F46D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E1B338D" w14:textId="77777777" w:rsidR="00575AC3" w:rsidRPr="006D40F0" w:rsidRDefault="00575AC3" w:rsidP="006D40F0">
            <w:r w:rsidRPr="006D40F0">
              <w:t>fra kr 214 342 000 til kr 212 342 000</w:t>
            </w:r>
          </w:p>
        </w:tc>
        <w:tc>
          <w:tcPr>
            <w:tcW w:w="1400" w:type="dxa"/>
            <w:tcBorders>
              <w:top w:val="nil"/>
              <w:left w:val="nil"/>
              <w:bottom w:val="nil"/>
              <w:right w:val="nil"/>
            </w:tcBorders>
            <w:tcMar>
              <w:top w:w="128" w:type="dxa"/>
              <w:left w:w="43" w:type="dxa"/>
              <w:bottom w:w="43" w:type="dxa"/>
              <w:right w:w="43" w:type="dxa"/>
            </w:tcMar>
            <w:vAlign w:val="bottom"/>
          </w:tcPr>
          <w:p w14:paraId="5495A20E" w14:textId="77777777" w:rsidR="00575AC3" w:rsidRPr="006D40F0" w:rsidRDefault="00575AC3" w:rsidP="006D40F0"/>
        </w:tc>
      </w:tr>
      <w:tr w:rsidR="00DD49A7" w:rsidRPr="006D40F0" w14:paraId="06063DC4" w14:textId="77777777">
        <w:trPr>
          <w:trHeight w:val="380"/>
        </w:trPr>
        <w:tc>
          <w:tcPr>
            <w:tcW w:w="680" w:type="dxa"/>
            <w:tcBorders>
              <w:top w:val="nil"/>
              <w:left w:val="nil"/>
              <w:bottom w:val="nil"/>
              <w:right w:val="nil"/>
            </w:tcBorders>
            <w:tcMar>
              <w:top w:w="128" w:type="dxa"/>
              <w:left w:w="43" w:type="dxa"/>
              <w:bottom w:w="43" w:type="dxa"/>
              <w:right w:w="43" w:type="dxa"/>
            </w:tcMar>
          </w:tcPr>
          <w:p w14:paraId="69A01ABF" w14:textId="77777777" w:rsidR="00575AC3" w:rsidRPr="006D40F0" w:rsidRDefault="00575AC3" w:rsidP="006D40F0">
            <w:r w:rsidRPr="006D40F0">
              <w:t>2440</w:t>
            </w:r>
          </w:p>
        </w:tc>
        <w:tc>
          <w:tcPr>
            <w:tcW w:w="680" w:type="dxa"/>
            <w:tcBorders>
              <w:top w:val="nil"/>
              <w:left w:val="nil"/>
              <w:bottom w:val="nil"/>
              <w:right w:val="nil"/>
            </w:tcBorders>
            <w:tcMar>
              <w:top w:w="128" w:type="dxa"/>
              <w:left w:w="43" w:type="dxa"/>
              <w:bottom w:w="43" w:type="dxa"/>
              <w:right w:w="43" w:type="dxa"/>
            </w:tcMar>
          </w:tcPr>
          <w:p w14:paraId="3E2F0C7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FF2853" w14:textId="77777777" w:rsidR="00575AC3" w:rsidRPr="006D40F0" w:rsidRDefault="00575AC3" w:rsidP="006D40F0">
            <w:r w:rsidRPr="006D40F0">
              <w:t>Statens direkte økonomiske engasjement i petroleumsvirksomheten:</w:t>
            </w:r>
          </w:p>
        </w:tc>
        <w:tc>
          <w:tcPr>
            <w:tcW w:w="1400" w:type="dxa"/>
            <w:tcBorders>
              <w:top w:val="nil"/>
              <w:left w:val="nil"/>
              <w:bottom w:val="nil"/>
              <w:right w:val="nil"/>
            </w:tcBorders>
            <w:tcMar>
              <w:top w:w="128" w:type="dxa"/>
              <w:left w:w="43" w:type="dxa"/>
              <w:bottom w:w="43" w:type="dxa"/>
              <w:right w:w="43" w:type="dxa"/>
            </w:tcMar>
            <w:vAlign w:val="bottom"/>
          </w:tcPr>
          <w:p w14:paraId="30BAB6DE" w14:textId="77777777" w:rsidR="00575AC3" w:rsidRPr="006D40F0" w:rsidRDefault="00575AC3" w:rsidP="006D40F0"/>
        </w:tc>
      </w:tr>
      <w:tr w:rsidR="00DD49A7" w:rsidRPr="006D40F0" w14:paraId="2E4E3223" w14:textId="77777777">
        <w:trPr>
          <w:trHeight w:val="380"/>
        </w:trPr>
        <w:tc>
          <w:tcPr>
            <w:tcW w:w="680" w:type="dxa"/>
            <w:tcBorders>
              <w:top w:val="nil"/>
              <w:left w:val="nil"/>
              <w:bottom w:val="nil"/>
              <w:right w:val="nil"/>
            </w:tcBorders>
            <w:tcMar>
              <w:top w:w="128" w:type="dxa"/>
              <w:left w:w="43" w:type="dxa"/>
              <w:bottom w:w="43" w:type="dxa"/>
              <w:right w:w="43" w:type="dxa"/>
            </w:tcMar>
          </w:tcPr>
          <w:p w14:paraId="387C36E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525C2A" w14:textId="77777777" w:rsidR="00575AC3" w:rsidRPr="006D40F0" w:rsidRDefault="00575AC3" w:rsidP="006D40F0">
            <w:r w:rsidRPr="006D40F0">
              <w:t>30</w:t>
            </w:r>
          </w:p>
        </w:tc>
        <w:tc>
          <w:tcPr>
            <w:tcW w:w="6800" w:type="dxa"/>
            <w:tcBorders>
              <w:top w:val="nil"/>
              <w:left w:val="nil"/>
              <w:bottom w:val="nil"/>
              <w:right w:val="nil"/>
            </w:tcBorders>
            <w:tcMar>
              <w:top w:w="128" w:type="dxa"/>
              <w:left w:w="43" w:type="dxa"/>
              <w:bottom w:w="43" w:type="dxa"/>
              <w:right w:w="43" w:type="dxa"/>
            </w:tcMar>
          </w:tcPr>
          <w:p w14:paraId="42A6657D" w14:textId="77777777" w:rsidR="00575AC3" w:rsidRPr="006D40F0" w:rsidRDefault="00575AC3" w:rsidP="006D40F0">
            <w:r w:rsidRPr="006D40F0">
              <w:t>Investeringer, forhøyes med</w:t>
            </w:r>
          </w:p>
        </w:tc>
        <w:tc>
          <w:tcPr>
            <w:tcW w:w="1400" w:type="dxa"/>
            <w:tcBorders>
              <w:top w:val="nil"/>
              <w:left w:val="nil"/>
              <w:bottom w:val="nil"/>
              <w:right w:val="nil"/>
            </w:tcBorders>
            <w:tcMar>
              <w:top w:w="128" w:type="dxa"/>
              <w:left w:w="43" w:type="dxa"/>
              <w:bottom w:w="43" w:type="dxa"/>
              <w:right w:w="43" w:type="dxa"/>
            </w:tcMar>
            <w:vAlign w:val="bottom"/>
          </w:tcPr>
          <w:p w14:paraId="04904907" w14:textId="77777777" w:rsidR="00575AC3" w:rsidRPr="006D40F0" w:rsidRDefault="00575AC3" w:rsidP="006D40F0">
            <w:r w:rsidRPr="006D40F0">
              <w:t>4 100 000 000</w:t>
            </w:r>
          </w:p>
        </w:tc>
      </w:tr>
      <w:tr w:rsidR="00DD49A7" w:rsidRPr="006D40F0" w14:paraId="203DAA36" w14:textId="77777777">
        <w:trPr>
          <w:trHeight w:val="380"/>
        </w:trPr>
        <w:tc>
          <w:tcPr>
            <w:tcW w:w="680" w:type="dxa"/>
            <w:tcBorders>
              <w:top w:val="nil"/>
              <w:left w:val="nil"/>
              <w:bottom w:val="nil"/>
              <w:right w:val="nil"/>
            </w:tcBorders>
            <w:tcMar>
              <w:top w:w="128" w:type="dxa"/>
              <w:left w:w="43" w:type="dxa"/>
              <w:bottom w:w="43" w:type="dxa"/>
              <w:right w:w="43" w:type="dxa"/>
            </w:tcMar>
          </w:tcPr>
          <w:p w14:paraId="08E6431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A8325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A0899A" w14:textId="77777777" w:rsidR="00575AC3" w:rsidRPr="006D40F0" w:rsidRDefault="00575AC3" w:rsidP="006D40F0">
            <w:r w:rsidRPr="006D40F0">
              <w:t>fra kr 26 000 000 000 til kr 30 100 000 000</w:t>
            </w:r>
          </w:p>
        </w:tc>
        <w:tc>
          <w:tcPr>
            <w:tcW w:w="1400" w:type="dxa"/>
            <w:tcBorders>
              <w:top w:val="nil"/>
              <w:left w:val="nil"/>
              <w:bottom w:val="nil"/>
              <w:right w:val="nil"/>
            </w:tcBorders>
            <w:tcMar>
              <w:top w:w="128" w:type="dxa"/>
              <w:left w:w="43" w:type="dxa"/>
              <w:bottom w:w="43" w:type="dxa"/>
              <w:right w:w="43" w:type="dxa"/>
            </w:tcMar>
            <w:vAlign w:val="bottom"/>
          </w:tcPr>
          <w:p w14:paraId="00CBA9CC" w14:textId="77777777" w:rsidR="00575AC3" w:rsidRPr="006D40F0" w:rsidRDefault="00575AC3" w:rsidP="006D40F0"/>
        </w:tc>
      </w:tr>
      <w:tr w:rsidR="00DD49A7" w:rsidRPr="006D40F0" w14:paraId="0F13076A" w14:textId="77777777">
        <w:trPr>
          <w:trHeight w:val="380"/>
        </w:trPr>
        <w:tc>
          <w:tcPr>
            <w:tcW w:w="680" w:type="dxa"/>
            <w:tcBorders>
              <w:top w:val="nil"/>
              <w:left w:val="nil"/>
              <w:bottom w:val="nil"/>
              <w:right w:val="nil"/>
            </w:tcBorders>
            <w:tcMar>
              <w:top w:w="128" w:type="dxa"/>
              <w:left w:w="43" w:type="dxa"/>
              <w:bottom w:w="43" w:type="dxa"/>
              <w:right w:w="43" w:type="dxa"/>
            </w:tcMar>
          </w:tcPr>
          <w:p w14:paraId="78B7AECF" w14:textId="77777777" w:rsidR="00575AC3" w:rsidRPr="006D40F0" w:rsidRDefault="00575AC3" w:rsidP="006D40F0">
            <w:r w:rsidRPr="006D40F0">
              <w:t>2445</w:t>
            </w:r>
          </w:p>
        </w:tc>
        <w:tc>
          <w:tcPr>
            <w:tcW w:w="680" w:type="dxa"/>
            <w:tcBorders>
              <w:top w:val="nil"/>
              <w:left w:val="nil"/>
              <w:bottom w:val="nil"/>
              <w:right w:val="nil"/>
            </w:tcBorders>
            <w:tcMar>
              <w:top w:w="128" w:type="dxa"/>
              <w:left w:w="43" w:type="dxa"/>
              <w:bottom w:w="43" w:type="dxa"/>
              <w:right w:w="43" w:type="dxa"/>
            </w:tcMar>
          </w:tcPr>
          <w:p w14:paraId="39BA34B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7846BB4" w14:textId="77777777" w:rsidR="00575AC3" w:rsidRPr="006D40F0" w:rsidRDefault="00575AC3" w:rsidP="006D40F0">
            <w:r w:rsidRPr="006D40F0">
              <w:t>Statsbygg:</w:t>
            </w:r>
          </w:p>
        </w:tc>
        <w:tc>
          <w:tcPr>
            <w:tcW w:w="1400" w:type="dxa"/>
            <w:tcBorders>
              <w:top w:val="nil"/>
              <w:left w:val="nil"/>
              <w:bottom w:val="nil"/>
              <w:right w:val="nil"/>
            </w:tcBorders>
            <w:tcMar>
              <w:top w:w="128" w:type="dxa"/>
              <w:left w:w="43" w:type="dxa"/>
              <w:bottom w:w="43" w:type="dxa"/>
              <w:right w:w="43" w:type="dxa"/>
            </w:tcMar>
            <w:vAlign w:val="bottom"/>
          </w:tcPr>
          <w:p w14:paraId="6E24A677" w14:textId="77777777" w:rsidR="00575AC3" w:rsidRPr="006D40F0" w:rsidRDefault="00575AC3" w:rsidP="006D40F0"/>
        </w:tc>
      </w:tr>
      <w:tr w:rsidR="00DD49A7" w:rsidRPr="006D40F0" w14:paraId="65C65F20" w14:textId="77777777">
        <w:trPr>
          <w:trHeight w:val="380"/>
        </w:trPr>
        <w:tc>
          <w:tcPr>
            <w:tcW w:w="680" w:type="dxa"/>
            <w:tcBorders>
              <w:top w:val="nil"/>
              <w:left w:val="nil"/>
              <w:bottom w:val="nil"/>
              <w:right w:val="nil"/>
            </w:tcBorders>
            <w:tcMar>
              <w:top w:w="128" w:type="dxa"/>
              <w:left w:w="43" w:type="dxa"/>
              <w:bottom w:w="43" w:type="dxa"/>
              <w:right w:w="43" w:type="dxa"/>
            </w:tcMar>
          </w:tcPr>
          <w:p w14:paraId="68101B7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F97ECA" w14:textId="77777777" w:rsidR="00575AC3" w:rsidRPr="006D40F0" w:rsidRDefault="00575AC3" w:rsidP="006D40F0">
            <w:r w:rsidRPr="006D40F0">
              <w:t>30</w:t>
            </w:r>
          </w:p>
        </w:tc>
        <w:tc>
          <w:tcPr>
            <w:tcW w:w="6800" w:type="dxa"/>
            <w:tcBorders>
              <w:top w:val="nil"/>
              <w:left w:val="nil"/>
              <w:bottom w:val="nil"/>
              <w:right w:val="nil"/>
            </w:tcBorders>
            <w:tcMar>
              <w:top w:w="128" w:type="dxa"/>
              <w:left w:w="43" w:type="dxa"/>
              <w:bottom w:w="43" w:type="dxa"/>
              <w:right w:w="43" w:type="dxa"/>
            </w:tcMar>
          </w:tcPr>
          <w:p w14:paraId="1A81E2D4" w14:textId="77777777" w:rsidR="00575AC3" w:rsidRPr="006D40F0" w:rsidRDefault="00575AC3" w:rsidP="006D40F0">
            <w:r w:rsidRPr="006D40F0">
              <w:t xml:space="preserve">Prosjektering av bygg,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3E79185" w14:textId="77777777" w:rsidR="00575AC3" w:rsidRPr="006D40F0" w:rsidRDefault="00575AC3" w:rsidP="006D40F0">
            <w:r w:rsidRPr="006D40F0">
              <w:t>18 000 000</w:t>
            </w:r>
          </w:p>
        </w:tc>
      </w:tr>
      <w:tr w:rsidR="00DD49A7" w:rsidRPr="006D40F0" w14:paraId="77DEF48A" w14:textId="77777777">
        <w:trPr>
          <w:trHeight w:val="380"/>
        </w:trPr>
        <w:tc>
          <w:tcPr>
            <w:tcW w:w="680" w:type="dxa"/>
            <w:tcBorders>
              <w:top w:val="nil"/>
              <w:left w:val="nil"/>
              <w:bottom w:val="nil"/>
              <w:right w:val="nil"/>
            </w:tcBorders>
            <w:tcMar>
              <w:top w:w="128" w:type="dxa"/>
              <w:left w:w="43" w:type="dxa"/>
              <w:bottom w:w="43" w:type="dxa"/>
              <w:right w:w="43" w:type="dxa"/>
            </w:tcMar>
          </w:tcPr>
          <w:p w14:paraId="063C373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1F756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4E8A9C6" w14:textId="77777777" w:rsidR="00575AC3" w:rsidRPr="006D40F0" w:rsidRDefault="00575AC3" w:rsidP="006D40F0">
            <w:r w:rsidRPr="006D40F0">
              <w:t>fra kr 439 000 000 til kr 457 000 000</w:t>
            </w:r>
          </w:p>
        </w:tc>
        <w:tc>
          <w:tcPr>
            <w:tcW w:w="1400" w:type="dxa"/>
            <w:tcBorders>
              <w:top w:val="nil"/>
              <w:left w:val="nil"/>
              <w:bottom w:val="nil"/>
              <w:right w:val="nil"/>
            </w:tcBorders>
            <w:tcMar>
              <w:top w:w="128" w:type="dxa"/>
              <w:left w:w="43" w:type="dxa"/>
              <w:bottom w:w="43" w:type="dxa"/>
              <w:right w:w="43" w:type="dxa"/>
            </w:tcMar>
            <w:vAlign w:val="bottom"/>
          </w:tcPr>
          <w:p w14:paraId="6CC5B5DE" w14:textId="77777777" w:rsidR="00575AC3" w:rsidRPr="006D40F0" w:rsidRDefault="00575AC3" w:rsidP="006D40F0"/>
        </w:tc>
      </w:tr>
      <w:tr w:rsidR="00DD49A7" w:rsidRPr="006D40F0" w14:paraId="225268B8" w14:textId="77777777">
        <w:trPr>
          <w:trHeight w:val="380"/>
        </w:trPr>
        <w:tc>
          <w:tcPr>
            <w:tcW w:w="680" w:type="dxa"/>
            <w:tcBorders>
              <w:top w:val="nil"/>
              <w:left w:val="nil"/>
              <w:bottom w:val="nil"/>
              <w:right w:val="nil"/>
            </w:tcBorders>
            <w:tcMar>
              <w:top w:w="128" w:type="dxa"/>
              <w:left w:w="43" w:type="dxa"/>
              <w:bottom w:w="43" w:type="dxa"/>
              <w:right w:w="43" w:type="dxa"/>
            </w:tcMar>
          </w:tcPr>
          <w:p w14:paraId="3F584B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5E8A5F" w14:textId="77777777" w:rsidR="00575AC3" w:rsidRPr="006D40F0" w:rsidRDefault="00575AC3" w:rsidP="006D40F0">
            <w:r w:rsidRPr="006D40F0">
              <w:t>31</w:t>
            </w:r>
          </w:p>
        </w:tc>
        <w:tc>
          <w:tcPr>
            <w:tcW w:w="6800" w:type="dxa"/>
            <w:tcBorders>
              <w:top w:val="nil"/>
              <w:left w:val="nil"/>
              <w:bottom w:val="nil"/>
              <w:right w:val="nil"/>
            </w:tcBorders>
            <w:tcMar>
              <w:top w:w="128" w:type="dxa"/>
              <w:left w:w="43" w:type="dxa"/>
              <w:bottom w:w="43" w:type="dxa"/>
              <w:right w:w="43" w:type="dxa"/>
            </w:tcMar>
          </w:tcPr>
          <w:p w14:paraId="7AEF29E3" w14:textId="77777777" w:rsidR="00575AC3" w:rsidRPr="006D40F0" w:rsidRDefault="00575AC3" w:rsidP="006D40F0">
            <w:r w:rsidRPr="006D40F0">
              <w:t xml:space="preserve">Igangsetting av ordinære byggeprosjekter,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426DF54" w14:textId="77777777" w:rsidR="00575AC3" w:rsidRPr="006D40F0" w:rsidRDefault="00575AC3" w:rsidP="006D40F0">
            <w:r w:rsidRPr="006D40F0">
              <w:t>280 000 000</w:t>
            </w:r>
          </w:p>
        </w:tc>
      </w:tr>
      <w:tr w:rsidR="00DD49A7" w:rsidRPr="006D40F0" w14:paraId="0A88779D" w14:textId="77777777">
        <w:trPr>
          <w:trHeight w:val="380"/>
        </w:trPr>
        <w:tc>
          <w:tcPr>
            <w:tcW w:w="680" w:type="dxa"/>
            <w:tcBorders>
              <w:top w:val="nil"/>
              <w:left w:val="nil"/>
              <w:bottom w:val="nil"/>
              <w:right w:val="nil"/>
            </w:tcBorders>
            <w:tcMar>
              <w:top w:w="128" w:type="dxa"/>
              <w:left w:w="43" w:type="dxa"/>
              <w:bottom w:w="43" w:type="dxa"/>
              <w:right w:w="43" w:type="dxa"/>
            </w:tcMar>
          </w:tcPr>
          <w:p w14:paraId="4E880E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49191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951795" w14:textId="77777777" w:rsidR="00575AC3" w:rsidRPr="006D40F0" w:rsidRDefault="00575AC3" w:rsidP="006D40F0">
            <w:r w:rsidRPr="006D40F0">
              <w:t>fra kr 100 000 000 til kr 380 000 000</w:t>
            </w:r>
          </w:p>
        </w:tc>
        <w:tc>
          <w:tcPr>
            <w:tcW w:w="1400" w:type="dxa"/>
            <w:tcBorders>
              <w:top w:val="nil"/>
              <w:left w:val="nil"/>
              <w:bottom w:val="nil"/>
              <w:right w:val="nil"/>
            </w:tcBorders>
            <w:tcMar>
              <w:top w:w="128" w:type="dxa"/>
              <w:left w:w="43" w:type="dxa"/>
              <w:bottom w:w="43" w:type="dxa"/>
              <w:right w:w="43" w:type="dxa"/>
            </w:tcMar>
            <w:vAlign w:val="bottom"/>
          </w:tcPr>
          <w:p w14:paraId="45B6A298" w14:textId="77777777" w:rsidR="00575AC3" w:rsidRPr="006D40F0" w:rsidRDefault="00575AC3" w:rsidP="006D40F0"/>
        </w:tc>
      </w:tr>
      <w:tr w:rsidR="00DD49A7" w:rsidRPr="006D40F0" w14:paraId="48E6E032" w14:textId="77777777">
        <w:trPr>
          <w:trHeight w:val="380"/>
        </w:trPr>
        <w:tc>
          <w:tcPr>
            <w:tcW w:w="680" w:type="dxa"/>
            <w:tcBorders>
              <w:top w:val="nil"/>
              <w:left w:val="nil"/>
              <w:bottom w:val="nil"/>
              <w:right w:val="nil"/>
            </w:tcBorders>
            <w:tcMar>
              <w:top w:w="128" w:type="dxa"/>
              <w:left w:w="43" w:type="dxa"/>
              <w:bottom w:w="43" w:type="dxa"/>
              <w:right w:w="43" w:type="dxa"/>
            </w:tcMar>
          </w:tcPr>
          <w:p w14:paraId="3061861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6137AF" w14:textId="77777777" w:rsidR="00575AC3" w:rsidRPr="006D40F0" w:rsidRDefault="00575AC3" w:rsidP="006D40F0">
            <w:r w:rsidRPr="006D40F0">
              <w:t>33</w:t>
            </w:r>
          </w:p>
        </w:tc>
        <w:tc>
          <w:tcPr>
            <w:tcW w:w="6800" w:type="dxa"/>
            <w:tcBorders>
              <w:top w:val="nil"/>
              <w:left w:val="nil"/>
              <w:bottom w:val="nil"/>
              <w:right w:val="nil"/>
            </w:tcBorders>
            <w:tcMar>
              <w:top w:w="128" w:type="dxa"/>
              <w:left w:w="43" w:type="dxa"/>
              <w:bottom w:w="43" w:type="dxa"/>
              <w:right w:w="43" w:type="dxa"/>
            </w:tcMar>
          </w:tcPr>
          <w:p w14:paraId="34A1F191" w14:textId="77777777" w:rsidR="00575AC3" w:rsidRPr="006D40F0" w:rsidRDefault="00575AC3" w:rsidP="006D40F0">
            <w:r w:rsidRPr="006D40F0">
              <w:t xml:space="preserve">Videreføring av ordinære byggeprosjekter, </w:t>
            </w:r>
            <w:r w:rsidRPr="00575AC3">
              <w:rPr>
                <w:rStyle w:val="kursiv"/>
              </w:rPr>
              <w:t>kan overføres,</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3BD1BF8" w14:textId="77777777" w:rsidR="00575AC3" w:rsidRPr="006D40F0" w:rsidRDefault="00575AC3" w:rsidP="006D40F0">
            <w:r w:rsidRPr="006D40F0">
              <w:t>155 000 000</w:t>
            </w:r>
          </w:p>
        </w:tc>
      </w:tr>
      <w:tr w:rsidR="00DD49A7" w:rsidRPr="006D40F0" w14:paraId="7A1B02B4" w14:textId="77777777">
        <w:trPr>
          <w:trHeight w:val="380"/>
        </w:trPr>
        <w:tc>
          <w:tcPr>
            <w:tcW w:w="680" w:type="dxa"/>
            <w:tcBorders>
              <w:top w:val="nil"/>
              <w:left w:val="nil"/>
              <w:bottom w:val="nil"/>
              <w:right w:val="nil"/>
            </w:tcBorders>
            <w:tcMar>
              <w:top w:w="128" w:type="dxa"/>
              <w:left w:w="43" w:type="dxa"/>
              <w:bottom w:w="43" w:type="dxa"/>
              <w:right w:w="43" w:type="dxa"/>
            </w:tcMar>
          </w:tcPr>
          <w:p w14:paraId="5C33B59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CAD42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3A8628" w14:textId="77777777" w:rsidR="00575AC3" w:rsidRPr="006D40F0" w:rsidRDefault="00575AC3" w:rsidP="006D40F0">
            <w:r w:rsidRPr="006D40F0">
              <w:t>fra kr 5 306 140 000 til kr 5 461 140 000</w:t>
            </w:r>
          </w:p>
        </w:tc>
        <w:tc>
          <w:tcPr>
            <w:tcW w:w="1400" w:type="dxa"/>
            <w:tcBorders>
              <w:top w:val="nil"/>
              <w:left w:val="nil"/>
              <w:bottom w:val="nil"/>
              <w:right w:val="nil"/>
            </w:tcBorders>
            <w:tcMar>
              <w:top w:w="128" w:type="dxa"/>
              <w:left w:w="43" w:type="dxa"/>
              <w:bottom w:w="43" w:type="dxa"/>
              <w:right w:w="43" w:type="dxa"/>
            </w:tcMar>
            <w:vAlign w:val="bottom"/>
          </w:tcPr>
          <w:p w14:paraId="56399521" w14:textId="77777777" w:rsidR="00575AC3" w:rsidRPr="006D40F0" w:rsidRDefault="00575AC3" w:rsidP="006D40F0"/>
        </w:tc>
      </w:tr>
      <w:tr w:rsidR="00DD49A7" w:rsidRPr="006D40F0" w14:paraId="03D04040" w14:textId="77777777">
        <w:trPr>
          <w:trHeight w:val="640"/>
        </w:trPr>
        <w:tc>
          <w:tcPr>
            <w:tcW w:w="680" w:type="dxa"/>
            <w:tcBorders>
              <w:top w:val="nil"/>
              <w:left w:val="nil"/>
              <w:bottom w:val="nil"/>
              <w:right w:val="nil"/>
            </w:tcBorders>
            <w:tcMar>
              <w:top w:w="128" w:type="dxa"/>
              <w:left w:w="43" w:type="dxa"/>
              <w:bottom w:w="43" w:type="dxa"/>
              <w:right w:w="43" w:type="dxa"/>
            </w:tcMar>
          </w:tcPr>
          <w:p w14:paraId="7943ACE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4DCB8D" w14:textId="77777777" w:rsidR="00575AC3" w:rsidRPr="006D40F0" w:rsidRDefault="00575AC3" w:rsidP="006D40F0">
            <w:r w:rsidRPr="006D40F0">
              <w:t>34</w:t>
            </w:r>
          </w:p>
        </w:tc>
        <w:tc>
          <w:tcPr>
            <w:tcW w:w="6800" w:type="dxa"/>
            <w:tcBorders>
              <w:top w:val="nil"/>
              <w:left w:val="nil"/>
              <w:bottom w:val="nil"/>
              <w:right w:val="nil"/>
            </w:tcBorders>
            <w:tcMar>
              <w:top w:w="128" w:type="dxa"/>
              <w:left w:w="43" w:type="dxa"/>
              <w:bottom w:w="43" w:type="dxa"/>
              <w:right w:w="43" w:type="dxa"/>
            </w:tcMar>
          </w:tcPr>
          <w:p w14:paraId="2786B6C4" w14:textId="77777777" w:rsidR="00575AC3" w:rsidRPr="006D40F0" w:rsidRDefault="00575AC3" w:rsidP="006D40F0">
            <w:r w:rsidRPr="006D40F0">
              <w:t xml:space="preserve">Videreføring av brukerfinansierte byggeprosjekter,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61E4F2C" w14:textId="77777777" w:rsidR="00575AC3" w:rsidRPr="006D40F0" w:rsidRDefault="00575AC3" w:rsidP="006D40F0">
            <w:r w:rsidRPr="006D40F0">
              <w:t>50 000 000</w:t>
            </w:r>
          </w:p>
        </w:tc>
      </w:tr>
      <w:tr w:rsidR="00DD49A7" w:rsidRPr="006D40F0" w14:paraId="63577F78" w14:textId="77777777">
        <w:trPr>
          <w:trHeight w:val="380"/>
        </w:trPr>
        <w:tc>
          <w:tcPr>
            <w:tcW w:w="680" w:type="dxa"/>
            <w:tcBorders>
              <w:top w:val="nil"/>
              <w:left w:val="nil"/>
              <w:bottom w:val="nil"/>
              <w:right w:val="nil"/>
            </w:tcBorders>
            <w:tcMar>
              <w:top w:w="128" w:type="dxa"/>
              <w:left w:w="43" w:type="dxa"/>
              <w:bottom w:w="43" w:type="dxa"/>
              <w:right w:w="43" w:type="dxa"/>
            </w:tcMar>
          </w:tcPr>
          <w:p w14:paraId="673D951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8C816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4CDFD2" w14:textId="77777777" w:rsidR="00575AC3" w:rsidRPr="006D40F0" w:rsidRDefault="00575AC3" w:rsidP="006D40F0">
            <w:r w:rsidRPr="006D40F0">
              <w:t>fra kr 850 000 000 til kr 800 000 000</w:t>
            </w:r>
          </w:p>
        </w:tc>
        <w:tc>
          <w:tcPr>
            <w:tcW w:w="1400" w:type="dxa"/>
            <w:tcBorders>
              <w:top w:val="nil"/>
              <w:left w:val="nil"/>
              <w:bottom w:val="nil"/>
              <w:right w:val="nil"/>
            </w:tcBorders>
            <w:tcMar>
              <w:top w:w="128" w:type="dxa"/>
              <w:left w:w="43" w:type="dxa"/>
              <w:bottom w:w="43" w:type="dxa"/>
              <w:right w:w="43" w:type="dxa"/>
            </w:tcMar>
            <w:vAlign w:val="bottom"/>
          </w:tcPr>
          <w:p w14:paraId="45337D37" w14:textId="77777777" w:rsidR="00575AC3" w:rsidRPr="006D40F0" w:rsidRDefault="00575AC3" w:rsidP="006D40F0"/>
        </w:tc>
      </w:tr>
      <w:tr w:rsidR="00DD49A7" w:rsidRPr="006D40F0" w14:paraId="6183BB2D" w14:textId="77777777">
        <w:trPr>
          <w:trHeight w:val="380"/>
        </w:trPr>
        <w:tc>
          <w:tcPr>
            <w:tcW w:w="680" w:type="dxa"/>
            <w:tcBorders>
              <w:top w:val="nil"/>
              <w:left w:val="nil"/>
              <w:bottom w:val="nil"/>
              <w:right w:val="nil"/>
            </w:tcBorders>
            <w:tcMar>
              <w:top w:w="128" w:type="dxa"/>
              <w:left w:w="43" w:type="dxa"/>
              <w:bottom w:w="43" w:type="dxa"/>
              <w:right w:w="43" w:type="dxa"/>
            </w:tcMar>
          </w:tcPr>
          <w:p w14:paraId="2EC20C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5E49B9" w14:textId="77777777" w:rsidR="00575AC3" w:rsidRPr="006D40F0" w:rsidRDefault="00575AC3" w:rsidP="006D40F0">
            <w:r w:rsidRPr="006D40F0">
              <w:t>49</w:t>
            </w:r>
          </w:p>
        </w:tc>
        <w:tc>
          <w:tcPr>
            <w:tcW w:w="6800" w:type="dxa"/>
            <w:tcBorders>
              <w:top w:val="nil"/>
              <w:left w:val="nil"/>
              <w:bottom w:val="nil"/>
              <w:right w:val="nil"/>
            </w:tcBorders>
            <w:tcMar>
              <w:top w:w="128" w:type="dxa"/>
              <w:left w:w="43" w:type="dxa"/>
              <w:bottom w:w="43" w:type="dxa"/>
              <w:right w:w="43" w:type="dxa"/>
            </w:tcMar>
          </w:tcPr>
          <w:p w14:paraId="6D3F2C0D" w14:textId="77777777" w:rsidR="00575AC3" w:rsidRPr="006D40F0" w:rsidRDefault="00575AC3" w:rsidP="006D40F0">
            <w:r w:rsidRPr="006D40F0">
              <w:t xml:space="preserve">Kjøp av eiendommer,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2B89D381" w14:textId="77777777" w:rsidR="00575AC3" w:rsidRPr="006D40F0" w:rsidRDefault="00575AC3" w:rsidP="006D40F0">
            <w:r w:rsidRPr="006D40F0">
              <w:t>55 700 000</w:t>
            </w:r>
          </w:p>
        </w:tc>
      </w:tr>
      <w:tr w:rsidR="00DD49A7" w:rsidRPr="006D40F0" w14:paraId="4C4877C4" w14:textId="77777777">
        <w:trPr>
          <w:trHeight w:val="380"/>
        </w:trPr>
        <w:tc>
          <w:tcPr>
            <w:tcW w:w="680" w:type="dxa"/>
            <w:tcBorders>
              <w:top w:val="nil"/>
              <w:left w:val="nil"/>
              <w:bottom w:val="nil"/>
              <w:right w:val="nil"/>
            </w:tcBorders>
            <w:tcMar>
              <w:top w:w="128" w:type="dxa"/>
              <w:left w:w="43" w:type="dxa"/>
              <w:bottom w:w="43" w:type="dxa"/>
              <w:right w:w="43" w:type="dxa"/>
            </w:tcMar>
          </w:tcPr>
          <w:p w14:paraId="15B099D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0ACDE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8A2056" w14:textId="77777777" w:rsidR="00575AC3" w:rsidRPr="006D40F0" w:rsidRDefault="00575AC3" w:rsidP="006D40F0">
            <w:r w:rsidRPr="006D40F0">
              <w:t>fra kr 77 019 000 til kr 21 319 000</w:t>
            </w:r>
          </w:p>
        </w:tc>
        <w:tc>
          <w:tcPr>
            <w:tcW w:w="1400" w:type="dxa"/>
            <w:tcBorders>
              <w:top w:val="nil"/>
              <w:left w:val="nil"/>
              <w:bottom w:val="nil"/>
              <w:right w:val="nil"/>
            </w:tcBorders>
            <w:tcMar>
              <w:top w:w="128" w:type="dxa"/>
              <w:left w:w="43" w:type="dxa"/>
              <w:bottom w:w="43" w:type="dxa"/>
              <w:right w:w="43" w:type="dxa"/>
            </w:tcMar>
            <w:vAlign w:val="bottom"/>
          </w:tcPr>
          <w:p w14:paraId="0E076208" w14:textId="77777777" w:rsidR="00575AC3" w:rsidRPr="006D40F0" w:rsidRDefault="00575AC3" w:rsidP="006D40F0"/>
        </w:tc>
      </w:tr>
      <w:tr w:rsidR="00DD49A7" w:rsidRPr="006D40F0" w14:paraId="5971995C" w14:textId="77777777">
        <w:trPr>
          <w:trHeight w:val="380"/>
        </w:trPr>
        <w:tc>
          <w:tcPr>
            <w:tcW w:w="680" w:type="dxa"/>
            <w:tcBorders>
              <w:top w:val="nil"/>
              <w:left w:val="nil"/>
              <w:bottom w:val="nil"/>
              <w:right w:val="nil"/>
            </w:tcBorders>
            <w:tcMar>
              <w:top w:w="128" w:type="dxa"/>
              <w:left w:w="43" w:type="dxa"/>
              <w:bottom w:w="43" w:type="dxa"/>
              <w:right w:w="43" w:type="dxa"/>
            </w:tcMar>
          </w:tcPr>
          <w:p w14:paraId="13277026" w14:textId="77777777" w:rsidR="00575AC3" w:rsidRPr="006D40F0" w:rsidRDefault="00575AC3" w:rsidP="006D40F0">
            <w:r w:rsidRPr="006D40F0">
              <w:t>2460</w:t>
            </w:r>
          </w:p>
        </w:tc>
        <w:tc>
          <w:tcPr>
            <w:tcW w:w="680" w:type="dxa"/>
            <w:tcBorders>
              <w:top w:val="nil"/>
              <w:left w:val="nil"/>
              <w:bottom w:val="nil"/>
              <w:right w:val="nil"/>
            </w:tcBorders>
            <w:tcMar>
              <w:top w:w="128" w:type="dxa"/>
              <w:left w:w="43" w:type="dxa"/>
              <w:bottom w:w="43" w:type="dxa"/>
              <w:right w:w="43" w:type="dxa"/>
            </w:tcMar>
          </w:tcPr>
          <w:p w14:paraId="6B06226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5624632" w14:textId="77777777" w:rsidR="00575AC3" w:rsidRPr="006D40F0" w:rsidRDefault="00575AC3" w:rsidP="006D40F0">
            <w:r w:rsidRPr="006D40F0">
              <w:t>Eksportfinansiering Norge:</w:t>
            </w:r>
          </w:p>
        </w:tc>
        <w:tc>
          <w:tcPr>
            <w:tcW w:w="1400" w:type="dxa"/>
            <w:tcBorders>
              <w:top w:val="nil"/>
              <w:left w:val="nil"/>
              <w:bottom w:val="nil"/>
              <w:right w:val="nil"/>
            </w:tcBorders>
            <w:tcMar>
              <w:top w:w="128" w:type="dxa"/>
              <w:left w:w="43" w:type="dxa"/>
              <w:bottom w:w="43" w:type="dxa"/>
              <w:right w:w="43" w:type="dxa"/>
            </w:tcMar>
            <w:vAlign w:val="bottom"/>
          </w:tcPr>
          <w:p w14:paraId="062BCD5A" w14:textId="77777777" w:rsidR="00575AC3" w:rsidRPr="006D40F0" w:rsidRDefault="00575AC3" w:rsidP="006D40F0"/>
        </w:tc>
      </w:tr>
      <w:tr w:rsidR="00DD49A7" w:rsidRPr="006D40F0" w14:paraId="7BFD9142" w14:textId="77777777">
        <w:trPr>
          <w:trHeight w:val="380"/>
        </w:trPr>
        <w:tc>
          <w:tcPr>
            <w:tcW w:w="680" w:type="dxa"/>
            <w:tcBorders>
              <w:top w:val="nil"/>
              <w:left w:val="nil"/>
              <w:bottom w:val="nil"/>
              <w:right w:val="nil"/>
            </w:tcBorders>
            <w:tcMar>
              <w:top w:w="128" w:type="dxa"/>
              <w:left w:w="43" w:type="dxa"/>
              <w:bottom w:w="43" w:type="dxa"/>
              <w:right w:w="43" w:type="dxa"/>
            </w:tcMar>
          </w:tcPr>
          <w:p w14:paraId="761549F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C2957E" w14:textId="77777777" w:rsidR="00575AC3" w:rsidRPr="006D40F0" w:rsidRDefault="00575AC3" w:rsidP="006D40F0">
            <w:r w:rsidRPr="006D40F0">
              <w:t>58</w:t>
            </w:r>
          </w:p>
        </w:tc>
        <w:tc>
          <w:tcPr>
            <w:tcW w:w="6800" w:type="dxa"/>
            <w:tcBorders>
              <w:top w:val="nil"/>
              <w:left w:val="nil"/>
              <w:bottom w:val="nil"/>
              <w:right w:val="nil"/>
            </w:tcBorders>
            <w:tcMar>
              <w:top w:w="128" w:type="dxa"/>
              <w:left w:w="43" w:type="dxa"/>
              <w:bottom w:w="43" w:type="dxa"/>
              <w:right w:w="43" w:type="dxa"/>
            </w:tcMar>
          </w:tcPr>
          <w:p w14:paraId="28EDCED4" w14:textId="77777777" w:rsidR="00575AC3" w:rsidRPr="006D40F0" w:rsidRDefault="00575AC3" w:rsidP="006D40F0">
            <w:r w:rsidRPr="006D40F0">
              <w:t>Grønn industrifinansiering, nedsettes med</w:t>
            </w:r>
          </w:p>
        </w:tc>
        <w:tc>
          <w:tcPr>
            <w:tcW w:w="1400" w:type="dxa"/>
            <w:tcBorders>
              <w:top w:val="nil"/>
              <w:left w:val="nil"/>
              <w:bottom w:val="nil"/>
              <w:right w:val="nil"/>
            </w:tcBorders>
            <w:tcMar>
              <w:top w:w="128" w:type="dxa"/>
              <w:left w:w="43" w:type="dxa"/>
              <w:bottom w:w="43" w:type="dxa"/>
              <w:right w:w="43" w:type="dxa"/>
            </w:tcMar>
            <w:vAlign w:val="bottom"/>
          </w:tcPr>
          <w:p w14:paraId="46245C81" w14:textId="77777777" w:rsidR="00575AC3" w:rsidRPr="006D40F0" w:rsidRDefault="00575AC3" w:rsidP="006D40F0">
            <w:r w:rsidRPr="006D40F0">
              <w:t>1 750 000 000</w:t>
            </w:r>
          </w:p>
        </w:tc>
      </w:tr>
      <w:tr w:rsidR="00DD49A7" w:rsidRPr="006D40F0" w14:paraId="1CC36F70" w14:textId="77777777">
        <w:trPr>
          <w:trHeight w:val="380"/>
        </w:trPr>
        <w:tc>
          <w:tcPr>
            <w:tcW w:w="680" w:type="dxa"/>
            <w:tcBorders>
              <w:top w:val="nil"/>
              <w:left w:val="nil"/>
              <w:bottom w:val="nil"/>
              <w:right w:val="nil"/>
            </w:tcBorders>
            <w:tcMar>
              <w:top w:w="128" w:type="dxa"/>
              <w:left w:w="43" w:type="dxa"/>
              <w:bottom w:w="43" w:type="dxa"/>
              <w:right w:w="43" w:type="dxa"/>
            </w:tcMar>
          </w:tcPr>
          <w:p w14:paraId="49BA8D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CDC9F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5CA6791" w14:textId="77777777" w:rsidR="00575AC3" w:rsidRPr="006D40F0" w:rsidRDefault="00575AC3" w:rsidP="006D40F0">
            <w:r w:rsidRPr="006D40F0">
              <w:t>fra kr 1 750 000 000 til kr 0</w:t>
            </w:r>
          </w:p>
        </w:tc>
        <w:tc>
          <w:tcPr>
            <w:tcW w:w="1400" w:type="dxa"/>
            <w:tcBorders>
              <w:top w:val="nil"/>
              <w:left w:val="nil"/>
              <w:bottom w:val="nil"/>
              <w:right w:val="nil"/>
            </w:tcBorders>
            <w:tcMar>
              <w:top w:w="128" w:type="dxa"/>
              <w:left w:w="43" w:type="dxa"/>
              <w:bottom w:w="43" w:type="dxa"/>
              <w:right w:w="43" w:type="dxa"/>
            </w:tcMar>
            <w:vAlign w:val="bottom"/>
          </w:tcPr>
          <w:p w14:paraId="30F40729" w14:textId="77777777" w:rsidR="00575AC3" w:rsidRPr="006D40F0" w:rsidRDefault="00575AC3" w:rsidP="006D40F0"/>
        </w:tc>
      </w:tr>
      <w:tr w:rsidR="00DD49A7" w:rsidRPr="006D40F0" w14:paraId="2D1ACBE4" w14:textId="77777777">
        <w:trPr>
          <w:trHeight w:val="640"/>
        </w:trPr>
        <w:tc>
          <w:tcPr>
            <w:tcW w:w="680" w:type="dxa"/>
            <w:tcBorders>
              <w:top w:val="nil"/>
              <w:left w:val="nil"/>
              <w:bottom w:val="nil"/>
              <w:right w:val="nil"/>
            </w:tcBorders>
            <w:tcMar>
              <w:top w:w="128" w:type="dxa"/>
              <w:left w:w="43" w:type="dxa"/>
              <w:bottom w:w="43" w:type="dxa"/>
              <w:right w:w="43" w:type="dxa"/>
            </w:tcMar>
          </w:tcPr>
          <w:p w14:paraId="1096D05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C44DDD"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79EBD519" w14:textId="77777777" w:rsidR="00575AC3" w:rsidRPr="006D40F0" w:rsidRDefault="00575AC3" w:rsidP="006D40F0">
            <w:r w:rsidRPr="006D40F0">
              <w:t>Utbetaling ifølge trekkfullmakt – Alminnelig garantiordning, nedsettes med</w:t>
            </w:r>
          </w:p>
        </w:tc>
        <w:tc>
          <w:tcPr>
            <w:tcW w:w="1400" w:type="dxa"/>
            <w:tcBorders>
              <w:top w:val="nil"/>
              <w:left w:val="nil"/>
              <w:bottom w:val="nil"/>
              <w:right w:val="nil"/>
            </w:tcBorders>
            <w:tcMar>
              <w:top w:w="128" w:type="dxa"/>
              <w:left w:w="43" w:type="dxa"/>
              <w:bottom w:w="43" w:type="dxa"/>
              <w:right w:w="43" w:type="dxa"/>
            </w:tcMar>
            <w:vAlign w:val="bottom"/>
          </w:tcPr>
          <w:p w14:paraId="675B1AAA" w14:textId="77777777" w:rsidR="00575AC3" w:rsidRPr="006D40F0" w:rsidRDefault="00575AC3" w:rsidP="006D40F0">
            <w:r w:rsidRPr="006D40F0">
              <w:t>1 100 000 000</w:t>
            </w:r>
          </w:p>
        </w:tc>
      </w:tr>
      <w:tr w:rsidR="00DD49A7" w:rsidRPr="006D40F0" w14:paraId="1F139DAF" w14:textId="77777777">
        <w:trPr>
          <w:trHeight w:val="380"/>
        </w:trPr>
        <w:tc>
          <w:tcPr>
            <w:tcW w:w="680" w:type="dxa"/>
            <w:tcBorders>
              <w:top w:val="nil"/>
              <w:left w:val="nil"/>
              <w:bottom w:val="nil"/>
              <w:right w:val="nil"/>
            </w:tcBorders>
            <w:tcMar>
              <w:top w:w="128" w:type="dxa"/>
              <w:left w:w="43" w:type="dxa"/>
              <w:bottom w:w="43" w:type="dxa"/>
              <w:right w:w="43" w:type="dxa"/>
            </w:tcMar>
          </w:tcPr>
          <w:p w14:paraId="780CC56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FD65D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37F0B2" w14:textId="77777777" w:rsidR="00575AC3" w:rsidRPr="006D40F0" w:rsidRDefault="00575AC3" w:rsidP="006D40F0">
            <w:r w:rsidRPr="006D40F0">
              <w:t>fra kr 1 100 000 000 til kr 0</w:t>
            </w:r>
          </w:p>
        </w:tc>
        <w:tc>
          <w:tcPr>
            <w:tcW w:w="1400" w:type="dxa"/>
            <w:tcBorders>
              <w:top w:val="nil"/>
              <w:left w:val="nil"/>
              <w:bottom w:val="nil"/>
              <w:right w:val="nil"/>
            </w:tcBorders>
            <w:tcMar>
              <w:top w:w="128" w:type="dxa"/>
              <w:left w:w="43" w:type="dxa"/>
              <w:bottom w:w="43" w:type="dxa"/>
              <w:right w:w="43" w:type="dxa"/>
            </w:tcMar>
            <w:vAlign w:val="bottom"/>
          </w:tcPr>
          <w:p w14:paraId="3D19BA7A" w14:textId="77777777" w:rsidR="00575AC3" w:rsidRPr="006D40F0" w:rsidRDefault="00575AC3" w:rsidP="006D40F0"/>
        </w:tc>
      </w:tr>
      <w:tr w:rsidR="00DD49A7" w:rsidRPr="006D40F0" w14:paraId="1FEF7308" w14:textId="77777777">
        <w:trPr>
          <w:trHeight w:val="380"/>
        </w:trPr>
        <w:tc>
          <w:tcPr>
            <w:tcW w:w="680" w:type="dxa"/>
            <w:tcBorders>
              <w:top w:val="nil"/>
              <w:left w:val="nil"/>
              <w:bottom w:val="nil"/>
              <w:right w:val="nil"/>
            </w:tcBorders>
            <w:tcMar>
              <w:top w:w="128" w:type="dxa"/>
              <w:left w:w="43" w:type="dxa"/>
              <w:bottom w:w="43" w:type="dxa"/>
              <w:right w:w="43" w:type="dxa"/>
            </w:tcMar>
          </w:tcPr>
          <w:p w14:paraId="4E95015D" w14:textId="77777777" w:rsidR="00575AC3" w:rsidRPr="006D40F0" w:rsidRDefault="00575AC3" w:rsidP="006D40F0">
            <w:r w:rsidRPr="006D40F0">
              <w:t>2470</w:t>
            </w:r>
          </w:p>
        </w:tc>
        <w:tc>
          <w:tcPr>
            <w:tcW w:w="680" w:type="dxa"/>
            <w:tcBorders>
              <w:top w:val="nil"/>
              <w:left w:val="nil"/>
              <w:bottom w:val="nil"/>
              <w:right w:val="nil"/>
            </w:tcBorders>
            <w:tcMar>
              <w:top w:w="128" w:type="dxa"/>
              <w:left w:w="43" w:type="dxa"/>
              <w:bottom w:w="43" w:type="dxa"/>
              <w:right w:w="43" w:type="dxa"/>
            </w:tcMar>
          </w:tcPr>
          <w:p w14:paraId="45622ED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ACCB92" w14:textId="77777777" w:rsidR="00575AC3" w:rsidRPr="006D40F0" w:rsidRDefault="00575AC3" w:rsidP="006D40F0">
            <w:r w:rsidRPr="006D40F0">
              <w:t>Statens pensjonskasse:</w:t>
            </w:r>
          </w:p>
        </w:tc>
        <w:tc>
          <w:tcPr>
            <w:tcW w:w="1400" w:type="dxa"/>
            <w:tcBorders>
              <w:top w:val="nil"/>
              <w:left w:val="nil"/>
              <w:bottom w:val="nil"/>
              <w:right w:val="nil"/>
            </w:tcBorders>
            <w:tcMar>
              <w:top w:w="128" w:type="dxa"/>
              <w:left w:w="43" w:type="dxa"/>
              <w:bottom w:w="43" w:type="dxa"/>
              <w:right w:w="43" w:type="dxa"/>
            </w:tcMar>
            <w:vAlign w:val="bottom"/>
          </w:tcPr>
          <w:p w14:paraId="1A0A8079" w14:textId="77777777" w:rsidR="00575AC3" w:rsidRPr="006D40F0" w:rsidRDefault="00575AC3" w:rsidP="006D40F0"/>
        </w:tc>
      </w:tr>
      <w:tr w:rsidR="00DD49A7" w:rsidRPr="006D40F0" w14:paraId="26E6CCD0" w14:textId="77777777">
        <w:trPr>
          <w:trHeight w:val="380"/>
        </w:trPr>
        <w:tc>
          <w:tcPr>
            <w:tcW w:w="680" w:type="dxa"/>
            <w:tcBorders>
              <w:top w:val="nil"/>
              <w:left w:val="nil"/>
              <w:bottom w:val="nil"/>
              <w:right w:val="nil"/>
            </w:tcBorders>
            <w:tcMar>
              <w:top w:w="128" w:type="dxa"/>
              <w:left w:w="43" w:type="dxa"/>
              <w:bottom w:w="43" w:type="dxa"/>
              <w:right w:w="43" w:type="dxa"/>
            </w:tcMar>
          </w:tcPr>
          <w:p w14:paraId="401CC1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A47F6D7"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25D55EDD" w14:textId="77777777" w:rsidR="00575AC3" w:rsidRPr="006D40F0" w:rsidRDefault="00575AC3" w:rsidP="006D40F0">
            <w:r w:rsidRPr="006D40F0">
              <w:t xml:space="preserve">Større utstyrsanskaffelser og vedlikehold, </w:t>
            </w:r>
            <w:r w:rsidRPr="00575AC3">
              <w:rPr>
                <w:rStyle w:val="kursiv"/>
              </w:rPr>
              <w:t>kan overføres,</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5A50613" w14:textId="77777777" w:rsidR="00575AC3" w:rsidRPr="006D40F0" w:rsidRDefault="00575AC3" w:rsidP="006D40F0">
            <w:r w:rsidRPr="006D40F0">
              <w:t>10 000 000</w:t>
            </w:r>
          </w:p>
        </w:tc>
      </w:tr>
      <w:tr w:rsidR="00DD49A7" w:rsidRPr="006D40F0" w14:paraId="214E71AF" w14:textId="77777777">
        <w:trPr>
          <w:trHeight w:val="380"/>
        </w:trPr>
        <w:tc>
          <w:tcPr>
            <w:tcW w:w="680" w:type="dxa"/>
            <w:tcBorders>
              <w:top w:val="nil"/>
              <w:left w:val="nil"/>
              <w:bottom w:val="nil"/>
              <w:right w:val="nil"/>
            </w:tcBorders>
            <w:tcMar>
              <w:top w:w="128" w:type="dxa"/>
              <w:left w:w="43" w:type="dxa"/>
              <w:bottom w:w="43" w:type="dxa"/>
              <w:right w:w="43" w:type="dxa"/>
            </w:tcMar>
          </w:tcPr>
          <w:p w14:paraId="7F4C0D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9F412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92B974" w14:textId="77777777" w:rsidR="00575AC3" w:rsidRPr="006D40F0" w:rsidRDefault="00575AC3" w:rsidP="006D40F0">
            <w:r w:rsidRPr="006D40F0">
              <w:t>fra kr 212 327 000 til kr 202 327 000</w:t>
            </w:r>
          </w:p>
        </w:tc>
        <w:tc>
          <w:tcPr>
            <w:tcW w:w="1400" w:type="dxa"/>
            <w:tcBorders>
              <w:top w:val="nil"/>
              <w:left w:val="nil"/>
              <w:bottom w:val="nil"/>
              <w:right w:val="nil"/>
            </w:tcBorders>
            <w:tcMar>
              <w:top w:w="128" w:type="dxa"/>
              <w:left w:w="43" w:type="dxa"/>
              <w:bottom w:w="43" w:type="dxa"/>
              <w:right w:w="43" w:type="dxa"/>
            </w:tcMar>
            <w:vAlign w:val="bottom"/>
          </w:tcPr>
          <w:p w14:paraId="2AE15389" w14:textId="77777777" w:rsidR="00575AC3" w:rsidRPr="006D40F0" w:rsidRDefault="00575AC3" w:rsidP="006D40F0"/>
        </w:tc>
      </w:tr>
      <w:tr w:rsidR="00DD49A7" w:rsidRPr="006D40F0" w14:paraId="4B2F040E" w14:textId="77777777">
        <w:trPr>
          <w:trHeight w:val="380"/>
        </w:trPr>
        <w:tc>
          <w:tcPr>
            <w:tcW w:w="680" w:type="dxa"/>
            <w:tcBorders>
              <w:top w:val="nil"/>
              <w:left w:val="nil"/>
              <w:bottom w:val="nil"/>
              <w:right w:val="nil"/>
            </w:tcBorders>
            <w:tcMar>
              <w:top w:w="128" w:type="dxa"/>
              <w:left w:w="43" w:type="dxa"/>
              <w:bottom w:w="43" w:type="dxa"/>
              <w:right w:w="43" w:type="dxa"/>
            </w:tcMar>
          </w:tcPr>
          <w:p w14:paraId="596C01EB" w14:textId="77777777" w:rsidR="00575AC3" w:rsidRPr="006D40F0" w:rsidRDefault="00575AC3" w:rsidP="006D40F0">
            <w:r w:rsidRPr="006D40F0">
              <w:t>2530</w:t>
            </w:r>
          </w:p>
        </w:tc>
        <w:tc>
          <w:tcPr>
            <w:tcW w:w="680" w:type="dxa"/>
            <w:tcBorders>
              <w:top w:val="nil"/>
              <w:left w:val="nil"/>
              <w:bottom w:val="nil"/>
              <w:right w:val="nil"/>
            </w:tcBorders>
            <w:tcMar>
              <w:top w:w="128" w:type="dxa"/>
              <w:left w:w="43" w:type="dxa"/>
              <w:bottom w:w="43" w:type="dxa"/>
              <w:right w:w="43" w:type="dxa"/>
            </w:tcMar>
          </w:tcPr>
          <w:p w14:paraId="1F9268D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ECBE89A" w14:textId="77777777" w:rsidR="00575AC3" w:rsidRPr="006D40F0" w:rsidRDefault="00575AC3" w:rsidP="006D40F0">
            <w:r w:rsidRPr="006D40F0">
              <w:t>Foreldrepenger:</w:t>
            </w:r>
          </w:p>
        </w:tc>
        <w:tc>
          <w:tcPr>
            <w:tcW w:w="1400" w:type="dxa"/>
            <w:tcBorders>
              <w:top w:val="nil"/>
              <w:left w:val="nil"/>
              <w:bottom w:val="nil"/>
              <w:right w:val="nil"/>
            </w:tcBorders>
            <w:tcMar>
              <w:top w:w="128" w:type="dxa"/>
              <w:left w:w="43" w:type="dxa"/>
              <w:bottom w:w="43" w:type="dxa"/>
              <w:right w:w="43" w:type="dxa"/>
            </w:tcMar>
            <w:vAlign w:val="bottom"/>
          </w:tcPr>
          <w:p w14:paraId="7FA72B24" w14:textId="77777777" w:rsidR="00575AC3" w:rsidRPr="006D40F0" w:rsidRDefault="00575AC3" w:rsidP="006D40F0"/>
        </w:tc>
      </w:tr>
      <w:tr w:rsidR="00DD49A7" w:rsidRPr="006D40F0" w14:paraId="56C502F1" w14:textId="77777777">
        <w:trPr>
          <w:trHeight w:val="380"/>
        </w:trPr>
        <w:tc>
          <w:tcPr>
            <w:tcW w:w="680" w:type="dxa"/>
            <w:tcBorders>
              <w:top w:val="nil"/>
              <w:left w:val="nil"/>
              <w:bottom w:val="nil"/>
              <w:right w:val="nil"/>
            </w:tcBorders>
            <w:tcMar>
              <w:top w:w="128" w:type="dxa"/>
              <w:left w:w="43" w:type="dxa"/>
              <w:bottom w:w="43" w:type="dxa"/>
              <w:right w:w="43" w:type="dxa"/>
            </w:tcMar>
          </w:tcPr>
          <w:p w14:paraId="65BB703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CCD3B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6E3A065" w14:textId="77777777" w:rsidR="00575AC3" w:rsidRPr="006D40F0" w:rsidRDefault="00575AC3" w:rsidP="006D40F0">
            <w:r w:rsidRPr="006D40F0">
              <w:t xml:space="preserve">Foreldrepenger ved fødsel,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58D3F5F" w14:textId="77777777" w:rsidR="00575AC3" w:rsidRPr="006D40F0" w:rsidRDefault="00575AC3" w:rsidP="006D40F0">
            <w:r w:rsidRPr="006D40F0">
              <w:t>510 000 000</w:t>
            </w:r>
          </w:p>
        </w:tc>
      </w:tr>
      <w:tr w:rsidR="00DD49A7" w:rsidRPr="006D40F0" w14:paraId="61225959" w14:textId="77777777">
        <w:trPr>
          <w:trHeight w:val="380"/>
        </w:trPr>
        <w:tc>
          <w:tcPr>
            <w:tcW w:w="680" w:type="dxa"/>
            <w:tcBorders>
              <w:top w:val="nil"/>
              <w:left w:val="nil"/>
              <w:bottom w:val="nil"/>
              <w:right w:val="nil"/>
            </w:tcBorders>
            <w:tcMar>
              <w:top w:w="128" w:type="dxa"/>
              <w:left w:w="43" w:type="dxa"/>
              <w:bottom w:w="43" w:type="dxa"/>
              <w:right w:w="43" w:type="dxa"/>
            </w:tcMar>
          </w:tcPr>
          <w:p w14:paraId="5F0EB2D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EEB8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E2A8450" w14:textId="77777777" w:rsidR="00575AC3" w:rsidRPr="006D40F0" w:rsidRDefault="00575AC3" w:rsidP="006D40F0">
            <w:r w:rsidRPr="006D40F0">
              <w:t>fra kr 24 250 000 000 til kr 24 760 000 000</w:t>
            </w:r>
          </w:p>
        </w:tc>
        <w:tc>
          <w:tcPr>
            <w:tcW w:w="1400" w:type="dxa"/>
            <w:tcBorders>
              <w:top w:val="nil"/>
              <w:left w:val="nil"/>
              <w:bottom w:val="nil"/>
              <w:right w:val="nil"/>
            </w:tcBorders>
            <w:tcMar>
              <w:top w:w="128" w:type="dxa"/>
              <w:left w:w="43" w:type="dxa"/>
              <w:bottom w:w="43" w:type="dxa"/>
              <w:right w:w="43" w:type="dxa"/>
            </w:tcMar>
            <w:vAlign w:val="bottom"/>
          </w:tcPr>
          <w:p w14:paraId="5022C668" w14:textId="77777777" w:rsidR="00575AC3" w:rsidRPr="006D40F0" w:rsidRDefault="00575AC3" w:rsidP="006D40F0"/>
        </w:tc>
      </w:tr>
      <w:tr w:rsidR="00DD49A7" w:rsidRPr="006D40F0" w14:paraId="693A7FAF" w14:textId="77777777">
        <w:trPr>
          <w:trHeight w:val="640"/>
        </w:trPr>
        <w:tc>
          <w:tcPr>
            <w:tcW w:w="680" w:type="dxa"/>
            <w:tcBorders>
              <w:top w:val="nil"/>
              <w:left w:val="nil"/>
              <w:bottom w:val="nil"/>
              <w:right w:val="nil"/>
            </w:tcBorders>
            <w:tcMar>
              <w:top w:w="128" w:type="dxa"/>
              <w:left w:w="43" w:type="dxa"/>
              <w:bottom w:w="43" w:type="dxa"/>
              <w:right w:w="43" w:type="dxa"/>
            </w:tcMar>
          </w:tcPr>
          <w:p w14:paraId="7DCA95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E1DDF2"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770C6C25" w14:textId="77777777" w:rsidR="00575AC3" w:rsidRPr="006D40F0" w:rsidRDefault="00575AC3" w:rsidP="006D40F0">
            <w:r w:rsidRPr="006D40F0">
              <w:t xml:space="preserve">Engangsstønad ved fødsel og adopsjon,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29DC27A" w14:textId="77777777" w:rsidR="00575AC3" w:rsidRPr="006D40F0" w:rsidRDefault="00575AC3" w:rsidP="006D40F0">
            <w:r w:rsidRPr="006D40F0">
              <w:t>10 000 000</w:t>
            </w:r>
          </w:p>
        </w:tc>
      </w:tr>
      <w:tr w:rsidR="00DD49A7" w:rsidRPr="006D40F0" w14:paraId="685F5296" w14:textId="77777777">
        <w:trPr>
          <w:trHeight w:val="380"/>
        </w:trPr>
        <w:tc>
          <w:tcPr>
            <w:tcW w:w="680" w:type="dxa"/>
            <w:tcBorders>
              <w:top w:val="nil"/>
              <w:left w:val="nil"/>
              <w:bottom w:val="nil"/>
              <w:right w:val="nil"/>
            </w:tcBorders>
            <w:tcMar>
              <w:top w:w="128" w:type="dxa"/>
              <w:left w:w="43" w:type="dxa"/>
              <w:bottom w:w="43" w:type="dxa"/>
              <w:right w:w="43" w:type="dxa"/>
            </w:tcMar>
          </w:tcPr>
          <w:p w14:paraId="044153B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9353F9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D64359" w14:textId="77777777" w:rsidR="00575AC3" w:rsidRPr="006D40F0" w:rsidRDefault="00575AC3" w:rsidP="006D40F0">
            <w:r w:rsidRPr="006D40F0">
              <w:t>fra kr 715 000 000 til kr 705 000 000</w:t>
            </w:r>
          </w:p>
        </w:tc>
        <w:tc>
          <w:tcPr>
            <w:tcW w:w="1400" w:type="dxa"/>
            <w:tcBorders>
              <w:top w:val="nil"/>
              <w:left w:val="nil"/>
              <w:bottom w:val="nil"/>
              <w:right w:val="nil"/>
            </w:tcBorders>
            <w:tcMar>
              <w:top w:w="128" w:type="dxa"/>
              <w:left w:w="43" w:type="dxa"/>
              <w:bottom w:w="43" w:type="dxa"/>
              <w:right w:w="43" w:type="dxa"/>
            </w:tcMar>
            <w:vAlign w:val="bottom"/>
          </w:tcPr>
          <w:p w14:paraId="38E29AF4" w14:textId="77777777" w:rsidR="00575AC3" w:rsidRPr="006D40F0" w:rsidRDefault="00575AC3" w:rsidP="006D40F0"/>
        </w:tc>
      </w:tr>
      <w:tr w:rsidR="00DD49A7" w:rsidRPr="006D40F0" w14:paraId="476E673A" w14:textId="77777777">
        <w:trPr>
          <w:trHeight w:val="380"/>
        </w:trPr>
        <w:tc>
          <w:tcPr>
            <w:tcW w:w="680" w:type="dxa"/>
            <w:tcBorders>
              <w:top w:val="nil"/>
              <w:left w:val="nil"/>
              <w:bottom w:val="nil"/>
              <w:right w:val="nil"/>
            </w:tcBorders>
            <w:tcMar>
              <w:top w:w="128" w:type="dxa"/>
              <w:left w:w="43" w:type="dxa"/>
              <w:bottom w:w="43" w:type="dxa"/>
              <w:right w:w="43" w:type="dxa"/>
            </w:tcMar>
          </w:tcPr>
          <w:p w14:paraId="2BF03D6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A715EE2"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A51C73D" w14:textId="77777777" w:rsidR="00575AC3" w:rsidRPr="006D40F0" w:rsidRDefault="00575AC3" w:rsidP="006D40F0">
            <w:r w:rsidRPr="006D40F0">
              <w:t xml:space="preserve">Feriepenger av foreldrepenger,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1E553F69" w14:textId="77777777" w:rsidR="00575AC3" w:rsidRPr="006D40F0" w:rsidRDefault="00575AC3" w:rsidP="006D40F0">
            <w:r w:rsidRPr="006D40F0">
              <w:t>20 000 000</w:t>
            </w:r>
          </w:p>
        </w:tc>
      </w:tr>
      <w:tr w:rsidR="00DD49A7" w:rsidRPr="006D40F0" w14:paraId="50171579" w14:textId="77777777">
        <w:trPr>
          <w:trHeight w:val="380"/>
        </w:trPr>
        <w:tc>
          <w:tcPr>
            <w:tcW w:w="680" w:type="dxa"/>
            <w:tcBorders>
              <w:top w:val="nil"/>
              <w:left w:val="nil"/>
              <w:bottom w:val="nil"/>
              <w:right w:val="nil"/>
            </w:tcBorders>
            <w:tcMar>
              <w:top w:w="128" w:type="dxa"/>
              <w:left w:w="43" w:type="dxa"/>
              <w:bottom w:w="43" w:type="dxa"/>
              <w:right w:w="43" w:type="dxa"/>
            </w:tcMar>
          </w:tcPr>
          <w:p w14:paraId="717AEBD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B78EA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E83878" w14:textId="77777777" w:rsidR="00575AC3" w:rsidRPr="006D40F0" w:rsidRDefault="00575AC3" w:rsidP="006D40F0">
            <w:r w:rsidRPr="006D40F0">
              <w:t>fra kr 595 000 000 til kr 615 000 000</w:t>
            </w:r>
          </w:p>
        </w:tc>
        <w:tc>
          <w:tcPr>
            <w:tcW w:w="1400" w:type="dxa"/>
            <w:tcBorders>
              <w:top w:val="nil"/>
              <w:left w:val="nil"/>
              <w:bottom w:val="nil"/>
              <w:right w:val="nil"/>
            </w:tcBorders>
            <w:tcMar>
              <w:top w:w="128" w:type="dxa"/>
              <w:left w:w="43" w:type="dxa"/>
              <w:bottom w:w="43" w:type="dxa"/>
              <w:right w:w="43" w:type="dxa"/>
            </w:tcMar>
            <w:vAlign w:val="bottom"/>
          </w:tcPr>
          <w:p w14:paraId="7ECB15FA" w14:textId="77777777" w:rsidR="00575AC3" w:rsidRPr="006D40F0" w:rsidRDefault="00575AC3" w:rsidP="006D40F0"/>
        </w:tc>
      </w:tr>
      <w:tr w:rsidR="00DD49A7" w:rsidRPr="006D40F0" w14:paraId="3B818F1C" w14:textId="77777777">
        <w:trPr>
          <w:trHeight w:val="380"/>
        </w:trPr>
        <w:tc>
          <w:tcPr>
            <w:tcW w:w="680" w:type="dxa"/>
            <w:tcBorders>
              <w:top w:val="nil"/>
              <w:left w:val="nil"/>
              <w:bottom w:val="nil"/>
              <w:right w:val="nil"/>
            </w:tcBorders>
            <w:tcMar>
              <w:top w:w="128" w:type="dxa"/>
              <w:left w:w="43" w:type="dxa"/>
              <w:bottom w:w="43" w:type="dxa"/>
              <w:right w:w="43" w:type="dxa"/>
            </w:tcMar>
          </w:tcPr>
          <w:p w14:paraId="209FB45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D5A72D"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047B26B8" w14:textId="77777777" w:rsidR="00575AC3" w:rsidRPr="006D40F0" w:rsidRDefault="00575AC3" w:rsidP="006D40F0">
            <w:r w:rsidRPr="006D40F0">
              <w:t xml:space="preserve">Foreldrepenger ved adopsjon,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3890B42" w14:textId="77777777" w:rsidR="00575AC3" w:rsidRPr="006D40F0" w:rsidRDefault="00575AC3" w:rsidP="006D40F0">
            <w:r w:rsidRPr="006D40F0">
              <w:t>19 000 000</w:t>
            </w:r>
          </w:p>
        </w:tc>
      </w:tr>
      <w:tr w:rsidR="00DD49A7" w:rsidRPr="006D40F0" w14:paraId="0CCA3B9C" w14:textId="77777777">
        <w:trPr>
          <w:trHeight w:val="380"/>
        </w:trPr>
        <w:tc>
          <w:tcPr>
            <w:tcW w:w="680" w:type="dxa"/>
            <w:tcBorders>
              <w:top w:val="nil"/>
              <w:left w:val="nil"/>
              <w:bottom w:val="nil"/>
              <w:right w:val="nil"/>
            </w:tcBorders>
            <w:tcMar>
              <w:top w:w="128" w:type="dxa"/>
              <w:left w:w="43" w:type="dxa"/>
              <w:bottom w:w="43" w:type="dxa"/>
              <w:right w:w="43" w:type="dxa"/>
            </w:tcMar>
          </w:tcPr>
          <w:p w14:paraId="745BFE7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3EC8A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A51811" w14:textId="77777777" w:rsidR="00575AC3" w:rsidRPr="006D40F0" w:rsidRDefault="00575AC3" w:rsidP="006D40F0">
            <w:r w:rsidRPr="006D40F0">
              <w:t>fra kr 41 000 000 til kr 22 000 000</w:t>
            </w:r>
          </w:p>
        </w:tc>
        <w:tc>
          <w:tcPr>
            <w:tcW w:w="1400" w:type="dxa"/>
            <w:tcBorders>
              <w:top w:val="nil"/>
              <w:left w:val="nil"/>
              <w:bottom w:val="nil"/>
              <w:right w:val="nil"/>
            </w:tcBorders>
            <w:tcMar>
              <w:top w:w="128" w:type="dxa"/>
              <w:left w:w="43" w:type="dxa"/>
              <w:bottom w:w="43" w:type="dxa"/>
              <w:right w:w="43" w:type="dxa"/>
            </w:tcMar>
            <w:vAlign w:val="bottom"/>
          </w:tcPr>
          <w:p w14:paraId="37993D1C" w14:textId="77777777" w:rsidR="00575AC3" w:rsidRPr="006D40F0" w:rsidRDefault="00575AC3" w:rsidP="006D40F0"/>
        </w:tc>
      </w:tr>
      <w:tr w:rsidR="00DD49A7" w:rsidRPr="006D40F0" w14:paraId="61AE3C8C" w14:textId="77777777">
        <w:trPr>
          <w:trHeight w:val="380"/>
        </w:trPr>
        <w:tc>
          <w:tcPr>
            <w:tcW w:w="680" w:type="dxa"/>
            <w:tcBorders>
              <w:top w:val="nil"/>
              <w:left w:val="nil"/>
              <w:bottom w:val="nil"/>
              <w:right w:val="nil"/>
            </w:tcBorders>
            <w:tcMar>
              <w:top w:w="128" w:type="dxa"/>
              <w:left w:w="43" w:type="dxa"/>
              <w:bottom w:w="43" w:type="dxa"/>
              <w:right w:w="43" w:type="dxa"/>
            </w:tcMar>
          </w:tcPr>
          <w:p w14:paraId="455D7A62" w14:textId="77777777" w:rsidR="00575AC3" w:rsidRPr="006D40F0" w:rsidRDefault="00575AC3" w:rsidP="006D40F0">
            <w:r w:rsidRPr="006D40F0">
              <w:t>2541</w:t>
            </w:r>
          </w:p>
        </w:tc>
        <w:tc>
          <w:tcPr>
            <w:tcW w:w="680" w:type="dxa"/>
            <w:tcBorders>
              <w:top w:val="nil"/>
              <w:left w:val="nil"/>
              <w:bottom w:val="nil"/>
              <w:right w:val="nil"/>
            </w:tcBorders>
            <w:tcMar>
              <w:top w:w="128" w:type="dxa"/>
              <w:left w:w="43" w:type="dxa"/>
              <w:bottom w:w="43" w:type="dxa"/>
              <w:right w:w="43" w:type="dxa"/>
            </w:tcMar>
          </w:tcPr>
          <w:p w14:paraId="2E2CC99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3F2E82" w14:textId="77777777" w:rsidR="00575AC3" w:rsidRPr="006D40F0" w:rsidRDefault="00575AC3" w:rsidP="006D40F0">
            <w:r w:rsidRPr="006D40F0">
              <w:t>Dagpenger:</w:t>
            </w:r>
          </w:p>
        </w:tc>
        <w:tc>
          <w:tcPr>
            <w:tcW w:w="1400" w:type="dxa"/>
            <w:tcBorders>
              <w:top w:val="nil"/>
              <w:left w:val="nil"/>
              <w:bottom w:val="nil"/>
              <w:right w:val="nil"/>
            </w:tcBorders>
            <w:tcMar>
              <w:top w:w="128" w:type="dxa"/>
              <w:left w:w="43" w:type="dxa"/>
              <w:bottom w:w="43" w:type="dxa"/>
              <w:right w:w="43" w:type="dxa"/>
            </w:tcMar>
            <w:vAlign w:val="bottom"/>
          </w:tcPr>
          <w:p w14:paraId="1DE7D39F" w14:textId="77777777" w:rsidR="00575AC3" w:rsidRPr="006D40F0" w:rsidRDefault="00575AC3" w:rsidP="006D40F0"/>
        </w:tc>
      </w:tr>
      <w:tr w:rsidR="00DD49A7" w:rsidRPr="006D40F0" w14:paraId="24537A9C" w14:textId="77777777">
        <w:trPr>
          <w:trHeight w:val="380"/>
        </w:trPr>
        <w:tc>
          <w:tcPr>
            <w:tcW w:w="680" w:type="dxa"/>
            <w:tcBorders>
              <w:top w:val="nil"/>
              <w:left w:val="nil"/>
              <w:bottom w:val="nil"/>
              <w:right w:val="nil"/>
            </w:tcBorders>
            <w:tcMar>
              <w:top w:w="128" w:type="dxa"/>
              <w:left w:w="43" w:type="dxa"/>
              <w:bottom w:w="43" w:type="dxa"/>
              <w:right w:w="43" w:type="dxa"/>
            </w:tcMar>
          </w:tcPr>
          <w:p w14:paraId="7455B3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C5E4E3"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0EAA185" w14:textId="77777777" w:rsidR="00575AC3" w:rsidRPr="006D40F0" w:rsidRDefault="00575AC3" w:rsidP="006D40F0">
            <w:r w:rsidRPr="006D40F0">
              <w:t xml:space="preserve">Dagpenger,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44348FB" w14:textId="77777777" w:rsidR="00575AC3" w:rsidRPr="006D40F0" w:rsidRDefault="00575AC3" w:rsidP="006D40F0">
            <w:r w:rsidRPr="006D40F0">
              <w:t>608 000 000</w:t>
            </w:r>
          </w:p>
        </w:tc>
      </w:tr>
      <w:tr w:rsidR="00DD49A7" w:rsidRPr="006D40F0" w14:paraId="117FA809" w14:textId="77777777">
        <w:trPr>
          <w:trHeight w:val="380"/>
        </w:trPr>
        <w:tc>
          <w:tcPr>
            <w:tcW w:w="680" w:type="dxa"/>
            <w:tcBorders>
              <w:top w:val="nil"/>
              <w:left w:val="nil"/>
              <w:bottom w:val="nil"/>
              <w:right w:val="nil"/>
            </w:tcBorders>
            <w:tcMar>
              <w:top w:w="128" w:type="dxa"/>
              <w:left w:w="43" w:type="dxa"/>
              <w:bottom w:w="43" w:type="dxa"/>
              <w:right w:w="43" w:type="dxa"/>
            </w:tcMar>
          </w:tcPr>
          <w:p w14:paraId="319379B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B0CF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1DC42B" w14:textId="77777777" w:rsidR="00575AC3" w:rsidRPr="006D40F0" w:rsidRDefault="00575AC3" w:rsidP="006D40F0">
            <w:r w:rsidRPr="006D40F0">
              <w:t>fra kr 12 818 000 000 til kr 12 210 000 000</w:t>
            </w:r>
          </w:p>
        </w:tc>
        <w:tc>
          <w:tcPr>
            <w:tcW w:w="1400" w:type="dxa"/>
            <w:tcBorders>
              <w:top w:val="nil"/>
              <w:left w:val="nil"/>
              <w:bottom w:val="nil"/>
              <w:right w:val="nil"/>
            </w:tcBorders>
            <w:tcMar>
              <w:top w:w="128" w:type="dxa"/>
              <w:left w:w="43" w:type="dxa"/>
              <w:bottom w:w="43" w:type="dxa"/>
              <w:right w:w="43" w:type="dxa"/>
            </w:tcMar>
            <w:vAlign w:val="bottom"/>
          </w:tcPr>
          <w:p w14:paraId="4BFBAF44" w14:textId="77777777" w:rsidR="00575AC3" w:rsidRPr="006D40F0" w:rsidRDefault="00575AC3" w:rsidP="006D40F0"/>
        </w:tc>
      </w:tr>
      <w:tr w:rsidR="00DD49A7" w:rsidRPr="006D40F0" w14:paraId="3F997997" w14:textId="77777777">
        <w:trPr>
          <w:trHeight w:val="380"/>
        </w:trPr>
        <w:tc>
          <w:tcPr>
            <w:tcW w:w="680" w:type="dxa"/>
            <w:tcBorders>
              <w:top w:val="nil"/>
              <w:left w:val="nil"/>
              <w:bottom w:val="nil"/>
              <w:right w:val="nil"/>
            </w:tcBorders>
            <w:tcMar>
              <w:top w:w="128" w:type="dxa"/>
              <w:left w:w="43" w:type="dxa"/>
              <w:bottom w:w="43" w:type="dxa"/>
              <w:right w:w="43" w:type="dxa"/>
            </w:tcMar>
          </w:tcPr>
          <w:p w14:paraId="695E1D0F" w14:textId="77777777" w:rsidR="00575AC3" w:rsidRPr="006D40F0" w:rsidRDefault="00575AC3" w:rsidP="006D40F0">
            <w:r w:rsidRPr="006D40F0">
              <w:t>2542</w:t>
            </w:r>
          </w:p>
        </w:tc>
        <w:tc>
          <w:tcPr>
            <w:tcW w:w="680" w:type="dxa"/>
            <w:tcBorders>
              <w:top w:val="nil"/>
              <w:left w:val="nil"/>
              <w:bottom w:val="nil"/>
              <w:right w:val="nil"/>
            </w:tcBorders>
            <w:tcMar>
              <w:top w:w="128" w:type="dxa"/>
              <w:left w:w="43" w:type="dxa"/>
              <w:bottom w:w="43" w:type="dxa"/>
              <w:right w:w="43" w:type="dxa"/>
            </w:tcMar>
          </w:tcPr>
          <w:p w14:paraId="5A8DC6B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C0CC3B5" w14:textId="77777777" w:rsidR="00575AC3" w:rsidRPr="006D40F0" w:rsidRDefault="00575AC3" w:rsidP="006D40F0">
            <w:r w:rsidRPr="006D40F0">
              <w:t>Statsgaranti for lønnskrav ved konkurs mv.:</w:t>
            </w:r>
          </w:p>
        </w:tc>
        <w:tc>
          <w:tcPr>
            <w:tcW w:w="1400" w:type="dxa"/>
            <w:tcBorders>
              <w:top w:val="nil"/>
              <w:left w:val="nil"/>
              <w:bottom w:val="nil"/>
              <w:right w:val="nil"/>
            </w:tcBorders>
            <w:tcMar>
              <w:top w:w="128" w:type="dxa"/>
              <w:left w:w="43" w:type="dxa"/>
              <w:bottom w:w="43" w:type="dxa"/>
              <w:right w:w="43" w:type="dxa"/>
            </w:tcMar>
            <w:vAlign w:val="bottom"/>
          </w:tcPr>
          <w:p w14:paraId="60BCA1D6" w14:textId="77777777" w:rsidR="00575AC3" w:rsidRPr="006D40F0" w:rsidRDefault="00575AC3" w:rsidP="006D40F0"/>
        </w:tc>
      </w:tr>
      <w:tr w:rsidR="00DD49A7" w:rsidRPr="006D40F0" w14:paraId="042286B6" w14:textId="77777777">
        <w:trPr>
          <w:trHeight w:val="640"/>
        </w:trPr>
        <w:tc>
          <w:tcPr>
            <w:tcW w:w="680" w:type="dxa"/>
            <w:tcBorders>
              <w:top w:val="nil"/>
              <w:left w:val="nil"/>
              <w:bottom w:val="nil"/>
              <w:right w:val="nil"/>
            </w:tcBorders>
            <w:tcMar>
              <w:top w:w="128" w:type="dxa"/>
              <w:left w:w="43" w:type="dxa"/>
              <w:bottom w:w="43" w:type="dxa"/>
              <w:right w:w="43" w:type="dxa"/>
            </w:tcMar>
          </w:tcPr>
          <w:p w14:paraId="7DDA70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18900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95ACC8B" w14:textId="77777777" w:rsidR="00575AC3" w:rsidRPr="006D40F0" w:rsidRDefault="00575AC3" w:rsidP="006D40F0">
            <w:r w:rsidRPr="006D40F0">
              <w:t xml:space="preserve">Statsgaranti for lønnskrav ved konkurs mv.,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7B659C1A" w14:textId="77777777" w:rsidR="00575AC3" w:rsidRPr="006D40F0" w:rsidRDefault="00575AC3" w:rsidP="006D40F0">
            <w:r w:rsidRPr="006D40F0">
              <w:t>35 000 000</w:t>
            </w:r>
          </w:p>
        </w:tc>
      </w:tr>
      <w:tr w:rsidR="00DD49A7" w:rsidRPr="006D40F0" w14:paraId="757562B6" w14:textId="77777777">
        <w:trPr>
          <w:trHeight w:val="380"/>
        </w:trPr>
        <w:tc>
          <w:tcPr>
            <w:tcW w:w="680" w:type="dxa"/>
            <w:tcBorders>
              <w:top w:val="nil"/>
              <w:left w:val="nil"/>
              <w:bottom w:val="nil"/>
              <w:right w:val="nil"/>
            </w:tcBorders>
            <w:tcMar>
              <w:top w:w="128" w:type="dxa"/>
              <w:left w:w="43" w:type="dxa"/>
              <w:bottom w:w="43" w:type="dxa"/>
              <w:right w:w="43" w:type="dxa"/>
            </w:tcMar>
          </w:tcPr>
          <w:p w14:paraId="3B96B1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34F20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D367021" w14:textId="77777777" w:rsidR="00575AC3" w:rsidRPr="006D40F0" w:rsidRDefault="00575AC3" w:rsidP="006D40F0">
            <w:r w:rsidRPr="006D40F0">
              <w:t>fra kr 865 000 000 til kr 900 000 000</w:t>
            </w:r>
          </w:p>
        </w:tc>
        <w:tc>
          <w:tcPr>
            <w:tcW w:w="1400" w:type="dxa"/>
            <w:tcBorders>
              <w:top w:val="nil"/>
              <w:left w:val="nil"/>
              <w:bottom w:val="nil"/>
              <w:right w:val="nil"/>
            </w:tcBorders>
            <w:tcMar>
              <w:top w:w="128" w:type="dxa"/>
              <w:left w:w="43" w:type="dxa"/>
              <w:bottom w:w="43" w:type="dxa"/>
              <w:right w:w="43" w:type="dxa"/>
            </w:tcMar>
            <w:vAlign w:val="bottom"/>
          </w:tcPr>
          <w:p w14:paraId="3C787D8D" w14:textId="77777777" w:rsidR="00575AC3" w:rsidRPr="006D40F0" w:rsidRDefault="00575AC3" w:rsidP="006D40F0"/>
        </w:tc>
      </w:tr>
      <w:tr w:rsidR="00DD49A7" w:rsidRPr="006D40F0" w14:paraId="4C3A633E" w14:textId="77777777">
        <w:trPr>
          <w:trHeight w:val="380"/>
        </w:trPr>
        <w:tc>
          <w:tcPr>
            <w:tcW w:w="680" w:type="dxa"/>
            <w:tcBorders>
              <w:top w:val="nil"/>
              <w:left w:val="nil"/>
              <w:bottom w:val="nil"/>
              <w:right w:val="nil"/>
            </w:tcBorders>
            <w:tcMar>
              <w:top w:w="128" w:type="dxa"/>
              <w:left w:w="43" w:type="dxa"/>
              <w:bottom w:w="43" w:type="dxa"/>
              <w:right w:w="43" w:type="dxa"/>
            </w:tcMar>
          </w:tcPr>
          <w:p w14:paraId="3358CDD0" w14:textId="77777777" w:rsidR="00575AC3" w:rsidRPr="006D40F0" w:rsidRDefault="00575AC3" w:rsidP="006D40F0">
            <w:r w:rsidRPr="006D40F0">
              <w:t>2620</w:t>
            </w:r>
          </w:p>
        </w:tc>
        <w:tc>
          <w:tcPr>
            <w:tcW w:w="680" w:type="dxa"/>
            <w:tcBorders>
              <w:top w:val="nil"/>
              <w:left w:val="nil"/>
              <w:bottom w:val="nil"/>
              <w:right w:val="nil"/>
            </w:tcBorders>
            <w:tcMar>
              <w:top w:w="128" w:type="dxa"/>
              <w:left w:w="43" w:type="dxa"/>
              <w:bottom w:w="43" w:type="dxa"/>
              <w:right w:w="43" w:type="dxa"/>
            </w:tcMar>
          </w:tcPr>
          <w:p w14:paraId="70DC7B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770C43" w14:textId="77777777" w:rsidR="00575AC3" w:rsidRPr="006D40F0" w:rsidRDefault="00575AC3" w:rsidP="006D40F0">
            <w:r w:rsidRPr="006D40F0">
              <w:t>Stønad til enslig mor eller far:</w:t>
            </w:r>
          </w:p>
        </w:tc>
        <w:tc>
          <w:tcPr>
            <w:tcW w:w="1400" w:type="dxa"/>
            <w:tcBorders>
              <w:top w:val="nil"/>
              <w:left w:val="nil"/>
              <w:bottom w:val="nil"/>
              <w:right w:val="nil"/>
            </w:tcBorders>
            <w:tcMar>
              <w:top w:w="128" w:type="dxa"/>
              <w:left w:w="43" w:type="dxa"/>
              <w:bottom w:w="43" w:type="dxa"/>
              <w:right w:w="43" w:type="dxa"/>
            </w:tcMar>
            <w:vAlign w:val="bottom"/>
          </w:tcPr>
          <w:p w14:paraId="531E4B44" w14:textId="77777777" w:rsidR="00575AC3" w:rsidRPr="006D40F0" w:rsidRDefault="00575AC3" w:rsidP="006D40F0"/>
        </w:tc>
      </w:tr>
      <w:tr w:rsidR="00DD49A7" w:rsidRPr="006D40F0" w14:paraId="05D1C39A" w14:textId="77777777">
        <w:trPr>
          <w:trHeight w:val="380"/>
        </w:trPr>
        <w:tc>
          <w:tcPr>
            <w:tcW w:w="680" w:type="dxa"/>
            <w:tcBorders>
              <w:top w:val="nil"/>
              <w:left w:val="nil"/>
              <w:bottom w:val="nil"/>
              <w:right w:val="nil"/>
            </w:tcBorders>
            <w:tcMar>
              <w:top w:w="128" w:type="dxa"/>
              <w:left w:w="43" w:type="dxa"/>
              <w:bottom w:w="43" w:type="dxa"/>
              <w:right w:w="43" w:type="dxa"/>
            </w:tcMar>
          </w:tcPr>
          <w:p w14:paraId="76FE1EC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F0CA83"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995B8DD" w14:textId="77777777" w:rsidR="00575AC3" w:rsidRPr="006D40F0" w:rsidRDefault="00575AC3" w:rsidP="006D40F0">
            <w:r w:rsidRPr="006D40F0">
              <w:t xml:space="preserve">Overgangsstønad,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FE1D5BF" w14:textId="77777777" w:rsidR="00575AC3" w:rsidRPr="006D40F0" w:rsidRDefault="00575AC3" w:rsidP="006D40F0">
            <w:r w:rsidRPr="006D40F0">
              <w:t>30 000 000</w:t>
            </w:r>
          </w:p>
        </w:tc>
      </w:tr>
      <w:tr w:rsidR="00DD49A7" w:rsidRPr="006D40F0" w14:paraId="01AEA6F5" w14:textId="77777777">
        <w:trPr>
          <w:trHeight w:val="380"/>
        </w:trPr>
        <w:tc>
          <w:tcPr>
            <w:tcW w:w="680" w:type="dxa"/>
            <w:tcBorders>
              <w:top w:val="nil"/>
              <w:left w:val="nil"/>
              <w:bottom w:val="nil"/>
              <w:right w:val="nil"/>
            </w:tcBorders>
            <w:tcMar>
              <w:top w:w="128" w:type="dxa"/>
              <w:left w:w="43" w:type="dxa"/>
              <w:bottom w:w="43" w:type="dxa"/>
              <w:right w:w="43" w:type="dxa"/>
            </w:tcMar>
          </w:tcPr>
          <w:p w14:paraId="5B499B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EACB6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8B3180" w14:textId="77777777" w:rsidR="00575AC3" w:rsidRPr="006D40F0" w:rsidRDefault="00575AC3" w:rsidP="006D40F0">
            <w:r w:rsidRPr="006D40F0">
              <w:t>fra kr 1 570 000 000 til kr 1 600 000 000</w:t>
            </w:r>
          </w:p>
        </w:tc>
        <w:tc>
          <w:tcPr>
            <w:tcW w:w="1400" w:type="dxa"/>
            <w:tcBorders>
              <w:top w:val="nil"/>
              <w:left w:val="nil"/>
              <w:bottom w:val="nil"/>
              <w:right w:val="nil"/>
            </w:tcBorders>
            <w:tcMar>
              <w:top w:w="128" w:type="dxa"/>
              <w:left w:w="43" w:type="dxa"/>
              <w:bottom w:w="43" w:type="dxa"/>
              <w:right w:w="43" w:type="dxa"/>
            </w:tcMar>
            <w:vAlign w:val="bottom"/>
          </w:tcPr>
          <w:p w14:paraId="51F6BC9D" w14:textId="77777777" w:rsidR="00575AC3" w:rsidRPr="006D40F0" w:rsidRDefault="00575AC3" w:rsidP="006D40F0"/>
        </w:tc>
      </w:tr>
      <w:tr w:rsidR="00DD49A7" w:rsidRPr="006D40F0" w14:paraId="7A28D734" w14:textId="77777777">
        <w:trPr>
          <w:trHeight w:val="640"/>
        </w:trPr>
        <w:tc>
          <w:tcPr>
            <w:tcW w:w="680" w:type="dxa"/>
            <w:tcBorders>
              <w:top w:val="nil"/>
              <w:left w:val="nil"/>
              <w:bottom w:val="nil"/>
              <w:right w:val="nil"/>
            </w:tcBorders>
            <w:tcMar>
              <w:top w:w="128" w:type="dxa"/>
              <w:left w:w="43" w:type="dxa"/>
              <w:bottom w:w="43" w:type="dxa"/>
              <w:right w:w="43" w:type="dxa"/>
            </w:tcMar>
          </w:tcPr>
          <w:p w14:paraId="2447C9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00FB63"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4DB8F2F6" w14:textId="77777777" w:rsidR="00575AC3" w:rsidRPr="006D40F0" w:rsidRDefault="00575AC3" w:rsidP="006D40F0">
            <w:r w:rsidRPr="006D40F0">
              <w:t xml:space="preserve">Stønad til barnetilsyn til enslig mor eller far i arbeid,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B4D93B8" w14:textId="77777777" w:rsidR="00575AC3" w:rsidRPr="006D40F0" w:rsidRDefault="00575AC3" w:rsidP="006D40F0">
            <w:r w:rsidRPr="006D40F0">
              <w:t>14 000 000</w:t>
            </w:r>
          </w:p>
        </w:tc>
      </w:tr>
      <w:tr w:rsidR="00DD49A7" w:rsidRPr="006D40F0" w14:paraId="0EA10AD3" w14:textId="77777777">
        <w:trPr>
          <w:trHeight w:val="380"/>
        </w:trPr>
        <w:tc>
          <w:tcPr>
            <w:tcW w:w="680" w:type="dxa"/>
            <w:tcBorders>
              <w:top w:val="nil"/>
              <w:left w:val="nil"/>
              <w:bottom w:val="nil"/>
              <w:right w:val="nil"/>
            </w:tcBorders>
            <w:tcMar>
              <w:top w:w="128" w:type="dxa"/>
              <w:left w:w="43" w:type="dxa"/>
              <w:bottom w:w="43" w:type="dxa"/>
              <w:right w:w="43" w:type="dxa"/>
            </w:tcMar>
          </w:tcPr>
          <w:p w14:paraId="0BD4CC2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A9653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69CAF6B" w14:textId="77777777" w:rsidR="00575AC3" w:rsidRPr="006D40F0" w:rsidRDefault="00575AC3" w:rsidP="006D40F0">
            <w:r w:rsidRPr="006D40F0">
              <w:t>fra kr 97 000 000 til kr 83 000 000</w:t>
            </w:r>
          </w:p>
        </w:tc>
        <w:tc>
          <w:tcPr>
            <w:tcW w:w="1400" w:type="dxa"/>
            <w:tcBorders>
              <w:top w:val="nil"/>
              <w:left w:val="nil"/>
              <w:bottom w:val="nil"/>
              <w:right w:val="nil"/>
            </w:tcBorders>
            <w:tcMar>
              <w:top w:w="128" w:type="dxa"/>
              <w:left w:w="43" w:type="dxa"/>
              <w:bottom w:w="43" w:type="dxa"/>
              <w:right w:w="43" w:type="dxa"/>
            </w:tcMar>
            <w:vAlign w:val="bottom"/>
          </w:tcPr>
          <w:p w14:paraId="24027DCE" w14:textId="77777777" w:rsidR="00575AC3" w:rsidRPr="006D40F0" w:rsidRDefault="00575AC3" w:rsidP="006D40F0"/>
        </w:tc>
      </w:tr>
      <w:tr w:rsidR="00DD49A7" w:rsidRPr="006D40F0" w14:paraId="4C0377DA" w14:textId="77777777">
        <w:trPr>
          <w:trHeight w:val="640"/>
        </w:trPr>
        <w:tc>
          <w:tcPr>
            <w:tcW w:w="680" w:type="dxa"/>
            <w:tcBorders>
              <w:top w:val="nil"/>
              <w:left w:val="nil"/>
              <w:bottom w:val="nil"/>
              <w:right w:val="nil"/>
            </w:tcBorders>
            <w:tcMar>
              <w:top w:w="128" w:type="dxa"/>
              <w:left w:w="43" w:type="dxa"/>
              <w:bottom w:w="43" w:type="dxa"/>
              <w:right w:w="43" w:type="dxa"/>
            </w:tcMar>
          </w:tcPr>
          <w:p w14:paraId="532902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638E0D"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714D7E22" w14:textId="77777777" w:rsidR="00575AC3" w:rsidRPr="006D40F0" w:rsidRDefault="00575AC3" w:rsidP="006D40F0">
            <w:r w:rsidRPr="006D40F0">
              <w:t xml:space="preserve">Tilleggsstønader og stønad til skolepenger,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44ECD064" w14:textId="77777777" w:rsidR="00575AC3" w:rsidRPr="006D40F0" w:rsidRDefault="00575AC3" w:rsidP="006D40F0">
            <w:r w:rsidRPr="006D40F0">
              <w:t>4 000 000</w:t>
            </w:r>
          </w:p>
        </w:tc>
      </w:tr>
      <w:tr w:rsidR="00DD49A7" w:rsidRPr="006D40F0" w14:paraId="5608CCBB" w14:textId="77777777">
        <w:trPr>
          <w:trHeight w:val="380"/>
        </w:trPr>
        <w:tc>
          <w:tcPr>
            <w:tcW w:w="680" w:type="dxa"/>
            <w:tcBorders>
              <w:top w:val="nil"/>
              <w:left w:val="nil"/>
              <w:bottom w:val="nil"/>
              <w:right w:val="nil"/>
            </w:tcBorders>
            <w:tcMar>
              <w:top w:w="128" w:type="dxa"/>
              <w:left w:w="43" w:type="dxa"/>
              <w:bottom w:w="43" w:type="dxa"/>
              <w:right w:w="43" w:type="dxa"/>
            </w:tcMar>
          </w:tcPr>
          <w:p w14:paraId="3C19B2C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EC21D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DAC24B" w14:textId="77777777" w:rsidR="00575AC3" w:rsidRPr="006D40F0" w:rsidRDefault="00575AC3" w:rsidP="006D40F0">
            <w:r w:rsidRPr="006D40F0">
              <w:t>fra kr 18 000 000 til kr 14 000 000</w:t>
            </w:r>
          </w:p>
        </w:tc>
        <w:tc>
          <w:tcPr>
            <w:tcW w:w="1400" w:type="dxa"/>
            <w:tcBorders>
              <w:top w:val="nil"/>
              <w:left w:val="nil"/>
              <w:bottom w:val="nil"/>
              <w:right w:val="nil"/>
            </w:tcBorders>
            <w:tcMar>
              <w:top w:w="128" w:type="dxa"/>
              <w:left w:w="43" w:type="dxa"/>
              <w:bottom w:w="43" w:type="dxa"/>
              <w:right w:w="43" w:type="dxa"/>
            </w:tcMar>
            <w:vAlign w:val="bottom"/>
          </w:tcPr>
          <w:p w14:paraId="0C5C8FE4" w14:textId="77777777" w:rsidR="00575AC3" w:rsidRPr="006D40F0" w:rsidRDefault="00575AC3" w:rsidP="006D40F0"/>
        </w:tc>
      </w:tr>
      <w:tr w:rsidR="00DD49A7" w:rsidRPr="006D40F0" w14:paraId="4DE110EC" w14:textId="77777777">
        <w:trPr>
          <w:trHeight w:val="380"/>
        </w:trPr>
        <w:tc>
          <w:tcPr>
            <w:tcW w:w="680" w:type="dxa"/>
            <w:tcBorders>
              <w:top w:val="nil"/>
              <w:left w:val="nil"/>
              <w:bottom w:val="nil"/>
              <w:right w:val="nil"/>
            </w:tcBorders>
            <w:tcMar>
              <w:top w:w="128" w:type="dxa"/>
              <w:left w:w="43" w:type="dxa"/>
              <w:bottom w:w="43" w:type="dxa"/>
              <w:right w:w="43" w:type="dxa"/>
            </w:tcMar>
          </w:tcPr>
          <w:p w14:paraId="2AA316E6" w14:textId="77777777" w:rsidR="00575AC3" w:rsidRPr="006D40F0" w:rsidRDefault="00575AC3" w:rsidP="006D40F0">
            <w:r w:rsidRPr="006D40F0">
              <w:t>2650</w:t>
            </w:r>
          </w:p>
        </w:tc>
        <w:tc>
          <w:tcPr>
            <w:tcW w:w="680" w:type="dxa"/>
            <w:tcBorders>
              <w:top w:val="nil"/>
              <w:left w:val="nil"/>
              <w:bottom w:val="nil"/>
              <w:right w:val="nil"/>
            </w:tcBorders>
            <w:tcMar>
              <w:top w:w="128" w:type="dxa"/>
              <w:left w:w="43" w:type="dxa"/>
              <w:bottom w:w="43" w:type="dxa"/>
              <w:right w:w="43" w:type="dxa"/>
            </w:tcMar>
          </w:tcPr>
          <w:p w14:paraId="4DB23DC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F925C1" w14:textId="77777777" w:rsidR="00575AC3" w:rsidRPr="006D40F0" w:rsidRDefault="00575AC3" w:rsidP="006D40F0">
            <w:r w:rsidRPr="006D40F0">
              <w:t>Sykepenger:</w:t>
            </w:r>
          </w:p>
        </w:tc>
        <w:tc>
          <w:tcPr>
            <w:tcW w:w="1400" w:type="dxa"/>
            <w:tcBorders>
              <w:top w:val="nil"/>
              <w:left w:val="nil"/>
              <w:bottom w:val="nil"/>
              <w:right w:val="nil"/>
            </w:tcBorders>
            <w:tcMar>
              <w:top w:w="128" w:type="dxa"/>
              <w:left w:w="43" w:type="dxa"/>
              <w:bottom w:w="43" w:type="dxa"/>
              <w:right w:w="43" w:type="dxa"/>
            </w:tcMar>
            <w:vAlign w:val="bottom"/>
          </w:tcPr>
          <w:p w14:paraId="762A3FDE" w14:textId="77777777" w:rsidR="00575AC3" w:rsidRPr="006D40F0" w:rsidRDefault="00575AC3" w:rsidP="006D40F0"/>
        </w:tc>
      </w:tr>
      <w:tr w:rsidR="00DD49A7" w:rsidRPr="006D40F0" w14:paraId="3CA2CFD3" w14:textId="77777777">
        <w:trPr>
          <w:trHeight w:val="380"/>
        </w:trPr>
        <w:tc>
          <w:tcPr>
            <w:tcW w:w="680" w:type="dxa"/>
            <w:tcBorders>
              <w:top w:val="nil"/>
              <w:left w:val="nil"/>
              <w:bottom w:val="nil"/>
              <w:right w:val="nil"/>
            </w:tcBorders>
            <w:tcMar>
              <w:top w:w="128" w:type="dxa"/>
              <w:left w:w="43" w:type="dxa"/>
              <w:bottom w:w="43" w:type="dxa"/>
              <w:right w:w="43" w:type="dxa"/>
            </w:tcMar>
          </w:tcPr>
          <w:p w14:paraId="4E530F8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87165D"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071DEB4" w14:textId="77777777" w:rsidR="00575AC3" w:rsidRPr="006D40F0" w:rsidRDefault="00575AC3" w:rsidP="006D40F0">
            <w:r w:rsidRPr="006D40F0">
              <w:t xml:space="preserve">Sykepenger for arbeidstakere mv.,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B796EF7" w14:textId="77777777" w:rsidR="00575AC3" w:rsidRPr="006D40F0" w:rsidRDefault="00575AC3" w:rsidP="006D40F0">
            <w:r w:rsidRPr="006D40F0">
              <w:t>3 040 000 000</w:t>
            </w:r>
          </w:p>
        </w:tc>
      </w:tr>
      <w:tr w:rsidR="00DD49A7" w:rsidRPr="006D40F0" w14:paraId="4EBBF9D9" w14:textId="77777777">
        <w:trPr>
          <w:trHeight w:val="380"/>
        </w:trPr>
        <w:tc>
          <w:tcPr>
            <w:tcW w:w="680" w:type="dxa"/>
            <w:tcBorders>
              <w:top w:val="nil"/>
              <w:left w:val="nil"/>
              <w:bottom w:val="nil"/>
              <w:right w:val="nil"/>
            </w:tcBorders>
            <w:tcMar>
              <w:top w:w="128" w:type="dxa"/>
              <w:left w:w="43" w:type="dxa"/>
              <w:bottom w:w="43" w:type="dxa"/>
              <w:right w:w="43" w:type="dxa"/>
            </w:tcMar>
          </w:tcPr>
          <w:p w14:paraId="4D0BA02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0CC5F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F13C350" w14:textId="77777777" w:rsidR="00575AC3" w:rsidRPr="006D40F0" w:rsidRDefault="00575AC3" w:rsidP="006D40F0">
            <w:r w:rsidRPr="006D40F0">
              <w:t>fra kr 54 350 000 000 til kr 57 390 000 000</w:t>
            </w:r>
          </w:p>
        </w:tc>
        <w:tc>
          <w:tcPr>
            <w:tcW w:w="1400" w:type="dxa"/>
            <w:tcBorders>
              <w:top w:val="nil"/>
              <w:left w:val="nil"/>
              <w:bottom w:val="nil"/>
              <w:right w:val="nil"/>
            </w:tcBorders>
            <w:tcMar>
              <w:top w:w="128" w:type="dxa"/>
              <w:left w:w="43" w:type="dxa"/>
              <w:bottom w:w="43" w:type="dxa"/>
              <w:right w:w="43" w:type="dxa"/>
            </w:tcMar>
            <w:vAlign w:val="bottom"/>
          </w:tcPr>
          <w:p w14:paraId="4438B672" w14:textId="77777777" w:rsidR="00575AC3" w:rsidRPr="006D40F0" w:rsidRDefault="00575AC3" w:rsidP="006D40F0"/>
        </w:tc>
      </w:tr>
      <w:tr w:rsidR="00DD49A7" w:rsidRPr="006D40F0" w14:paraId="1EE8456A" w14:textId="77777777">
        <w:trPr>
          <w:trHeight w:val="380"/>
        </w:trPr>
        <w:tc>
          <w:tcPr>
            <w:tcW w:w="680" w:type="dxa"/>
            <w:tcBorders>
              <w:top w:val="nil"/>
              <w:left w:val="nil"/>
              <w:bottom w:val="nil"/>
              <w:right w:val="nil"/>
            </w:tcBorders>
            <w:tcMar>
              <w:top w:w="128" w:type="dxa"/>
              <w:left w:w="43" w:type="dxa"/>
              <w:bottom w:w="43" w:type="dxa"/>
              <w:right w:w="43" w:type="dxa"/>
            </w:tcMar>
          </w:tcPr>
          <w:p w14:paraId="1C6CC9C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85D03B"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C92215A" w14:textId="77777777" w:rsidR="00575AC3" w:rsidRPr="006D40F0" w:rsidRDefault="00575AC3" w:rsidP="006D40F0">
            <w:r w:rsidRPr="006D40F0">
              <w:t xml:space="preserve">Sykepenger for selvstendige,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D166332" w14:textId="77777777" w:rsidR="00575AC3" w:rsidRPr="006D40F0" w:rsidRDefault="00575AC3" w:rsidP="006D40F0">
            <w:r w:rsidRPr="006D40F0">
              <w:t>140 000 000</w:t>
            </w:r>
          </w:p>
        </w:tc>
      </w:tr>
      <w:tr w:rsidR="00DD49A7" w:rsidRPr="006D40F0" w14:paraId="54FE60FB" w14:textId="77777777">
        <w:trPr>
          <w:trHeight w:val="380"/>
        </w:trPr>
        <w:tc>
          <w:tcPr>
            <w:tcW w:w="680" w:type="dxa"/>
            <w:tcBorders>
              <w:top w:val="nil"/>
              <w:left w:val="nil"/>
              <w:bottom w:val="nil"/>
              <w:right w:val="nil"/>
            </w:tcBorders>
            <w:tcMar>
              <w:top w:w="128" w:type="dxa"/>
              <w:left w:w="43" w:type="dxa"/>
              <w:bottom w:w="43" w:type="dxa"/>
              <w:right w:w="43" w:type="dxa"/>
            </w:tcMar>
          </w:tcPr>
          <w:p w14:paraId="4FBBBB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185FA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21A74AA" w14:textId="77777777" w:rsidR="00575AC3" w:rsidRPr="006D40F0" w:rsidRDefault="00575AC3" w:rsidP="006D40F0">
            <w:r w:rsidRPr="006D40F0">
              <w:t>fra kr 1 660 000 000 til kr 1 800 000 000</w:t>
            </w:r>
          </w:p>
        </w:tc>
        <w:tc>
          <w:tcPr>
            <w:tcW w:w="1400" w:type="dxa"/>
            <w:tcBorders>
              <w:top w:val="nil"/>
              <w:left w:val="nil"/>
              <w:bottom w:val="nil"/>
              <w:right w:val="nil"/>
            </w:tcBorders>
            <w:tcMar>
              <w:top w:w="128" w:type="dxa"/>
              <w:left w:w="43" w:type="dxa"/>
              <w:bottom w:w="43" w:type="dxa"/>
              <w:right w:w="43" w:type="dxa"/>
            </w:tcMar>
            <w:vAlign w:val="bottom"/>
          </w:tcPr>
          <w:p w14:paraId="7BFA8648" w14:textId="77777777" w:rsidR="00575AC3" w:rsidRPr="006D40F0" w:rsidRDefault="00575AC3" w:rsidP="006D40F0"/>
        </w:tc>
      </w:tr>
      <w:tr w:rsidR="00DD49A7" w:rsidRPr="006D40F0" w14:paraId="61DC3EBC" w14:textId="77777777">
        <w:trPr>
          <w:trHeight w:val="640"/>
        </w:trPr>
        <w:tc>
          <w:tcPr>
            <w:tcW w:w="680" w:type="dxa"/>
            <w:tcBorders>
              <w:top w:val="nil"/>
              <w:left w:val="nil"/>
              <w:bottom w:val="nil"/>
              <w:right w:val="nil"/>
            </w:tcBorders>
            <w:tcMar>
              <w:top w:w="128" w:type="dxa"/>
              <w:left w:w="43" w:type="dxa"/>
              <w:bottom w:w="43" w:type="dxa"/>
              <w:right w:w="43" w:type="dxa"/>
            </w:tcMar>
          </w:tcPr>
          <w:p w14:paraId="3DDB5B8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52CB18"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3A462006" w14:textId="77777777" w:rsidR="00575AC3" w:rsidRPr="006D40F0" w:rsidRDefault="00575AC3" w:rsidP="006D40F0">
            <w:r w:rsidRPr="006D40F0">
              <w:t xml:space="preserve">Pleie-, opplærings- og omsorgspenger mv.,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2F476AE2" w14:textId="77777777" w:rsidR="00575AC3" w:rsidRPr="006D40F0" w:rsidRDefault="00575AC3" w:rsidP="006D40F0">
            <w:r w:rsidRPr="006D40F0">
              <w:t>20 000 000</w:t>
            </w:r>
          </w:p>
        </w:tc>
      </w:tr>
      <w:tr w:rsidR="00DD49A7" w:rsidRPr="006D40F0" w14:paraId="5D294F21" w14:textId="77777777">
        <w:trPr>
          <w:trHeight w:val="380"/>
        </w:trPr>
        <w:tc>
          <w:tcPr>
            <w:tcW w:w="680" w:type="dxa"/>
            <w:tcBorders>
              <w:top w:val="nil"/>
              <w:left w:val="nil"/>
              <w:bottom w:val="nil"/>
              <w:right w:val="nil"/>
            </w:tcBorders>
            <w:tcMar>
              <w:top w:w="128" w:type="dxa"/>
              <w:left w:w="43" w:type="dxa"/>
              <w:bottom w:w="43" w:type="dxa"/>
              <w:right w:w="43" w:type="dxa"/>
            </w:tcMar>
          </w:tcPr>
          <w:p w14:paraId="595F9BF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EE711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D75B249" w14:textId="77777777" w:rsidR="00575AC3" w:rsidRPr="006D40F0" w:rsidRDefault="00575AC3" w:rsidP="006D40F0">
            <w:r w:rsidRPr="006D40F0">
              <w:t>fra kr 2 890 000 000 til kr 2 910 000 000</w:t>
            </w:r>
          </w:p>
        </w:tc>
        <w:tc>
          <w:tcPr>
            <w:tcW w:w="1400" w:type="dxa"/>
            <w:tcBorders>
              <w:top w:val="nil"/>
              <w:left w:val="nil"/>
              <w:bottom w:val="nil"/>
              <w:right w:val="nil"/>
            </w:tcBorders>
            <w:tcMar>
              <w:top w:w="128" w:type="dxa"/>
              <w:left w:w="43" w:type="dxa"/>
              <w:bottom w:w="43" w:type="dxa"/>
              <w:right w:w="43" w:type="dxa"/>
            </w:tcMar>
            <w:vAlign w:val="bottom"/>
          </w:tcPr>
          <w:p w14:paraId="17456B12" w14:textId="77777777" w:rsidR="00575AC3" w:rsidRPr="006D40F0" w:rsidRDefault="00575AC3" w:rsidP="006D40F0"/>
        </w:tc>
      </w:tr>
      <w:tr w:rsidR="00DD49A7" w:rsidRPr="006D40F0" w14:paraId="05E51215" w14:textId="77777777">
        <w:trPr>
          <w:trHeight w:val="380"/>
        </w:trPr>
        <w:tc>
          <w:tcPr>
            <w:tcW w:w="680" w:type="dxa"/>
            <w:tcBorders>
              <w:top w:val="nil"/>
              <w:left w:val="nil"/>
              <w:bottom w:val="nil"/>
              <w:right w:val="nil"/>
            </w:tcBorders>
            <w:tcMar>
              <w:top w:w="128" w:type="dxa"/>
              <w:left w:w="43" w:type="dxa"/>
              <w:bottom w:w="43" w:type="dxa"/>
              <w:right w:w="43" w:type="dxa"/>
            </w:tcMar>
          </w:tcPr>
          <w:p w14:paraId="14CD8A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4D8841"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3571000D" w14:textId="77777777" w:rsidR="00575AC3" w:rsidRPr="006D40F0" w:rsidRDefault="00575AC3" w:rsidP="006D40F0">
            <w:r w:rsidRPr="006D40F0">
              <w:t xml:space="preserve">Feriepenger av sykepenger,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B1BD5C7" w14:textId="77777777" w:rsidR="00575AC3" w:rsidRPr="006D40F0" w:rsidRDefault="00575AC3" w:rsidP="006D40F0">
            <w:r w:rsidRPr="006D40F0">
              <w:t>150 000 000</w:t>
            </w:r>
          </w:p>
        </w:tc>
      </w:tr>
      <w:tr w:rsidR="00DD49A7" w:rsidRPr="006D40F0" w14:paraId="418D150C" w14:textId="77777777">
        <w:trPr>
          <w:trHeight w:val="380"/>
        </w:trPr>
        <w:tc>
          <w:tcPr>
            <w:tcW w:w="680" w:type="dxa"/>
            <w:tcBorders>
              <w:top w:val="nil"/>
              <w:left w:val="nil"/>
              <w:bottom w:val="nil"/>
              <w:right w:val="nil"/>
            </w:tcBorders>
            <w:tcMar>
              <w:top w:w="128" w:type="dxa"/>
              <w:left w:w="43" w:type="dxa"/>
              <w:bottom w:w="43" w:type="dxa"/>
              <w:right w:w="43" w:type="dxa"/>
            </w:tcMar>
          </w:tcPr>
          <w:p w14:paraId="3FF35A7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E3435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9BBAA6" w14:textId="77777777" w:rsidR="00575AC3" w:rsidRPr="006D40F0" w:rsidRDefault="00575AC3" w:rsidP="006D40F0">
            <w:r w:rsidRPr="006D40F0">
              <w:t>fra kr 3 240 000 000 til kr 3 390 000 000</w:t>
            </w:r>
          </w:p>
        </w:tc>
        <w:tc>
          <w:tcPr>
            <w:tcW w:w="1400" w:type="dxa"/>
            <w:tcBorders>
              <w:top w:val="nil"/>
              <w:left w:val="nil"/>
              <w:bottom w:val="nil"/>
              <w:right w:val="nil"/>
            </w:tcBorders>
            <w:tcMar>
              <w:top w:w="128" w:type="dxa"/>
              <w:left w:w="43" w:type="dxa"/>
              <w:bottom w:w="43" w:type="dxa"/>
              <w:right w:w="43" w:type="dxa"/>
            </w:tcMar>
            <w:vAlign w:val="bottom"/>
          </w:tcPr>
          <w:p w14:paraId="33543BF6" w14:textId="77777777" w:rsidR="00575AC3" w:rsidRPr="006D40F0" w:rsidRDefault="00575AC3" w:rsidP="006D40F0"/>
        </w:tc>
      </w:tr>
      <w:tr w:rsidR="00DD49A7" w:rsidRPr="006D40F0" w14:paraId="5EA3667F" w14:textId="77777777">
        <w:trPr>
          <w:trHeight w:val="380"/>
        </w:trPr>
        <w:tc>
          <w:tcPr>
            <w:tcW w:w="680" w:type="dxa"/>
            <w:tcBorders>
              <w:top w:val="nil"/>
              <w:left w:val="nil"/>
              <w:bottom w:val="nil"/>
              <w:right w:val="nil"/>
            </w:tcBorders>
            <w:tcMar>
              <w:top w:w="128" w:type="dxa"/>
              <w:left w:w="43" w:type="dxa"/>
              <w:bottom w:w="43" w:type="dxa"/>
              <w:right w:w="43" w:type="dxa"/>
            </w:tcMar>
          </w:tcPr>
          <w:p w14:paraId="5C6D4E8A" w14:textId="77777777" w:rsidR="00575AC3" w:rsidRPr="006D40F0" w:rsidRDefault="00575AC3" w:rsidP="006D40F0">
            <w:r w:rsidRPr="006D40F0">
              <w:t>2651</w:t>
            </w:r>
          </w:p>
        </w:tc>
        <w:tc>
          <w:tcPr>
            <w:tcW w:w="680" w:type="dxa"/>
            <w:tcBorders>
              <w:top w:val="nil"/>
              <w:left w:val="nil"/>
              <w:bottom w:val="nil"/>
              <w:right w:val="nil"/>
            </w:tcBorders>
            <w:tcMar>
              <w:top w:w="128" w:type="dxa"/>
              <w:left w:w="43" w:type="dxa"/>
              <w:bottom w:w="43" w:type="dxa"/>
              <w:right w:w="43" w:type="dxa"/>
            </w:tcMar>
          </w:tcPr>
          <w:p w14:paraId="686AF48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33A433" w14:textId="77777777" w:rsidR="00575AC3" w:rsidRPr="006D40F0" w:rsidRDefault="00575AC3" w:rsidP="006D40F0">
            <w:r w:rsidRPr="006D40F0">
              <w:t>Arbeidsavklaringspenger:</w:t>
            </w:r>
          </w:p>
        </w:tc>
        <w:tc>
          <w:tcPr>
            <w:tcW w:w="1400" w:type="dxa"/>
            <w:tcBorders>
              <w:top w:val="nil"/>
              <w:left w:val="nil"/>
              <w:bottom w:val="nil"/>
              <w:right w:val="nil"/>
            </w:tcBorders>
            <w:tcMar>
              <w:top w:w="128" w:type="dxa"/>
              <w:left w:w="43" w:type="dxa"/>
              <w:bottom w:w="43" w:type="dxa"/>
              <w:right w:w="43" w:type="dxa"/>
            </w:tcMar>
            <w:vAlign w:val="bottom"/>
          </w:tcPr>
          <w:p w14:paraId="5A2F2B77" w14:textId="77777777" w:rsidR="00575AC3" w:rsidRPr="006D40F0" w:rsidRDefault="00575AC3" w:rsidP="006D40F0"/>
        </w:tc>
      </w:tr>
      <w:tr w:rsidR="00DD49A7" w:rsidRPr="006D40F0" w14:paraId="3C55A72B" w14:textId="77777777">
        <w:trPr>
          <w:trHeight w:val="380"/>
        </w:trPr>
        <w:tc>
          <w:tcPr>
            <w:tcW w:w="680" w:type="dxa"/>
            <w:tcBorders>
              <w:top w:val="nil"/>
              <w:left w:val="nil"/>
              <w:bottom w:val="nil"/>
              <w:right w:val="nil"/>
            </w:tcBorders>
            <w:tcMar>
              <w:top w:w="128" w:type="dxa"/>
              <w:left w:w="43" w:type="dxa"/>
              <w:bottom w:w="43" w:type="dxa"/>
              <w:right w:w="43" w:type="dxa"/>
            </w:tcMar>
          </w:tcPr>
          <w:p w14:paraId="3D9FF00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C8FB5D"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285FF40E" w14:textId="77777777" w:rsidR="00575AC3" w:rsidRPr="006D40F0" w:rsidRDefault="00575AC3" w:rsidP="006D40F0">
            <w:r w:rsidRPr="006D40F0">
              <w:t xml:space="preserve">Arbeidsavklaringspenger,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4228BB1" w14:textId="77777777" w:rsidR="00575AC3" w:rsidRPr="006D40F0" w:rsidRDefault="00575AC3" w:rsidP="006D40F0">
            <w:r w:rsidRPr="006D40F0">
              <w:t>1 516 800 000</w:t>
            </w:r>
          </w:p>
        </w:tc>
      </w:tr>
      <w:tr w:rsidR="00DD49A7" w:rsidRPr="006D40F0" w14:paraId="54CCBE38" w14:textId="77777777">
        <w:trPr>
          <w:trHeight w:val="380"/>
        </w:trPr>
        <w:tc>
          <w:tcPr>
            <w:tcW w:w="680" w:type="dxa"/>
            <w:tcBorders>
              <w:top w:val="nil"/>
              <w:left w:val="nil"/>
              <w:bottom w:val="nil"/>
              <w:right w:val="nil"/>
            </w:tcBorders>
            <w:tcMar>
              <w:top w:w="128" w:type="dxa"/>
              <w:left w:w="43" w:type="dxa"/>
              <w:bottom w:w="43" w:type="dxa"/>
              <w:right w:w="43" w:type="dxa"/>
            </w:tcMar>
          </w:tcPr>
          <w:p w14:paraId="3CFAFA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6357D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2CAFD7" w14:textId="77777777" w:rsidR="00575AC3" w:rsidRPr="006D40F0" w:rsidRDefault="00575AC3" w:rsidP="006D40F0">
            <w:r w:rsidRPr="006D40F0">
              <w:t>fra kr 44 233 200 000 til kr 45 750 000 000</w:t>
            </w:r>
          </w:p>
        </w:tc>
        <w:tc>
          <w:tcPr>
            <w:tcW w:w="1400" w:type="dxa"/>
            <w:tcBorders>
              <w:top w:val="nil"/>
              <w:left w:val="nil"/>
              <w:bottom w:val="nil"/>
              <w:right w:val="nil"/>
            </w:tcBorders>
            <w:tcMar>
              <w:top w:w="128" w:type="dxa"/>
              <w:left w:w="43" w:type="dxa"/>
              <w:bottom w:w="43" w:type="dxa"/>
              <w:right w:w="43" w:type="dxa"/>
            </w:tcMar>
            <w:vAlign w:val="bottom"/>
          </w:tcPr>
          <w:p w14:paraId="6E628672" w14:textId="77777777" w:rsidR="00575AC3" w:rsidRPr="006D40F0" w:rsidRDefault="00575AC3" w:rsidP="006D40F0"/>
        </w:tc>
      </w:tr>
      <w:tr w:rsidR="00DD49A7" w:rsidRPr="006D40F0" w14:paraId="7BD71C61" w14:textId="77777777">
        <w:trPr>
          <w:trHeight w:val="380"/>
        </w:trPr>
        <w:tc>
          <w:tcPr>
            <w:tcW w:w="680" w:type="dxa"/>
            <w:tcBorders>
              <w:top w:val="nil"/>
              <w:left w:val="nil"/>
              <w:bottom w:val="nil"/>
              <w:right w:val="nil"/>
            </w:tcBorders>
            <w:tcMar>
              <w:top w:w="128" w:type="dxa"/>
              <w:left w:w="43" w:type="dxa"/>
              <w:bottom w:w="43" w:type="dxa"/>
              <w:right w:w="43" w:type="dxa"/>
            </w:tcMar>
          </w:tcPr>
          <w:p w14:paraId="4DAA5F7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1CE1AD"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B0A58FB" w14:textId="77777777" w:rsidR="00575AC3" w:rsidRPr="006D40F0" w:rsidRDefault="00575AC3" w:rsidP="006D40F0">
            <w:r w:rsidRPr="006D40F0">
              <w:t xml:space="preserve">Tilleggsstønad,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7045252" w14:textId="77777777" w:rsidR="00575AC3" w:rsidRPr="006D40F0" w:rsidRDefault="00575AC3" w:rsidP="006D40F0">
            <w:r w:rsidRPr="006D40F0">
              <w:t>13 000 000</w:t>
            </w:r>
          </w:p>
        </w:tc>
      </w:tr>
      <w:tr w:rsidR="00DD49A7" w:rsidRPr="006D40F0" w14:paraId="417C2BFD" w14:textId="77777777">
        <w:trPr>
          <w:trHeight w:val="380"/>
        </w:trPr>
        <w:tc>
          <w:tcPr>
            <w:tcW w:w="680" w:type="dxa"/>
            <w:tcBorders>
              <w:top w:val="nil"/>
              <w:left w:val="nil"/>
              <w:bottom w:val="nil"/>
              <w:right w:val="nil"/>
            </w:tcBorders>
            <w:tcMar>
              <w:top w:w="128" w:type="dxa"/>
              <w:left w:w="43" w:type="dxa"/>
              <w:bottom w:w="43" w:type="dxa"/>
              <w:right w:w="43" w:type="dxa"/>
            </w:tcMar>
          </w:tcPr>
          <w:p w14:paraId="0668BA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C8F9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B057009" w14:textId="77777777" w:rsidR="00575AC3" w:rsidRPr="006D40F0" w:rsidRDefault="00575AC3" w:rsidP="006D40F0">
            <w:r w:rsidRPr="006D40F0">
              <w:t>fra kr 145 000 000 til kr 132 000 000</w:t>
            </w:r>
          </w:p>
        </w:tc>
        <w:tc>
          <w:tcPr>
            <w:tcW w:w="1400" w:type="dxa"/>
            <w:tcBorders>
              <w:top w:val="nil"/>
              <w:left w:val="nil"/>
              <w:bottom w:val="nil"/>
              <w:right w:val="nil"/>
            </w:tcBorders>
            <w:tcMar>
              <w:top w:w="128" w:type="dxa"/>
              <w:left w:w="43" w:type="dxa"/>
              <w:bottom w:w="43" w:type="dxa"/>
              <w:right w:w="43" w:type="dxa"/>
            </w:tcMar>
            <w:vAlign w:val="bottom"/>
          </w:tcPr>
          <w:p w14:paraId="6AA7C6A2" w14:textId="77777777" w:rsidR="00575AC3" w:rsidRPr="006D40F0" w:rsidRDefault="00575AC3" w:rsidP="006D40F0"/>
        </w:tc>
      </w:tr>
      <w:tr w:rsidR="00DD49A7" w:rsidRPr="006D40F0" w14:paraId="197DBB70" w14:textId="77777777">
        <w:trPr>
          <w:trHeight w:val="380"/>
        </w:trPr>
        <w:tc>
          <w:tcPr>
            <w:tcW w:w="680" w:type="dxa"/>
            <w:tcBorders>
              <w:top w:val="nil"/>
              <w:left w:val="nil"/>
              <w:bottom w:val="nil"/>
              <w:right w:val="nil"/>
            </w:tcBorders>
            <w:tcMar>
              <w:top w:w="128" w:type="dxa"/>
              <w:left w:w="43" w:type="dxa"/>
              <w:bottom w:w="43" w:type="dxa"/>
              <w:right w:w="43" w:type="dxa"/>
            </w:tcMar>
          </w:tcPr>
          <w:p w14:paraId="53B05B68" w14:textId="77777777" w:rsidR="00575AC3" w:rsidRPr="006D40F0" w:rsidRDefault="00575AC3" w:rsidP="006D40F0">
            <w:r w:rsidRPr="006D40F0">
              <w:t>2655</w:t>
            </w:r>
          </w:p>
        </w:tc>
        <w:tc>
          <w:tcPr>
            <w:tcW w:w="680" w:type="dxa"/>
            <w:tcBorders>
              <w:top w:val="nil"/>
              <w:left w:val="nil"/>
              <w:bottom w:val="nil"/>
              <w:right w:val="nil"/>
            </w:tcBorders>
            <w:tcMar>
              <w:top w:w="128" w:type="dxa"/>
              <w:left w:w="43" w:type="dxa"/>
              <w:bottom w:w="43" w:type="dxa"/>
              <w:right w:w="43" w:type="dxa"/>
            </w:tcMar>
          </w:tcPr>
          <w:p w14:paraId="2FAF7E1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854C56" w14:textId="77777777" w:rsidR="00575AC3" w:rsidRPr="006D40F0" w:rsidRDefault="00575AC3" w:rsidP="006D40F0">
            <w:r w:rsidRPr="006D40F0">
              <w:t>Uførhet:</w:t>
            </w:r>
          </w:p>
        </w:tc>
        <w:tc>
          <w:tcPr>
            <w:tcW w:w="1400" w:type="dxa"/>
            <w:tcBorders>
              <w:top w:val="nil"/>
              <w:left w:val="nil"/>
              <w:bottom w:val="nil"/>
              <w:right w:val="nil"/>
            </w:tcBorders>
            <w:tcMar>
              <w:top w:w="128" w:type="dxa"/>
              <w:left w:w="43" w:type="dxa"/>
              <w:bottom w:w="43" w:type="dxa"/>
              <w:right w:w="43" w:type="dxa"/>
            </w:tcMar>
            <w:vAlign w:val="bottom"/>
          </w:tcPr>
          <w:p w14:paraId="66CE757A" w14:textId="77777777" w:rsidR="00575AC3" w:rsidRPr="006D40F0" w:rsidRDefault="00575AC3" w:rsidP="006D40F0"/>
        </w:tc>
      </w:tr>
      <w:tr w:rsidR="00DD49A7" w:rsidRPr="006D40F0" w14:paraId="2AC8CBA6" w14:textId="77777777">
        <w:trPr>
          <w:trHeight w:val="380"/>
        </w:trPr>
        <w:tc>
          <w:tcPr>
            <w:tcW w:w="680" w:type="dxa"/>
            <w:tcBorders>
              <w:top w:val="nil"/>
              <w:left w:val="nil"/>
              <w:bottom w:val="nil"/>
              <w:right w:val="nil"/>
            </w:tcBorders>
            <w:tcMar>
              <w:top w:w="128" w:type="dxa"/>
              <w:left w:w="43" w:type="dxa"/>
              <w:bottom w:w="43" w:type="dxa"/>
              <w:right w:w="43" w:type="dxa"/>
            </w:tcMar>
          </w:tcPr>
          <w:p w14:paraId="078C83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4A3F1A4"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079F51A" w14:textId="77777777" w:rsidR="00575AC3" w:rsidRPr="006D40F0" w:rsidRDefault="00575AC3" w:rsidP="006D40F0">
            <w:r w:rsidRPr="006D40F0">
              <w:t xml:space="preserve">Uføretrygd,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31BC95BA" w14:textId="77777777" w:rsidR="00575AC3" w:rsidRPr="006D40F0" w:rsidRDefault="00575AC3" w:rsidP="006D40F0">
            <w:r w:rsidRPr="006D40F0">
              <w:t>1 180 000 000</w:t>
            </w:r>
          </w:p>
        </w:tc>
      </w:tr>
      <w:tr w:rsidR="00DD49A7" w:rsidRPr="006D40F0" w14:paraId="5F5FC7CB" w14:textId="77777777">
        <w:trPr>
          <w:trHeight w:val="380"/>
        </w:trPr>
        <w:tc>
          <w:tcPr>
            <w:tcW w:w="680" w:type="dxa"/>
            <w:tcBorders>
              <w:top w:val="nil"/>
              <w:left w:val="nil"/>
              <w:bottom w:val="nil"/>
              <w:right w:val="nil"/>
            </w:tcBorders>
            <w:tcMar>
              <w:top w:w="128" w:type="dxa"/>
              <w:left w:w="43" w:type="dxa"/>
              <w:bottom w:w="43" w:type="dxa"/>
              <w:right w:w="43" w:type="dxa"/>
            </w:tcMar>
          </w:tcPr>
          <w:p w14:paraId="7439794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BEF11D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D8CCFB4" w14:textId="77777777" w:rsidR="00575AC3" w:rsidRPr="006D40F0" w:rsidRDefault="00575AC3" w:rsidP="006D40F0">
            <w:r w:rsidRPr="006D40F0">
              <w:t>fra kr 125 980 000 000 til kr 124 800 000 000</w:t>
            </w:r>
          </w:p>
        </w:tc>
        <w:tc>
          <w:tcPr>
            <w:tcW w:w="1400" w:type="dxa"/>
            <w:tcBorders>
              <w:top w:val="nil"/>
              <w:left w:val="nil"/>
              <w:bottom w:val="nil"/>
              <w:right w:val="nil"/>
            </w:tcBorders>
            <w:tcMar>
              <w:top w:w="128" w:type="dxa"/>
              <w:left w:w="43" w:type="dxa"/>
              <w:bottom w:w="43" w:type="dxa"/>
              <w:right w:w="43" w:type="dxa"/>
            </w:tcMar>
            <w:vAlign w:val="bottom"/>
          </w:tcPr>
          <w:p w14:paraId="1E0921BB" w14:textId="77777777" w:rsidR="00575AC3" w:rsidRPr="006D40F0" w:rsidRDefault="00575AC3" w:rsidP="006D40F0"/>
        </w:tc>
      </w:tr>
      <w:tr w:rsidR="00DD49A7" w:rsidRPr="006D40F0" w14:paraId="2240DC45" w14:textId="77777777">
        <w:trPr>
          <w:trHeight w:val="380"/>
        </w:trPr>
        <w:tc>
          <w:tcPr>
            <w:tcW w:w="680" w:type="dxa"/>
            <w:tcBorders>
              <w:top w:val="nil"/>
              <w:left w:val="nil"/>
              <w:bottom w:val="nil"/>
              <w:right w:val="nil"/>
            </w:tcBorders>
            <w:tcMar>
              <w:top w:w="128" w:type="dxa"/>
              <w:left w:w="43" w:type="dxa"/>
              <w:bottom w:w="43" w:type="dxa"/>
              <w:right w:w="43" w:type="dxa"/>
            </w:tcMar>
          </w:tcPr>
          <w:p w14:paraId="78808DC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CD40F2"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3B4182C5" w14:textId="77777777" w:rsidR="00575AC3" w:rsidRPr="006D40F0" w:rsidRDefault="00575AC3" w:rsidP="006D40F0">
            <w:r w:rsidRPr="006D40F0">
              <w:t xml:space="preserve">Menerstatning ved yrkesskade,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B4286F9" w14:textId="77777777" w:rsidR="00575AC3" w:rsidRPr="006D40F0" w:rsidRDefault="00575AC3" w:rsidP="006D40F0">
            <w:r w:rsidRPr="006D40F0">
              <w:t>16 000 000</w:t>
            </w:r>
          </w:p>
        </w:tc>
      </w:tr>
      <w:tr w:rsidR="00DD49A7" w:rsidRPr="006D40F0" w14:paraId="7F0FDD67" w14:textId="77777777">
        <w:trPr>
          <w:trHeight w:val="380"/>
        </w:trPr>
        <w:tc>
          <w:tcPr>
            <w:tcW w:w="680" w:type="dxa"/>
            <w:tcBorders>
              <w:top w:val="nil"/>
              <w:left w:val="nil"/>
              <w:bottom w:val="nil"/>
              <w:right w:val="nil"/>
            </w:tcBorders>
            <w:tcMar>
              <w:top w:w="128" w:type="dxa"/>
              <w:left w:w="43" w:type="dxa"/>
              <w:bottom w:w="43" w:type="dxa"/>
              <w:right w:w="43" w:type="dxa"/>
            </w:tcMar>
          </w:tcPr>
          <w:p w14:paraId="2D4F066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B668C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DD6FD5" w14:textId="77777777" w:rsidR="00575AC3" w:rsidRPr="006D40F0" w:rsidRDefault="00575AC3" w:rsidP="006D40F0">
            <w:r w:rsidRPr="006D40F0">
              <w:t>fra kr 94 000 000 til kr 78 000 000</w:t>
            </w:r>
          </w:p>
        </w:tc>
        <w:tc>
          <w:tcPr>
            <w:tcW w:w="1400" w:type="dxa"/>
            <w:tcBorders>
              <w:top w:val="nil"/>
              <w:left w:val="nil"/>
              <w:bottom w:val="nil"/>
              <w:right w:val="nil"/>
            </w:tcBorders>
            <w:tcMar>
              <w:top w:w="128" w:type="dxa"/>
              <w:left w:w="43" w:type="dxa"/>
              <w:bottom w:w="43" w:type="dxa"/>
              <w:right w:w="43" w:type="dxa"/>
            </w:tcMar>
            <w:vAlign w:val="bottom"/>
          </w:tcPr>
          <w:p w14:paraId="5D180F4D" w14:textId="77777777" w:rsidR="00575AC3" w:rsidRPr="006D40F0" w:rsidRDefault="00575AC3" w:rsidP="006D40F0"/>
        </w:tc>
      </w:tr>
      <w:tr w:rsidR="00DD49A7" w:rsidRPr="006D40F0" w14:paraId="5BE633BD" w14:textId="77777777">
        <w:trPr>
          <w:trHeight w:val="380"/>
        </w:trPr>
        <w:tc>
          <w:tcPr>
            <w:tcW w:w="680" w:type="dxa"/>
            <w:tcBorders>
              <w:top w:val="nil"/>
              <w:left w:val="nil"/>
              <w:bottom w:val="nil"/>
              <w:right w:val="nil"/>
            </w:tcBorders>
            <w:tcMar>
              <w:top w:w="128" w:type="dxa"/>
              <w:left w:w="43" w:type="dxa"/>
              <w:bottom w:w="43" w:type="dxa"/>
              <w:right w:w="43" w:type="dxa"/>
            </w:tcMar>
          </w:tcPr>
          <w:p w14:paraId="1EADAFDB" w14:textId="77777777" w:rsidR="00575AC3" w:rsidRPr="006D40F0" w:rsidRDefault="00575AC3" w:rsidP="006D40F0">
            <w:r w:rsidRPr="006D40F0">
              <w:t>2661</w:t>
            </w:r>
          </w:p>
        </w:tc>
        <w:tc>
          <w:tcPr>
            <w:tcW w:w="680" w:type="dxa"/>
            <w:tcBorders>
              <w:top w:val="nil"/>
              <w:left w:val="nil"/>
              <w:bottom w:val="nil"/>
              <w:right w:val="nil"/>
            </w:tcBorders>
            <w:tcMar>
              <w:top w:w="128" w:type="dxa"/>
              <w:left w:w="43" w:type="dxa"/>
              <w:bottom w:w="43" w:type="dxa"/>
              <w:right w:w="43" w:type="dxa"/>
            </w:tcMar>
          </w:tcPr>
          <w:p w14:paraId="08402C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003F40" w14:textId="77777777" w:rsidR="00575AC3" w:rsidRPr="006D40F0" w:rsidRDefault="00575AC3" w:rsidP="006D40F0">
            <w:r w:rsidRPr="006D40F0">
              <w:t>Grunn- og hjelpestønad, hjelpemidler mv.:</w:t>
            </w:r>
          </w:p>
        </w:tc>
        <w:tc>
          <w:tcPr>
            <w:tcW w:w="1400" w:type="dxa"/>
            <w:tcBorders>
              <w:top w:val="nil"/>
              <w:left w:val="nil"/>
              <w:bottom w:val="nil"/>
              <w:right w:val="nil"/>
            </w:tcBorders>
            <w:tcMar>
              <w:top w:w="128" w:type="dxa"/>
              <w:left w:w="43" w:type="dxa"/>
              <w:bottom w:w="43" w:type="dxa"/>
              <w:right w:w="43" w:type="dxa"/>
            </w:tcMar>
            <w:vAlign w:val="bottom"/>
          </w:tcPr>
          <w:p w14:paraId="21873AC4" w14:textId="77777777" w:rsidR="00575AC3" w:rsidRPr="006D40F0" w:rsidRDefault="00575AC3" w:rsidP="006D40F0"/>
        </w:tc>
      </w:tr>
      <w:tr w:rsidR="00DD49A7" w:rsidRPr="006D40F0" w14:paraId="68EA3A48" w14:textId="77777777">
        <w:trPr>
          <w:trHeight w:val="380"/>
        </w:trPr>
        <w:tc>
          <w:tcPr>
            <w:tcW w:w="680" w:type="dxa"/>
            <w:tcBorders>
              <w:top w:val="nil"/>
              <w:left w:val="nil"/>
              <w:bottom w:val="nil"/>
              <w:right w:val="nil"/>
            </w:tcBorders>
            <w:tcMar>
              <w:top w:w="128" w:type="dxa"/>
              <w:left w:w="43" w:type="dxa"/>
              <w:bottom w:w="43" w:type="dxa"/>
              <w:right w:w="43" w:type="dxa"/>
            </w:tcMar>
          </w:tcPr>
          <w:p w14:paraId="295BBEE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B6F384"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8A8DBC1" w14:textId="77777777" w:rsidR="00575AC3" w:rsidRPr="006D40F0" w:rsidRDefault="00575AC3" w:rsidP="006D40F0">
            <w:r w:rsidRPr="006D40F0">
              <w:t xml:space="preserve">Grunnstønad,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1035BEC" w14:textId="77777777" w:rsidR="00575AC3" w:rsidRPr="006D40F0" w:rsidRDefault="00575AC3" w:rsidP="006D40F0">
            <w:r w:rsidRPr="006D40F0">
              <w:t>20 000 000</w:t>
            </w:r>
          </w:p>
        </w:tc>
      </w:tr>
      <w:tr w:rsidR="00DD49A7" w:rsidRPr="006D40F0" w14:paraId="61C0CC54" w14:textId="77777777">
        <w:trPr>
          <w:trHeight w:val="380"/>
        </w:trPr>
        <w:tc>
          <w:tcPr>
            <w:tcW w:w="680" w:type="dxa"/>
            <w:tcBorders>
              <w:top w:val="nil"/>
              <w:left w:val="nil"/>
              <w:bottom w:val="nil"/>
              <w:right w:val="nil"/>
            </w:tcBorders>
            <w:tcMar>
              <w:top w:w="128" w:type="dxa"/>
              <w:left w:w="43" w:type="dxa"/>
              <w:bottom w:w="43" w:type="dxa"/>
              <w:right w:w="43" w:type="dxa"/>
            </w:tcMar>
          </w:tcPr>
          <w:p w14:paraId="7CCADC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71A73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29134B" w14:textId="77777777" w:rsidR="00575AC3" w:rsidRPr="006D40F0" w:rsidRDefault="00575AC3" w:rsidP="006D40F0">
            <w:r w:rsidRPr="006D40F0">
              <w:t>fra kr 1 770 000 000 til kr 1 790 000 000</w:t>
            </w:r>
          </w:p>
        </w:tc>
        <w:tc>
          <w:tcPr>
            <w:tcW w:w="1400" w:type="dxa"/>
            <w:tcBorders>
              <w:top w:val="nil"/>
              <w:left w:val="nil"/>
              <w:bottom w:val="nil"/>
              <w:right w:val="nil"/>
            </w:tcBorders>
            <w:tcMar>
              <w:top w:w="128" w:type="dxa"/>
              <w:left w:w="43" w:type="dxa"/>
              <w:bottom w:w="43" w:type="dxa"/>
              <w:right w:w="43" w:type="dxa"/>
            </w:tcMar>
            <w:vAlign w:val="bottom"/>
          </w:tcPr>
          <w:p w14:paraId="2ED5F911" w14:textId="77777777" w:rsidR="00575AC3" w:rsidRPr="006D40F0" w:rsidRDefault="00575AC3" w:rsidP="006D40F0"/>
        </w:tc>
      </w:tr>
      <w:tr w:rsidR="00DD49A7" w:rsidRPr="006D40F0" w14:paraId="702A6E0B" w14:textId="77777777">
        <w:trPr>
          <w:trHeight w:val="380"/>
        </w:trPr>
        <w:tc>
          <w:tcPr>
            <w:tcW w:w="680" w:type="dxa"/>
            <w:tcBorders>
              <w:top w:val="nil"/>
              <w:left w:val="nil"/>
              <w:bottom w:val="nil"/>
              <w:right w:val="nil"/>
            </w:tcBorders>
            <w:tcMar>
              <w:top w:w="128" w:type="dxa"/>
              <w:left w:w="43" w:type="dxa"/>
              <w:bottom w:w="43" w:type="dxa"/>
              <w:right w:w="43" w:type="dxa"/>
            </w:tcMar>
          </w:tcPr>
          <w:p w14:paraId="3C6B93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056473"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7EB3AF0" w14:textId="77777777" w:rsidR="00575AC3" w:rsidRPr="006D40F0" w:rsidRDefault="00575AC3" w:rsidP="006D40F0">
            <w:r w:rsidRPr="006D40F0">
              <w:t xml:space="preserve">Hjelpestønad,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3640D4A4" w14:textId="77777777" w:rsidR="00575AC3" w:rsidRPr="006D40F0" w:rsidRDefault="00575AC3" w:rsidP="006D40F0">
            <w:r w:rsidRPr="006D40F0">
              <w:t>60 000 000</w:t>
            </w:r>
          </w:p>
        </w:tc>
      </w:tr>
      <w:tr w:rsidR="00DD49A7" w:rsidRPr="006D40F0" w14:paraId="6AFE1679" w14:textId="77777777">
        <w:trPr>
          <w:trHeight w:val="380"/>
        </w:trPr>
        <w:tc>
          <w:tcPr>
            <w:tcW w:w="680" w:type="dxa"/>
            <w:tcBorders>
              <w:top w:val="nil"/>
              <w:left w:val="nil"/>
              <w:bottom w:val="nil"/>
              <w:right w:val="nil"/>
            </w:tcBorders>
            <w:tcMar>
              <w:top w:w="128" w:type="dxa"/>
              <w:left w:w="43" w:type="dxa"/>
              <w:bottom w:w="43" w:type="dxa"/>
              <w:right w:w="43" w:type="dxa"/>
            </w:tcMar>
          </w:tcPr>
          <w:p w14:paraId="26CC8D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57FBE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66D170" w14:textId="77777777" w:rsidR="00575AC3" w:rsidRPr="006D40F0" w:rsidRDefault="00575AC3" w:rsidP="006D40F0">
            <w:r w:rsidRPr="006D40F0">
              <w:t>fra kr 2 150 000 000 til kr 2 210 000 000</w:t>
            </w:r>
          </w:p>
        </w:tc>
        <w:tc>
          <w:tcPr>
            <w:tcW w:w="1400" w:type="dxa"/>
            <w:tcBorders>
              <w:top w:val="nil"/>
              <w:left w:val="nil"/>
              <w:bottom w:val="nil"/>
              <w:right w:val="nil"/>
            </w:tcBorders>
            <w:tcMar>
              <w:top w:w="128" w:type="dxa"/>
              <w:left w:w="43" w:type="dxa"/>
              <w:bottom w:w="43" w:type="dxa"/>
              <w:right w:w="43" w:type="dxa"/>
            </w:tcMar>
            <w:vAlign w:val="bottom"/>
          </w:tcPr>
          <w:p w14:paraId="757D8256" w14:textId="77777777" w:rsidR="00575AC3" w:rsidRPr="006D40F0" w:rsidRDefault="00575AC3" w:rsidP="006D40F0"/>
        </w:tc>
      </w:tr>
      <w:tr w:rsidR="00DD49A7" w:rsidRPr="006D40F0" w14:paraId="4120A030" w14:textId="77777777">
        <w:trPr>
          <w:trHeight w:val="380"/>
        </w:trPr>
        <w:tc>
          <w:tcPr>
            <w:tcW w:w="680" w:type="dxa"/>
            <w:tcBorders>
              <w:top w:val="nil"/>
              <w:left w:val="nil"/>
              <w:bottom w:val="nil"/>
              <w:right w:val="nil"/>
            </w:tcBorders>
            <w:tcMar>
              <w:top w:w="128" w:type="dxa"/>
              <w:left w:w="43" w:type="dxa"/>
              <w:bottom w:w="43" w:type="dxa"/>
              <w:right w:w="43" w:type="dxa"/>
            </w:tcMar>
          </w:tcPr>
          <w:p w14:paraId="30B11C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961D5F"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3AF16F9F" w14:textId="77777777" w:rsidR="00575AC3" w:rsidRPr="006D40F0" w:rsidRDefault="00575AC3" w:rsidP="006D40F0">
            <w:r w:rsidRPr="006D40F0">
              <w:t>Hjelpemidler mv. under arbeid og utdanning, forhøyes med</w:t>
            </w:r>
          </w:p>
        </w:tc>
        <w:tc>
          <w:tcPr>
            <w:tcW w:w="1400" w:type="dxa"/>
            <w:tcBorders>
              <w:top w:val="nil"/>
              <w:left w:val="nil"/>
              <w:bottom w:val="nil"/>
              <w:right w:val="nil"/>
            </w:tcBorders>
            <w:tcMar>
              <w:top w:w="128" w:type="dxa"/>
              <w:left w:w="43" w:type="dxa"/>
              <w:bottom w:w="43" w:type="dxa"/>
              <w:right w:w="43" w:type="dxa"/>
            </w:tcMar>
            <w:vAlign w:val="bottom"/>
          </w:tcPr>
          <w:p w14:paraId="5B5403BF" w14:textId="77777777" w:rsidR="00575AC3" w:rsidRPr="006D40F0" w:rsidRDefault="00575AC3" w:rsidP="006D40F0">
            <w:r w:rsidRPr="006D40F0">
              <w:t>12 900 000</w:t>
            </w:r>
          </w:p>
        </w:tc>
      </w:tr>
      <w:tr w:rsidR="00DD49A7" w:rsidRPr="006D40F0" w14:paraId="10EDC93D" w14:textId="77777777">
        <w:trPr>
          <w:trHeight w:val="380"/>
        </w:trPr>
        <w:tc>
          <w:tcPr>
            <w:tcW w:w="680" w:type="dxa"/>
            <w:tcBorders>
              <w:top w:val="nil"/>
              <w:left w:val="nil"/>
              <w:bottom w:val="nil"/>
              <w:right w:val="nil"/>
            </w:tcBorders>
            <w:tcMar>
              <w:top w:w="128" w:type="dxa"/>
              <w:left w:w="43" w:type="dxa"/>
              <w:bottom w:w="43" w:type="dxa"/>
              <w:right w:w="43" w:type="dxa"/>
            </w:tcMar>
          </w:tcPr>
          <w:p w14:paraId="1BAE17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BCB72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2CA17EC" w14:textId="77777777" w:rsidR="00575AC3" w:rsidRPr="006D40F0" w:rsidRDefault="00575AC3" w:rsidP="006D40F0">
            <w:r w:rsidRPr="006D40F0">
              <w:t>fra kr 122 100 000 til kr 135 000 000</w:t>
            </w:r>
          </w:p>
        </w:tc>
        <w:tc>
          <w:tcPr>
            <w:tcW w:w="1400" w:type="dxa"/>
            <w:tcBorders>
              <w:top w:val="nil"/>
              <w:left w:val="nil"/>
              <w:bottom w:val="nil"/>
              <w:right w:val="nil"/>
            </w:tcBorders>
            <w:tcMar>
              <w:top w:w="128" w:type="dxa"/>
              <w:left w:w="43" w:type="dxa"/>
              <w:bottom w:w="43" w:type="dxa"/>
              <w:right w:w="43" w:type="dxa"/>
            </w:tcMar>
            <w:vAlign w:val="bottom"/>
          </w:tcPr>
          <w:p w14:paraId="7E0495A5" w14:textId="77777777" w:rsidR="00575AC3" w:rsidRPr="006D40F0" w:rsidRDefault="00575AC3" w:rsidP="006D40F0"/>
        </w:tc>
      </w:tr>
      <w:tr w:rsidR="00DD49A7" w:rsidRPr="006D40F0" w14:paraId="772C9715" w14:textId="77777777">
        <w:trPr>
          <w:trHeight w:val="380"/>
        </w:trPr>
        <w:tc>
          <w:tcPr>
            <w:tcW w:w="680" w:type="dxa"/>
            <w:tcBorders>
              <w:top w:val="nil"/>
              <w:left w:val="nil"/>
              <w:bottom w:val="nil"/>
              <w:right w:val="nil"/>
            </w:tcBorders>
            <w:tcMar>
              <w:top w:w="128" w:type="dxa"/>
              <w:left w:w="43" w:type="dxa"/>
              <w:bottom w:w="43" w:type="dxa"/>
              <w:right w:w="43" w:type="dxa"/>
            </w:tcMar>
          </w:tcPr>
          <w:p w14:paraId="0D4DEB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3E120F"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45478ADD" w14:textId="77777777" w:rsidR="00575AC3" w:rsidRPr="006D40F0" w:rsidRDefault="00575AC3" w:rsidP="006D40F0">
            <w:r w:rsidRPr="006D40F0">
              <w:t>Tilskudd til biler, nedsettes med</w:t>
            </w:r>
          </w:p>
        </w:tc>
        <w:tc>
          <w:tcPr>
            <w:tcW w:w="1400" w:type="dxa"/>
            <w:tcBorders>
              <w:top w:val="nil"/>
              <w:left w:val="nil"/>
              <w:bottom w:val="nil"/>
              <w:right w:val="nil"/>
            </w:tcBorders>
            <w:tcMar>
              <w:top w:w="128" w:type="dxa"/>
              <w:left w:w="43" w:type="dxa"/>
              <w:bottom w:w="43" w:type="dxa"/>
              <w:right w:w="43" w:type="dxa"/>
            </w:tcMar>
            <w:vAlign w:val="bottom"/>
          </w:tcPr>
          <w:p w14:paraId="64A709B7" w14:textId="77777777" w:rsidR="00575AC3" w:rsidRPr="006D40F0" w:rsidRDefault="00575AC3" w:rsidP="006D40F0">
            <w:r w:rsidRPr="006D40F0">
              <w:t>5 000 000</w:t>
            </w:r>
          </w:p>
        </w:tc>
      </w:tr>
      <w:tr w:rsidR="00DD49A7" w:rsidRPr="006D40F0" w14:paraId="55AE402C" w14:textId="77777777">
        <w:trPr>
          <w:trHeight w:val="380"/>
        </w:trPr>
        <w:tc>
          <w:tcPr>
            <w:tcW w:w="680" w:type="dxa"/>
            <w:tcBorders>
              <w:top w:val="nil"/>
              <w:left w:val="nil"/>
              <w:bottom w:val="nil"/>
              <w:right w:val="nil"/>
            </w:tcBorders>
            <w:tcMar>
              <w:top w:w="128" w:type="dxa"/>
              <w:left w:w="43" w:type="dxa"/>
              <w:bottom w:w="43" w:type="dxa"/>
              <w:right w:w="43" w:type="dxa"/>
            </w:tcMar>
          </w:tcPr>
          <w:p w14:paraId="04ACE62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066B2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94A13E9" w14:textId="77777777" w:rsidR="00575AC3" w:rsidRPr="006D40F0" w:rsidRDefault="00575AC3" w:rsidP="006D40F0">
            <w:r w:rsidRPr="006D40F0">
              <w:t>fra kr 815 000 000 til kr 810 000 000</w:t>
            </w:r>
          </w:p>
        </w:tc>
        <w:tc>
          <w:tcPr>
            <w:tcW w:w="1400" w:type="dxa"/>
            <w:tcBorders>
              <w:top w:val="nil"/>
              <w:left w:val="nil"/>
              <w:bottom w:val="nil"/>
              <w:right w:val="nil"/>
            </w:tcBorders>
            <w:tcMar>
              <w:top w:w="128" w:type="dxa"/>
              <w:left w:w="43" w:type="dxa"/>
              <w:bottom w:w="43" w:type="dxa"/>
              <w:right w:w="43" w:type="dxa"/>
            </w:tcMar>
            <w:vAlign w:val="bottom"/>
          </w:tcPr>
          <w:p w14:paraId="19EA899E" w14:textId="77777777" w:rsidR="00575AC3" w:rsidRPr="006D40F0" w:rsidRDefault="00575AC3" w:rsidP="006D40F0"/>
        </w:tc>
      </w:tr>
      <w:tr w:rsidR="00DD49A7" w:rsidRPr="006D40F0" w14:paraId="75DB588A" w14:textId="77777777">
        <w:trPr>
          <w:trHeight w:val="380"/>
        </w:trPr>
        <w:tc>
          <w:tcPr>
            <w:tcW w:w="680" w:type="dxa"/>
            <w:tcBorders>
              <w:top w:val="nil"/>
              <w:left w:val="nil"/>
              <w:bottom w:val="nil"/>
              <w:right w:val="nil"/>
            </w:tcBorders>
            <w:tcMar>
              <w:top w:w="128" w:type="dxa"/>
              <w:left w:w="43" w:type="dxa"/>
              <w:bottom w:w="43" w:type="dxa"/>
              <w:right w:w="43" w:type="dxa"/>
            </w:tcMar>
          </w:tcPr>
          <w:p w14:paraId="18E0C6A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31D960"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4D6CF025" w14:textId="77777777" w:rsidR="00575AC3" w:rsidRPr="006D40F0" w:rsidRDefault="00575AC3" w:rsidP="006D40F0">
            <w:r w:rsidRPr="006D40F0">
              <w:t>Bedring av funksjonsevnen, hjelpemidler, forhøyes med</w:t>
            </w:r>
          </w:p>
        </w:tc>
        <w:tc>
          <w:tcPr>
            <w:tcW w:w="1400" w:type="dxa"/>
            <w:tcBorders>
              <w:top w:val="nil"/>
              <w:left w:val="nil"/>
              <w:bottom w:val="nil"/>
              <w:right w:val="nil"/>
            </w:tcBorders>
            <w:tcMar>
              <w:top w:w="128" w:type="dxa"/>
              <w:left w:w="43" w:type="dxa"/>
              <w:bottom w:w="43" w:type="dxa"/>
              <w:right w:w="43" w:type="dxa"/>
            </w:tcMar>
            <w:vAlign w:val="bottom"/>
          </w:tcPr>
          <w:p w14:paraId="6745A517" w14:textId="77777777" w:rsidR="00575AC3" w:rsidRPr="006D40F0" w:rsidRDefault="00575AC3" w:rsidP="006D40F0">
            <w:r w:rsidRPr="006D40F0">
              <w:t>385 000 000</w:t>
            </w:r>
          </w:p>
        </w:tc>
      </w:tr>
      <w:tr w:rsidR="00DD49A7" w:rsidRPr="006D40F0" w14:paraId="6FA0733C" w14:textId="77777777">
        <w:trPr>
          <w:trHeight w:val="380"/>
        </w:trPr>
        <w:tc>
          <w:tcPr>
            <w:tcW w:w="680" w:type="dxa"/>
            <w:tcBorders>
              <w:top w:val="nil"/>
              <w:left w:val="nil"/>
              <w:bottom w:val="nil"/>
              <w:right w:val="nil"/>
            </w:tcBorders>
            <w:tcMar>
              <w:top w:w="128" w:type="dxa"/>
              <w:left w:w="43" w:type="dxa"/>
              <w:bottom w:w="43" w:type="dxa"/>
              <w:right w:w="43" w:type="dxa"/>
            </w:tcMar>
          </w:tcPr>
          <w:p w14:paraId="7AE0A9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D87D4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74BB788" w14:textId="77777777" w:rsidR="00575AC3" w:rsidRPr="006D40F0" w:rsidRDefault="00575AC3" w:rsidP="006D40F0">
            <w:r w:rsidRPr="006D40F0">
              <w:t>fra kr 4 425 000 000 til kr 4 810 000 000</w:t>
            </w:r>
          </w:p>
        </w:tc>
        <w:tc>
          <w:tcPr>
            <w:tcW w:w="1400" w:type="dxa"/>
            <w:tcBorders>
              <w:top w:val="nil"/>
              <w:left w:val="nil"/>
              <w:bottom w:val="nil"/>
              <w:right w:val="nil"/>
            </w:tcBorders>
            <w:tcMar>
              <w:top w:w="128" w:type="dxa"/>
              <w:left w:w="43" w:type="dxa"/>
              <w:bottom w:w="43" w:type="dxa"/>
              <w:right w:w="43" w:type="dxa"/>
            </w:tcMar>
            <w:vAlign w:val="bottom"/>
          </w:tcPr>
          <w:p w14:paraId="5ECCBDF6" w14:textId="77777777" w:rsidR="00575AC3" w:rsidRPr="006D40F0" w:rsidRDefault="00575AC3" w:rsidP="006D40F0"/>
        </w:tc>
      </w:tr>
      <w:tr w:rsidR="00DD49A7" w:rsidRPr="006D40F0" w14:paraId="183EBE33" w14:textId="77777777">
        <w:trPr>
          <w:trHeight w:val="380"/>
        </w:trPr>
        <w:tc>
          <w:tcPr>
            <w:tcW w:w="680" w:type="dxa"/>
            <w:tcBorders>
              <w:top w:val="nil"/>
              <w:left w:val="nil"/>
              <w:bottom w:val="nil"/>
              <w:right w:val="nil"/>
            </w:tcBorders>
            <w:tcMar>
              <w:top w:w="128" w:type="dxa"/>
              <w:left w:w="43" w:type="dxa"/>
              <w:bottom w:w="43" w:type="dxa"/>
              <w:right w:w="43" w:type="dxa"/>
            </w:tcMar>
          </w:tcPr>
          <w:p w14:paraId="7971C21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2F47B8"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5CDF1836" w14:textId="77777777" w:rsidR="00575AC3" w:rsidRPr="006D40F0" w:rsidRDefault="00575AC3" w:rsidP="006D40F0">
            <w:r w:rsidRPr="006D40F0">
              <w:t>Bedring av funksjonsevnen, hjelpemidler som tjenester, forhøyes med</w:t>
            </w:r>
          </w:p>
        </w:tc>
        <w:tc>
          <w:tcPr>
            <w:tcW w:w="1400" w:type="dxa"/>
            <w:tcBorders>
              <w:top w:val="nil"/>
              <w:left w:val="nil"/>
              <w:bottom w:val="nil"/>
              <w:right w:val="nil"/>
            </w:tcBorders>
            <w:tcMar>
              <w:top w:w="128" w:type="dxa"/>
              <w:left w:w="43" w:type="dxa"/>
              <w:bottom w:w="43" w:type="dxa"/>
              <w:right w:w="43" w:type="dxa"/>
            </w:tcMar>
            <w:vAlign w:val="bottom"/>
          </w:tcPr>
          <w:p w14:paraId="75B0BC8F" w14:textId="77777777" w:rsidR="00575AC3" w:rsidRPr="006D40F0" w:rsidRDefault="00575AC3" w:rsidP="006D40F0">
            <w:r w:rsidRPr="006D40F0">
              <w:t>12 600 000</w:t>
            </w:r>
          </w:p>
        </w:tc>
      </w:tr>
      <w:tr w:rsidR="00DD49A7" w:rsidRPr="006D40F0" w14:paraId="19D7E36E" w14:textId="77777777">
        <w:trPr>
          <w:trHeight w:val="380"/>
        </w:trPr>
        <w:tc>
          <w:tcPr>
            <w:tcW w:w="680" w:type="dxa"/>
            <w:tcBorders>
              <w:top w:val="nil"/>
              <w:left w:val="nil"/>
              <w:bottom w:val="nil"/>
              <w:right w:val="nil"/>
            </w:tcBorders>
            <w:tcMar>
              <w:top w:w="128" w:type="dxa"/>
              <w:left w:w="43" w:type="dxa"/>
              <w:bottom w:w="43" w:type="dxa"/>
              <w:right w:w="43" w:type="dxa"/>
            </w:tcMar>
          </w:tcPr>
          <w:p w14:paraId="3A1374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79B67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359AB34" w14:textId="77777777" w:rsidR="00575AC3" w:rsidRPr="006D40F0" w:rsidRDefault="00575AC3" w:rsidP="006D40F0">
            <w:r w:rsidRPr="006D40F0">
              <w:t>fra kr 417 400 000 til kr 430 000 000</w:t>
            </w:r>
          </w:p>
        </w:tc>
        <w:tc>
          <w:tcPr>
            <w:tcW w:w="1400" w:type="dxa"/>
            <w:tcBorders>
              <w:top w:val="nil"/>
              <w:left w:val="nil"/>
              <w:bottom w:val="nil"/>
              <w:right w:val="nil"/>
            </w:tcBorders>
            <w:tcMar>
              <w:top w:w="128" w:type="dxa"/>
              <w:left w:w="43" w:type="dxa"/>
              <w:bottom w:w="43" w:type="dxa"/>
              <w:right w:w="43" w:type="dxa"/>
            </w:tcMar>
            <w:vAlign w:val="bottom"/>
          </w:tcPr>
          <w:p w14:paraId="1209B7AB" w14:textId="77777777" w:rsidR="00575AC3" w:rsidRPr="006D40F0" w:rsidRDefault="00575AC3" w:rsidP="006D40F0"/>
        </w:tc>
      </w:tr>
      <w:tr w:rsidR="00DD49A7" w:rsidRPr="006D40F0" w14:paraId="29E93CB7" w14:textId="77777777">
        <w:trPr>
          <w:trHeight w:val="380"/>
        </w:trPr>
        <w:tc>
          <w:tcPr>
            <w:tcW w:w="680" w:type="dxa"/>
            <w:tcBorders>
              <w:top w:val="nil"/>
              <w:left w:val="nil"/>
              <w:bottom w:val="nil"/>
              <w:right w:val="nil"/>
            </w:tcBorders>
            <w:tcMar>
              <w:top w:w="128" w:type="dxa"/>
              <w:left w:w="43" w:type="dxa"/>
              <w:bottom w:w="43" w:type="dxa"/>
              <w:right w:w="43" w:type="dxa"/>
            </w:tcMar>
          </w:tcPr>
          <w:p w14:paraId="0A3CB14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6AB59B" w14:textId="77777777" w:rsidR="00575AC3" w:rsidRPr="006D40F0" w:rsidRDefault="00575AC3" w:rsidP="006D40F0">
            <w:r w:rsidRPr="006D40F0">
              <w:t>77</w:t>
            </w:r>
          </w:p>
        </w:tc>
        <w:tc>
          <w:tcPr>
            <w:tcW w:w="6800" w:type="dxa"/>
            <w:tcBorders>
              <w:top w:val="nil"/>
              <w:left w:val="nil"/>
              <w:bottom w:val="nil"/>
              <w:right w:val="nil"/>
            </w:tcBorders>
            <w:tcMar>
              <w:top w:w="128" w:type="dxa"/>
              <w:left w:w="43" w:type="dxa"/>
              <w:bottom w:w="43" w:type="dxa"/>
              <w:right w:w="43" w:type="dxa"/>
            </w:tcMar>
          </w:tcPr>
          <w:p w14:paraId="79C5E4F4" w14:textId="77777777" w:rsidR="00575AC3" w:rsidRPr="006D40F0" w:rsidRDefault="00575AC3" w:rsidP="006D40F0">
            <w:r w:rsidRPr="006D40F0">
              <w:t>Ortopediske hjelpemidler, forhøyes med</w:t>
            </w:r>
          </w:p>
        </w:tc>
        <w:tc>
          <w:tcPr>
            <w:tcW w:w="1400" w:type="dxa"/>
            <w:tcBorders>
              <w:top w:val="nil"/>
              <w:left w:val="nil"/>
              <w:bottom w:val="nil"/>
              <w:right w:val="nil"/>
            </w:tcBorders>
            <w:tcMar>
              <w:top w:w="128" w:type="dxa"/>
              <w:left w:w="43" w:type="dxa"/>
              <w:bottom w:w="43" w:type="dxa"/>
              <w:right w:w="43" w:type="dxa"/>
            </w:tcMar>
            <w:vAlign w:val="bottom"/>
          </w:tcPr>
          <w:p w14:paraId="37ED6931" w14:textId="77777777" w:rsidR="00575AC3" w:rsidRPr="006D40F0" w:rsidRDefault="00575AC3" w:rsidP="006D40F0">
            <w:r w:rsidRPr="006D40F0">
              <w:t>159 400 000</w:t>
            </w:r>
          </w:p>
        </w:tc>
      </w:tr>
      <w:tr w:rsidR="00DD49A7" w:rsidRPr="006D40F0" w14:paraId="21899719" w14:textId="77777777">
        <w:trPr>
          <w:trHeight w:val="380"/>
        </w:trPr>
        <w:tc>
          <w:tcPr>
            <w:tcW w:w="680" w:type="dxa"/>
            <w:tcBorders>
              <w:top w:val="nil"/>
              <w:left w:val="nil"/>
              <w:bottom w:val="nil"/>
              <w:right w:val="nil"/>
            </w:tcBorders>
            <w:tcMar>
              <w:top w:w="128" w:type="dxa"/>
              <w:left w:w="43" w:type="dxa"/>
              <w:bottom w:w="43" w:type="dxa"/>
              <w:right w:w="43" w:type="dxa"/>
            </w:tcMar>
          </w:tcPr>
          <w:p w14:paraId="73CB0F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31897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73A6B9" w14:textId="77777777" w:rsidR="00575AC3" w:rsidRPr="006D40F0" w:rsidRDefault="00575AC3" w:rsidP="006D40F0">
            <w:r w:rsidRPr="006D40F0">
              <w:t>fra kr 2 370 600 000 til kr 2 530 000 000</w:t>
            </w:r>
          </w:p>
        </w:tc>
        <w:tc>
          <w:tcPr>
            <w:tcW w:w="1400" w:type="dxa"/>
            <w:tcBorders>
              <w:top w:val="nil"/>
              <w:left w:val="nil"/>
              <w:bottom w:val="nil"/>
              <w:right w:val="nil"/>
            </w:tcBorders>
            <w:tcMar>
              <w:top w:w="128" w:type="dxa"/>
              <w:left w:w="43" w:type="dxa"/>
              <w:bottom w:w="43" w:type="dxa"/>
              <w:right w:w="43" w:type="dxa"/>
            </w:tcMar>
            <w:vAlign w:val="bottom"/>
          </w:tcPr>
          <w:p w14:paraId="4ACFD0C9" w14:textId="77777777" w:rsidR="00575AC3" w:rsidRPr="006D40F0" w:rsidRDefault="00575AC3" w:rsidP="006D40F0"/>
        </w:tc>
      </w:tr>
      <w:tr w:rsidR="00DD49A7" w:rsidRPr="006D40F0" w14:paraId="07A4A0A6" w14:textId="77777777">
        <w:trPr>
          <w:trHeight w:val="380"/>
        </w:trPr>
        <w:tc>
          <w:tcPr>
            <w:tcW w:w="680" w:type="dxa"/>
            <w:tcBorders>
              <w:top w:val="nil"/>
              <w:left w:val="nil"/>
              <w:bottom w:val="nil"/>
              <w:right w:val="nil"/>
            </w:tcBorders>
            <w:tcMar>
              <w:top w:w="128" w:type="dxa"/>
              <w:left w:w="43" w:type="dxa"/>
              <w:bottom w:w="43" w:type="dxa"/>
              <w:right w:w="43" w:type="dxa"/>
            </w:tcMar>
          </w:tcPr>
          <w:p w14:paraId="3676590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4204D5"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00C04E6D" w14:textId="77777777" w:rsidR="00575AC3" w:rsidRPr="006D40F0" w:rsidRDefault="00575AC3" w:rsidP="006D40F0">
            <w:r w:rsidRPr="006D40F0">
              <w:t>Høreapparater, forhøyes med</w:t>
            </w:r>
          </w:p>
        </w:tc>
        <w:tc>
          <w:tcPr>
            <w:tcW w:w="1400" w:type="dxa"/>
            <w:tcBorders>
              <w:top w:val="nil"/>
              <w:left w:val="nil"/>
              <w:bottom w:val="nil"/>
              <w:right w:val="nil"/>
            </w:tcBorders>
            <w:tcMar>
              <w:top w:w="128" w:type="dxa"/>
              <w:left w:w="43" w:type="dxa"/>
              <w:bottom w:w="43" w:type="dxa"/>
              <w:right w:w="43" w:type="dxa"/>
            </w:tcMar>
            <w:vAlign w:val="bottom"/>
          </w:tcPr>
          <w:p w14:paraId="6C8D6690" w14:textId="77777777" w:rsidR="00575AC3" w:rsidRPr="006D40F0" w:rsidRDefault="00575AC3" w:rsidP="006D40F0">
            <w:r w:rsidRPr="006D40F0">
              <w:t>45 000 000</w:t>
            </w:r>
          </w:p>
        </w:tc>
      </w:tr>
      <w:tr w:rsidR="00DD49A7" w:rsidRPr="006D40F0" w14:paraId="3C9F3F3E" w14:textId="77777777">
        <w:trPr>
          <w:trHeight w:val="380"/>
        </w:trPr>
        <w:tc>
          <w:tcPr>
            <w:tcW w:w="680" w:type="dxa"/>
            <w:tcBorders>
              <w:top w:val="nil"/>
              <w:left w:val="nil"/>
              <w:bottom w:val="nil"/>
              <w:right w:val="nil"/>
            </w:tcBorders>
            <w:tcMar>
              <w:top w:w="128" w:type="dxa"/>
              <w:left w:w="43" w:type="dxa"/>
              <w:bottom w:w="43" w:type="dxa"/>
              <w:right w:w="43" w:type="dxa"/>
            </w:tcMar>
          </w:tcPr>
          <w:p w14:paraId="51B3A2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69EF5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0F6645" w14:textId="77777777" w:rsidR="00575AC3" w:rsidRPr="006D40F0" w:rsidRDefault="00575AC3" w:rsidP="006D40F0">
            <w:r w:rsidRPr="006D40F0">
              <w:t>fra kr 965 000 000 til kr 1 010 000 000</w:t>
            </w:r>
          </w:p>
        </w:tc>
        <w:tc>
          <w:tcPr>
            <w:tcW w:w="1400" w:type="dxa"/>
            <w:tcBorders>
              <w:top w:val="nil"/>
              <w:left w:val="nil"/>
              <w:bottom w:val="nil"/>
              <w:right w:val="nil"/>
            </w:tcBorders>
            <w:tcMar>
              <w:top w:w="128" w:type="dxa"/>
              <w:left w:w="43" w:type="dxa"/>
              <w:bottom w:w="43" w:type="dxa"/>
              <w:right w:w="43" w:type="dxa"/>
            </w:tcMar>
            <w:vAlign w:val="bottom"/>
          </w:tcPr>
          <w:p w14:paraId="63D34F8A" w14:textId="77777777" w:rsidR="00575AC3" w:rsidRPr="006D40F0" w:rsidRDefault="00575AC3" w:rsidP="006D40F0"/>
        </w:tc>
      </w:tr>
      <w:tr w:rsidR="00DD49A7" w:rsidRPr="006D40F0" w14:paraId="59174F31" w14:textId="77777777">
        <w:trPr>
          <w:trHeight w:val="380"/>
        </w:trPr>
        <w:tc>
          <w:tcPr>
            <w:tcW w:w="680" w:type="dxa"/>
            <w:tcBorders>
              <w:top w:val="nil"/>
              <w:left w:val="nil"/>
              <w:bottom w:val="nil"/>
              <w:right w:val="nil"/>
            </w:tcBorders>
            <w:tcMar>
              <w:top w:w="128" w:type="dxa"/>
              <w:left w:w="43" w:type="dxa"/>
              <w:bottom w:w="43" w:type="dxa"/>
              <w:right w:w="43" w:type="dxa"/>
            </w:tcMar>
          </w:tcPr>
          <w:p w14:paraId="444A0CC2" w14:textId="77777777" w:rsidR="00575AC3" w:rsidRPr="006D40F0" w:rsidRDefault="00575AC3" w:rsidP="006D40F0">
            <w:r w:rsidRPr="006D40F0">
              <w:t>2670</w:t>
            </w:r>
          </w:p>
        </w:tc>
        <w:tc>
          <w:tcPr>
            <w:tcW w:w="680" w:type="dxa"/>
            <w:tcBorders>
              <w:top w:val="nil"/>
              <w:left w:val="nil"/>
              <w:bottom w:val="nil"/>
              <w:right w:val="nil"/>
            </w:tcBorders>
            <w:tcMar>
              <w:top w:w="128" w:type="dxa"/>
              <w:left w:w="43" w:type="dxa"/>
              <w:bottom w:w="43" w:type="dxa"/>
              <w:right w:w="43" w:type="dxa"/>
            </w:tcMar>
          </w:tcPr>
          <w:p w14:paraId="67D8432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94C605" w14:textId="77777777" w:rsidR="00575AC3" w:rsidRPr="006D40F0" w:rsidRDefault="00575AC3" w:rsidP="006D40F0">
            <w:r w:rsidRPr="006D40F0">
              <w:t>Alderdom:</w:t>
            </w:r>
          </w:p>
        </w:tc>
        <w:tc>
          <w:tcPr>
            <w:tcW w:w="1400" w:type="dxa"/>
            <w:tcBorders>
              <w:top w:val="nil"/>
              <w:left w:val="nil"/>
              <w:bottom w:val="nil"/>
              <w:right w:val="nil"/>
            </w:tcBorders>
            <w:tcMar>
              <w:top w:w="128" w:type="dxa"/>
              <w:left w:w="43" w:type="dxa"/>
              <w:bottom w:w="43" w:type="dxa"/>
              <w:right w:w="43" w:type="dxa"/>
            </w:tcMar>
            <w:vAlign w:val="bottom"/>
          </w:tcPr>
          <w:p w14:paraId="5C7D9704" w14:textId="77777777" w:rsidR="00575AC3" w:rsidRPr="006D40F0" w:rsidRDefault="00575AC3" w:rsidP="006D40F0"/>
        </w:tc>
      </w:tr>
      <w:tr w:rsidR="00DD49A7" w:rsidRPr="006D40F0" w14:paraId="0A7A1136" w14:textId="77777777">
        <w:trPr>
          <w:trHeight w:val="380"/>
        </w:trPr>
        <w:tc>
          <w:tcPr>
            <w:tcW w:w="680" w:type="dxa"/>
            <w:tcBorders>
              <w:top w:val="nil"/>
              <w:left w:val="nil"/>
              <w:bottom w:val="nil"/>
              <w:right w:val="nil"/>
            </w:tcBorders>
            <w:tcMar>
              <w:top w:w="128" w:type="dxa"/>
              <w:left w:w="43" w:type="dxa"/>
              <w:bottom w:w="43" w:type="dxa"/>
              <w:right w:w="43" w:type="dxa"/>
            </w:tcMar>
          </w:tcPr>
          <w:p w14:paraId="6E45E3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305B74"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C311D92" w14:textId="77777777" w:rsidR="00575AC3" w:rsidRPr="006D40F0" w:rsidRDefault="00575AC3" w:rsidP="006D40F0">
            <w:r w:rsidRPr="006D40F0">
              <w:t xml:space="preserve">Grunnpensjon,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3485F3B" w14:textId="77777777" w:rsidR="00575AC3" w:rsidRPr="006D40F0" w:rsidRDefault="00575AC3" w:rsidP="006D40F0">
            <w:r w:rsidRPr="006D40F0">
              <w:t>470 000 000</w:t>
            </w:r>
          </w:p>
        </w:tc>
      </w:tr>
      <w:tr w:rsidR="00DD49A7" w:rsidRPr="006D40F0" w14:paraId="659E71CD" w14:textId="77777777">
        <w:trPr>
          <w:trHeight w:val="380"/>
        </w:trPr>
        <w:tc>
          <w:tcPr>
            <w:tcW w:w="680" w:type="dxa"/>
            <w:tcBorders>
              <w:top w:val="nil"/>
              <w:left w:val="nil"/>
              <w:bottom w:val="nil"/>
              <w:right w:val="nil"/>
            </w:tcBorders>
            <w:tcMar>
              <w:top w:w="128" w:type="dxa"/>
              <w:left w:w="43" w:type="dxa"/>
              <w:bottom w:w="43" w:type="dxa"/>
              <w:right w:w="43" w:type="dxa"/>
            </w:tcMar>
          </w:tcPr>
          <w:p w14:paraId="07F2EFA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DFC8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086E62" w14:textId="77777777" w:rsidR="00575AC3" w:rsidRPr="006D40F0" w:rsidRDefault="00575AC3" w:rsidP="006D40F0">
            <w:r w:rsidRPr="006D40F0">
              <w:t>fra kr 94 080 000 000 til kr 93 610 000 000</w:t>
            </w:r>
          </w:p>
        </w:tc>
        <w:tc>
          <w:tcPr>
            <w:tcW w:w="1400" w:type="dxa"/>
            <w:tcBorders>
              <w:top w:val="nil"/>
              <w:left w:val="nil"/>
              <w:bottom w:val="nil"/>
              <w:right w:val="nil"/>
            </w:tcBorders>
            <w:tcMar>
              <w:top w:w="128" w:type="dxa"/>
              <w:left w:w="43" w:type="dxa"/>
              <w:bottom w:w="43" w:type="dxa"/>
              <w:right w:w="43" w:type="dxa"/>
            </w:tcMar>
            <w:vAlign w:val="bottom"/>
          </w:tcPr>
          <w:p w14:paraId="277F9C5D" w14:textId="77777777" w:rsidR="00575AC3" w:rsidRPr="006D40F0" w:rsidRDefault="00575AC3" w:rsidP="006D40F0"/>
        </w:tc>
      </w:tr>
      <w:tr w:rsidR="00DD49A7" w:rsidRPr="006D40F0" w14:paraId="75D105E6" w14:textId="77777777">
        <w:trPr>
          <w:trHeight w:val="380"/>
        </w:trPr>
        <w:tc>
          <w:tcPr>
            <w:tcW w:w="680" w:type="dxa"/>
            <w:tcBorders>
              <w:top w:val="nil"/>
              <w:left w:val="nil"/>
              <w:bottom w:val="nil"/>
              <w:right w:val="nil"/>
            </w:tcBorders>
            <w:tcMar>
              <w:top w:w="128" w:type="dxa"/>
              <w:left w:w="43" w:type="dxa"/>
              <w:bottom w:w="43" w:type="dxa"/>
              <w:right w:w="43" w:type="dxa"/>
            </w:tcMar>
          </w:tcPr>
          <w:p w14:paraId="0A80B36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6EEF14"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8D68D62" w14:textId="77777777" w:rsidR="00575AC3" w:rsidRPr="006D40F0" w:rsidRDefault="00575AC3" w:rsidP="006D40F0">
            <w:r w:rsidRPr="006D40F0">
              <w:t xml:space="preserve">Tilleggspensjon,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09FACE82" w14:textId="77777777" w:rsidR="00575AC3" w:rsidRPr="006D40F0" w:rsidRDefault="00575AC3" w:rsidP="006D40F0">
            <w:r w:rsidRPr="006D40F0">
              <w:t>230 000 000</w:t>
            </w:r>
          </w:p>
        </w:tc>
      </w:tr>
      <w:tr w:rsidR="00DD49A7" w:rsidRPr="006D40F0" w14:paraId="50ECB898" w14:textId="77777777">
        <w:trPr>
          <w:trHeight w:val="380"/>
        </w:trPr>
        <w:tc>
          <w:tcPr>
            <w:tcW w:w="680" w:type="dxa"/>
            <w:tcBorders>
              <w:top w:val="nil"/>
              <w:left w:val="nil"/>
              <w:bottom w:val="nil"/>
              <w:right w:val="nil"/>
            </w:tcBorders>
            <w:tcMar>
              <w:top w:w="128" w:type="dxa"/>
              <w:left w:w="43" w:type="dxa"/>
              <w:bottom w:w="43" w:type="dxa"/>
              <w:right w:w="43" w:type="dxa"/>
            </w:tcMar>
          </w:tcPr>
          <w:p w14:paraId="6EDC3C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1CC09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415B62C" w14:textId="77777777" w:rsidR="00575AC3" w:rsidRPr="006D40F0" w:rsidRDefault="00575AC3" w:rsidP="006D40F0">
            <w:r w:rsidRPr="006D40F0">
              <w:t>fra kr 189 940 000 000 til kr 189 710 000 000</w:t>
            </w:r>
          </w:p>
        </w:tc>
        <w:tc>
          <w:tcPr>
            <w:tcW w:w="1400" w:type="dxa"/>
            <w:tcBorders>
              <w:top w:val="nil"/>
              <w:left w:val="nil"/>
              <w:bottom w:val="nil"/>
              <w:right w:val="nil"/>
            </w:tcBorders>
            <w:tcMar>
              <w:top w:w="128" w:type="dxa"/>
              <w:left w:w="43" w:type="dxa"/>
              <w:bottom w:w="43" w:type="dxa"/>
              <w:right w:w="43" w:type="dxa"/>
            </w:tcMar>
            <w:vAlign w:val="bottom"/>
          </w:tcPr>
          <w:p w14:paraId="7FFABB34" w14:textId="77777777" w:rsidR="00575AC3" w:rsidRPr="006D40F0" w:rsidRDefault="00575AC3" w:rsidP="006D40F0"/>
        </w:tc>
      </w:tr>
      <w:tr w:rsidR="00DD49A7" w:rsidRPr="006D40F0" w14:paraId="14217A77" w14:textId="77777777">
        <w:trPr>
          <w:trHeight w:val="380"/>
        </w:trPr>
        <w:tc>
          <w:tcPr>
            <w:tcW w:w="680" w:type="dxa"/>
            <w:tcBorders>
              <w:top w:val="nil"/>
              <w:left w:val="nil"/>
              <w:bottom w:val="nil"/>
              <w:right w:val="nil"/>
            </w:tcBorders>
            <w:tcMar>
              <w:top w:w="128" w:type="dxa"/>
              <w:left w:w="43" w:type="dxa"/>
              <w:bottom w:w="43" w:type="dxa"/>
              <w:right w:w="43" w:type="dxa"/>
            </w:tcMar>
          </w:tcPr>
          <w:p w14:paraId="24727F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80FBC6"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0A47C3E8" w14:textId="77777777" w:rsidR="00575AC3" w:rsidRPr="006D40F0" w:rsidRDefault="00575AC3" w:rsidP="006D40F0">
            <w:r w:rsidRPr="006D40F0">
              <w:t xml:space="preserve">Inntektspensjon,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7E33611C" w14:textId="77777777" w:rsidR="00575AC3" w:rsidRPr="006D40F0" w:rsidRDefault="00575AC3" w:rsidP="006D40F0">
            <w:r w:rsidRPr="006D40F0">
              <w:t>80 000 000</w:t>
            </w:r>
          </w:p>
        </w:tc>
      </w:tr>
      <w:tr w:rsidR="00DD49A7" w:rsidRPr="006D40F0" w14:paraId="031A1668" w14:textId="77777777">
        <w:trPr>
          <w:trHeight w:val="380"/>
        </w:trPr>
        <w:tc>
          <w:tcPr>
            <w:tcW w:w="680" w:type="dxa"/>
            <w:tcBorders>
              <w:top w:val="nil"/>
              <w:left w:val="nil"/>
              <w:bottom w:val="nil"/>
              <w:right w:val="nil"/>
            </w:tcBorders>
            <w:tcMar>
              <w:top w:w="128" w:type="dxa"/>
              <w:left w:w="43" w:type="dxa"/>
              <w:bottom w:w="43" w:type="dxa"/>
              <w:right w:w="43" w:type="dxa"/>
            </w:tcMar>
          </w:tcPr>
          <w:p w14:paraId="6363F47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A6F6F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5C305F" w14:textId="77777777" w:rsidR="00575AC3" w:rsidRPr="006D40F0" w:rsidRDefault="00575AC3" w:rsidP="006D40F0">
            <w:r w:rsidRPr="006D40F0">
              <w:t>fra kr 24 480 000 000 til kr 24 400 000 000</w:t>
            </w:r>
          </w:p>
        </w:tc>
        <w:tc>
          <w:tcPr>
            <w:tcW w:w="1400" w:type="dxa"/>
            <w:tcBorders>
              <w:top w:val="nil"/>
              <w:left w:val="nil"/>
              <w:bottom w:val="nil"/>
              <w:right w:val="nil"/>
            </w:tcBorders>
            <w:tcMar>
              <w:top w:w="128" w:type="dxa"/>
              <w:left w:w="43" w:type="dxa"/>
              <w:bottom w:w="43" w:type="dxa"/>
              <w:right w:w="43" w:type="dxa"/>
            </w:tcMar>
            <w:vAlign w:val="bottom"/>
          </w:tcPr>
          <w:p w14:paraId="77B8AEE2" w14:textId="77777777" w:rsidR="00575AC3" w:rsidRPr="006D40F0" w:rsidRDefault="00575AC3" w:rsidP="006D40F0"/>
        </w:tc>
      </w:tr>
      <w:tr w:rsidR="00DD49A7" w:rsidRPr="006D40F0" w14:paraId="2EAF2E7A" w14:textId="77777777">
        <w:trPr>
          <w:trHeight w:val="380"/>
        </w:trPr>
        <w:tc>
          <w:tcPr>
            <w:tcW w:w="680" w:type="dxa"/>
            <w:tcBorders>
              <w:top w:val="nil"/>
              <w:left w:val="nil"/>
              <w:bottom w:val="nil"/>
              <w:right w:val="nil"/>
            </w:tcBorders>
            <w:tcMar>
              <w:top w:w="128" w:type="dxa"/>
              <w:left w:w="43" w:type="dxa"/>
              <w:bottom w:w="43" w:type="dxa"/>
              <w:right w:w="43" w:type="dxa"/>
            </w:tcMar>
          </w:tcPr>
          <w:p w14:paraId="1ADA427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3488EE"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7475D7B1" w14:textId="77777777" w:rsidR="00575AC3" w:rsidRPr="006D40F0" w:rsidRDefault="00575AC3" w:rsidP="006D40F0">
            <w:r w:rsidRPr="006D40F0">
              <w:t xml:space="preserve">Særtillegg, pensjonstillegg mv.,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7E09B35" w14:textId="77777777" w:rsidR="00575AC3" w:rsidRPr="006D40F0" w:rsidRDefault="00575AC3" w:rsidP="006D40F0">
            <w:r w:rsidRPr="006D40F0">
              <w:t>960 000 000</w:t>
            </w:r>
          </w:p>
        </w:tc>
      </w:tr>
      <w:tr w:rsidR="00DD49A7" w:rsidRPr="006D40F0" w14:paraId="6D97D3C6" w14:textId="77777777">
        <w:trPr>
          <w:trHeight w:val="380"/>
        </w:trPr>
        <w:tc>
          <w:tcPr>
            <w:tcW w:w="680" w:type="dxa"/>
            <w:tcBorders>
              <w:top w:val="nil"/>
              <w:left w:val="nil"/>
              <w:bottom w:val="nil"/>
              <w:right w:val="nil"/>
            </w:tcBorders>
            <w:tcMar>
              <w:top w:w="128" w:type="dxa"/>
              <w:left w:w="43" w:type="dxa"/>
              <w:bottom w:w="43" w:type="dxa"/>
              <w:right w:w="43" w:type="dxa"/>
            </w:tcMar>
          </w:tcPr>
          <w:p w14:paraId="1196B9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4C43F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D8B539" w14:textId="77777777" w:rsidR="00575AC3" w:rsidRPr="006D40F0" w:rsidRDefault="00575AC3" w:rsidP="006D40F0">
            <w:r w:rsidRPr="006D40F0">
              <w:t>fra kr 8 240 000 000 til kr 9 200 000 000</w:t>
            </w:r>
          </w:p>
        </w:tc>
        <w:tc>
          <w:tcPr>
            <w:tcW w:w="1400" w:type="dxa"/>
            <w:tcBorders>
              <w:top w:val="nil"/>
              <w:left w:val="nil"/>
              <w:bottom w:val="nil"/>
              <w:right w:val="nil"/>
            </w:tcBorders>
            <w:tcMar>
              <w:top w:w="128" w:type="dxa"/>
              <w:left w:w="43" w:type="dxa"/>
              <w:bottom w:w="43" w:type="dxa"/>
              <w:right w:w="43" w:type="dxa"/>
            </w:tcMar>
            <w:vAlign w:val="bottom"/>
          </w:tcPr>
          <w:p w14:paraId="4AAD18A8" w14:textId="77777777" w:rsidR="00575AC3" w:rsidRPr="006D40F0" w:rsidRDefault="00575AC3" w:rsidP="006D40F0"/>
        </w:tc>
      </w:tr>
      <w:tr w:rsidR="00DD49A7" w:rsidRPr="006D40F0" w14:paraId="769B1271" w14:textId="77777777">
        <w:trPr>
          <w:trHeight w:val="380"/>
        </w:trPr>
        <w:tc>
          <w:tcPr>
            <w:tcW w:w="680" w:type="dxa"/>
            <w:tcBorders>
              <w:top w:val="nil"/>
              <w:left w:val="nil"/>
              <w:bottom w:val="nil"/>
              <w:right w:val="nil"/>
            </w:tcBorders>
            <w:tcMar>
              <w:top w:w="128" w:type="dxa"/>
              <w:left w:w="43" w:type="dxa"/>
              <w:bottom w:w="43" w:type="dxa"/>
              <w:right w:w="43" w:type="dxa"/>
            </w:tcMar>
          </w:tcPr>
          <w:p w14:paraId="74A43E99" w14:textId="77777777" w:rsidR="00575AC3" w:rsidRPr="006D40F0" w:rsidRDefault="00575AC3" w:rsidP="006D40F0">
            <w:r w:rsidRPr="006D40F0">
              <w:t>2680</w:t>
            </w:r>
          </w:p>
        </w:tc>
        <w:tc>
          <w:tcPr>
            <w:tcW w:w="680" w:type="dxa"/>
            <w:tcBorders>
              <w:top w:val="nil"/>
              <w:left w:val="nil"/>
              <w:bottom w:val="nil"/>
              <w:right w:val="nil"/>
            </w:tcBorders>
            <w:tcMar>
              <w:top w:w="128" w:type="dxa"/>
              <w:left w:w="43" w:type="dxa"/>
              <w:bottom w:w="43" w:type="dxa"/>
              <w:right w:w="43" w:type="dxa"/>
            </w:tcMar>
          </w:tcPr>
          <w:p w14:paraId="5C02748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53D7679" w14:textId="77777777" w:rsidR="00575AC3" w:rsidRPr="006D40F0" w:rsidRDefault="00575AC3" w:rsidP="006D40F0">
            <w:r w:rsidRPr="006D40F0">
              <w:t>Etterlatte:</w:t>
            </w:r>
          </w:p>
        </w:tc>
        <w:tc>
          <w:tcPr>
            <w:tcW w:w="1400" w:type="dxa"/>
            <w:tcBorders>
              <w:top w:val="nil"/>
              <w:left w:val="nil"/>
              <w:bottom w:val="nil"/>
              <w:right w:val="nil"/>
            </w:tcBorders>
            <w:tcMar>
              <w:top w:w="128" w:type="dxa"/>
              <w:left w:w="43" w:type="dxa"/>
              <w:bottom w:w="43" w:type="dxa"/>
              <w:right w:w="43" w:type="dxa"/>
            </w:tcMar>
            <w:vAlign w:val="bottom"/>
          </w:tcPr>
          <w:p w14:paraId="01F6DD79" w14:textId="77777777" w:rsidR="00575AC3" w:rsidRPr="006D40F0" w:rsidRDefault="00575AC3" w:rsidP="006D40F0"/>
        </w:tc>
      </w:tr>
      <w:tr w:rsidR="00DD49A7" w:rsidRPr="006D40F0" w14:paraId="2BA95331" w14:textId="77777777">
        <w:trPr>
          <w:trHeight w:val="380"/>
        </w:trPr>
        <w:tc>
          <w:tcPr>
            <w:tcW w:w="680" w:type="dxa"/>
            <w:tcBorders>
              <w:top w:val="nil"/>
              <w:left w:val="nil"/>
              <w:bottom w:val="nil"/>
              <w:right w:val="nil"/>
            </w:tcBorders>
            <w:tcMar>
              <w:top w:w="128" w:type="dxa"/>
              <w:left w:w="43" w:type="dxa"/>
              <w:bottom w:w="43" w:type="dxa"/>
              <w:right w:w="43" w:type="dxa"/>
            </w:tcMar>
          </w:tcPr>
          <w:p w14:paraId="361F6EB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E64D9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43BC37F" w14:textId="77777777" w:rsidR="00575AC3" w:rsidRPr="006D40F0" w:rsidRDefault="00575AC3" w:rsidP="006D40F0">
            <w:r w:rsidRPr="006D40F0">
              <w:t xml:space="preserve">Omstillingsstønad mv.,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3C79B9A" w14:textId="77777777" w:rsidR="00575AC3" w:rsidRPr="006D40F0" w:rsidRDefault="00575AC3" w:rsidP="006D40F0">
            <w:r w:rsidRPr="006D40F0">
              <w:t>40 000 000</w:t>
            </w:r>
          </w:p>
        </w:tc>
      </w:tr>
      <w:tr w:rsidR="00DD49A7" w:rsidRPr="006D40F0" w14:paraId="7ABAFC1C" w14:textId="77777777">
        <w:trPr>
          <w:trHeight w:val="380"/>
        </w:trPr>
        <w:tc>
          <w:tcPr>
            <w:tcW w:w="680" w:type="dxa"/>
            <w:tcBorders>
              <w:top w:val="nil"/>
              <w:left w:val="nil"/>
              <w:bottom w:val="nil"/>
              <w:right w:val="nil"/>
            </w:tcBorders>
            <w:tcMar>
              <w:top w:w="128" w:type="dxa"/>
              <w:left w:w="43" w:type="dxa"/>
              <w:bottom w:w="43" w:type="dxa"/>
              <w:right w:w="43" w:type="dxa"/>
            </w:tcMar>
          </w:tcPr>
          <w:p w14:paraId="19E9360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2CA59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C52027" w14:textId="77777777" w:rsidR="00575AC3" w:rsidRPr="006D40F0" w:rsidRDefault="00575AC3" w:rsidP="006D40F0">
            <w:r w:rsidRPr="006D40F0">
              <w:t>fra kr 1 730 000 000 til kr 1 690 000 000</w:t>
            </w:r>
          </w:p>
        </w:tc>
        <w:tc>
          <w:tcPr>
            <w:tcW w:w="1400" w:type="dxa"/>
            <w:tcBorders>
              <w:top w:val="nil"/>
              <w:left w:val="nil"/>
              <w:bottom w:val="nil"/>
              <w:right w:val="nil"/>
            </w:tcBorders>
            <w:tcMar>
              <w:top w:w="128" w:type="dxa"/>
              <w:left w:w="43" w:type="dxa"/>
              <w:bottom w:w="43" w:type="dxa"/>
              <w:right w:w="43" w:type="dxa"/>
            </w:tcMar>
            <w:vAlign w:val="bottom"/>
          </w:tcPr>
          <w:p w14:paraId="706F591F" w14:textId="77777777" w:rsidR="00575AC3" w:rsidRPr="006D40F0" w:rsidRDefault="00575AC3" w:rsidP="006D40F0"/>
        </w:tc>
      </w:tr>
      <w:tr w:rsidR="00DD49A7" w:rsidRPr="006D40F0" w14:paraId="71448A93" w14:textId="77777777">
        <w:trPr>
          <w:trHeight w:val="380"/>
        </w:trPr>
        <w:tc>
          <w:tcPr>
            <w:tcW w:w="680" w:type="dxa"/>
            <w:tcBorders>
              <w:top w:val="nil"/>
              <w:left w:val="nil"/>
              <w:bottom w:val="nil"/>
              <w:right w:val="nil"/>
            </w:tcBorders>
            <w:tcMar>
              <w:top w:w="128" w:type="dxa"/>
              <w:left w:w="43" w:type="dxa"/>
              <w:bottom w:w="43" w:type="dxa"/>
              <w:right w:w="43" w:type="dxa"/>
            </w:tcMar>
          </w:tcPr>
          <w:p w14:paraId="7266B6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6608D8"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0A6E463A" w14:textId="77777777" w:rsidR="00575AC3" w:rsidRPr="006D40F0" w:rsidRDefault="00575AC3" w:rsidP="006D40F0">
            <w:r w:rsidRPr="006D40F0">
              <w:t xml:space="preserve">Barnepensjon, </w:t>
            </w:r>
            <w:r w:rsidRPr="00575AC3">
              <w:rPr>
                <w:rStyle w:val="kursiv"/>
              </w:rPr>
              <w:t>overslagsbevilgning,</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4388C6EF" w14:textId="77777777" w:rsidR="00575AC3" w:rsidRPr="006D40F0" w:rsidRDefault="00575AC3" w:rsidP="006D40F0">
            <w:r w:rsidRPr="006D40F0">
              <w:t>34 000 000</w:t>
            </w:r>
          </w:p>
        </w:tc>
      </w:tr>
      <w:tr w:rsidR="00DD49A7" w:rsidRPr="006D40F0" w14:paraId="514C0A46" w14:textId="77777777">
        <w:trPr>
          <w:trHeight w:val="380"/>
        </w:trPr>
        <w:tc>
          <w:tcPr>
            <w:tcW w:w="680" w:type="dxa"/>
            <w:tcBorders>
              <w:top w:val="nil"/>
              <w:left w:val="nil"/>
              <w:bottom w:val="nil"/>
              <w:right w:val="nil"/>
            </w:tcBorders>
            <w:tcMar>
              <w:top w:w="128" w:type="dxa"/>
              <w:left w:w="43" w:type="dxa"/>
              <w:bottom w:w="43" w:type="dxa"/>
              <w:right w:w="43" w:type="dxa"/>
            </w:tcMar>
          </w:tcPr>
          <w:p w14:paraId="6D851BB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86290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E1E09F" w14:textId="77777777" w:rsidR="00575AC3" w:rsidRPr="006D40F0" w:rsidRDefault="00575AC3" w:rsidP="006D40F0">
            <w:r w:rsidRPr="006D40F0">
              <w:t>fra kr 1 596 000 000 til kr 1 630 000 000</w:t>
            </w:r>
          </w:p>
        </w:tc>
        <w:tc>
          <w:tcPr>
            <w:tcW w:w="1400" w:type="dxa"/>
            <w:tcBorders>
              <w:top w:val="nil"/>
              <w:left w:val="nil"/>
              <w:bottom w:val="nil"/>
              <w:right w:val="nil"/>
            </w:tcBorders>
            <w:tcMar>
              <w:top w:w="128" w:type="dxa"/>
              <w:left w:w="43" w:type="dxa"/>
              <w:bottom w:w="43" w:type="dxa"/>
              <w:right w:w="43" w:type="dxa"/>
            </w:tcMar>
            <w:vAlign w:val="bottom"/>
          </w:tcPr>
          <w:p w14:paraId="0B72E1C5" w14:textId="77777777" w:rsidR="00575AC3" w:rsidRPr="006D40F0" w:rsidRDefault="00575AC3" w:rsidP="006D40F0"/>
        </w:tc>
      </w:tr>
      <w:tr w:rsidR="00DD49A7" w:rsidRPr="006D40F0" w14:paraId="39F9CBD2" w14:textId="77777777">
        <w:trPr>
          <w:trHeight w:val="380"/>
        </w:trPr>
        <w:tc>
          <w:tcPr>
            <w:tcW w:w="680" w:type="dxa"/>
            <w:tcBorders>
              <w:top w:val="nil"/>
              <w:left w:val="nil"/>
              <w:bottom w:val="nil"/>
              <w:right w:val="nil"/>
            </w:tcBorders>
            <w:tcMar>
              <w:top w:w="128" w:type="dxa"/>
              <w:left w:w="43" w:type="dxa"/>
              <w:bottom w:w="43" w:type="dxa"/>
              <w:right w:w="43" w:type="dxa"/>
            </w:tcMar>
          </w:tcPr>
          <w:p w14:paraId="6D32F2BF" w14:textId="77777777" w:rsidR="00575AC3" w:rsidRPr="006D40F0" w:rsidRDefault="00575AC3" w:rsidP="006D40F0">
            <w:r w:rsidRPr="006D40F0">
              <w:t>2686</w:t>
            </w:r>
          </w:p>
        </w:tc>
        <w:tc>
          <w:tcPr>
            <w:tcW w:w="680" w:type="dxa"/>
            <w:tcBorders>
              <w:top w:val="nil"/>
              <w:left w:val="nil"/>
              <w:bottom w:val="nil"/>
              <w:right w:val="nil"/>
            </w:tcBorders>
            <w:tcMar>
              <w:top w:w="128" w:type="dxa"/>
              <w:left w:w="43" w:type="dxa"/>
              <w:bottom w:w="43" w:type="dxa"/>
              <w:right w:w="43" w:type="dxa"/>
            </w:tcMar>
          </w:tcPr>
          <w:p w14:paraId="569788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6F38A4" w14:textId="77777777" w:rsidR="00575AC3" w:rsidRPr="006D40F0" w:rsidRDefault="00575AC3" w:rsidP="006D40F0">
            <w:r w:rsidRPr="006D40F0">
              <w:t>Stønad ved gravferd:</w:t>
            </w:r>
          </w:p>
        </w:tc>
        <w:tc>
          <w:tcPr>
            <w:tcW w:w="1400" w:type="dxa"/>
            <w:tcBorders>
              <w:top w:val="nil"/>
              <w:left w:val="nil"/>
              <w:bottom w:val="nil"/>
              <w:right w:val="nil"/>
            </w:tcBorders>
            <w:tcMar>
              <w:top w:w="128" w:type="dxa"/>
              <w:left w:w="43" w:type="dxa"/>
              <w:bottom w:w="43" w:type="dxa"/>
              <w:right w:w="43" w:type="dxa"/>
            </w:tcMar>
            <w:vAlign w:val="bottom"/>
          </w:tcPr>
          <w:p w14:paraId="5BDCA02D" w14:textId="77777777" w:rsidR="00575AC3" w:rsidRPr="006D40F0" w:rsidRDefault="00575AC3" w:rsidP="006D40F0"/>
        </w:tc>
      </w:tr>
      <w:tr w:rsidR="00DD49A7" w:rsidRPr="006D40F0" w14:paraId="661CF2BE" w14:textId="77777777">
        <w:trPr>
          <w:trHeight w:val="380"/>
        </w:trPr>
        <w:tc>
          <w:tcPr>
            <w:tcW w:w="680" w:type="dxa"/>
            <w:tcBorders>
              <w:top w:val="nil"/>
              <w:left w:val="nil"/>
              <w:bottom w:val="nil"/>
              <w:right w:val="nil"/>
            </w:tcBorders>
            <w:tcMar>
              <w:top w:w="128" w:type="dxa"/>
              <w:left w:w="43" w:type="dxa"/>
              <w:bottom w:w="43" w:type="dxa"/>
              <w:right w:w="43" w:type="dxa"/>
            </w:tcMar>
          </w:tcPr>
          <w:p w14:paraId="3F0CF93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C1F9EA"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F9D69A9" w14:textId="77777777" w:rsidR="00575AC3" w:rsidRPr="006D40F0" w:rsidRDefault="00575AC3" w:rsidP="006D40F0">
            <w:r w:rsidRPr="006D40F0">
              <w:t xml:space="preserve">Stønad ved gravferd, </w:t>
            </w:r>
            <w:r w:rsidRPr="00575AC3">
              <w:rPr>
                <w:rStyle w:val="kursiv"/>
              </w:rPr>
              <w:t>overslagsbevilgning,</w:t>
            </w:r>
            <w:r w:rsidRPr="006D40F0">
              <w:t xml:space="preserve"> nedsettes med</w:t>
            </w:r>
          </w:p>
        </w:tc>
        <w:tc>
          <w:tcPr>
            <w:tcW w:w="1400" w:type="dxa"/>
            <w:tcBorders>
              <w:top w:val="nil"/>
              <w:left w:val="nil"/>
              <w:bottom w:val="nil"/>
              <w:right w:val="nil"/>
            </w:tcBorders>
            <w:tcMar>
              <w:top w:w="128" w:type="dxa"/>
              <w:left w:w="43" w:type="dxa"/>
              <w:bottom w:w="43" w:type="dxa"/>
              <w:right w:w="43" w:type="dxa"/>
            </w:tcMar>
            <w:vAlign w:val="bottom"/>
          </w:tcPr>
          <w:p w14:paraId="54EB68B6" w14:textId="77777777" w:rsidR="00575AC3" w:rsidRPr="006D40F0" w:rsidRDefault="00575AC3" w:rsidP="006D40F0">
            <w:r w:rsidRPr="006D40F0">
              <w:t>10 000 000</w:t>
            </w:r>
          </w:p>
        </w:tc>
      </w:tr>
      <w:tr w:rsidR="00DD49A7" w:rsidRPr="006D40F0" w14:paraId="25C8AB3E" w14:textId="77777777">
        <w:trPr>
          <w:trHeight w:val="380"/>
        </w:trPr>
        <w:tc>
          <w:tcPr>
            <w:tcW w:w="680" w:type="dxa"/>
            <w:tcBorders>
              <w:top w:val="nil"/>
              <w:left w:val="nil"/>
              <w:bottom w:val="nil"/>
              <w:right w:val="nil"/>
            </w:tcBorders>
            <w:tcMar>
              <w:top w:w="128" w:type="dxa"/>
              <w:left w:w="43" w:type="dxa"/>
              <w:bottom w:w="43" w:type="dxa"/>
              <w:right w:w="43" w:type="dxa"/>
            </w:tcMar>
          </w:tcPr>
          <w:p w14:paraId="7F99610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A2D1D7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D148A8" w14:textId="77777777" w:rsidR="00575AC3" w:rsidRPr="006D40F0" w:rsidRDefault="00575AC3" w:rsidP="006D40F0">
            <w:r w:rsidRPr="006D40F0">
              <w:t>fra kr 315 000 000 til kr 305 000 000</w:t>
            </w:r>
          </w:p>
        </w:tc>
        <w:tc>
          <w:tcPr>
            <w:tcW w:w="1400" w:type="dxa"/>
            <w:tcBorders>
              <w:top w:val="nil"/>
              <w:left w:val="nil"/>
              <w:bottom w:val="nil"/>
              <w:right w:val="nil"/>
            </w:tcBorders>
            <w:tcMar>
              <w:top w:w="128" w:type="dxa"/>
              <w:left w:w="43" w:type="dxa"/>
              <w:bottom w:w="43" w:type="dxa"/>
              <w:right w:w="43" w:type="dxa"/>
            </w:tcMar>
            <w:vAlign w:val="bottom"/>
          </w:tcPr>
          <w:p w14:paraId="4ADD45B9" w14:textId="77777777" w:rsidR="00575AC3" w:rsidRPr="006D40F0" w:rsidRDefault="00575AC3" w:rsidP="006D40F0"/>
        </w:tc>
      </w:tr>
      <w:tr w:rsidR="00DD49A7" w:rsidRPr="006D40F0" w14:paraId="6315BB21" w14:textId="77777777">
        <w:trPr>
          <w:trHeight w:val="380"/>
        </w:trPr>
        <w:tc>
          <w:tcPr>
            <w:tcW w:w="680" w:type="dxa"/>
            <w:tcBorders>
              <w:top w:val="nil"/>
              <w:left w:val="nil"/>
              <w:bottom w:val="nil"/>
              <w:right w:val="nil"/>
            </w:tcBorders>
            <w:tcMar>
              <w:top w:w="128" w:type="dxa"/>
              <w:left w:w="43" w:type="dxa"/>
              <w:bottom w:w="43" w:type="dxa"/>
              <w:right w:w="43" w:type="dxa"/>
            </w:tcMar>
          </w:tcPr>
          <w:p w14:paraId="1E5E259E" w14:textId="77777777" w:rsidR="00575AC3" w:rsidRPr="006D40F0" w:rsidRDefault="00575AC3" w:rsidP="006D40F0">
            <w:r w:rsidRPr="006D40F0">
              <w:t>2711</w:t>
            </w:r>
          </w:p>
        </w:tc>
        <w:tc>
          <w:tcPr>
            <w:tcW w:w="680" w:type="dxa"/>
            <w:tcBorders>
              <w:top w:val="nil"/>
              <w:left w:val="nil"/>
              <w:bottom w:val="nil"/>
              <w:right w:val="nil"/>
            </w:tcBorders>
            <w:tcMar>
              <w:top w:w="128" w:type="dxa"/>
              <w:left w:w="43" w:type="dxa"/>
              <w:bottom w:w="43" w:type="dxa"/>
              <w:right w:w="43" w:type="dxa"/>
            </w:tcMar>
          </w:tcPr>
          <w:p w14:paraId="1CD5EBC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5C3E34D" w14:textId="77777777" w:rsidR="00575AC3" w:rsidRPr="006D40F0" w:rsidRDefault="00575AC3" w:rsidP="006D40F0">
            <w:r w:rsidRPr="006D40F0">
              <w:t>Spesialisthelsetjeneste mv.:</w:t>
            </w:r>
          </w:p>
        </w:tc>
        <w:tc>
          <w:tcPr>
            <w:tcW w:w="1400" w:type="dxa"/>
            <w:tcBorders>
              <w:top w:val="nil"/>
              <w:left w:val="nil"/>
              <w:bottom w:val="nil"/>
              <w:right w:val="nil"/>
            </w:tcBorders>
            <w:tcMar>
              <w:top w:w="128" w:type="dxa"/>
              <w:left w:w="43" w:type="dxa"/>
              <w:bottom w:w="43" w:type="dxa"/>
              <w:right w:w="43" w:type="dxa"/>
            </w:tcMar>
            <w:vAlign w:val="bottom"/>
          </w:tcPr>
          <w:p w14:paraId="56F3D3EB" w14:textId="77777777" w:rsidR="00575AC3" w:rsidRPr="006D40F0" w:rsidRDefault="00575AC3" w:rsidP="006D40F0"/>
        </w:tc>
      </w:tr>
      <w:tr w:rsidR="00DD49A7" w:rsidRPr="006D40F0" w14:paraId="7E0A3837" w14:textId="77777777">
        <w:trPr>
          <w:trHeight w:val="380"/>
        </w:trPr>
        <w:tc>
          <w:tcPr>
            <w:tcW w:w="680" w:type="dxa"/>
            <w:tcBorders>
              <w:top w:val="nil"/>
              <w:left w:val="nil"/>
              <w:bottom w:val="nil"/>
              <w:right w:val="nil"/>
            </w:tcBorders>
            <w:tcMar>
              <w:top w:w="128" w:type="dxa"/>
              <w:left w:w="43" w:type="dxa"/>
              <w:bottom w:w="43" w:type="dxa"/>
              <w:right w:w="43" w:type="dxa"/>
            </w:tcMar>
          </w:tcPr>
          <w:p w14:paraId="53B8DC3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5E62F01"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AA63C91" w14:textId="77777777" w:rsidR="00575AC3" w:rsidRPr="006D40F0" w:rsidRDefault="00575AC3" w:rsidP="006D40F0">
            <w:r w:rsidRPr="006D40F0">
              <w:t>Spesialisthjelp, nedsettes med</w:t>
            </w:r>
          </w:p>
        </w:tc>
        <w:tc>
          <w:tcPr>
            <w:tcW w:w="1400" w:type="dxa"/>
            <w:tcBorders>
              <w:top w:val="nil"/>
              <w:left w:val="nil"/>
              <w:bottom w:val="nil"/>
              <w:right w:val="nil"/>
            </w:tcBorders>
            <w:tcMar>
              <w:top w:w="128" w:type="dxa"/>
              <w:left w:w="43" w:type="dxa"/>
              <w:bottom w:w="43" w:type="dxa"/>
              <w:right w:w="43" w:type="dxa"/>
            </w:tcMar>
            <w:vAlign w:val="bottom"/>
          </w:tcPr>
          <w:p w14:paraId="766E3C3F" w14:textId="77777777" w:rsidR="00575AC3" w:rsidRPr="006D40F0" w:rsidRDefault="00575AC3" w:rsidP="006D40F0">
            <w:r w:rsidRPr="006D40F0">
              <w:t>52 000 000</w:t>
            </w:r>
          </w:p>
        </w:tc>
      </w:tr>
      <w:tr w:rsidR="00DD49A7" w:rsidRPr="006D40F0" w14:paraId="1CEC6952" w14:textId="77777777">
        <w:trPr>
          <w:trHeight w:val="380"/>
        </w:trPr>
        <w:tc>
          <w:tcPr>
            <w:tcW w:w="680" w:type="dxa"/>
            <w:tcBorders>
              <w:top w:val="nil"/>
              <w:left w:val="nil"/>
              <w:bottom w:val="nil"/>
              <w:right w:val="nil"/>
            </w:tcBorders>
            <w:tcMar>
              <w:top w:w="128" w:type="dxa"/>
              <w:left w:w="43" w:type="dxa"/>
              <w:bottom w:w="43" w:type="dxa"/>
              <w:right w:w="43" w:type="dxa"/>
            </w:tcMar>
          </w:tcPr>
          <w:p w14:paraId="691B959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2465BD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03EBB86" w14:textId="77777777" w:rsidR="00575AC3" w:rsidRPr="006D40F0" w:rsidRDefault="00575AC3" w:rsidP="006D40F0">
            <w:r w:rsidRPr="006D40F0">
              <w:t>fra kr 2 932 000 000 til kr 2 880 000 000</w:t>
            </w:r>
          </w:p>
        </w:tc>
        <w:tc>
          <w:tcPr>
            <w:tcW w:w="1400" w:type="dxa"/>
            <w:tcBorders>
              <w:top w:val="nil"/>
              <w:left w:val="nil"/>
              <w:bottom w:val="nil"/>
              <w:right w:val="nil"/>
            </w:tcBorders>
            <w:tcMar>
              <w:top w:w="128" w:type="dxa"/>
              <w:left w:w="43" w:type="dxa"/>
              <w:bottom w:w="43" w:type="dxa"/>
              <w:right w:w="43" w:type="dxa"/>
            </w:tcMar>
            <w:vAlign w:val="bottom"/>
          </w:tcPr>
          <w:p w14:paraId="41ACCAC9" w14:textId="77777777" w:rsidR="00575AC3" w:rsidRPr="006D40F0" w:rsidRDefault="00575AC3" w:rsidP="006D40F0"/>
        </w:tc>
      </w:tr>
      <w:tr w:rsidR="00DD49A7" w:rsidRPr="006D40F0" w14:paraId="6986139E" w14:textId="77777777">
        <w:trPr>
          <w:trHeight w:val="380"/>
        </w:trPr>
        <w:tc>
          <w:tcPr>
            <w:tcW w:w="680" w:type="dxa"/>
            <w:tcBorders>
              <w:top w:val="nil"/>
              <w:left w:val="nil"/>
              <w:bottom w:val="nil"/>
              <w:right w:val="nil"/>
            </w:tcBorders>
            <w:tcMar>
              <w:top w:w="128" w:type="dxa"/>
              <w:left w:w="43" w:type="dxa"/>
              <w:bottom w:w="43" w:type="dxa"/>
              <w:right w:w="43" w:type="dxa"/>
            </w:tcMar>
          </w:tcPr>
          <w:p w14:paraId="349142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B62482"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3DA35908" w14:textId="77777777" w:rsidR="00575AC3" w:rsidRPr="006D40F0" w:rsidRDefault="00575AC3" w:rsidP="006D40F0">
            <w:r w:rsidRPr="006D40F0">
              <w:t>Psykologhjelp, nedsettes med</w:t>
            </w:r>
          </w:p>
        </w:tc>
        <w:tc>
          <w:tcPr>
            <w:tcW w:w="1400" w:type="dxa"/>
            <w:tcBorders>
              <w:top w:val="nil"/>
              <w:left w:val="nil"/>
              <w:bottom w:val="nil"/>
              <w:right w:val="nil"/>
            </w:tcBorders>
            <w:tcMar>
              <w:top w:w="128" w:type="dxa"/>
              <w:left w:w="43" w:type="dxa"/>
              <w:bottom w:w="43" w:type="dxa"/>
              <w:right w:w="43" w:type="dxa"/>
            </w:tcMar>
            <w:vAlign w:val="bottom"/>
          </w:tcPr>
          <w:p w14:paraId="3E9B5E86" w14:textId="77777777" w:rsidR="00575AC3" w:rsidRPr="006D40F0" w:rsidRDefault="00575AC3" w:rsidP="006D40F0">
            <w:r w:rsidRPr="006D40F0">
              <w:t>19 000 000</w:t>
            </w:r>
          </w:p>
        </w:tc>
      </w:tr>
      <w:tr w:rsidR="00DD49A7" w:rsidRPr="006D40F0" w14:paraId="58297D41" w14:textId="77777777">
        <w:trPr>
          <w:trHeight w:val="380"/>
        </w:trPr>
        <w:tc>
          <w:tcPr>
            <w:tcW w:w="680" w:type="dxa"/>
            <w:tcBorders>
              <w:top w:val="nil"/>
              <w:left w:val="nil"/>
              <w:bottom w:val="nil"/>
              <w:right w:val="nil"/>
            </w:tcBorders>
            <w:tcMar>
              <w:top w:w="128" w:type="dxa"/>
              <w:left w:w="43" w:type="dxa"/>
              <w:bottom w:w="43" w:type="dxa"/>
              <w:right w:w="43" w:type="dxa"/>
            </w:tcMar>
          </w:tcPr>
          <w:p w14:paraId="57AB85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A2EE39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DEC7C4" w14:textId="77777777" w:rsidR="00575AC3" w:rsidRPr="006D40F0" w:rsidRDefault="00575AC3" w:rsidP="006D40F0">
            <w:r w:rsidRPr="006D40F0">
              <w:t>fra kr 467 000 000 til kr 448 000 000</w:t>
            </w:r>
          </w:p>
        </w:tc>
        <w:tc>
          <w:tcPr>
            <w:tcW w:w="1400" w:type="dxa"/>
            <w:tcBorders>
              <w:top w:val="nil"/>
              <w:left w:val="nil"/>
              <w:bottom w:val="nil"/>
              <w:right w:val="nil"/>
            </w:tcBorders>
            <w:tcMar>
              <w:top w:w="128" w:type="dxa"/>
              <w:left w:w="43" w:type="dxa"/>
              <w:bottom w:w="43" w:type="dxa"/>
              <w:right w:w="43" w:type="dxa"/>
            </w:tcMar>
            <w:vAlign w:val="bottom"/>
          </w:tcPr>
          <w:p w14:paraId="34A279DA" w14:textId="77777777" w:rsidR="00575AC3" w:rsidRPr="006D40F0" w:rsidRDefault="00575AC3" w:rsidP="006D40F0"/>
        </w:tc>
      </w:tr>
      <w:tr w:rsidR="00DD49A7" w:rsidRPr="006D40F0" w14:paraId="55AEA82F" w14:textId="77777777">
        <w:trPr>
          <w:trHeight w:val="380"/>
        </w:trPr>
        <w:tc>
          <w:tcPr>
            <w:tcW w:w="680" w:type="dxa"/>
            <w:tcBorders>
              <w:top w:val="nil"/>
              <w:left w:val="nil"/>
              <w:bottom w:val="nil"/>
              <w:right w:val="nil"/>
            </w:tcBorders>
            <w:tcMar>
              <w:top w:w="128" w:type="dxa"/>
              <w:left w:w="43" w:type="dxa"/>
              <w:bottom w:w="43" w:type="dxa"/>
              <w:right w:w="43" w:type="dxa"/>
            </w:tcMar>
          </w:tcPr>
          <w:p w14:paraId="4AB717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08CC3C"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05901E80" w14:textId="77777777" w:rsidR="00575AC3" w:rsidRPr="006D40F0" w:rsidRDefault="00575AC3" w:rsidP="006D40F0">
            <w:r w:rsidRPr="006D40F0">
              <w:t>Tannbehandling, nedsettes med</w:t>
            </w:r>
          </w:p>
        </w:tc>
        <w:tc>
          <w:tcPr>
            <w:tcW w:w="1400" w:type="dxa"/>
            <w:tcBorders>
              <w:top w:val="nil"/>
              <w:left w:val="nil"/>
              <w:bottom w:val="nil"/>
              <w:right w:val="nil"/>
            </w:tcBorders>
            <w:tcMar>
              <w:top w:w="128" w:type="dxa"/>
              <w:left w:w="43" w:type="dxa"/>
              <w:bottom w:w="43" w:type="dxa"/>
              <w:right w:w="43" w:type="dxa"/>
            </w:tcMar>
            <w:vAlign w:val="bottom"/>
          </w:tcPr>
          <w:p w14:paraId="04EEBBFE" w14:textId="77777777" w:rsidR="00575AC3" w:rsidRPr="006D40F0" w:rsidRDefault="00575AC3" w:rsidP="006D40F0">
            <w:r w:rsidRPr="006D40F0">
              <w:t>10 000 000</w:t>
            </w:r>
          </w:p>
        </w:tc>
      </w:tr>
      <w:tr w:rsidR="00DD49A7" w:rsidRPr="006D40F0" w14:paraId="598C76D1" w14:textId="77777777">
        <w:trPr>
          <w:trHeight w:val="380"/>
        </w:trPr>
        <w:tc>
          <w:tcPr>
            <w:tcW w:w="680" w:type="dxa"/>
            <w:tcBorders>
              <w:top w:val="nil"/>
              <w:left w:val="nil"/>
              <w:bottom w:val="nil"/>
              <w:right w:val="nil"/>
            </w:tcBorders>
            <w:tcMar>
              <w:top w:w="128" w:type="dxa"/>
              <w:left w:w="43" w:type="dxa"/>
              <w:bottom w:w="43" w:type="dxa"/>
              <w:right w:w="43" w:type="dxa"/>
            </w:tcMar>
          </w:tcPr>
          <w:p w14:paraId="2876F3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6E530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748CC4" w14:textId="77777777" w:rsidR="00575AC3" w:rsidRPr="006D40F0" w:rsidRDefault="00575AC3" w:rsidP="006D40F0">
            <w:r w:rsidRPr="006D40F0">
              <w:t>fra kr 2 890 000 000 til kr 2 880 000 000</w:t>
            </w:r>
          </w:p>
        </w:tc>
        <w:tc>
          <w:tcPr>
            <w:tcW w:w="1400" w:type="dxa"/>
            <w:tcBorders>
              <w:top w:val="nil"/>
              <w:left w:val="nil"/>
              <w:bottom w:val="nil"/>
              <w:right w:val="nil"/>
            </w:tcBorders>
            <w:tcMar>
              <w:top w:w="128" w:type="dxa"/>
              <w:left w:w="43" w:type="dxa"/>
              <w:bottom w:w="43" w:type="dxa"/>
              <w:right w:w="43" w:type="dxa"/>
            </w:tcMar>
            <w:vAlign w:val="bottom"/>
          </w:tcPr>
          <w:p w14:paraId="6F48DE7E" w14:textId="77777777" w:rsidR="00575AC3" w:rsidRPr="006D40F0" w:rsidRDefault="00575AC3" w:rsidP="006D40F0"/>
        </w:tc>
      </w:tr>
      <w:tr w:rsidR="00DD49A7" w:rsidRPr="006D40F0" w14:paraId="7411F87B" w14:textId="77777777">
        <w:trPr>
          <w:trHeight w:val="380"/>
        </w:trPr>
        <w:tc>
          <w:tcPr>
            <w:tcW w:w="680" w:type="dxa"/>
            <w:tcBorders>
              <w:top w:val="nil"/>
              <w:left w:val="nil"/>
              <w:bottom w:val="nil"/>
              <w:right w:val="nil"/>
            </w:tcBorders>
            <w:tcMar>
              <w:top w:w="128" w:type="dxa"/>
              <w:left w:w="43" w:type="dxa"/>
              <w:bottom w:w="43" w:type="dxa"/>
              <w:right w:w="43" w:type="dxa"/>
            </w:tcMar>
          </w:tcPr>
          <w:p w14:paraId="7CB71C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D2D54A"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0E4D285D" w14:textId="77777777" w:rsidR="00575AC3" w:rsidRPr="006D40F0" w:rsidRDefault="00575AC3" w:rsidP="006D40F0">
            <w:r w:rsidRPr="006D40F0">
              <w:t>Private laboratorier og røntgeninstitutt, forhøyes med</w:t>
            </w:r>
          </w:p>
        </w:tc>
        <w:tc>
          <w:tcPr>
            <w:tcW w:w="1400" w:type="dxa"/>
            <w:tcBorders>
              <w:top w:val="nil"/>
              <w:left w:val="nil"/>
              <w:bottom w:val="nil"/>
              <w:right w:val="nil"/>
            </w:tcBorders>
            <w:tcMar>
              <w:top w:w="128" w:type="dxa"/>
              <w:left w:w="43" w:type="dxa"/>
              <w:bottom w:w="43" w:type="dxa"/>
              <w:right w:w="43" w:type="dxa"/>
            </w:tcMar>
            <w:vAlign w:val="bottom"/>
          </w:tcPr>
          <w:p w14:paraId="41123F44" w14:textId="77777777" w:rsidR="00575AC3" w:rsidRPr="006D40F0" w:rsidRDefault="00575AC3" w:rsidP="006D40F0">
            <w:r w:rsidRPr="006D40F0">
              <w:t>74 400 000</w:t>
            </w:r>
          </w:p>
        </w:tc>
      </w:tr>
      <w:tr w:rsidR="00DD49A7" w:rsidRPr="006D40F0" w14:paraId="747984EB" w14:textId="77777777">
        <w:trPr>
          <w:trHeight w:val="380"/>
        </w:trPr>
        <w:tc>
          <w:tcPr>
            <w:tcW w:w="680" w:type="dxa"/>
            <w:tcBorders>
              <w:top w:val="nil"/>
              <w:left w:val="nil"/>
              <w:bottom w:val="nil"/>
              <w:right w:val="nil"/>
            </w:tcBorders>
            <w:tcMar>
              <w:top w:w="128" w:type="dxa"/>
              <w:left w:w="43" w:type="dxa"/>
              <w:bottom w:w="43" w:type="dxa"/>
              <w:right w:w="43" w:type="dxa"/>
            </w:tcMar>
          </w:tcPr>
          <w:p w14:paraId="70766C4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25120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B3234FE" w14:textId="77777777" w:rsidR="00575AC3" w:rsidRPr="006D40F0" w:rsidRDefault="00575AC3" w:rsidP="006D40F0">
            <w:r w:rsidRPr="006D40F0">
              <w:t>fra kr 1 280 600 000 til kr 1 355 000 000</w:t>
            </w:r>
          </w:p>
        </w:tc>
        <w:tc>
          <w:tcPr>
            <w:tcW w:w="1400" w:type="dxa"/>
            <w:tcBorders>
              <w:top w:val="nil"/>
              <w:left w:val="nil"/>
              <w:bottom w:val="nil"/>
              <w:right w:val="nil"/>
            </w:tcBorders>
            <w:tcMar>
              <w:top w:w="128" w:type="dxa"/>
              <w:left w:w="43" w:type="dxa"/>
              <w:bottom w:w="43" w:type="dxa"/>
              <w:right w:w="43" w:type="dxa"/>
            </w:tcMar>
            <w:vAlign w:val="bottom"/>
          </w:tcPr>
          <w:p w14:paraId="6027DDEC" w14:textId="77777777" w:rsidR="00575AC3" w:rsidRPr="006D40F0" w:rsidRDefault="00575AC3" w:rsidP="006D40F0"/>
        </w:tc>
      </w:tr>
      <w:tr w:rsidR="00DD49A7" w:rsidRPr="006D40F0" w14:paraId="789F838E" w14:textId="77777777">
        <w:trPr>
          <w:trHeight w:val="380"/>
        </w:trPr>
        <w:tc>
          <w:tcPr>
            <w:tcW w:w="680" w:type="dxa"/>
            <w:tcBorders>
              <w:top w:val="nil"/>
              <w:left w:val="nil"/>
              <w:bottom w:val="nil"/>
              <w:right w:val="nil"/>
            </w:tcBorders>
            <w:tcMar>
              <w:top w:w="128" w:type="dxa"/>
              <w:left w:w="43" w:type="dxa"/>
              <w:bottom w:w="43" w:type="dxa"/>
              <w:right w:w="43" w:type="dxa"/>
            </w:tcMar>
          </w:tcPr>
          <w:p w14:paraId="74ED1192" w14:textId="77777777" w:rsidR="00575AC3" w:rsidRPr="006D40F0" w:rsidRDefault="00575AC3" w:rsidP="006D40F0">
            <w:r w:rsidRPr="006D40F0">
              <w:t>2751</w:t>
            </w:r>
          </w:p>
        </w:tc>
        <w:tc>
          <w:tcPr>
            <w:tcW w:w="680" w:type="dxa"/>
            <w:tcBorders>
              <w:top w:val="nil"/>
              <w:left w:val="nil"/>
              <w:bottom w:val="nil"/>
              <w:right w:val="nil"/>
            </w:tcBorders>
            <w:tcMar>
              <w:top w:w="128" w:type="dxa"/>
              <w:left w:w="43" w:type="dxa"/>
              <w:bottom w:w="43" w:type="dxa"/>
              <w:right w:w="43" w:type="dxa"/>
            </w:tcMar>
          </w:tcPr>
          <w:p w14:paraId="45C804F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72C24F" w14:textId="77777777" w:rsidR="00575AC3" w:rsidRPr="006D40F0" w:rsidRDefault="00575AC3" w:rsidP="006D40F0">
            <w:r w:rsidRPr="006D40F0">
              <w:t>Legemidler mv.:</w:t>
            </w:r>
          </w:p>
        </w:tc>
        <w:tc>
          <w:tcPr>
            <w:tcW w:w="1400" w:type="dxa"/>
            <w:tcBorders>
              <w:top w:val="nil"/>
              <w:left w:val="nil"/>
              <w:bottom w:val="nil"/>
              <w:right w:val="nil"/>
            </w:tcBorders>
            <w:tcMar>
              <w:top w:w="128" w:type="dxa"/>
              <w:left w:w="43" w:type="dxa"/>
              <w:bottom w:w="43" w:type="dxa"/>
              <w:right w:w="43" w:type="dxa"/>
            </w:tcMar>
            <w:vAlign w:val="bottom"/>
          </w:tcPr>
          <w:p w14:paraId="3E9516FB" w14:textId="77777777" w:rsidR="00575AC3" w:rsidRPr="006D40F0" w:rsidRDefault="00575AC3" w:rsidP="006D40F0"/>
        </w:tc>
      </w:tr>
      <w:tr w:rsidR="00DD49A7" w:rsidRPr="006D40F0" w14:paraId="107E676A" w14:textId="77777777">
        <w:trPr>
          <w:trHeight w:val="380"/>
        </w:trPr>
        <w:tc>
          <w:tcPr>
            <w:tcW w:w="680" w:type="dxa"/>
            <w:tcBorders>
              <w:top w:val="nil"/>
              <w:left w:val="nil"/>
              <w:bottom w:val="nil"/>
              <w:right w:val="nil"/>
            </w:tcBorders>
            <w:tcMar>
              <w:top w:w="128" w:type="dxa"/>
              <w:left w:w="43" w:type="dxa"/>
              <w:bottom w:w="43" w:type="dxa"/>
              <w:right w:w="43" w:type="dxa"/>
            </w:tcMar>
          </w:tcPr>
          <w:p w14:paraId="1A86DF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431B6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07DFC0F" w14:textId="77777777" w:rsidR="00575AC3" w:rsidRPr="006D40F0" w:rsidRDefault="00575AC3" w:rsidP="006D40F0">
            <w:r w:rsidRPr="006D40F0">
              <w:t>Legemidler, forhøyes med</w:t>
            </w:r>
          </w:p>
        </w:tc>
        <w:tc>
          <w:tcPr>
            <w:tcW w:w="1400" w:type="dxa"/>
            <w:tcBorders>
              <w:top w:val="nil"/>
              <w:left w:val="nil"/>
              <w:bottom w:val="nil"/>
              <w:right w:val="nil"/>
            </w:tcBorders>
            <w:tcMar>
              <w:top w:w="128" w:type="dxa"/>
              <w:left w:w="43" w:type="dxa"/>
              <w:bottom w:w="43" w:type="dxa"/>
              <w:right w:w="43" w:type="dxa"/>
            </w:tcMar>
            <w:vAlign w:val="bottom"/>
          </w:tcPr>
          <w:p w14:paraId="7C3B782E" w14:textId="77777777" w:rsidR="00575AC3" w:rsidRPr="006D40F0" w:rsidRDefault="00575AC3" w:rsidP="006D40F0">
            <w:r w:rsidRPr="006D40F0">
              <w:t>324 400 000</w:t>
            </w:r>
          </w:p>
        </w:tc>
      </w:tr>
      <w:tr w:rsidR="00DD49A7" w:rsidRPr="006D40F0" w14:paraId="2959FE51" w14:textId="77777777">
        <w:trPr>
          <w:trHeight w:val="380"/>
        </w:trPr>
        <w:tc>
          <w:tcPr>
            <w:tcW w:w="680" w:type="dxa"/>
            <w:tcBorders>
              <w:top w:val="nil"/>
              <w:left w:val="nil"/>
              <w:bottom w:val="nil"/>
              <w:right w:val="nil"/>
            </w:tcBorders>
            <w:tcMar>
              <w:top w:w="128" w:type="dxa"/>
              <w:left w:w="43" w:type="dxa"/>
              <w:bottom w:w="43" w:type="dxa"/>
              <w:right w:w="43" w:type="dxa"/>
            </w:tcMar>
          </w:tcPr>
          <w:p w14:paraId="5C51FF5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BD581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E84524" w14:textId="77777777" w:rsidR="00575AC3" w:rsidRPr="006D40F0" w:rsidRDefault="00575AC3" w:rsidP="006D40F0">
            <w:r w:rsidRPr="006D40F0">
              <w:t>fra kr 13 875 500 000 til kr 14 199 900 000</w:t>
            </w:r>
          </w:p>
        </w:tc>
        <w:tc>
          <w:tcPr>
            <w:tcW w:w="1400" w:type="dxa"/>
            <w:tcBorders>
              <w:top w:val="nil"/>
              <w:left w:val="nil"/>
              <w:bottom w:val="nil"/>
              <w:right w:val="nil"/>
            </w:tcBorders>
            <w:tcMar>
              <w:top w:w="128" w:type="dxa"/>
              <w:left w:w="43" w:type="dxa"/>
              <w:bottom w:w="43" w:type="dxa"/>
              <w:right w:w="43" w:type="dxa"/>
            </w:tcMar>
            <w:vAlign w:val="bottom"/>
          </w:tcPr>
          <w:p w14:paraId="0BB13C11" w14:textId="77777777" w:rsidR="00575AC3" w:rsidRPr="006D40F0" w:rsidRDefault="00575AC3" w:rsidP="006D40F0"/>
        </w:tc>
      </w:tr>
      <w:tr w:rsidR="00DD49A7" w:rsidRPr="006D40F0" w14:paraId="2FF54728" w14:textId="77777777">
        <w:trPr>
          <w:trHeight w:val="380"/>
        </w:trPr>
        <w:tc>
          <w:tcPr>
            <w:tcW w:w="680" w:type="dxa"/>
            <w:tcBorders>
              <w:top w:val="nil"/>
              <w:left w:val="nil"/>
              <w:bottom w:val="nil"/>
              <w:right w:val="nil"/>
            </w:tcBorders>
            <w:tcMar>
              <w:top w:w="128" w:type="dxa"/>
              <w:left w:w="43" w:type="dxa"/>
              <w:bottom w:w="43" w:type="dxa"/>
              <w:right w:w="43" w:type="dxa"/>
            </w:tcMar>
          </w:tcPr>
          <w:p w14:paraId="7C7E2E5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FC55D76"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219F29D9" w14:textId="77777777" w:rsidR="00575AC3" w:rsidRPr="006D40F0" w:rsidRDefault="00575AC3" w:rsidP="006D40F0">
            <w:r w:rsidRPr="006D40F0">
              <w:t>Legeerklæringer, nedsettes med</w:t>
            </w:r>
          </w:p>
        </w:tc>
        <w:tc>
          <w:tcPr>
            <w:tcW w:w="1400" w:type="dxa"/>
            <w:tcBorders>
              <w:top w:val="nil"/>
              <w:left w:val="nil"/>
              <w:bottom w:val="nil"/>
              <w:right w:val="nil"/>
            </w:tcBorders>
            <w:tcMar>
              <w:top w:w="128" w:type="dxa"/>
              <w:left w:w="43" w:type="dxa"/>
              <w:bottom w:w="43" w:type="dxa"/>
              <w:right w:w="43" w:type="dxa"/>
            </w:tcMar>
            <w:vAlign w:val="bottom"/>
          </w:tcPr>
          <w:p w14:paraId="72152339" w14:textId="77777777" w:rsidR="00575AC3" w:rsidRPr="006D40F0" w:rsidRDefault="00575AC3" w:rsidP="006D40F0">
            <w:r w:rsidRPr="006D40F0">
              <w:t>4 000 000</w:t>
            </w:r>
          </w:p>
        </w:tc>
      </w:tr>
      <w:tr w:rsidR="00DD49A7" w:rsidRPr="006D40F0" w14:paraId="27C9187B" w14:textId="77777777">
        <w:trPr>
          <w:trHeight w:val="380"/>
        </w:trPr>
        <w:tc>
          <w:tcPr>
            <w:tcW w:w="680" w:type="dxa"/>
            <w:tcBorders>
              <w:top w:val="nil"/>
              <w:left w:val="nil"/>
              <w:bottom w:val="nil"/>
              <w:right w:val="nil"/>
            </w:tcBorders>
            <w:tcMar>
              <w:top w:w="128" w:type="dxa"/>
              <w:left w:w="43" w:type="dxa"/>
              <w:bottom w:w="43" w:type="dxa"/>
              <w:right w:w="43" w:type="dxa"/>
            </w:tcMar>
          </w:tcPr>
          <w:p w14:paraId="6FB7905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29260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5A4E53B" w14:textId="77777777" w:rsidR="00575AC3" w:rsidRPr="006D40F0" w:rsidRDefault="00575AC3" w:rsidP="006D40F0">
            <w:r w:rsidRPr="006D40F0">
              <w:t>fra kr 20 000 000 til kr 16 000 000</w:t>
            </w:r>
          </w:p>
        </w:tc>
        <w:tc>
          <w:tcPr>
            <w:tcW w:w="1400" w:type="dxa"/>
            <w:tcBorders>
              <w:top w:val="nil"/>
              <w:left w:val="nil"/>
              <w:bottom w:val="nil"/>
              <w:right w:val="nil"/>
            </w:tcBorders>
            <w:tcMar>
              <w:top w:w="128" w:type="dxa"/>
              <w:left w:w="43" w:type="dxa"/>
              <w:bottom w:w="43" w:type="dxa"/>
              <w:right w:w="43" w:type="dxa"/>
            </w:tcMar>
            <w:vAlign w:val="bottom"/>
          </w:tcPr>
          <w:p w14:paraId="51FB1107" w14:textId="77777777" w:rsidR="00575AC3" w:rsidRPr="006D40F0" w:rsidRDefault="00575AC3" w:rsidP="006D40F0"/>
        </w:tc>
      </w:tr>
      <w:tr w:rsidR="00DD49A7" w:rsidRPr="006D40F0" w14:paraId="2684A45F" w14:textId="77777777">
        <w:trPr>
          <w:trHeight w:val="380"/>
        </w:trPr>
        <w:tc>
          <w:tcPr>
            <w:tcW w:w="680" w:type="dxa"/>
            <w:tcBorders>
              <w:top w:val="nil"/>
              <w:left w:val="nil"/>
              <w:bottom w:val="nil"/>
              <w:right w:val="nil"/>
            </w:tcBorders>
            <w:tcMar>
              <w:top w:w="128" w:type="dxa"/>
              <w:left w:w="43" w:type="dxa"/>
              <w:bottom w:w="43" w:type="dxa"/>
              <w:right w:w="43" w:type="dxa"/>
            </w:tcMar>
          </w:tcPr>
          <w:p w14:paraId="68BCDF7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D63F63"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64A7A4E" w14:textId="77777777" w:rsidR="00575AC3" w:rsidRPr="006D40F0" w:rsidRDefault="00575AC3" w:rsidP="006D40F0">
            <w:r w:rsidRPr="006D40F0">
              <w:t>Medisinsk forbruksmateriell, forhøyes med</w:t>
            </w:r>
          </w:p>
        </w:tc>
        <w:tc>
          <w:tcPr>
            <w:tcW w:w="1400" w:type="dxa"/>
            <w:tcBorders>
              <w:top w:val="nil"/>
              <w:left w:val="nil"/>
              <w:bottom w:val="nil"/>
              <w:right w:val="nil"/>
            </w:tcBorders>
            <w:tcMar>
              <w:top w:w="128" w:type="dxa"/>
              <w:left w:w="43" w:type="dxa"/>
              <w:bottom w:w="43" w:type="dxa"/>
              <w:right w:w="43" w:type="dxa"/>
            </w:tcMar>
            <w:vAlign w:val="bottom"/>
          </w:tcPr>
          <w:p w14:paraId="1242C4CD" w14:textId="77777777" w:rsidR="00575AC3" w:rsidRPr="006D40F0" w:rsidRDefault="00575AC3" w:rsidP="006D40F0">
            <w:r w:rsidRPr="006D40F0">
              <w:t>70 000 000</w:t>
            </w:r>
          </w:p>
        </w:tc>
      </w:tr>
      <w:tr w:rsidR="00DD49A7" w:rsidRPr="006D40F0" w14:paraId="0558C853" w14:textId="77777777">
        <w:trPr>
          <w:trHeight w:val="380"/>
        </w:trPr>
        <w:tc>
          <w:tcPr>
            <w:tcW w:w="680" w:type="dxa"/>
            <w:tcBorders>
              <w:top w:val="nil"/>
              <w:left w:val="nil"/>
              <w:bottom w:val="nil"/>
              <w:right w:val="nil"/>
            </w:tcBorders>
            <w:tcMar>
              <w:top w:w="128" w:type="dxa"/>
              <w:left w:w="43" w:type="dxa"/>
              <w:bottom w:w="43" w:type="dxa"/>
              <w:right w:w="43" w:type="dxa"/>
            </w:tcMar>
          </w:tcPr>
          <w:p w14:paraId="49A297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D93F1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99AF50" w14:textId="77777777" w:rsidR="00575AC3" w:rsidRPr="006D40F0" w:rsidRDefault="00575AC3" w:rsidP="006D40F0">
            <w:r w:rsidRPr="006D40F0">
              <w:t>fra kr 2 350 000 000 til kr 2 420 000 000</w:t>
            </w:r>
          </w:p>
        </w:tc>
        <w:tc>
          <w:tcPr>
            <w:tcW w:w="1400" w:type="dxa"/>
            <w:tcBorders>
              <w:top w:val="nil"/>
              <w:left w:val="nil"/>
              <w:bottom w:val="nil"/>
              <w:right w:val="nil"/>
            </w:tcBorders>
            <w:tcMar>
              <w:top w:w="128" w:type="dxa"/>
              <w:left w:w="43" w:type="dxa"/>
              <w:bottom w:w="43" w:type="dxa"/>
              <w:right w:w="43" w:type="dxa"/>
            </w:tcMar>
            <w:vAlign w:val="bottom"/>
          </w:tcPr>
          <w:p w14:paraId="35E74BEE" w14:textId="77777777" w:rsidR="00575AC3" w:rsidRPr="006D40F0" w:rsidRDefault="00575AC3" w:rsidP="006D40F0"/>
        </w:tc>
      </w:tr>
      <w:tr w:rsidR="00DD49A7" w:rsidRPr="006D40F0" w14:paraId="3E0ED206" w14:textId="77777777">
        <w:trPr>
          <w:trHeight w:val="380"/>
        </w:trPr>
        <w:tc>
          <w:tcPr>
            <w:tcW w:w="680" w:type="dxa"/>
            <w:tcBorders>
              <w:top w:val="nil"/>
              <w:left w:val="nil"/>
              <w:bottom w:val="nil"/>
              <w:right w:val="nil"/>
            </w:tcBorders>
            <w:tcMar>
              <w:top w:w="128" w:type="dxa"/>
              <w:left w:w="43" w:type="dxa"/>
              <w:bottom w:w="43" w:type="dxa"/>
              <w:right w:w="43" w:type="dxa"/>
            </w:tcMar>
          </w:tcPr>
          <w:p w14:paraId="3A09C9FB" w14:textId="77777777" w:rsidR="00575AC3" w:rsidRPr="006D40F0" w:rsidRDefault="00575AC3" w:rsidP="006D40F0">
            <w:r w:rsidRPr="006D40F0">
              <w:t>2752</w:t>
            </w:r>
          </w:p>
        </w:tc>
        <w:tc>
          <w:tcPr>
            <w:tcW w:w="680" w:type="dxa"/>
            <w:tcBorders>
              <w:top w:val="nil"/>
              <w:left w:val="nil"/>
              <w:bottom w:val="nil"/>
              <w:right w:val="nil"/>
            </w:tcBorders>
            <w:tcMar>
              <w:top w:w="128" w:type="dxa"/>
              <w:left w:w="43" w:type="dxa"/>
              <w:bottom w:w="43" w:type="dxa"/>
              <w:right w:w="43" w:type="dxa"/>
            </w:tcMar>
          </w:tcPr>
          <w:p w14:paraId="2496740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ED31B1" w14:textId="77777777" w:rsidR="00575AC3" w:rsidRPr="006D40F0" w:rsidRDefault="00575AC3" w:rsidP="006D40F0">
            <w:r w:rsidRPr="006D40F0">
              <w:t>Refusjon av egenbetaling:</w:t>
            </w:r>
          </w:p>
        </w:tc>
        <w:tc>
          <w:tcPr>
            <w:tcW w:w="1400" w:type="dxa"/>
            <w:tcBorders>
              <w:top w:val="nil"/>
              <w:left w:val="nil"/>
              <w:bottom w:val="nil"/>
              <w:right w:val="nil"/>
            </w:tcBorders>
            <w:tcMar>
              <w:top w:w="128" w:type="dxa"/>
              <w:left w:w="43" w:type="dxa"/>
              <w:bottom w:w="43" w:type="dxa"/>
              <w:right w:w="43" w:type="dxa"/>
            </w:tcMar>
            <w:vAlign w:val="bottom"/>
          </w:tcPr>
          <w:p w14:paraId="38981949" w14:textId="77777777" w:rsidR="00575AC3" w:rsidRPr="006D40F0" w:rsidRDefault="00575AC3" w:rsidP="006D40F0"/>
        </w:tc>
      </w:tr>
      <w:tr w:rsidR="00DD49A7" w:rsidRPr="006D40F0" w14:paraId="1295C7D5" w14:textId="77777777">
        <w:trPr>
          <w:trHeight w:val="380"/>
        </w:trPr>
        <w:tc>
          <w:tcPr>
            <w:tcW w:w="680" w:type="dxa"/>
            <w:tcBorders>
              <w:top w:val="nil"/>
              <w:left w:val="nil"/>
              <w:bottom w:val="nil"/>
              <w:right w:val="nil"/>
            </w:tcBorders>
            <w:tcMar>
              <w:top w:w="128" w:type="dxa"/>
              <w:left w:w="43" w:type="dxa"/>
              <w:bottom w:w="43" w:type="dxa"/>
              <w:right w:w="43" w:type="dxa"/>
            </w:tcMar>
          </w:tcPr>
          <w:p w14:paraId="599BF5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173792"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48BBB44E" w14:textId="77777777" w:rsidR="00575AC3" w:rsidRPr="006D40F0" w:rsidRDefault="00575AC3" w:rsidP="006D40F0">
            <w:r w:rsidRPr="006D40F0">
              <w:t>Egenandelstak, forhøyes med</w:t>
            </w:r>
          </w:p>
        </w:tc>
        <w:tc>
          <w:tcPr>
            <w:tcW w:w="1400" w:type="dxa"/>
            <w:tcBorders>
              <w:top w:val="nil"/>
              <w:left w:val="nil"/>
              <w:bottom w:val="nil"/>
              <w:right w:val="nil"/>
            </w:tcBorders>
            <w:tcMar>
              <w:top w:w="128" w:type="dxa"/>
              <w:left w:w="43" w:type="dxa"/>
              <w:bottom w:w="43" w:type="dxa"/>
              <w:right w:w="43" w:type="dxa"/>
            </w:tcMar>
            <w:vAlign w:val="bottom"/>
          </w:tcPr>
          <w:p w14:paraId="6400ED20" w14:textId="77777777" w:rsidR="00575AC3" w:rsidRPr="006D40F0" w:rsidRDefault="00575AC3" w:rsidP="006D40F0">
            <w:r w:rsidRPr="006D40F0">
              <w:t>129 800 000</w:t>
            </w:r>
          </w:p>
        </w:tc>
      </w:tr>
      <w:tr w:rsidR="00DD49A7" w:rsidRPr="006D40F0" w14:paraId="0FAD587B" w14:textId="77777777">
        <w:trPr>
          <w:trHeight w:val="380"/>
        </w:trPr>
        <w:tc>
          <w:tcPr>
            <w:tcW w:w="680" w:type="dxa"/>
            <w:tcBorders>
              <w:top w:val="nil"/>
              <w:left w:val="nil"/>
              <w:bottom w:val="nil"/>
              <w:right w:val="nil"/>
            </w:tcBorders>
            <w:tcMar>
              <w:top w:w="128" w:type="dxa"/>
              <w:left w:w="43" w:type="dxa"/>
              <w:bottom w:w="43" w:type="dxa"/>
              <w:right w:w="43" w:type="dxa"/>
            </w:tcMar>
          </w:tcPr>
          <w:p w14:paraId="171FFC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2FA7A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3F1545" w14:textId="77777777" w:rsidR="00575AC3" w:rsidRPr="006D40F0" w:rsidRDefault="00575AC3" w:rsidP="006D40F0">
            <w:r w:rsidRPr="006D40F0">
              <w:t>fra kr 8 390 200 000 til kr 8 520 000 000</w:t>
            </w:r>
          </w:p>
        </w:tc>
        <w:tc>
          <w:tcPr>
            <w:tcW w:w="1400" w:type="dxa"/>
            <w:tcBorders>
              <w:top w:val="nil"/>
              <w:left w:val="nil"/>
              <w:bottom w:val="nil"/>
              <w:right w:val="nil"/>
            </w:tcBorders>
            <w:tcMar>
              <w:top w:w="128" w:type="dxa"/>
              <w:left w:w="43" w:type="dxa"/>
              <w:bottom w:w="43" w:type="dxa"/>
              <w:right w:w="43" w:type="dxa"/>
            </w:tcMar>
            <w:vAlign w:val="bottom"/>
          </w:tcPr>
          <w:p w14:paraId="7B1FD7F9" w14:textId="77777777" w:rsidR="00575AC3" w:rsidRPr="006D40F0" w:rsidRDefault="00575AC3" w:rsidP="006D40F0"/>
        </w:tc>
      </w:tr>
      <w:tr w:rsidR="00DD49A7" w:rsidRPr="006D40F0" w14:paraId="7234ABC7" w14:textId="77777777">
        <w:trPr>
          <w:trHeight w:val="380"/>
        </w:trPr>
        <w:tc>
          <w:tcPr>
            <w:tcW w:w="680" w:type="dxa"/>
            <w:tcBorders>
              <w:top w:val="nil"/>
              <w:left w:val="nil"/>
              <w:bottom w:val="nil"/>
              <w:right w:val="nil"/>
            </w:tcBorders>
            <w:tcMar>
              <w:top w:w="128" w:type="dxa"/>
              <w:left w:w="43" w:type="dxa"/>
              <w:bottom w:w="43" w:type="dxa"/>
              <w:right w:w="43" w:type="dxa"/>
            </w:tcMar>
          </w:tcPr>
          <w:p w14:paraId="08282541" w14:textId="77777777" w:rsidR="00575AC3" w:rsidRPr="006D40F0" w:rsidRDefault="00575AC3" w:rsidP="006D40F0">
            <w:r w:rsidRPr="006D40F0">
              <w:t>2755</w:t>
            </w:r>
          </w:p>
        </w:tc>
        <w:tc>
          <w:tcPr>
            <w:tcW w:w="680" w:type="dxa"/>
            <w:tcBorders>
              <w:top w:val="nil"/>
              <w:left w:val="nil"/>
              <w:bottom w:val="nil"/>
              <w:right w:val="nil"/>
            </w:tcBorders>
            <w:tcMar>
              <w:top w:w="128" w:type="dxa"/>
              <w:left w:w="43" w:type="dxa"/>
              <w:bottom w:w="43" w:type="dxa"/>
              <w:right w:w="43" w:type="dxa"/>
            </w:tcMar>
          </w:tcPr>
          <w:p w14:paraId="0729D56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AED93E2" w14:textId="77777777" w:rsidR="00575AC3" w:rsidRPr="006D40F0" w:rsidRDefault="00575AC3" w:rsidP="006D40F0">
            <w:r w:rsidRPr="006D40F0">
              <w:t>Helsetjenester i kommunene mv.:</w:t>
            </w:r>
          </w:p>
        </w:tc>
        <w:tc>
          <w:tcPr>
            <w:tcW w:w="1400" w:type="dxa"/>
            <w:tcBorders>
              <w:top w:val="nil"/>
              <w:left w:val="nil"/>
              <w:bottom w:val="nil"/>
              <w:right w:val="nil"/>
            </w:tcBorders>
            <w:tcMar>
              <w:top w:w="128" w:type="dxa"/>
              <w:left w:w="43" w:type="dxa"/>
              <w:bottom w:w="43" w:type="dxa"/>
              <w:right w:w="43" w:type="dxa"/>
            </w:tcMar>
            <w:vAlign w:val="bottom"/>
          </w:tcPr>
          <w:p w14:paraId="374F2469" w14:textId="77777777" w:rsidR="00575AC3" w:rsidRPr="006D40F0" w:rsidRDefault="00575AC3" w:rsidP="006D40F0"/>
        </w:tc>
      </w:tr>
      <w:tr w:rsidR="00DD49A7" w:rsidRPr="006D40F0" w14:paraId="1A6F0948" w14:textId="77777777">
        <w:trPr>
          <w:trHeight w:val="380"/>
        </w:trPr>
        <w:tc>
          <w:tcPr>
            <w:tcW w:w="680" w:type="dxa"/>
            <w:tcBorders>
              <w:top w:val="nil"/>
              <w:left w:val="nil"/>
              <w:bottom w:val="nil"/>
              <w:right w:val="nil"/>
            </w:tcBorders>
            <w:tcMar>
              <w:top w:w="128" w:type="dxa"/>
              <w:left w:w="43" w:type="dxa"/>
              <w:bottom w:w="43" w:type="dxa"/>
              <w:right w:w="43" w:type="dxa"/>
            </w:tcMar>
          </w:tcPr>
          <w:p w14:paraId="69AEF7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4AFD42" w14:textId="77777777" w:rsidR="00575AC3" w:rsidRPr="006D40F0" w:rsidRDefault="00575AC3" w:rsidP="006D40F0">
            <w:r w:rsidRPr="006D40F0">
              <w:t>62</w:t>
            </w:r>
          </w:p>
        </w:tc>
        <w:tc>
          <w:tcPr>
            <w:tcW w:w="6800" w:type="dxa"/>
            <w:tcBorders>
              <w:top w:val="nil"/>
              <w:left w:val="nil"/>
              <w:bottom w:val="nil"/>
              <w:right w:val="nil"/>
            </w:tcBorders>
            <w:tcMar>
              <w:top w:w="128" w:type="dxa"/>
              <w:left w:w="43" w:type="dxa"/>
              <w:bottom w:w="43" w:type="dxa"/>
              <w:right w:w="43" w:type="dxa"/>
            </w:tcMar>
          </w:tcPr>
          <w:p w14:paraId="6FE2B221" w14:textId="77777777" w:rsidR="00575AC3" w:rsidRPr="006D40F0" w:rsidRDefault="00575AC3" w:rsidP="006D40F0">
            <w:r w:rsidRPr="006D40F0">
              <w:t xml:space="preserve">Fastlønnsordning fysioterapeuter, </w:t>
            </w:r>
            <w:r w:rsidRPr="00575AC3">
              <w:rPr>
                <w:rStyle w:val="kursiv"/>
              </w:rPr>
              <w:t>kan nyttes under post 71,</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66D87E38" w14:textId="77777777" w:rsidR="00575AC3" w:rsidRPr="006D40F0" w:rsidRDefault="00575AC3" w:rsidP="006D40F0">
            <w:r w:rsidRPr="006D40F0">
              <w:t>58 000 000</w:t>
            </w:r>
          </w:p>
        </w:tc>
      </w:tr>
      <w:tr w:rsidR="00DD49A7" w:rsidRPr="006D40F0" w14:paraId="5F511E27" w14:textId="77777777">
        <w:trPr>
          <w:trHeight w:val="380"/>
        </w:trPr>
        <w:tc>
          <w:tcPr>
            <w:tcW w:w="680" w:type="dxa"/>
            <w:tcBorders>
              <w:top w:val="nil"/>
              <w:left w:val="nil"/>
              <w:bottom w:val="nil"/>
              <w:right w:val="nil"/>
            </w:tcBorders>
            <w:tcMar>
              <w:top w:w="128" w:type="dxa"/>
              <w:left w:w="43" w:type="dxa"/>
              <w:bottom w:w="43" w:type="dxa"/>
              <w:right w:w="43" w:type="dxa"/>
            </w:tcMar>
          </w:tcPr>
          <w:p w14:paraId="30C3C7F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DAA95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C9F564F" w14:textId="77777777" w:rsidR="00575AC3" w:rsidRPr="006D40F0" w:rsidRDefault="00575AC3" w:rsidP="006D40F0">
            <w:r w:rsidRPr="006D40F0">
              <w:t>fra kr 545 000 000 til kr 603 000 000</w:t>
            </w:r>
          </w:p>
        </w:tc>
        <w:tc>
          <w:tcPr>
            <w:tcW w:w="1400" w:type="dxa"/>
            <w:tcBorders>
              <w:top w:val="nil"/>
              <w:left w:val="nil"/>
              <w:bottom w:val="nil"/>
              <w:right w:val="nil"/>
            </w:tcBorders>
            <w:tcMar>
              <w:top w:w="128" w:type="dxa"/>
              <w:left w:w="43" w:type="dxa"/>
              <w:bottom w:w="43" w:type="dxa"/>
              <w:right w:w="43" w:type="dxa"/>
            </w:tcMar>
            <w:vAlign w:val="bottom"/>
          </w:tcPr>
          <w:p w14:paraId="27BED72A" w14:textId="77777777" w:rsidR="00575AC3" w:rsidRPr="006D40F0" w:rsidRDefault="00575AC3" w:rsidP="006D40F0"/>
        </w:tc>
      </w:tr>
      <w:tr w:rsidR="00DD49A7" w:rsidRPr="006D40F0" w14:paraId="13B04389" w14:textId="77777777">
        <w:trPr>
          <w:trHeight w:val="380"/>
        </w:trPr>
        <w:tc>
          <w:tcPr>
            <w:tcW w:w="680" w:type="dxa"/>
            <w:tcBorders>
              <w:top w:val="nil"/>
              <w:left w:val="nil"/>
              <w:bottom w:val="nil"/>
              <w:right w:val="nil"/>
            </w:tcBorders>
            <w:tcMar>
              <w:top w:w="128" w:type="dxa"/>
              <w:left w:w="43" w:type="dxa"/>
              <w:bottom w:w="43" w:type="dxa"/>
              <w:right w:w="43" w:type="dxa"/>
            </w:tcMar>
          </w:tcPr>
          <w:p w14:paraId="45FEAB5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5FFF50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768183C" w14:textId="77777777" w:rsidR="00575AC3" w:rsidRPr="006D40F0" w:rsidRDefault="00575AC3" w:rsidP="006D40F0">
            <w:r w:rsidRPr="006D40F0">
              <w:t>Allmennlegehjelp, nedsettes med</w:t>
            </w:r>
          </w:p>
        </w:tc>
        <w:tc>
          <w:tcPr>
            <w:tcW w:w="1400" w:type="dxa"/>
            <w:tcBorders>
              <w:top w:val="nil"/>
              <w:left w:val="nil"/>
              <w:bottom w:val="nil"/>
              <w:right w:val="nil"/>
            </w:tcBorders>
            <w:tcMar>
              <w:top w:w="128" w:type="dxa"/>
              <w:left w:w="43" w:type="dxa"/>
              <w:bottom w:w="43" w:type="dxa"/>
              <w:right w:w="43" w:type="dxa"/>
            </w:tcMar>
            <w:vAlign w:val="bottom"/>
          </w:tcPr>
          <w:p w14:paraId="4F7697F4" w14:textId="77777777" w:rsidR="00575AC3" w:rsidRPr="006D40F0" w:rsidRDefault="00575AC3" w:rsidP="006D40F0">
            <w:r w:rsidRPr="006D40F0">
              <w:t>47 800 000</w:t>
            </w:r>
          </w:p>
        </w:tc>
      </w:tr>
      <w:tr w:rsidR="00DD49A7" w:rsidRPr="006D40F0" w14:paraId="13131A13" w14:textId="77777777">
        <w:trPr>
          <w:trHeight w:val="380"/>
        </w:trPr>
        <w:tc>
          <w:tcPr>
            <w:tcW w:w="680" w:type="dxa"/>
            <w:tcBorders>
              <w:top w:val="nil"/>
              <w:left w:val="nil"/>
              <w:bottom w:val="nil"/>
              <w:right w:val="nil"/>
            </w:tcBorders>
            <w:tcMar>
              <w:top w:w="128" w:type="dxa"/>
              <w:left w:w="43" w:type="dxa"/>
              <w:bottom w:w="43" w:type="dxa"/>
              <w:right w:w="43" w:type="dxa"/>
            </w:tcMar>
          </w:tcPr>
          <w:p w14:paraId="6C1B94B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25284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8789CF" w14:textId="77777777" w:rsidR="00575AC3" w:rsidRPr="006D40F0" w:rsidRDefault="00575AC3" w:rsidP="006D40F0">
            <w:r w:rsidRPr="006D40F0">
              <w:t>fra kr 7 235 200 000 til kr 7 187 400 000</w:t>
            </w:r>
          </w:p>
        </w:tc>
        <w:tc>
          <w:tcPr>
            <w:tcW w:w="1400" w:type="dxa"/>
            <w:tcBorders>
              <w:top w:val="nil"/>
              <w:left w:val="nil"/>
              <w:bottom w:val="nil"/>
              <w:right w:val="nil"/>
            </w:tcBorders>
            <w:tcMar>
              <w:top w:w="128" w:type="dxa"/>
              <w:left w:w="43" w:type="dxa"/>
              <w:bottom w:w="43" w:type="dxa"/>
              <w:right w:w="43" w:type="dxa"/>
            </w:tcMar>
            <w:vAlign w:val="bottom"/>
          </w:tcPr>
          <w:p w14:paraId="67BE8577" w14:textId="77777777" w:rsidR="00575AC3" w:rsidRPr="006D40F0" w:rsidRDefault="00575AC3" w:rsidP="006D40F0"/>
        </w:tc>
      </w:tr>
      <w:tr w:rsidR="00DD49A7" w:rsidRPr="006D40F0" w14:paraId="3AD8EE5B" w14:textId="77777777">
        <w:trPr>
          <w:trHeight w:val="380"/>
        </w:trPr>
        <w:tc>
          <w:tcPr>
            <w:tcW w:w="680" w:type="dxa"/>
            <w:tcBorders>
              <w:top w:val="nil"/>
              <w:left w:val="nil"/>
              <w:bottom w:val="nil"/>
              <w:right w:val="nil"/>
            </w:tcBorders>
            <w:tcMar>
              <w:top w:w="128" w:type="dxa"/>
              <w:left w:w="43" w:type="dxa"/>
              <w:bottom w:w="43" w:type="dxa"/>
              <w:right w:w="43" w:type="dxa"/>
            </w:tcMar>
          </w:tcPr>
          <w:p w14:paraId="5EDBF75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AC6D11"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CE1024F" w14:textId="77777777" w:rsidR="00575AC3" w:rsidRPr="006D40F0" w:rsidRDefault="00575AC3" w:rsidP="006D40F0">
            <w:r w:rsidRPr="006D40F0">
              <w:t xml:space="preserve">Fysioterapi, </w:t>
            </w:r>
            <w:r w:rsidRPr="00575AC3">
              <w:rPr>
                <w:rStyle w:val="kursiv"/>
              </w:rPr>
              <w:t>kan nyttes under post 62,</w:t>
            </w:r>
            <w:r w:rsidRPr="006D40F0">
              <w:t xml:space="preserve"> forhøyes med</w:t>
            </w:r>
          </w:p>
        </w:tc>
        <w:tc>
          <w:tcPr>
            <w:tcW w:w="1400" w:type="dxa"/>
            <w:tcBorders>
              <w:top w:val="nil"/>
              <w:left w:val="nil"/>
              <w:bottom w:val="nil"/>
              <w:right w:val="nil"/>
            </w:tcBorders>
            <w:tcMar>
              <w:top w:w="128" w:type="dxa"/>
              <w:left w:w="43" w:type="dxa"/>
              <w:bottom w:w="43" w:type="dxa"/>
              <w:right w:w="43" w:type="dxa"/>
            </w:tcMar>
            <w:vAlign w:val="bottom"/>
          </w:tcPr>
          <w:p w14:paraId="0F228870" w14:textId="77777777" w:rsidR="00575AC3" w:rsidRPr="006D40F0" w:rsidRDefault="00575AC3" w:rsidP="006D40F0">
            <w:r w:rsidRPr="006D40F0">
              <w:t>7 100 000</w:t>
            </w:r>
          </w:p>
        </w:tc>
      </w:tr>
      <w:tr w:rsidR="00DD49A7" w:rsidRPr="006D40F0" w14:paraId="5495932A" w14:textId="77777777">
        <w:trPr>
          <w:trHeight w:val="380"/>
        </w:trPr>
        <w:tc>
          <w:tcPr>
            <w:tcW w:w="680" w:type="dxa"/>
            <w:tcBorders>
              <w:top w:val="nil"/>
              <w:left w:val="nil"/>
              <w:bottom w:val="nil"/>
              <w:right w:val="nil"/>
            </w:tcBorders>
            <w:tcMar>
              <w:top w:w="128" w:type="dxa"/>
              <w:left w:w="43" w:type="dxa"/>
              <w:bottom w:w="43" w:type="dxa"/>
              <w:right w:w="43" w:type="dxa"/>
            </w:tcMar>
          </w:tcPr>
          <w:p w14:paraId="2F3CDF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50F4F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5D31BFF" w14:textId="77777777" w:rsidR="00575AC3" w:rsidRPr="006D40F0" w:rsidRDefault="00575AC3" w:rsidP="006D40F0">
            <w:r w:rsidRPr="006D40F0">
              <w:t>fra kr 1 637 900 000 til kr 1 645 000 000</w:t>
            </w:r>
          </w:p>
        </w:tc>
        <w:tc>
          <w:tcPr>
            <w:tcW w:w="1400" w:type="dxa"/>
            <w:tcBorders>
              <w:top w:val="nil"/>
              <w:left w:val="nil"/>
              <w:bottom w:val="nil"/>
              <w:right w:val="nil"/>
            </w:tcBorders>
            <w:tcMar>
              <w:top w:w="128" w:type="dxa"/>
              <w:left w:w="43" w:type="dxa"/>
              <w:bottom w:w="43" w:type="dxa"/>
              <w:right w:w="43" w:type="dxa"/>
            </w:tcMar>
            <w:vAlign w:val="bottom"/>
          </w:tcPr>
          <w:p w14:paraId="7EE5E52B" w14:textId="77777777" w:rsidR="00575AC3" w:rsidRPr="006D40F0" w:rsidRDefault="00575AC3" w:rsidP="006D40F0"/>
        </w:tc>
      </w:tr>
      <w:tr w:rsidR="00DD49A7" w:rsidRPr="006D40F0" w14:paraId="3FA5B5A3" w14:textId="77777777">
        <w:trPr>
          <w:trHeight w:val="380"/>
        </w:trPr>
        <w:tc>
          <w:tcPr>
            <w:tcW w:w="680" w:type="dxa"/>
            <w:tcBorders>
              <w:top w:val="nil"/>
              <w:left w:val="nil"/>
              <w:bottom w:val="nil"/>
              <w:right w:val="nil"/>
            </w:tcBorders>
            <w:tcMar>
              <w:top w:w="128" w:type="dxa"/>
              <w:left w:w="43" w:type="dxa"/>
              <w:bottom w:w="43" w:type="dxa"/>
              <w:right w:w="43" w:type="dxa"/>
            </w:tcMar>
          </w:tcPr>
          <w:p w14:paraId="093B858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7D7822"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7769B20" w14:textId="77777777" w:rsidR="00575AC3" w:rsidRPr="006D40F0" w:rsidRDefault="00575AC3" w:rsidP="006D40F0">
            <w:r w:rsidRPr="006D40F0">
              <w:t>Jordmorhjelp, forhøyes med</w:t>
            </w:r>
          </w:p>
        </w:tc>
        <w:tc>
          <w:tcPr>
            <w:tcW w:w="1400" w:type="dxa"/>
            <w:tcBorders>
              <w:top w:val="nil"/>
              <w:left w:val="nil"/>
              <w:bottom w:val="nil"/>
              <w:right w:val="nil"/>
            </w:tcBorders>
            <w:tcMar>
              <w:top w:w="128" w:type="dxa"/>
              <w:left w:w="43" w:type="dxa"/>
              <w:bottom w:w="43" w:type="dxa"/>
              <w:right w:w="43" w:type="dxa"/>
            </w:tcMar>
            <w:vAlign w:val="bottom"/>
          </w:tcPr>
          <w:p w14:paraId="0C29EE40" w14:textId="77777777" w:rsidR="00575AC3" w:rsidRPr="006D40F0" w:rsidRDefault="00575AC3" w:rsidP="006D40F0">
            <w:r w:rsidRPr="006D40F0">
              <w:t>4 000 000</w:t>
            </w:r>
          </w:p>
        </w:tc>
      </w:tr>
      <w:tr w:rsidR="00DD49A7" w:rsidRPr="006D40F0" w14:paraId="60A54B0C" w14:textId="77777777">
        <w:trPr>
          <w:trHeight w:val="380"/>
        </w:trPr>
        <w:tc>
          <w:tcPr>
            <w:tcW w:w="680" w:type="dxa"/>
            <w:tcBorders>
              <w:top w:val="nil"/>
              <w:left w:val="nil"/>
              <w:bottom w:val="nil"/>
              <w:right w:val="nil"/>
            </w:tcBorders>
            <w:tcMar>
              <w:top w:w="128" w:type="dxa"/>
              <w:left w:w="43" w:type="dxa"/>
              <w:bottom w:w="43" w:type="dxa"/>
              <w:right w:w="43" w:type="dxa"/>
            </w:tcMar>
          </w:tcPr>
          <w:p w14:paraId="5336046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52F9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2AF139" w14:textId="77777777" w:rsidR="00575AC3" w:rsidRPr="006D40F0" w:rsidRDefault="00575AC3" w:rsidP="006D40F0">
            <w:r w:rsidRPr="006D40F0">
              <w:t>fra kr 90 000 000 til kr 94 000 000</w:t>
            </w:r>
          </w:p>
        </w:tc>
        <w:tc>
          <w:tcPr>
            <w:tcW w:w="1400" w:type="dxa"/>
            <w:tcBorders>
              <w:top w:val="nil"/>
              <w:left w:val="nil"/>
              <w:bottom w:val="nil"/>
              <w:right w:val="nil"/>
            </w:tcBorders>
            <w:tcMar>
              <w:top w:w="128" w:type="dxa"/>
              <w:left w:w="43" w:type="dxa"/>
              <w:bottom w:w="43" w:type="dxa"/>
              <w:right w:w="43" w:type="dxa"/>
            </w:tcMar>
            <w:vAlign w:val="bottom"/>
          </w:tcPr>
          <w:p w14:paraId="5674F9F0" w14:textId="77777777" w:rsidR="00575AC3" w:rsidRPr="006D40F0" w:rsidRDefault="00575AC3" w:rsidP="006D40F0"/>
        </w:tc>
      </w:tr>
      <w:tr w:rsidR="00DD49A7" w:rsidRPr="006D40F0" w14:paraId="08535017" w14:textId="77777777">
        <w:trPr>
          <w:trHeight w:val="380"/>
        </w:trPr>
        <w:tc>
          <w:tcPr>
            <w:tcW w:w="680" w:type="dxa"/>
            <w:tcBorders>
              <w:top w:val="nil"/>
              <w:left w:val="nil"/>
              <w:bottom w:val="nil"/>
              <w:right w:val="nil"/>
            </w:tcBorders>
            <w:tcMar>
              <w:top w:w="128" w:type="dxa"/>
              <w:left w:w="43" w:type="dxa"/>
              <w:bottom w:w="43" w:type="dxa"/>
              <w:right w:w="43" w:type="dxa"/>
            </w:tcMar>
          </w:tcPr>
          <w:p w14:paraId="403CE38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F26A0B" w14:textId="77777777" w:rsidR="00575AC3" w:rsidRPr="006D40F0" w:rsidRDefault="00575AC3" w:rsidP="006D40F0">
            <w:r w:rsidRPr="006D40F0">
              <w:t>73</w:t>
            </w:r>
          </w:p>
        </w:tc>
        <w:tc>
          <w:tcPr>
            <w:tcW w:w="6800" w:type="dxa"/>
            <w:tcBorders>
              <w:top w:val="nil"/>
              <w:left w:val="nil"/>
              <w:bottom w:val="nil"/>
              <w:right w:val="nil"/>
            </w:tcBorders>
            <w:tcMar>
              <w:top w:w="128" w:type="dxa"/>
              <w:left w:w="43" w:type="dxa"/>
              <w:bottom w:w="43" w:type="dxa"/>
              <w:right w:w="43" w:type="dxa"/>
            </w:tcMar>
          </w:tcPr>
          <w:p w14:paraId="40DB0F53" w14:textId="77777777" w:rsidR="00575AC3" w:rsidRPr="006D40F0" w:rsidRDefault="00575AC3" w:rsidP="006D40F0">
            <w:r w:rsidRPr="006D40F0">
              <w:t>Kiropraktorbehandling, nedsettes med</w:t>
            </w:r>
          </w:p>
        </w:tc>
        <w:tc>
          <w:tcPr>
            <w:tcW w:w="1400" w:type="dxa"/>
            <w:tcBorders>
              <w:top w:val="nil"/>
              <w:left w:val="nil"/>
              <w:bottom w:val="nil"/>
              <w:right w:val="nil"/>
            </w:tcBorders>
            <w:tcMar>
              <w:top w:w="128" w:type="dxa"/>
              <w:left w:w="43" w:type="dxa"/>
              <w:bottom w:w="43" w:type="dxa"/>
              <w:right w:w="43" w:type="dxa"/>
            </w:tcMar>
            <w:vAlign w:val="bottom"/>
          </w:tcPr>
          <w:p w14:paraId="2EE7A936" w14:textId="77777777" w:rsidR="00575AC3" w:rsidRPr="006D40F0" w:rsidRDefault="00575AC3" w:rsidP="006D40F0">
            <w:r w:rsidRPr="006D40F0">
              <w:t>11 600 000</w:t>
            </w:r>
          </w:p>
        </w:tc>
      </w:tr>
      <w:tr w:rsidR="00DD49A7" w:rsidRPr="006D40F0" w14:paraId="3492B446" w14:textId="77777777">
        <w:trPr>
          <w:trHeight w:val="380"/>
        </w:trPr>
        <w:tc>
          <w:tcPr>
            <w:tcW w:w="680" w:type="dxa"/>
            <w:tcBorders>
              <w:top w:val="nil"/>
              <w:left w:val="nil"/>
              <w:bottom w:val="nil"/>
              <w:right w:val="nil"/>
            </w:tcBorders>
            <w:tcMar>
              <w:top w:w="128" w:type="dxa"/>
              <w:left w:w="43" w:type="dxa"/>
              <w:bottom w:w="43" w:type="dxa"/>
              <w:right w:w="43" w:type="dxa"/>
            </w:tcMar>
          </w:tcPr>
          <w:p w14:paraId="7F34432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301A70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71B2A6" w14:textId="77777777" w:rsidR="00575AC3" w:rsidRPr="006D40F0" w:rsidRDefault="00575AC3" w:rsidP="006D40F0">
            <w:r w:rsidRPr="006D40F0">
              <w:t>fra kr 135 000 000 til kr 123 400 000</w:t>
            </w:r>
          </w:p>
        </w:tc>
        <w:tc>
          <w:tcPr>
            <w:tcW w:w="1400" w:type="dxa"/>
            <w:tcBorders>
              <w:top w:val="nil"/>
              <w:left w:val="nil"/>
              <w:bottom w:val="nil"/>
              <w:right w:val="nil"/>
            </w:tcBorders>
            <w:tcMar>
              <w:top w:w="128" w:type="dxa"/>
              <w:left w:w="43" w:type="dxa"/>
              <w:bottom w:w="43" w:type="dxa"/>
              <w:right w:w="43" w:type="dxa"/>
            </w:tcMar>
            <w:vAlign w:val="bottom"/>
          </w:tcPr>
          <w:p w14:paraId="41DF74DA" w14:textId="77777777" w:rsidR="00575AC3" w:rsidRPr="006D40F0" w:rsidRDefault="00575AC3" w:rsidP="006D40F0"/>
        </w:tc>
      </w:tr>
      <w:tr w:rsidR="00DD49A7" w:rsidRPr="006D40F0" w14:paraId="4494AC32" w14:textId="77777777">
        <w:trPr>
          <w:trHeight w:val="380"/>
        </w:trPr>
        <w:tc>
          <w:tcPr>
            <w:tcW w:w="680" w:type="dxa"/>
            <w:tcBorders>
              <w:top w:val="nil"/>
              <w:left w:val="nil"/>
              <w:bottom w:val="nil"/>
              <w:right w:val="nil"/>
            </w:tcBorders>
            <w:tcMar>
              <w:top w:w="128" w:type="dxa"/>
              <w:left w:w="43" w:type="dxa"/>
              <w:bottom w:w="43" w:type="dxa"/>
              <w:right w:w="43" w:type="dxa"/>
            </w:tcMar>
          </w:tcPr>
          <w:p w14:paraId="7B1ABC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BFF58A" w14:textId="77777777" w:rsidR="00575AC3" w:rsidRPr="006D40F0" w:rsidRDefault="00575AC3" w:rsidP="006D40F0">
            <w:r w:rsidRPr="006D40F0">
              <w:t>75</w:t>
            </w:r>
          </w:p>
        </w:tc>
        <w:tc>
          <w:tcPr>
            <w:tcW w:w="6800" w:type="dxa"/>
            <w:tcBorders>
              <w:top w:val="nil"/>
              <w:left w:val="nil"/>
              <w:bottom w:val="nil"/>
              <w:right w:val="nil"/>
            </w:tcBorders>
            <w:tcMar>
              <w:top w:w="128" w:type="dxa"/>
              <w:left w:w="43" w:type="dxa"/>
              <w:bottom w:w="43" w:type="dxa"/>
              <w:right w:w="43" w:type="dxa"/>
            </w:tcMar>
          </w:tcPr>
          <w:p w14:paraId="1E3B8F45" w14:textId="77777777" w:rsidR="00575AC3" w:rsidRPr="006D40F0" w:rsidRDefault="00575AC3" w:rsidP="006D40F0">
            <w:r w:rsidRPr="006D40F0">
              <w:t xml:space="preserve">Logopedisk og </w:t>
            </w:r>
            <w:proofErr w:type="spellStart"/>
            <w:r w:rsidRPr="006D40F0">
              <w:t>ortoptisk</w:t>
            </w:r>
            <w:proofErr w:type="spellEnd"/>
            <w:r w:rsidRPr="006D40F0">
              <w:t xml:space="preserve"> behandling, forhøyes med</w:t>
            </w:r>
          </w:p>
        </w:tc>
        <w:tc>
          <w:tcPr>
            <w:tcW w:w="1400" w:type="dxa"/>
            <w:tcBorders>
              <w:top w:val="nil"/>
              <w:left w:val="nil"/>
              <w:bottom w:val="nil"/>
              <w:right w:val="nil"/>
            </w:tcBorders>
            <w:tcMar>
              <w:top w:w="128" w:type="dxa"/>
              <w:left w:w="43" w:type="dxa"/>
              <w:bottom w:w="43" w:type="dxa"/>
              <w:right w:w="43" w:type="dxa"/>
            </w:tcMar>
            <w:vAlign w:val="bottom"/>
          </w:tcPr>
          <w:p w14:paraId="6DF3FF43" w14:textId="77777777" w:rsidR="00575AC3" w:rsidRPr="006D40F0" w:rsidRDefault="00575AC3" w:rsidP="006D40F0">
            <w:r w:rsidRPr="006D40F0">
              <w:t>10 000 000</w:t>
            </w:r>
          </w:p>
        </w:tc>
      </w:tr>
      <w:tr w:rsidR="00DD49A7" w:rsidRPr="006D40F0" w14:paraId="395CD5BE" w14:textId="77777777">
        <w:trPr>
          <w:trHeight w:val="380"/>
        </w:trPr>
        <w:tc>
          <w:tcPr>
            <w:tcW w:w="680" w:type="dxa"/>
            <w:tcBorders>
              <w:top w:val="nil"/>
              <w:left w:val="nil"/>
              <w:bottom w:val="nil"/>
              <w:right w:val="nil"/>
            </w:tcBorders>
            <w:tcMar>
              <w:top w:w="128" w:type="dxa"/>
              <w:left w:w="43" w:type="dxa"/>
              <w:bottom w:w="43" w:type="dxa"/>
              <w:right w:w="43" w:type="dxa"/>
            </w:tcMar>
          </w:tcPr>
          <w:p w14:paraId="169EC19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74DB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22FD8F" w14:textId="77777777" w:rsidR="00575AC3" w:rsidRPr="006D40F0" w:rsidRDefault="00575AC3" w:rsidP="006D40F0">
            <w:r w:rsidRPr="006D40F0">
              <w:t>fra kr 326 000 000 til kr 336 000 000</w:t>
            </w:r>
          </w:p>
        </w:tc>
        <w:tc>
          <w:tcPr>
            <w:tcW w:w="1400" w:type="dxa"/>
            <w:tcBorders>
              <w:top w:val="nil"/>
              <w:left w:val="nil"/>
              <w:bottom w:val="nil"/>
              <w:right w:val="nil"/>
            </w:tcBorders>
            <w:tcMar>
              <w:top w:w="128" w:type="dxa"/>
              <w:left w:w="43" w:type="dxa"/>
              <w:bottom w:w="43" w:type="dxa"/>
              <w:right w:w="43" w:type="dxa"/>
            </w:tcMar>
            <w:vAlign w:val="bottom"/>
          </w:tcPr>
          <w:p w14:paraId="7A6615BC" w14:textId="77777777" w:rsidR="00575AC3" w:rsidRPr="006D40F0" w:rsidRDefault="00575AC3" w:rsidP="006D40F0"/>
        </w:tc>
      </w:tr>
      <w:tr w:rsidR="00DD49A7" w:rsidRPr="006D40F0" w14:paraId="6EC1CB94" w14:textId="77777777">
        <w:trPr>
          <w:trHeight w:val="380"/>
        </w:trPr>
        <w:tc>
          <w:tcPr>
            <w:tcW w:w="680" w:type="dxa"/>
            <w:tcBorders>
              <w:top w:val="nil"/>
              <w:left w:val="nil"/>
              <w:bottom w:val="nil"/>
              <w:right w:val="nil"/>
            </w:tcBorders>
            <w:tcMar>
              <w:top w:w="128" w:type="dxa"/>
              <w:left w:w="43" w:type="dxa"/>
              <w:bottom w:w="43" w:type="dxa"/>
              <w:right w:w="43" w:type="dxa"/>
            </w:tcMar>
          </w:tcPr>
          <w:p w14:paraId="3980AB06" w14:textId="77777777" w:rsidR="00575AC3" w:rsidRPr="006D40F0" w:rsidRDefault="00575AC3" w:rsidP="006D40F0">
            <w:r w:rsidRPr="006D40F0">
              <w:t>2756</w:t>
            </w:r>
          </w:p>
        </w:tc>
        <w:tc>
          <w:tcPr>
            <w:tcW w:w="680" w:type="dxa"/>
            <w:tcBorders>
              <w:top w:val="nil"/>
              <w:left w:val="nil"/>
              <w:bottom w:val="nil"/>
              <w:right w:val="nil"/>
            </w:tcBorders>
            <w:tcMar>
              <w:top w:w="128" w:type="dxa"/>
              <w:left w:w="43" w:type="dxa"/>
              <w:bottom w:w="43" w:type="dxa"/>
              <w:right w:w="43" w:type="dxa"/>
            </w:tcMar>
          </w:tcPr>
          <w:p w14:paraId="182DC63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1A1F4C" w14:textId="77777777" w:rsidR="00575AC3" w:rsidRPr="006D40F0" w:rsidRDefault="00575AC3" w:rsidP="006D40F0">
            <w:r w:rsidRPr="006D40F0">
              <w:t>Andre helsetjenester:</w:t>
            </w:r>
          </w:p>
        </w:tc>
        <w:tc>
          <w:tcPr>
            <w:tcW w:w="1400" w:type="dxa"/>
            <w:tcBorders>
              <w:top w:val="nil"/>
              <w:left w:val="nil"/>
              <w:bottom w:val="nil"/>
              <w:right w:val="nil"/>
            </w:tcBorders>
            <w:tcMar>
              <w:top w:w="128" w:type="dxa"/>
              <w:left w:w="43" w:type="dxa"/>
              <w:bottom w:w="43" w:type="dxa"/>
              <w:right w:w="43" w:type="dxa"/>
            </w:tcMar>
            <w:vAlign w:val="bottom"/>
          </w:tcPr>
          <w:p w14:paraId="182F6EFE" w14:textId="77777777" w:rsidR="00575AC3" w:rsidRPr="006D40F0" w:rsidRDefault="00575AC3" w:rsidP="006D40F0"/>
        </w:tc>
      </w:tr>
      <w:tr w:rsidR="00DD49A7" w:rsidRPr="006D40F0" w14:paraId="7AB01F7D" w14:textId="77777777">
        <w:trPr>
          <w:trHeight w:val="380"/>
        </w:trPr>
        <w:tc>
          <w:tcPr>
            <w:tcW w:w="680" w:type="dxa"/>
            <w:tcBorders>
              <w:top w:val="nil"/>
              <w:left w:val="nil"/>
              <w:bottom w:val="nil"/>
              <w:right w:val="nil"/>
            </w:tcBorders>
            <w:tcMar>
              <w:top w:w="128" w:type="dxa"/>
              <w:left w:w="43" w:type="dxa"/>
              <w:bottom w:w="43" w:type="dxa"/>
              <w:right w:w="43" w:type="dxa"/>
            </w:tcMar>
          </w:tcPr>
          <w:p w14:paraId="1BABED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C8969A"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3466C9D" w14:textId="77777777" w:rsidR="00575AC3" w:rsidRPr="006D40F0" w:rsidRDefault="00575AC3" w:rsidP="006D40F0">
            <w:r w:rsidRPr="006D40F0">
              <w:t>Helsetjenester i annet EØS-land, nedsettes med</w:t>
            </w:r>
          </w:p>
        </w:tc>
        <w:tc>
          <w:tcPr>
            <w:tcW w:w="1400" w:type="dxa"/>
            <w:tcBorders>
              <w:top w:val="nil"/>
              <w:left w:val="nil"/>
              <w:bottom w:val="nil"/>
              <w:right w:val="nil"/>
            </w:tcBorders>
            <w:tcMar>
              <w:top w:w="128" w:type="dxa"/>
              <w:left w:w="43" w:type="dxa"/>
              <w:bottom w:w="43" w:type="dxa"/>
              <w:right w:w="43" w:type="dxa"/>
            </w:tcMar>
            <w:vAlign w:val="bottom"/>
          </w:tcPr>
          <w:p w14:paraId="3FC16E45" w14:textId="77777777" w:rsidR="00575AC3" w:rsidRPr="006D40F0" w:rsidRDefault="00575AC3" w:rsidP="006D40F0">
            <w:r w:rsidRPr="006D40F0">
              <w:t>5 000 000</w:t>
            </w:r>
          </w:p>
        </w:tc>
      </w:tr>
      <w:tr w:rsidR="00DD49A7" w:rsidRPr="006D40F0" w14:paraId="22A160BD" w14:textId="77777777">
        <w:trPr>
          <w:trHeight w:val="380"/>
        </w:trPr>
        <w:tc>
          <w:tcPr>
            <w:tcW w:w="680" w:type="dxa"/>
            <w:tcBorders>
              <w:top w:val="nil"/>
              <w:left w:val="nil"/>
              <w:bottom w:val="nil"/>
              <w:right w:val="nil"/>
            </w:tcBorders>
            <w:tcMar>
              <w:top w:w="128" w:type="dxa"/>
              <w:left w:w="43" w:type="dxa"/>
              <w:bottom w:w="43" w:type="dxa"/>
              <w:right w:w="43" w:type="dxa"/>
            </w:tcMar>
          </w:tcPr>
          <w:p w14:paraId="51B4E7C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42BE64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2EF63C" w14:textId="77777777" w:rsidR="00575AC3" w:rsidRPr="006D40F0" w:rsidRDefault="00575AC3" w:rsidP="006D40F0">
            <w:r w:rsidRPr="006D40F0">
              <w:t>fra kr 13 000 000 til kr 8 000 000</w:t>
            </w:r>
          </w:p>
        </w:tc>
        <w:tc>
          <w:tcPr>
            <w:tcW w:w="1400" w:type="dxa"/>
            <w:tcBorders>
              <w:top w:val="nil"/>
              <w:left w:val="nil"/>
              <w:bottom w:val="nil"/>
              <w:right w:val="nil"/>
            </w:tcBorders>
            <w:tcMar>
              <w:top w:w="128" w:type="dxa"/>
              <w:left w:w="43" w:type="dxa"/>
              <w:bottom w:w="43" w:type="dxa"/>
              <w:right w:w="43" w:type="dxa"/>
            </w:tcMar>
            <w:vAlign w:val="bottom"/>
          </w:tcPr>
          <w:p w14:paraId="7BA9229A" w14:textId="77777777" w:rsidR="00575AC3" w:rsidRPr="006D40F0" w:rsidRDefault="00575AC3" w:rsidP="006D40F0"/>
        </w:tc>
      </w:tr>
      <w:tr w:rsidR="00DD49A7" w:rsidRPr="006D40F0" w14:paraId="5E060DEE" w14:textId="77777777">
        <w:trPr>
          <w:trHeight w:val="380"/>
        </w:trPr>
        <w:tc>
          <w:tcPr>
            <w:tcW w:w="680" w:type="dxa"/>
            <w:tcBorders>
              <w:top w:val="nil"/>
              <w:left w:val="nil"/>
              <w:bottom w:val="nil"/>
              <w:right w:val="nil"/>
            </w:tcBorders>
            <w:tcMar>
              <w:top w:w="128" w:type="dxa"/>
              <w:left w:w="43" w:type="dxa"/>
              <w:bottom w:w="43" w:type="dxa"/>
              <w:right w:w="43" w:type="dxa"/>
            </w:tcMar>
          </w:tcPr>
          <w:p w14:paraId="2408F0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040C49"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6457FE0C" w14:textId="77777777" w:rsidR="00575AC3" w:rsidRPr="006D40F0" w:rsidRDefault="00575AC3" w:rsidP="006D40F0">
            <w:r w:rsidRPr="006D40F0">
              <w:t>Helsetjenester i utlandet mv., forhøyes med</w:t>
            </w:r>
          </w:p>
        </w:tc>
        <w:tc>
          <w:tcPr>
            <w:tcW w:w="1400" w:type="dxa"/>
            <w:tcBorders>
              <w:top w:val="nil"/>
              <w:left w:val="nil"/>
              <w:bottom w:val="nil"/>
              <w:right w:val="nil"/>
            </w:tcBorders>
            <w:tcMar>
              <w:top w:w="128" w:type="dxa"/>
              <w:left w:w="43" w:type="dxa"/>
              <w:bottom w:w="43" w:type="dxa"/>
              <w:right w:w="43" w:type="dxa"/>
            </w:tcMar>
            <w:vAlign w:val="bottom"/>
          </w:tcPr>
          <w:p w14:paraId="1EB9EEAC" w14:textId="77777777" w:rsidR="00575AC3" w:rsidRPr="006D40F0" w:rsidRDefault="00575AC3" w:rsidP="006D40F0">
            <w:r w:rsidRPr="006D40F0">
              <w:t>120 000 000</w:t>
            </w:r>
          </w:p>
        </w:tc>
      </w:tr>
      <w:tr w:rsidR="00DD49A7" w:rsidRPr="006D40F0" w14:paraId="74104E52" w14:textId="77777777">
        <w:trPr>
          <w:trHeight w:val="380"/>
        </w:trPr>
        <w:tc>
          <w:tcPr>
            <w:tcW w:w="680" w:type="dxa"/>
            <w:tcBorders>
              <w:top w:val="nil"/>
              <w:left w:val="nil"/>
              <w:bottom w:val="nil"/>
              <w:right w:val="nil"/>
            </w:tcBorders>
            <w:tcMar>
              <w:top w:w="128" w:type="dxa"/>
              <w:left w:w="43" w:type="dxa"/>
              <w:bottom w:w="43" w:type="dxa"/>
              <w:right w:w="43" w:type="dxa"/>
            </w:tcMar>
          </w:tcPr>
          <w:p w14:paraId="29514E4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F36074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C26C83" w14:textId="77777777" w:rsidR="00575AC3" w:rsidRPr="006D40F0" w:rsidRDefault="00575AC3" w:rsidP="006D40F0">
            <w:r w:rsidRPr="006D40F0">
              <w:t>fra kr 480 000 000 til kr 600 000 000</w:t>
            </w:r>
          </w:p>
        </w:tc>
        <w:tc>
          <w:tcPr>
            <w:tcW w:w="1400" w:type="dxa"/>
            <w:tcBorders>
              <w:top w:val="nil"/>
              <w:left w:val="nil"/>
              <w:bottom w:val="nil"/>
              <w:right w:val="nil"/>
            </w:tcBorders>
            <w:tcMar>
              <w:top w:w="128" w:type="dxa"/>
              <w:left w:w="43" w:type="dxa"/>
              <w:bottom w:w="43" w:type="dxa"/>
              <w:right w:w="43" w:type="dxa"/>
            </w:tcMar>
            <w:vAlign w:val="bottom"/>
          </w:tcPr>
          <w:p w14:paraId="2BC9B422" w14:textId="77777777" w:rsidR="00575AC3" w:rsidRPr="006D40F0" w:rsidRDefault="00575AC3" w:rsidP="006D40F0"/>
        </w:tc>
      </w:tr>
      <w:tr w:rsidR="00DD49A7" w:rsidRPr="006D40F0" w14:paraId="27709B65" w14:textId="77777777">
        <w:trPr>
          <w:trHeight w:val="380"/>
        </w:trPr>
        <w:tc>
          <w:tcPr>
            <w:tcW w:w="680" w:type="dxa"/>
            <w:tcBorders>
              <w:top w:val="nil"/>
              <w:left w:val="nil"/>
              <w:bottom w:val="nil"/>
              <w:right w:val="nil"/>
            </w:tcBorders>
            <w:tcMar>
              <w:top w:w="128" w:type="dxa"/>
              <w:left w:w="43" w:type="dxa"/>
              <w:bottom w:w="43" w:type="dxa"/>
              <w:right w:w="43" w:type="dxa"/>
            </w:tcMar>
          </w:tcPr>
          <w:p w14:paraId="309995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F7F7E8"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59EE2D23" w14:textId="77777777" w:rsidR="00575AC3" w:rsidRPr="006D40F0" w:rsidRDefault="00575AC3" w:rsidP="006D40F0">
            <w:r w:rsidRPr="006D40F0">
              <w:t>Helsetjenester til utenlandsboende mv., forhøyes med</w:t>
            </w:r>
          </w:p>
        </w:tc>
        <w:tc>
          <w:tcPr>
            <w:tcW w:w="1400" w:type="dxa"/>
            <w:tcBorders>
              <w:top w:val="nil"/>
              <w:left w:val="nil"/>
              <w:bottom w:val="nil"/>
              <w:right w:val="nil"/>
            </w:tcBorders>
            <w:tcMar>
              <w:top w:w="128" w:type="dxa"/>
              <w:left w:w="43" w:type="dxa"/>
              <w:bottom w:w="43" w:type="dxa"/>
              <w:right w:w="43" w:type="dxa"/>
            </w:tcMar>
            <w:vAlign w:val="bottom"/>
          </w:tcPr>
          <w:p w14:paraId="214677DA" w14:textId="77777777" w:rsidR="00575AC3" w:rsidRPr="006D40F0" w:rsidRDefault="00575AC3" w:rsidP="006D40F0">
            <w:r w:rsidRPr="006D40F0">
              <w:t>94 000 000</w:t>
            </w:r>
          </w:p>
        </w:tc>
      </w:tr>
      <w:tr w:rsidR="00DD49A7" w:rsidRPr="006D40F0" w14:paraId="318C8C17" w14:textId="77777777">
        <w:trPr>
          <w:trHeight w:val="380"/>
        </w:trPr>
        <w:tc>
          <w:tcPr>
            <w:tcW w:w="680" w:type="dxa"/>
            <w:tcBorders>
              <w:top w:val="nil"/>
              <w:left w:val="nil"/>
              <w:bottom w:val="nil"/>
              <w:right w:val="nil"/>
            </w:tcBorders>
            <w:tcMar>
              <w:top w:w="128" w:type="dxa"/>
              <w:left w:w="43" w:type="dxa"/>
              <w:bottom w:w="43" w:type="dxa"/>
              <w:right w:w="43" w:type="dxa"/>
            </w:tcMar>
          </w:tcPr>
          <w:p w14:paraId="26064A2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58B46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0DD0A0" w14:textId="77777777" w:rsidR="00575AC3" w:rsidRPr="006D40F0" w:rsidRDefault="00575AC3" w:rsidP="006D40F0">
            <w:r w:rsidRPr="006D40F0">
              <w:t>fra kr 321 000 000 til kr 415 000 000</w:t>
            </w:r>
          </w:p>
        </w:tc>
        <w:tc>
          <w:tcPr>
            <w:tcW w:w="1400" w:type="dxa"/>
            <w:tcBorders>
              <w:top w:val="nil"/>
              <w:left w:val="nil"/>
              <w:bottom w:val="nil"/>
              <w:right w:val="nil"/>
            </w:tcBorders>
            <w:tcMar>
              <w:top w:w="128" w:type="dxa"/>
              <w:left w:w="43" w:type="dxa"/>
              <w:bottom w:w="43" w:type="dxa"/>
              <w:right w:w="43" w:type="dxa"/>
            </w:tcMar>
            <w:vAlign w:val="bottom"/>
          </w:tcPr>
          <w:p w14:paraId="6509519B" w14:textId="77777777" w:rsidR="00575AC3" w:rsidRPr="006D40F0" w:rsidRDefault="00575AC3" w:rsidP="006D40F0"/>
        </w:tc>
      </w:tr>
      <w:tr w:rsidR="00DD49A7" w:rsidRPr="006D40F0" w14:paraId="11B6DF4A" w14:textId="77777777">
        <w:trPr>
          <w:trHeight w:val="380"/>
        </w:trPr>
        <w:tc>
          <w:tcPr>
            <w:tcW w:w="680" w:type="dxa"/>
            <w:tcBorders>
              <w:top w:val="nil"/>
              <w:left w:val="nil"/>
              <w:bottom w:val="nil"/>
              <w:right w:val="nil"/>
            </w:tcBorders>
            <w:tcMar>
              <w:top w:w="128" w:type="dxa"/>
              <w:left w:w="43" w:type="dxa"/>
              <w:bottom w:w="43" w:type="dxa"/>
              <w:right w:w="43" w:type="dxa"/>
            </w:tcMar>
          </w:tcPr>
          <w:p w14:paraId="77E70D98" w14:textId="77777777" w:rsidR="00575AC3" w:rsidRPr="006D40F0" w:rsidRDefault="00575AC3" w:rsidP="006D40F0">
            <w:r w:rsidRPr="006D40F0">
              <w:lastRenderedPageBreak/>
              <w:t>2790</w:t>
            </w:r>
          </w:p>
        </w:tc>
        <w:tc>
          <w:tcPr>
            <w:tcW w:w="680" w:type="dxa"/>
            <w:tcBorders>
              <w:top w:val="nil"/>
              <w:left w:val="nil"/>
              <w:bottom w:val="nil"/>
              <w:right w:val="nil"/>
            </w:tcBorders>
            <w:tcMar>
              <w:top w:w="128" w:type="dxa"/>
              <w:left w:w="43" w:type="dxa"/>
              <w:bottom w:w="43" w:type="dxa"/>
              <w:right w:w="43" w:type="dxa"/>
            </w:tcMar>
          </w:tcPr>
          <w:p w14:paraId="760165B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A92F06" w14:textId="77777777" w:rsidR="00575AC3" w:rsidRPr="006D40F0" w:rsidRDefault="00575AC3" w:rsidP="006D40F0">
            <w:r w:rsidRPr="006D40F0">
              <w:t>Andre helsetiltak:</w:t>
            </w:r>
          </w:p>
        </w:tc>
        <w:tc>
          <w:tcPr>
            <w:tcW w:w="1400" w:type="dxa"/>
            <w:tcBorders>
              <w:top w:val="nil"/>
              <w:left w:val="nil"/>
              <w:bottom w:val="nil"/>
              <w:right w:val="nil"/>
            </w:tcBorders>
            <w:tcMar>
              <w:top w:w="128" w:type="dxa"/>
              <w:left w:w="43" w:type="dxa"/>
              <w:bottom w:w="43" w:type="dxa"/>
              <w:right w:w="43" w:type="dxa"/>
            </w:tcMar>
            <w:vAlign w:val="bottom"/>
          </w:tcPr>
          <w:p w14:paraId="2B7DBC8B" w14:textId="77777777" w:rsidR="00575AC3" w:rsidRPr="006D40F0" w:rsidRDefault="00575AC3" w:rsidP="006D40F0"/>
        </w:tc>
      </w:tr>
      <w:tr w:rsidR="00DD49A7" w:rsidRPr="006D40F0" w14:paraId="07D88567" w14:textId="77777777">
        <w:trPr>
          <w:trHeight w:val="380"/>
        </w:trPr>
        <w:tc>
          <w:tcPr>
            <w:tcW w:w="680" w:type="dxa"/>
            <w:tcBorders>
              <w:top w:val="nil"/>
              <w:left w:val="nil"/>
              <w:bottom w:val="nil"/>
              <w:right w:val="nil"/>
            </w:tcBorders>
            <w:tcMar>
              <w:top w:w="128" w:type="dxa"/>
              <w:left w:w="43" w:type="dxa"/>
              <w:bottom w:w="43" w:type="dxa"/>
              <w:right w:w="43" w:type="dxa"/>
            </w:tcMar>
          </w:tcPr>
          <w:p w14:paraId="2FA0D59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2F45DE"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8983614" w14:textId="77777777" w:rsidR="00575AC3" w:rsidRPr="006D40F0" w:rsidRDefault="00575AC3" w:rsidP="006D40F0">
            <w:r w:rsidRPr="006D40F0">
              <w:t>Bidrag, forhøyes med</w:t>
            </w:r>
          </w:p>
        </w:tc>
        <w:tc>
          <w:tcPr>
            <w:tcW w:w="1400" w:type="dxa"/>
            <w:tcBorders>
              <w:top w:val="nil"/>
              <w:left w:val="nil"/>
              <w:bottom w:val="nil"/>
              <w:right w:val="nil"/>
            </w:tcBorders>
            <w:tcMar>
              <w:top w:w="128" w:type="dxa"/>
              <w:left w:w="43" w:type="dxa"/>
              <w:bottom w:w="43" w:type="dxa"/>
              <w:right w:w="43" w:type="dxa"/>
            </w:tcMar>
            <w:vAlign w:val="bottom"/>
          </w:tcPr>
          <w:p w14:paraId="625F94B3" w14:textId="77777777" w:rsidR="00575AC3" w:rsidRPr="006D40F0" w:rsidRDefault="00575AC3" w:rsidP="006D40F0">
            <w:r w:rsidRPr="006D40F0">
              <w:t>7 000 000</w:t>
            </w:r>
          </w:p>
        </w:tc>
      </w:tr>
      <w:tr w:rsidR="00DD49A7" w:rsidRPr="006D40F0" w14:paraId="25F716E5"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88262E3" w14:textId="77777777" w:rsidR="00575AC3" w:rsidRPr="006D40F0" w:rsidRDefault="00575AC3" w:rsidP="006D40F0"/>
        </w:tc>
        <w:tc>
          <w:tcPr>
            <w:tcW w:w="680" w:type="dxa"/>
            <w:tcBorders>
              <w:top w:val="nil"/>
              <w:left w:val="nil"/>
              <w:bottom w:val="single" w:sz="4" w:space="0" w:color="000000"/>
              <w:right w:val="nil"/>
            </w:tcBorders>
            <w:tcMar>
              <w:top w:w="128" w:type="dxa"/>
              <w:left w:w="43" w:type="dxa"/>
              <w:bottom w:w="43" w:type="dxa"/>
              <w:right w:w="43" w:type="dxa"/>
            </w:tcMar>
          </w:tcPr>
          <w:p w14:paraId="5D186738" w14:textId="77777777" w:rsidR="00575AC3" w:rsidRPr="006D40F0" w:rsidRDefault="00575AC3" w:rsidP="006D40F0"/>
        </w:tc>
        <w:tc>
          <w:tcPr>
            <w:tcW w:w="6800" w:type="dxa"/>
            <w:tcBorders>
              <w:top w:val="nil"/>
              <w:left w:val="nil"/>
              <w:bottom w:val="single" w:sz="4" w:space="0" w:color="000000"/>
              <w:right w:val="nil"/>
            </w:tcBorders>
            <w:tcMar>
              <w:top w:w="128" w:type="dxa"/>
              <w:left w:w="43" w:type="dxa"/>
              <w:bottom w:w="43" w:type="dxa"/>
              <w:right w:w="43" w:type="dxa"/>
            </w:tcMar>
          </w:tcPr>
          <w:p w14:paraId="0C3CB77F" w14:textId="77777777" w:rsidR="00575AC3" w:rsidRPr="006D40F0" w:rsidRDefault="00575AC3" w:rsidP="006D40F0">
            <w:r w:rsidRPr="006D40F0">
              <w:t>fra kr 268 000 000 til kr 275 000 000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58490C" w14:textId="77777777" w:rsidR="00575AC3" w:rsidRPr="006D40F0" w:rsidRDefault="00575AC3" w:rsidP="006D40F0"/>
        </w:tc>
      </w:tr>
    </w:tbl>
    <w:p w14:paraId="1D4D068D" w14:textId="77777777" w:rsidR="00575AC3" w:rsidRPr="006D40F0" w:rsidRDefault="00575AC3" w:rsidP="006D40F0">
      <w:pPr>
        <w:pStyle w:val="a-vedtak-tekst"/>
      </w:pPr>
      <w:r w:rsidRPr="006D40F0">
        <w:t>Inntekter:</w:t>
      </w:r>
    </w:p>
    <w:p w14:paraId="2F0104A6"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80"/>
        <w:gridCol w:w="680"/>
        <w:gridCol w:w="6800"/>
        <w:gridCol w:w="1400"/>
      </w:tblGrid>
      <w:tr w:rsidR="00DD49A7" w:rsidRPr="006D40F0" w14:paraId="4253B45D"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C1B56" w14:textId="77777777" w:rsidR="00575AC3" w:rsidRPr="006D40F0" w:rsidRDefault="00575AC3" w:rsidP="006D40F0">
            <w:r w:rsidRPr="006D40F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519393" w14:textId="77777777" w:rsidR="00575AC3" w:rsidRPr="006D40F0" w:rsidRDefault="00575AC3" w:rsidP="006D40F0">
            <w:r w:rsidRPr="006D40F0">
              <w:t>Post</w:t>
            </w:r>
          </w:p>
        </w:tc>
        <w:tc>
          <w:tcPr>
            <w:tcW w:w="6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97465D" w14:textId="77777777" w:rsidR="00575AC3" w:rsidRPr="006D40F0" w:rsidRDefault="00575AC3" w:rsidP="006D40F0">
            <w:r w:rsidRPr="006D40F0">
              <w:t>Formål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3676F" w14:textId="77777777" w:rsidR="00575AC3" w:rsidRPr="006D40F0" w:rsidRDefault="00575AC3" w:rsidP="006D40F0">
            <w:r w:rsidRPr="006D40F0">
              <w:t>Kroner</w:t>
            </w:r>
          </w:p>
        </w:tc>
      </w:tr>
      <w:tr w:rsidR="00DD49A7" w:rsidRPr="006D40F0" w14:paraId="6C829C6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03B1F9D" w14:textId="77777777" w:rsidR="00575AC3" w:rsidRPr="006D40F0" w:rsidRDefault="00575AC3" w:rsidP="006D40F0">
            <w:r w:rsidRPr="006D40F0">
              <w:t>3100</w:t>
            </w:r>
          </w:p>
        </w:tc>
        <w:tc>
          <w:tcPr>
            <w:tcW w:w="680" w:type="dxa"/>
            <w:tcBorders>
              <w:top w:val="single" w:sz="4" w:space="0" w:color="000000"/>
              <w:left w:val="nil"/>
              <w:bottom w:val="nil"/>
              <w:right w:val="nil"/>
            </w:tcBorders>
            <w:tcMar>
              <w:top w:w="128" w:type="dxa"/>
              <w:left w:w="43" w:type="dxa"/>
              <w:bottom w:w="43" w:type="dxa"/>
              <w:right w:w="43" w:type="dxa"/>
            </w:tcMar>
          </w:tcPr>
          <w:p w14:paraId="17389CFC" w14:textId="77777777" w:rsidR="00575AC3" w:rsidRPr="006D40F0" w:rsidRDefault="00575AC3" w:rsidP="006D40F0"/>
        </w:tc>
        <w:tc>
          <w:tcPr>
            <w:tcW w:w="6800" w:type="dxa"/>
            <w:tcBorders>
              <w:top w:val="single" w:sz="4" w:space="0" w:color="000000"/>
              <w:left w:val="nil"/>
              <w:bottom w:val="nil"/>
              <w:right w:val="nil"/>
            </w:tcBorders>
            <w:tcMar>
              <w:top w:w="128" w:type="dxa"/>
              <w:left w:w="43" w:type="dxa"/>
              <w:bottom w:w="43" w:type="dxa"/>
              <w:right w:w="43" w:type="dxa"/>
            </w:tcMar>
          </w:tcPr>
          <w:p w14:paraId="71EB25F1" w14:textId="77777777" w:rsidR="00575AC3" w:rsidRPr="006D40F0" w:rsidRDefault="00575AC3" w:rsidP="006D40F0">
            <w:r w:rsidRPr="006D40F0">
              <w:t>Utenriksdepartementet: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51B89CE" w14:textId="77777777" w:rsidR="00575AC3" w:rsidRPr="006D40F0" w:rsidRDefault="00575AC3" w:rsidP="006D40F0"/>
        </w:tc>
      </w:tr>
      <w:tr w:rsidR="00DD49A7" w:rsidRPr="006D40F0" w14:paraId="72D281CD" w14:textId="77777777">
        <w:trPr>
          <w:trHeight w:val="380"/>
        </w:trPr>
        <w:tc>
          <w:tcPr>
            <w:tcW w:w="680" w:type="dxa"/>
            <w:tcBorders>
              <w:top w:val="nil"/>
              <w:left w:val="nil"/>
              <w:bottom w:val="nil"/>
              <w:right w:val="nil"/>
            </w:tcBorders>
            <w:tcMar>
              <w:top w:w="128" w:type="dxa"/>
              <w:left w:w="43" w:type="dxa"/>
              <w:bottom w:w="43" w:type="dxa"/>
              <w:right w:w="43" w:type="dxa"/>
            </w:tcMar>
          </w:tcPr>
          <w:p w14:paraId="69B6B27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EA89E1"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60B84B1D" w14:textId="77777777" w:rsidR="00575AC3" w:rsidRPr="006D40F0" w:rsidRDefault="00575AC3" w:rsidP="006D40F0">
            <w:r w:rsidRPr="006D40F0">
              <w:t>Gebyrer for utlendingssaker ved utenriksstasjonene, nedsettes med</w:t>
            </w:r>
          </w:p>
        </w:tc>
        <w:tc>
          <w:tcPr>
            <w:tcW w:w="1400" w:type="dxa"/>
            <w:tcBorders>
              <w:top w:val="nil"/>
              <w:left w:val="nil"/>
              <w:bottom w:val="nil"/>
              <w:right w:val="nil"/>
            </w:tcBorders>
            <w:tcMar>
              <w:top w:w="128" w:type="dxa"/>
              <w:left w:w="43" w:type="dxa"/>
              <w:bottom w:w="43" w:type="dxa"/>
              <w:right w:w="43" w:type="dxa"/>
            </w:tcMar>
            <w:vAlign w:val="bottom"/>
          </w:tcPr>
          <w:p w14:paraId="1926713A" w14:textId="77777777" w:rsidR="00575AC3" w:rsidRPr="006D40F0" w:rsidRDefault="00575AC3" w:rsidP="006D40F0">
            <w:r w:rsidRPr="006D40F0">
              <w:t>33 051 000</w:t>
            </w:r>
          </w:p>
        </w:tc>
      </w:tr>
      <w:tr w:rsidR="00DD49A7" w:rsidRPr="006D40F0" w14:paraId="50B4EA97" w14:textId="77777777">
        <w:trPr>
          <w:trHeight w:val="380"/>
        </w:trPr>
        <w:tc>
          <w:tcPr>
            <w:tcW w:w="680" w:type="dxa"/>
            <w:tcBorders>
              <w:top w:val="nil"/>
              <w:left w:val="nil"/>
              <w:bottom w:val="nil"/>
              <w:right w:val="nil"/>
            </w:tcBorders>
            <w:tcMar>
              <w:top w:w="128" w:type="dxa"/>
              <w:left w:w="43" w:type="dxa"/>
              <w:bottom w:w="43" w:type="dxa"/>
              <w:right w:w="43" w:type="dxa"/>
            </w:tcMar>
          </w:tcPr>
          <w:p w14:paraId="10CA9D7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807D22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15AF34" w14:textId="77777777" w:rsidR="00575AC3" w:rsidRPr="006D40F0" w:rsidRDefault="00575AC3" w:rsidP="006D40F0">
            <w:r w:rsidRPr="006D40F0">
              <w:t>fra kr 256 417 000 til kr 223 366 000</w:t>
            </w:r>
          </w:p>
        </w:tc>
        <w:tc>
          <w:tcPr>
            <w:tcW w:w="1400" w:type="dxa"/>
            <w:tcBorders>
              <w:top w:val="nil"/>
              <w:left w:val="nil"/>
              <w:bottom w:val="nil"/>
              <w:right w:val="nil"/>
            </w:tcBorders>
            <w:tcMar>
              <w:top w:w="128" w:type="dxa"/>
              <w:left w:w="43" w:type="dxa"/>
              <w:bottom w:w="43" w:type="dxa"/>
              <w:right w:w="43" w:type="dxa"/>
            </w:tcMar>
            <w:vAlign w:val="bottom"/>
          </w:tcPr>
          <w:p w14:paraId="2DEF4EF5" w14:textId="77777777" w:rsidR="00575AC3" w:rsidRPr="006D40F0" w:rsidRDefault="00575AC3" w:rsidP="006D40F0"/>
        </w:tc>
      </w:tr>
      <w:tr w:rsidR="00DD49A7" w:rsidRPr="006D40F0" w14:paraId="51255C4B" w14:textId="77777777">
        <w:trPr>
          <w:trHeight w:val="380"/>
        </w:trPr>
        <w:tc>
          <w:tcPr>
            <w:tcW w:w="680" w:type="dxa"/>
            <w:tcBorders>
              <w:top w:val="nil"/>
              <w:left w:val="nil"/>
              <w:bottom w:val="nil"/>
              <w:right w:val="nil"/>
            </w:tcBorders>
            <w:tcMar>
              <w:top w:w="128" w:type="dxa"/>
              <w:left w:w="43" w:type="dxa"/>
              <w:bottom w:w="43" w:type="dxa"/>
              <w:right w:w="43" w:type="dxa"/>
            </w:tcMar>
          </w:tcPr>
          <w:p w14:paraId="479877AD" w14:textId="77777777" w:rsidR="00575AC3" w:rsidRPr="006D40F0" w:rsidRDefault="00575AC3" w:rsidP="006D40F0">
            <w:r w:rsidRPr="006D40F0">
              <w:t>3200</w:t>
            </w:r>
          </w:p>
        </w:tc>
        <w:tc>
          <w:tcPr>
            <w:tcW w:w="680" w:type="dxa"/>
            <w:tcBorders>
              <w:top w:val="nil"/>
              <w:left w:val="nil"/>
              <w:bottom w:val="nil"/>
              <w:right w:val="nil"/>
            </w:tcBorders>
            <w:tcMar>
              <w:top w:w="128" w:type="dxa"/>
              <w:left w:w="43" w:type="dxa"/>
              <w:bottom w:w="43" w:type="dxa"/>
              <w:right w:w="43" w:type="dxa"/>
            </w:tcMar>
          </w:tcPr>
          <w:p w14:paraId="3F33F30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FE27F5" w14:textId="77777777" w:rsidR="00575AC3" w:rsidRPr="006D40F0" w:rsidRDefault="00575AC3" w:rsidP="006D40F0">
            <w:r w:rsidRPr="006D40F0">
              <w:t>Kunnskapsdepartementet:</w:t>
            </w:r>
          </w:p>
        </w:tc>
        <w:tc>
          <w:tcPr>
            <w:tcW w:w="1400" w:type="dxa"/>
            <w:tcBorders>
              <w:top w:val="nil"/>
              <w:left w:val="nil"/>
              <w:bottom w:val="nil"/>
              <w:right w:val="nil"/>
            </w:tcBorders>
            <w:tcMar>
              <w:top w:w="128" w:type="dxa"/>
              <w:left w:w="43" w:type="dxa"/>
              <w:bottom w:w="43" w:type="dxa"/>
              <w:right w:w="43" w:type="dxa"/>
            </w:tcMar>
            <w:vAlign w:val="bottom"/>
          </w:tcPr>
          <w:p w14:paraId="1F4FBD7E" w14:textId="77777777" w:rsidR="00575AC3" w:rsidRPr="006D40F0" w:rsidRDefault="00575AC3" w:rsidP="006D40F0"/>
        </w:tc>
      </w:tr>
      <w:tr w:rsidR="00DD49A7" w:rsidRPr="006D40F0" w14:paraId="4E3F43AF" w14:textId="77777777">
        <w:trPr>
          <w:trHeight w:val="380"/>
        </w:trPr>
        <w:tc>
          <w:tcPr>
            <w:tcW w:w="680" w:type="dxa"/>
            <w:tcBorders>
              <w:top w:val="nil"/>
              <w:left w:val="nil"/>
              <w:bottom w:val="nil"/>
              <w:right w:val="nil"/>
            </w:tcBorders>
            <w:tcMar>
              <w:top w:w="128" w:type="dxa"/>
              <w:left w:w="43" w:type="dxa"/>
              <w:bottom w:w="43" w:type="dxa"/>
              <w:right w:w="43" w:type="dxa"/>
            </w:tcMar>
          </w:tcPr>
          <w:p w14:paraId="21529B10"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79138B47" w14:textId="77777777" w:rsidR="00575AC3" w:rsidRPr="006D40F0" w:rsidRDefault="00575AC3" w:rsidP="006D40F0">
            <w:r w:rsidRPr="006D40F0">
              <w:t>3</w:t>
            </w:r>
          </w:p>
        </w:tc>
        <w:tc>
          <w:tcPr>
            <w:tcW w:w="6800" w:type="dxa"/>
            <w:tcBorders>
              <w:top w:val="nil"/>
              <w:left w:val="nil"/>
              <w:bottom w:val="nil"/>
              <w:right w:val="nil"/>
            </w:tcBorders>
            <w:tcMar>
              <w:top w:w="128" w:type="dxa"/>
              <w:left w:w="43" w:type="dxa"/>
              <w:bottom w:w="43" w:type="dxa"/>
              <w:right w:w="43" w:type="dxa"/>
            </w:tcMar>
          </w:tcPr>
          <w:p w14:paraId="7DD31428" w14:textId="77777777" w:rsidR="00575AC3" w:rsidRPr="006D40F0" w:rsidRDefault="00575AC3" w:rsidP="006D40F0">
            <w:r w:rsidRPr="006D40F0">
              <w:t>Inntekter fra fremleie, bevilges med</w:t>
            </w:r>
          </w:p>
        </w:tc>
        <w:tc>
          <w:tcPr>
            <w:tcW w:w="1400" w:type="dxa"/>
            <w:tcBorders>
              <w:top w:val="nil"/>
              <w:left w:val="nil"/>
              <w:bottom w:val="nil"/>
              <w:right w:val="nil"/>
            </w:tcBorders>
            <w:tcMar>
              <w:top w:w="128" w:type="dxa"/>
              <w:left w:w="43" w:type="dxa"/>
              <w:bottom w:w="43" w:type="dxa"/>
              <w:right w:w="43" w:type="dxa"/>
            </w:tcMar>
            <w:vAlign w:val="bottom"/>
          </w:tcPr>
          <w:p w14:paraId="25B93BFE" w14:textId="77777777" w:rsidR="00575AC3" w:rsidRPr="006D40F0" w:rsidRDefault="00575AC3" w:rsidP="006D40F0">
            <w:r w:rsidRPr="006D40F0">
              <w:t>3 700 000</w:t>
            </w:r>
          </w:p>
        </w:tc>
      </w:tr>
      <w:tr w:rsidR="00DD49A7" w:rsidRPr="006D40F0" w14:paraId="4E306BA6" w14:textId="77777777">
        <w:trPr>
          <w:trHeight w:val="380"/>
        </w:trPr>
        <w:tc>
          <w:tcPr>
            <w:tcW w:w="680" w:type="dxa"/>
            <w:tcBorders>
              <w:top w:val="nil"/>
              <w:left w:val="nil"/>
              <w:bottom w:val="nil"/>
              <w:right w:val="nil"/>
            </w:tcBorders>
            <w:tcMar>
              <w:top w:w="128" w:type="dxa"/>
              <w:left w:w="43" w:type="dxa"/>
              <w:bottom w:w="43" w:type="dxa"/>
              <w:right w:w="43" w:type="dxa"/>
            </w:tcMar>
          </w:tcPr>
          <w:p w14:paraId="6C146431" w14:textId="77777777" w:rsidR="00575AC3" w:rsidRPr="006D40F0" w:rsidRDefault="00575AC3" w:rsidP="006D40F0">
            <w:r w:rsidRPr="006D40F0">
              <w:t>3225</w:t>
            </w:r>
          </w:p>
        </w:tc>
        <w:tc>
          <w:tcPr>
            <w:tcW w:w="680" w:type="dxa"/>
            <w:tcBorders>
              <w:top w:val="nil"/>
              <w:left w:val="nil"/>
              <w:bottom w:val="nil"/>
              <w:right w:val="nil"/>
            </w:tcBorders>
            <w:tcMar>
              <w:top w:w="128" w:type="dxa"/>
              <w:left w:w="43" w:type="dxa"/>
              <w:bottom w:w="43" w:type="dxa"/>
              <w:right w:w="43" w:type="dxa"/>
            </w:tcMar>
          </w:tcPr>
          <w:p w14:paraId="6554A0E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AE073F" w14:textId="77777777" w:rsidR="00575AC3" w:rsidRPr="006D40F0" w:rsidRDefault="00575AC3" w:rsidP="006D40F0">
            <w:r w:rsidRPr="006D40F0">
              <w:t>Tiltak i grunnopplæringen:</w:t>
            </w:r>
          </w:p>
        </w:tc>
        <w:tc>
          <w:tcPr>
            <w:tcW w:w="1400" w:type="dxa"/>
            <w:tcBorders>
              <w:top w:val="nil"/>
              <w:left w:val="nil"/>
              <w:bottom w:val="nil"/>
              <w:right w:val="nil"/>
            </w:tcBorders>
            <w:tcMar>
              <w:top w:w="128" w:type="dxa"/>
              <w:left w:w="43" w:type="dxa"/>
              <w:bottom w:w="43" w:type="dxa"/>
              <w:right w:w="43" w:type="dxa"/>
            </w:tcMar>
            <w:vAlign w:val="bottom"/>
          </w:tcPr>
          <w:p w14:paraId="0158FEB7" w14:textId="77777777" w:rsidR="00575AC3" w:rsidRPr="006D40F0" w:rsidRDefault="00575AC3" w:rsidP="006D40F0"/>
        </w:tc>
      </w:tr>
      <w:tr w:rsidR="00DD49A7" w:rsidRPr="006D40F0" w14:paraId="438810BC" w14:textId="77777777">
        <w:trPr>
          <w:trHeight w:val="380"/>
        </w:trPr>
        <w:tc>
          <w:tcPr>
            <w:tcW w:w="680" w:type="dxa"/>
            <w:tcBorders>
              <w:top w:val="nil"/>
              <w:left w:val="nil"/>
              <w:bottom w:val="nil"/>
              <w:right w:val="nil"/>
            </w:tcBorders>
            <w:tcMar>
              <w:top w:w="128" w:type="dxa"/>
              <w:left w:w="43" w:type="dxa"/>
              <w:bottom w:w="43" w:type="dxa"/>
              <w:right w:w="43" w:type="dxa"/>
            </w:tcMar>
          </w:tcPr>
          <w:p w14:paraId="329EAFD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CCF665"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2E153D03" w14:textId="77777777" w:rsidR="00575AC3" w:rsidRPr="006D40F0" w:rsidRDefault="00575AC3" w:rsidP="006D40F0">
            <w:r w:rsidRPr="006D40F0">
              <w:t>Refusjon av ODA-godkjente 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FD25807" w14:textId="77777777" w:rsidR="00575AC3" w:rsidRPr="006D40F0" w:rsidRDefault="00575AC3" w:rsidP="006D40F0">
            <w:r w:rsidRPr="006D40F0">
              <w:t>56 468 000</w:t>
            </w:r>
          </w:p>
        </w:tc>
      </w:tr>
      <w:tr w:rsidR="00DD49A7" w:rsidRPr="006D40F0" w14:paraId="45242619" w14:textId="77777777">
        <w:trPr>
          <w:trHeight w:val="380"/>
        </w:trPr>
        <w:tc>
          <w:tcPr>
            <w:tcW w:w="680" w:type="dxa"/>
            <w:tcBorders>
              <w:top w:val="nil"/>
              <w:left w:val="nil"/>
              <w:bottom w:val="nil"/>
              <w:right w:val="nil"/>
            </w:tcBorders>
            <w:tcMar>
              <w:top w:w="128" w:type="dxa"/>
              <w:left w:w="43" w:type="dxa"/>
              <w:bottom w:w="43" w:type="dxa"/>
              <w:right w:w="43" w:type="dxa"/>
            </w:tcMar>
          </w:tcPr>
          <w:p w14:paraId="55F6D07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A758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F015AA" w14:textId="77777777" w:rsidR="00575AC3" w:rsidRPr="006D40F0" w:rsidRDefault="00575AC3" w:rsidP="006D40F0">
            <w:r w:rsidRPr="006D40F0">
              <w:t>fra kr 302 337 000 til kr 358 805 000</w:t>
            </w:r>
          </w:p>
        </w:tc>
        <w:tc>
          <w:tcPr>
            <w:tcW w:w="1400" w:type="dxa"/>
            <w:tcBorders>
              <w:top w:val="nil"/>
              <w:left w:val="nil"/>
              <w:bottom w:val="nil"/>
              <w:right w:val="nil"/>
            </w:tcBorders>
            <w:tcMar>
              <w:top w:w="128" w:type="dxa"/>
              <w:left w:w="43" w:type="dxa"/>
              <w:bottom w:w="43" w:type="dxa"/>
              <w:right w:w="43" w:type="dxa"/>
            </w:tcMar>
            <w:vAlign w:val="bottom"/>
          </w:tcPr>
          <w:p w14:paraId="037BF2F4" w14:textId="77777777" w:rsidR="00575AC3" w:rsidRPr="006D40F0" w:rsidRDefault="00575AC3" w:rsidP="006D40F0"/>
        </w:tc>
      </w:tr>
      <w:tr w:rsidR="00DD49A7" w:rsidRPr="006D40F0" w14:paraId="255EB7CA" w14:textId="77777777">
        <w:trPr>
          <w:trHeight w:val="380"/>
        </w:trPr>
        <w:tc>
          <w:tcPr>
            <w:tcW w:w="680" w:type="dxa"/>
            <w:tcBorders>
              <w:top w:val="nil"/>
              <w:left w:val="nil"/>
              <w:bottom w:val="nil"/>
              <w:right w:val="nil"/>
            </w:tcBorders>
            <w:tcMar>
              <w:top w:w="128" w:type="dxa"/>
              <w:left w:w="43" w:type="dxa"/>
              <w:bottom w:w="43" w:type="dxa"/>
              <w:right w:w="43" w:type="dxa"/>
            </w:tcMar>
          </w:tcPr>
          <w:p w14:paraId="16D67469" w14:textId="77777777" w:rsidR="00575AC3" w:rsidRPr="006D40F0" w:rsidRDefault="00575AC3" w:rsidP="006D40F0">
            <w:r w:rsidRPr="006D40F0">
              <w:t>3288</w:t>
            </w:r>
          </w:p>
        </w:tc>
        <w:tc>
          <w:tcPr>
            <w:tcW w:w="680" w:type="dxa"/>
            <w:tcBorders>
              <w:top w:val="nil"/>
              <w:left w:val="nil"/>
              <w:bottom w:val="nil"/>
              <w:right w:val="nil"/>
            </w:tcBorders>
            <w:tcMar>
              <w:top w:w="128" w:type="dxa"/>
              <w:left w:w="43" w:type="dxa"/>
              <w:bottom w:w="43" w:type="dxa"/>
              <w:right w:w="43" w:type="dxa"/>
            </w:tcMar>
          </w:tcPr>
          <w:p w14:paraId="3C3CA62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DBE0C7D" w14:textId="77777777" w:rsidR="00575AC3" w:rsidRPr="006D40F0" w:rsidRDefault="00575AC3" w:rsidP="006D40F0">
            <w:r w:rsidRPr="006D40F0">
              <w:t>Internasjonale samarbeidstiltak:</w:t>
            </w:r>
          </w:p>
        </w:tc>
        <w:tc>
          <w:tcPr>
            <w:tcW w:w="1400" w:type="dxa"/>
            <w:tcBorders>
              <w:top w:val="nil"/>
              <w:left w:val="nil"/>
              <w:bottom w:val="nil"/>
              <w:right w:val="nil"/>
            </w:tcBorders>
            <w:tcMar>
              <w:top w:w="128" w:type="dxa"/>
              <w:left w:w="43" w:type="dxa"/>
              <w:bottom w:w="43" w:type="dxa"/>
              <w:right w:w="43" w:type="dxa"/>
            </w:tcMar>
            <w:vAlign w:val="bottom"/>
          </w:tcPr>
          <w:p w14:paraId="7EF202B4" w14:textId="77777777" w:rsidR="00575AC3" w:rsidRPr="006D40F0" w:rsidRDefault="00575AC3" w:rsidP="006D40F0"/>
        </w:tc>
      </w:tr>
      <w:tr w:rsidR="00DD49A7" w:rsidRPr="006D40F0" w14:paraId="083B52DB" w14:textId="77777777">
        <w:trPr>
          <w:trHeight w:val="380"/>
        </w:trPr>
        <w:tc>
          <w:tcPr>
            <w:tcW w:w="680" w:type="dxa"/>
            <w:tcBorders>
              <w:top w:val="nil"/>
              <w:left w:val="nil"/>
              <w:bottom w:val="nil"/>
              <w:right w:val="nil"/>
            </w:tcBorders>
            <w:tcMar>
              <w:top w:w="128" w:type="dxa"/>
              <w:left w:w="43" w:type="dxa"/>
              <w:bottom w:w="43" w:type="dxa"/>
              <w:right w:w="43" w:type="dxa"/>
            </w:tcMar>
          </w:tcPr>
          <w:p w14:paraId="3DBD98B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98D0F8"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5A9572D0" w14:textId="77777777" w:rsidR="00575AC3" w:rsidRPr="006D40F0" w:rsidRDefault="00575AC3" w:rsidP="006D40F0">
            <w:r w:rsidRPr="006D40F0">
              <w:t>Refusjon av ODA-godkjente 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326282A9" w14:textId="77777777" w:rsidR="00575AC3" w:rsidRPr="006D40F0" w:rsidRDefault="00575AC3" w:rsidP="006D40F0">
            <w:r w:rsidRPr="006D40F0">
              <w:t>12 068 000</w:t>
            </w:r>
          </w:p>
        </w:tc>
      </w:tr>
      <w:tr w:rsidR="00DD49A7" w:rsidRPr="006D40F0" w14:paraId="164B8101" w14:textId="77777777">
        <w:trPr>
          <w:trHeight w:val="380"/>
        </w:trPr>
        <w:tc>
          <w:tcPr>
            <w:tcW w:w="680" w:type="dxa"/>
            <w:tcBorders>
              <w:top w:val="nil"/>
              <w:left w:val="nil"/>
              <w:bottom w:val="nil"/>
              <w:right w:val="nil"/>
            </w:tcBorders>
            <w:tcMar>
              <w:top w:w="128" w:type="dxa"/>
              <w:left w:w="43" w:type="dxa"/>
              <w:bottom w:w="43" w:type="dxa"/>
              <w:right w:w="43" w:type="dxa"/>
            </w:tcMar>
          </w:tcPr>
          <w:p w14:paraId="66E65D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A364B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D5BE89E" w14:textId="77777777" w:rsidR="00575AC3" w:rsidRPr="006D40F0" w:rsidRDefault="00575AC3" w:rsidP="006D40F0">
            <w:r w:rsidRPr="006D40F0">
              <w:t>fra kr 31 037 000 til kr 18 969 000</w:t>
            </w:r>
          </w:p>
        </w:tc>
        <w:tc>
          <w:tcPr>
            <w:tcW w:w="1400" w:type="dxa"/>
            <w:tcBorders>
              <w:top w:val="nil"/>
              <w:left w:val="nil"/>
              <w:bottom w:val="nil"/>
              <w:right w:val="nil"/>
            </w:tcBorders>
            <w:tcMar>
              <w:top w:w="128" w:type="dxa"/>
              <w:left w:w="43" w:type="dxa"/>
              <w:bottom w:w="43" w:type="dxa"/>
              <w:right w:w="43" w:type="dxa"/>
            </w:tcMar>
            <w:vAlign w:val="bottom"/>
          </w:tcPr>
          <w:p w14:paraId="59F7E650" w14:textId="77777777" w:rsidR="00575AC3" w:rsidRPr="006D40F0" w:rsidRDefault="00575AC3" w:rsidP="006D40F0"/>
        </w:tc>
      </w:tr>
      <w:tr w:rsidR="00DD49A7" w:rsidRPr="006D40F0" w14:paraId="291004ED" w14:textId="77777777">
        <w:trPr>
          <w:trHeight w:val="380"/>
        </w:trPr>
        <w:tc>
          <w:tcPr>
            <w:tcW w:w="680" w:type="dxa"/>
            <w:tcBorders>
              <w:top w:val="nil"/>
              <w:left w:val="nil"/>
              <w:bottom w:val="nil"/>
              <w:right w:val="nil"/>
            </w:tcBorders>
            <w:tcMar>
              <w:top w:w="128" w:type="dxa"/>
              <w:left w:w="43" w:type="dxa"/>
              <w:bottom w:w="43" w:type="dxa"/>
              <w:right w:w="43" w:type="dxa"/>
            </w:tcMar>
          </w:tcPr>
          <w:p w14:paraId="69A0B317" w14:textId="77777777" w:rsidR="00575AC3" w:rsidRPr="006D40F0" w:rsidRDefault="00575AC3" w:rsidP="006D40F0">
            <w:r w:rsidRPr="006D40F0">
              <w:t>3400</w:t>
            </w:r>
          </w:p>
        </w:tc>
        <w:tc>
          <w:tcPr>
            <w:tcW w:w="680" w:type="dxa"/>
            <w:tcBorders>
              <w:top w:val="nil"/>
              <w:left w:val="nil"/>
              <w:bottom w:val="nil"/>
              <w:right w:val="nil"/>
            </w:tcBorders>
            <w:tcMar>
              <w:top w:w="128" w:type="dxa"/>
              <w:left w:w="43" w:type="dxa"/>
              <w:bottom w:w="43" w:type="dxa"/>
              <w:right w:w="43" w:type="dxa"/>
            </w:tcMar>
          </w:tcPr>
          <w:p w14:paraId="55036E3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A92825" w14:textId="77777777" w:rsidR="00575AC3" w:rsidRPr="006D40F0" w:rsidRDefault="00575AC3" w:rsidP="006D40F0">
            <w:r w:rsidRPr="006D40F0">
              <w:t>Justis- og beredskapsdepartementet:</w:t>
            </w:r>
          </w:p>
        </w:tc>
        <w:tc>
          <w:tcPr>
            <w:tcW w:w="1400" w:type="dxa"/>
            <w:tcBorders>
              <w:top w:val="nil"/>
              <w:left w:val="nil"/>
              <w:bottom w:val="nil"/>
              <w:right w:val="nil"/>
            </w:tcBorders>
            <w:tcMar>
              <w:top w:w="128" w:type="dxa"/>
              <w:left w:w="43" w:type="dxa"/>
              <w:bottom w:w="43" w:type="dxa"/>
              <w:right w:w="43" w:type="dxa"/>
            </w:tcMar>
            <w:vAlign w:val="bottom"/>
          </w:tcPr>
          <w:p w14:paraId="17761BAA" w14:textId="77777777" w:rsidR="00575AC3" w:rsidRPr="006D40F0" w:rsidRDefault="00575AC3" w:rsidP="006D40F0"/>
        </w:tc>
      </w:tr>
      <w:tr w:rsidR="00DD49A7" w:rsidRPr="006D40F0" w14:paraId="1982D9B4" w14:textId="77777777">
        <w:trPr>
          <w:trHeight w:val="380"/>
        </w:trPr>
        <w:tc>
          <w:tcPr>
            <w:tcW w:w="680" w:type="dxa"/>
            <w:tcBorders>
              <w:top w:val="nil"/>
              <w:left w:val="nil"/>
              <w:bottom w:val="nil"/>
              <w:right w:val="nil"/>
            </w:tcBorders>
            <w:tcMar>
              <w:top w:w="128" w:type="dxa"/>
              <w:left w:w="43" w:type="dxa"/>
              <w:bottom w:w="43" w:type="dxa"/>
              <w:right w:w="43" w:type="dxa"/>
            </w:tcMar>
          </w:tcPr>
          <w:p w14:paraId="6699CC7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545DF4D"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5494604B" w14:textId="77777777" w:rsidR="00575AC3" w:rsidRPr="006D40F0" w:rsidRDefault="00575AC3" w:rsidP="006D40F0">
            <w:r w:rsidRPr="006D40F0">
              <w:t>Refusjon av ODA-godkjente 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5B3EF67C" w14:textId="77777777" w:rsidR="00575AC3" w:rsidRPr="006D40F0" w:rsidRDefault="00575AC3" w:rsidP="006D40F0">
            <w:r w:rsidRPr="006D40F0">
              <w:t>1 127 000</w:t>
            </w:r>
          </w:p>
        </w:tc>
      </w:tr>
      <w:tr w:rsidR="00DD49A7" w:rsidRPr="006D40F0" w14:paraId="4B830828" w14:textId="77777777">
        <w:trPr>
          <w:trHeight w:val="380"/>
        </w:trPr>
        <w:tc>
          <w:tcPr>
            <w:tcW w:w="680" w:type="dxa"/>
            <w:tcBorders>
              <w:top w:val="nil"/>
              <w:left w:val="nil"/>
              <w:bottom w:val="nil"/>
              <w:right w:val="nil"/>
            </w:tcBorders>
            <w:tcMar>
              <w:top w:w="128" w:type="dxa"/>
              <w:left w:w="43" w:type="dxa"/>
              <w:bottom w:w="43" w:type="dxa"/>
              <w:right w:w="43" w:type="dxa"/>
            </w:tcMar>
          </w:tcPr>
          <w:p w14:paraId="4BE67C0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30BD6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DF26B5" w14:textId="77777777" w:rsidR="00575AC3" w:rsidRPr="006D40F0" w:rsidRDefault="00575AC3" w:rsidP="006D40F0">
            <w:r w:rsidRPr="006D40F0">
              <w:t>fra kr 1 127 000 til kr 0</w:t>
            </w:r>
          </w:p>
        </w:tc>
        <w:tc>
          <w:tcPr>
            <w:tcW w:w="1400" w:type="dxa"/>
            <w:tcBorders>
              <w:top w:val="nil"/>
              <w:left w:val="nil"/>
              <w:bottom w:val="nil"/>
              <w:right w:val="nil"/>
            </w:tcBorders>
            <w:tcMar>
              <w:top w:w="128" w:type="dxa"/>
              <w:left w:w="43" w:type="dxa"/>
              <w:bottom w:w="43" w:type="dxa"/>
              <w:right w:w="43" w:type="dxa"/>
            </w:tcMar>
            <w:vAlign w:val="bottom"/>
          </w:tcPr>
          <w:p w14:paraId="57DCC51F" w14:textId="77777777" w:rsidR="00575AC3" w:rsidRPr="006D40F0" w:rsidRDefault="00575AC3" w:rsidP="006D40F0"/>
        </w:tc>
      </w:tr>
      <w:tr w:rsidR="00DD49A7" w:rsidRPr="006D40F0" w14:paraId="051FAAE3" w14:textId="77777777">
        <w:trPr>
          <w:trHeight w:val="380"/>
        </w:trPr>
        <w:tc>
          <w:tcPr>
            <w:tcW w:w="680" w:type="dxa"/>
            <w:tcBorders>
              <w:top w:val="nil"/>
              <w:left w:val="nil"/>
              <w:bottom w:val="nil"/>
              <w:right w:val="nil"/>
            </w:tcBorders>
            <w:tcMar>
              <w:top w:w="128" w:type="dxa"/>
              <w:left w:w="43" w:type="dxa"/>
              <w:bottom w:w="43" w:type="dxa"/>
              <w:right w:w="43" w:type="dxa"/>
            </w:tcMar>
          </w:tcPr>
          <w:p w14:paraId="7CDCD4D3" w14:textId="77777777" w:rsidR="00575AC3" w:rsidRPr="006D40F0" w:rsidRDefault="00575AC3" w:rsidP="006D40F0">
            <w:r w:rsidRPr="006D40F0">
              <w:t>3440</w:t>
            </w:r>
          </w:p>
        </w:tc>
        <w:tc>
          <w:tcPr>
            <w:tcW w:w="680" w:type="dxa"/>
            <w:tcBorders>
              <w:top w:val="nil"/>
              <w:left w:val="nil"/>
              <w:bottom w:val="nil"/>
              <w:right w:val="nil"/>
            </w:tcBorders>
            <w:tcMar>
              <w:top w:w="128" w:type="dxa"/>
              <w:left w:w="43" w:type="dxa"/>
              <w:bottom w:w="43" w:type="dxa"/>
              <w:right w:w="43" w:type="dxa"/>
            </w:tcMar>
          </w:tcPr>
          <w:p w14:paraId="3EDD8AE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25A6B0" w14:textId="77777777" w:rsidR="00575AC3" w:rsidRPr="006D40F0" w:rsidRDefault="00575AC3" w:rsidP="006D40F0">
            <w:r w:rsidRPr="006D40F0">
              <w:t>Politiet:</w:t>
            </w:r>
          </w:p>
        </w:tc>
        <w:tc>
          <w:tcPr>
            <w:tcW w:w="1400" w:type="dxa"/>
            <w:tcBorders>
              <w:top w:val="nil"/>
              <w:left w:val="nil"/>
              <w:bottom w:val="nil"/>
              <w:right w:val="nil"/>
            </w:tcBorders>
            <w:tcMar>
              <w:top w:w="128" w:type="dxa"/>
              <w:left w:w="43" w:type="dxa"/>
              <w:bottom w:w="43" w:type="dxa"/>
              <w:right w:w="43" w:type="dxa"/>
            </w:tcMar>
            <w:vAlign w:val="bottom"/>
          </w:tcPr>
          <w:p w14:paraId="43789CAE" w14:textId="77777777" w:rsidR="00575AC3" w:rsidRPr="006D40F0" w:rsidRDefault="00575AC3" w:rsidP="006D40F0"/>
        </w:tc>
      </w:tr>
      <w:tr w:rsidR="00DD49A7" w:rsidRPr="006D40F0" w14:paraId="72EA65D8" w14:textId="77777777">
        <w:trPr>
          <w:trHeight w:val="380"/>
        </w:trPr>
        <w:tc>
          <w:tcPr>
            <w:tcW w:w="680" w:type="dxa"/>
            <w:tcBorders>
              <w:top w:val="nil"/>
              <w:left w:val="nil"/>
              <w:bottom w:val="nil"/>
              <w:right w:val="nil"/>
            </w:tcBorders>
            <w:tcMar>
              <w:top w:w="128" w:type="dxa"/>
              <w:left w:w="43" w:type="dxa"/>
              <w:bottom w:w="43" w:type="dxa"/>
              <w:right w:w="43" w:type="dxa"/>
            </w:tcMar>
          </w:tcPr>
          <w:p w14:paraId="2AEB7A9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CBC310"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7206F11C" w14:textId="77777777" w:rsidR="00575AC3" w:rsidRPr="006D40F0" w:rsidRDefault="00575AC3" w:rsidP="006D40F0">
            <w:r w:rsidRPr="006D40F0">
              <w:t>Refusjoner mv., forhøyes med</w:t>
            </w:r>
          </w:p>
        </w:tc>
        <w:tc>
          <w:tcPr>
            <w:tcW w:w="1400" w:type="dxa"/>
            <w:tcBorders>
              <w:top w:val="nil"/>
              <w:left w:val="nil"/>
              <w:bottom w:val="nil"/>
              <w:right w:val="nil"/>
            </w:tcBorders>
            <w:tcMar>
              <w:top w:w="128" w:type="dxa"/>
              <w:left w:w="43" w:type="dxa"/>
              <w:bottom w:w="43" w:type="dxa"/>
              <w:right w:w="43" w:type="dxa"/>
            </w:tcMar>
            <w:vAlign w:val="bottom"/>
          </w:tcPr>
          <w:p w14:paraId="0F5CB723" w14:textId="77777777" w:rsidR="00575AC3" w:rsidRPr="006D40F0" w:rsidRDefault="00575AC3" w:rsidP="006D40F0">
            <w:r w:rsidRPr="006D40F0">
              <w:t>30 000 000</w:t>
            </w:r>
          </w:p>
        </w:tc>
      </w:tr>
      <w:tr w:rsidR="00DD49A7" w:rsidRPr="006D40F0" w14:paraId="59BB6A89" w14:textId="77777777">
        <w:trPr>
          <w:trHeight w:val="380"/>
        </w:trPr>
        <w:tc>
          <w:tcPr>
            <w:tcW w:w="680" w:type="dxa"/>
            <w:tcBorders>
              <w:top w:val="nil"/>
              <w:left w:val="nil"/>
              <w:bottom w:val="nil"/>
              <w:right w:val="nil"/>
            </w:tcBorders>
            <w:tcMar>
              <w:top w:w="128" w:type="dxa"/>
              <w:left w:w="43" w:type="dxa"/>
              <w:bottom w:w="43" w:type="dxa"/>
              <w:right w:w="43" w:type="dxa"/>
            </w:tcMar>
          </w:tcPr>
          <w:p w14:paraId="25520F2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81BEC0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23BF1B0" w14:textId="77777777" w:rsidR="00575AC3" w:rsidRPr="006D40F0" w:rsidRDefault="00575AC3" w:rsidP="006D40F0">
            <w:r w:rsidRPr="006D40F0">
              <w:t>fra kr 232 296 000 til kr 262 296 000</w:t>
            </w:r>
          </w:p>
        </w:tc>
        <w:tc>
          <w:tcPr>
            <w:tcW w:w="1400" w:type="dxa"/>
            <w:tcBorders>
              <w:top w:val="nil"/>
              <w:left w:val="nil"/>
              <w:bottom w:val="nil"/>
              <w:right w:val="nil"/>
            </w:tcBorders>
            <w:tcMar>
              <w:top w:w="128" w:type="dxa"/>
              <w:left w:w="43" w:type="dxa"/>
              <w:bottom w:w="43" w:type="dxa"/>
              <w:right w:w="43" w:type="dxa"/>
            </w:tcMar>
            <w:vAlign w:val="bottom"/>
          </w:tcPr>
          <w:p w14:paraId="10B3B88B" w14:textId="77777777" w:rsidR="00575AC3" w:rsidRPr="006D40F0" w:rsidRDefault="00575AC3" w:rsidP="006D40F0"/>
        </w:tc>
      </w:tr>
      <w:tr w:rsidR="00DD49A7" w:rsidRPr="006D40F0" w14:paraId="5EDF8455" w14:textId="77777777">
        <w:trPr>
          <w:trHeight w:val="380"/>
        </w:trPr>
        <w:tc>
          <w:tcPr>
            <w:tcW w:w="680" w:type="dxa"/>
            <w:tcBorders>
              <w:top w:val="nil"/>
              <w:left w:val="nil"/>
              <w:bottom w:val="nil"/>
              <w:right w:val="nil"/>
            </w:tcBorders>
            <w:tcMar>
              <w:top w:w="128" w:type="dxa"/>
              <w:left w:w="43" w:type="dxa"/>
              <w:bottom w:w="43" w:type="dxa"/>
              <w:right w:w="43" w:type="dxa"/>
            </w:tcMar>
          </w:tcPr>
          <w:p w14:paraId="05F2F2E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45D0EF6" w14:textId="77777777" w:rsidR="00575AC3" w:rsidRPr="006D40F0" w:rsidRDefault="00575AC3" w:rsidP="006D40F0">
            <w:r w:rsidRPr="006D40F0">
              <w:t>6</w:t>
            </w:r>
          </w:p>
        </w:tc>
        <w:tc>
          <w:tcPr>
            <w:tcW w:w="6800" w:type="dxa"/>
            <w:tcBorders>
              <w:top w:val="nil"/>
              <w:left w:val="nil"/>
              <w:bottom w:val="nil"/>
              <w:right w:val="nil"/>
            </w:tcBorders>
            <w:tcMar>
              <w:top w:w="128" w:type="dxa"/>
              <w:left w:w="43" w:type="dxa"/>
              <w:bottom w:w="43" w:type="dxa"/>
              <w:right w:w="43" w:type="dxa"/>
            </w:tcMar>
          </w:tcPr>
          <w:p w14:paraId="1113D00F" w14:textId="77777777" w:rsidR="00575AC3" w:rsidRPr="006D40F0" w:rsidRDefault="00575AC3" w:rsidP="006D40F0">
            <w:r w:rsidRPr="006D40F0">
              <w:t>Gebyr – utlendingssaker, forhøyes med</w:t>
            </w:r>
          </w:p>
        </w:tc>
        <w:tc>
          <w:tcPr>
            <w:tcW w:w="1400" w:type="dxa"/>
            <w:tcBorders>
              <w:top w:val="nil"/>
              <w:left w:val="nil"/>
              <w:bottom w:val="nil"/>
              <w:right w:val="nil"/>
            </w:tcBorders>
            <w:tcMar>
              <w:top w:w="128" w:type="dxa"/>
              <w:left w:w="43" w:type="dxa"/>
              <w:bottom w:w="43" w:type="dxa"/>
              <w:right w:w="43" w:type="dxa"/>
            </w:tcMar>
            <w:vAlign w:val="bottom"/>
          </w:tcPr>
          <w:p w14:paraId="40217703" w14:textId="77777777" w:rsidR="00575AC3" w:rsidRPr="006D40F0" w:rsidRDefault="00575AC3" w:rsidP="006D40F0">
            <w:r w:rsidRPr="006D40F0">
              <w:t>45 807 000</w:t>
            </w:r>
          </w:p>
        </w:tc>
      </w:tr>
      <w:tr w:rsidR="00DD49A7" w:rsidRPr="006D40F0" w14:paraId="18B708D6" w14:textId="77777777">
        <w:trPr>
          <w:trHeight w:val="380"/>
        </w:trPr>
        <w:tc>
          <w:tcPr>
            <w:tcW w:w="680" w:type="dxa"/>
            <w:tcBorders>
              <w:top w:val="nil"/>
              <w:left w:val="nil"/>
              <w:bottom w:val="nil"/>
              <w:right w:val="nil"/>
            </w:tcBorders>
            <w:tcMar>
              <w:top w:w="128" w:type="dxa"/>
              <w:left w:w="43" w:type="dxa"/>
              <w:bottom w:w="43" w:type="dxa"/>
              <w:right w:w="43" w:type="dxa"/>
            </w:tcMar>
          </w:tcPr>
          <w:p w14:paraId="3FE48D5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E0F21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597C984" w14:textId="77777777" w:rsidR="00575AC3" w:rsidRPr="006D40F0" w:rsidRDefault="00575AC3" w:rsidP="006D40F0">
            <w:r w:rsidRPr="006D40F0">
              <w:t>fra kr 288 162 000 til kr 333 969 000</w:t>
            </w:r>
          </w:p>
        </w:tc>
        <w:tc>
          <w:tcPr>
            <w:tcW w:w="1400" w:type="dxa"/>
            <w:tcBorders>
              <w:top w:val="nil"/>
              <w:left w:val="nil"/>
              <w:bottom w:val="nil"/>
              <w:right w:val="nil"/>
            </w:tcBorders>
            <w:tcMar>
              <w:top w:w="128" w:type="dxa"/>
              <w:left w:w="43" w:type="dxa"/>
              <w:bottom w:w="43" w:type="dxa"/>
              <w:right w:w="43" w:type="dxa"/>
            </w:tcMar>
            <w:vAlign w:val="bottom"/>
          </w:tcPr>
          <w:p w14:paraId="0B1AA84B" w14:textId="77777777" w:rsidR="00575AC3" w:rsidRPr="006D40F0" w:rsidRDefault="00575AC3" w:rsidP="006D40F0"/>
        </w:tc>
      </w:tr>
      <w:tr w:rsidR="00DD49A7" w:rsidRPr="006D40F0" w14:paraId="72084528" w14:textId="77777777">
        <w:trPr>
          <w:trHeight w:val="380"/>
        </w:trPr>
        <w:tc>
          <w:tcPr>
            <w:tcW w:w="680" w:type="dxa"/>
            <w:tcBorders>
              <w:top w:val="nil"/>
              <w:left w:val="nil"/>
              <w:bottom w:val="nil"/>
              <w:right w:val="nil"/>
            </w:tcBorders>
            <w:tcMar>
              <w:top w:w="128" w:type="dxa"/>
              <w:left w:w="43" w:type="dxa"/>
              <w:bottom w:w="43" w:type="dxa"/>
              <w:right w:w="43" w:type="dxa"/>
            </w:tcMar>
          </w:tcPr>
          <w:p w14:paraId="40DAA71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48599F" w14:textId="77777777" w:rsidR="00575AC3" w:rsidRPr="006D40F0" w:rsidRDefault="00575AC3" w:rsidP="006D40F0">
            <w:r w:rsidRPr="006D40F0">
              <w:t>7</w:t>
            </w:r>
          </w:p>
        </w:tc>
        <w:tc>
          <w:tcPr>
            <w:tcW w:w="6800" w:type="dxa"/>
            <w:tcBorders>
              <w:top w:val="nil"/>
              <w:left w:val="nil"/>
              <w:bottom w:val="nil"/>
              <w:right w:val="nil"/>
            </w:tcBorders>
            <w:tcMar>
              <w:top w:w="128" w:type="dxa"/>
              <w:left w:w="43" w:type="dxa"/>
              <w:bottom w:w="43" w:type="dxa"/>
              <w:right w:w="43" w:type="dxa"/>
            </w:tcMar>
          </w:tcPr>
          <w:p w14:paraId="35A2FACF" w14:textId="77777777" w:rsidR="00575AC3" w:rsidRPr="006D40F0" w:rsidRDefault="00575AC3" w:rsidP="006D40F0">
            <w:r w:rsidRPr="006D40F0">
              <w:t>Gebyr – sivile gjøremål, nedsettes med</w:t>
            </w:r>
          </w:p>
        </w:tc>
        <w:tc>
          <w:tcPr>
            <w:tcW w:w="1400" w:type="dxa"/>
            <w:tcBorders>
              <w:top w:val="nil"/>
              <w:left w:val="nil"/>
              <w:bottom w:val="nil"/>
              <w:right w:val="nil"/>
            </w:tcBorders>
            <w:tcMar>
              <w:top w:w="128" w:type="dxa"/>
              <w:left w:w="43" w:type="dxa"/>
              <w:bottom w:w="43" w:type="dxa"/>
              <w:right w:w="43" w:type="dxa"/>
            </w:tcMar>
            <w:vAlign w:val="bottom"/>
          </w:tcPr>
          <w:p w14:paraId="487CAD11" w14:textId="77777777" w:rsidR="00575AC3" w:rsidRPr="006D40F0" w:rsidRDefault="00575AC3" w:rsidP="006D40F0">
            <w:r w:rsidRPr="006D40F0">
              <w:t>14 250 000</w:t>
            </w:r>
          </w:p>
        </w:tc>
      </w:tr>
      <w:tr w:rsidR="00DD49A7" w:rsidRPr="006D40F0" w14:paraId="06BEAA0A" w14:textId="77777777">
        <w:trPr>
          <w:trHeight w:val="380"/>
        </w:trPr>
        <w:tc>
          <w:tcPr>
            <w:tcW w:w="680" w:type="dxa"/>
            <w:tcBorders>
              <w:top w:val="nil"/>
              <w:left w:val="nil"/>
              <w:bottom w:val="nil"/>
              <w:right w:val="nil"/>
            </w:tcBorders>
            <w:tcMar>
              <w:top w:w="128" w:type="dxa"/>
              <w:left w:w="43" w:type="dxa"/>
              <w:bottom w:w="43" w:type="dxa"/>
              <w:right w:w="43" w:type="dxa"/>
            </w:tcMar>
          </w:tcPr>
          <w:p w14:paraId="4252038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5DE60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4F474E" w14:textId="77777777" w:rsidR="00575AC3" w:rsidRPr="006D40F0" w:rsidRDefault="00575AC3" w:rsidP="006D40F0">
            <w:r w:rsidRPr="006D40F0">
              <w:t>fra kr 819 100 000 til kr 804 850 000</w:t>
            </w:r>
          </w:p>
        </w:tc>
        <w:tc>
          <w:tcPr>
            <w:tcW w:w="1400" w:type="dxa"/>
            <w:tcBorders>
              <w:top w:val="nil"/>
              <w:left w:val="nil"/>
              <w:bottom w:val="nil"/>
              <w:right w:val="nil"/>
            </w:tcBorders>
            <w:tcMar>
              <w:top w:w="128" w:type="dxa"/>
              <w:left w:w="43" w:type="dxa"/>
              <w:bottom w:w="43" w:type="dxa"/>
              <w:right w:w="43" w:type="dxa"/>
            </w:tcMar>
            <w:vAlign w:val="bottom"/>
          </w:tcPr>
          <w:p w14:paraId="6C6F5938" w14:textId="77777777" w:rsidR="00575AC3" w:rsidRPr="006D40F0" w:rsidRDefault="00575AC3" w:rsidP="006D40F0"/>
        </w:tc>
      </w:tr>
      <w:tr w:rsidR="00DD49A7" w:rsidRPr="006D40F0" w14:paraId="4AAB51DA" w14:textId="77777777">
        <w:trPr>
          <w:trHeight w:val="380"/>
        </w:trPr>
        <w:tc>
          <w:tcPr>
            <w:tcW w:w="680" w:type="dxa"/>
            <w:tcBorders>
              <w:top w:val="nil"/>
              <w:left w:val="nil"/>
              <w:bottom w:val="nil"/>
              <w:right w:val="nil"/>
            </w:tcBorders>
            <w:tcMar>
              <w:top w:w="128" w:type="dxa"/>
              <w:left w:w="43" w:type="dxa"/>
              <w:bottom w:w="43" w:type="dxa"/>
              <w:right w:w="43" w:type="dxa"/>
            </w:tcMar>
          </w:tcPr>
          <w:p w14:paraId="5B8DFC4D" w14:textId="77777777" w:rsidR="00575AC3" w:rsidRPr="006D40F0" w:rsidRDefault="00575AC3" w:rsidP="006D40F0">
            <w:r w:rsidRPr="006D40F0">
              <w:t>3451</w:t>
            </w:r>
          </w:p>
        </w:tc>
        <w:tc>
          <w:tcPr>
            <w:tcW w:w="680" w:type="dxa"/>
            <w:tcBorders>
              <w:top w:val="nil"/>
              <w:left w:val="nil"/>
              <w:bottom w:val="nil"/>
              <w:right w:val="nil"/>
            </w:tcBorders>
            <w:tcMar>
              <w:top w:w="128" w:type="dxa"/>
              <w:left w:w="43" w:type="dxa"/>
              <w:bottom w:w="43" w:type="dxa"/>
              <w:right w:w="43" w:type="dxa"/>
            </w:tcMar>
          </w:tcPr>
          <w:p w14:paraId="7114F86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C8B615D" w14:textId="77777777" w:rsidR="00575AC3" w:rsidRPr="006D40F0" w:rsidRDefault="00575AC3" w:rsidP="006D40F0">
            <w:r w:rsidRPr="006D40F0">
              <w:t>Direktoratet for samfunnssikkerhet og beredskap:</w:t>
            </w:r>
          </w:p>
        </w:tc>
        <w:tc>
          <w:tcPr>
            <w:tcW w:w="1400" w:type="dxa"/>
            <w:tcBorders>
              <w:top w:val="nil"/>
              <w:left w:val="nil"/>
              <w:bottom w:val="nil"/>
              <w:right w:val="nil"/>
            </w:tcBorders>
            <w:tcMar>
              <w:top w:w="128" w:type="dxa"/>
              <w:left w:w="43" w:type="dxa"/>
              <w:bottom w:w="43" w:type="dxa"/>
              <w:right w:w="43" w:type="dxa"/>
            </w:tcMar>
            <w:vAlign w:val="bottom"/>
          </w:tcPr>
          <w:p w14:paraId="1A22F8B1" w14:textId="77777777" w:rsidR="00575AC3" w:rsidRPr="006D40F0" w:rsidRDefault="00575AC3" w:rsidP="006D40F0"/>
        </w:tc>
      </w:tr>
      <w:tr w:rsidR="00DD49A7" w:rsidRPr="006D40F0" w14:paraId="32AD1125" w14:textId="77777777">
        <w:trPr>
          <w:trHeight w:val="640"/>
        </w:trPr>
        <w:tc>
          <w:tcPr>
            <w:tcW w:w="680" w:type="dxa"/>
            <w:tcBorders>
              <w:top w:val="nil"/>
              <w:left w:val="nil"/>
              <w:bottom w:val="nil"/>
              <w:right w:val="nil"/>
            </w:tcBorders>
            <w:tcMar>
              <w:top w:w="128" w:type="dxa"/>
              <w:left w:w="43" w:type="dxa"/>
              <w:bottom w:w="43" w:type="dxa"/>
              <w:right w:w="43" w:type="dxa"/>
            </w:tcMar>
          </w:tcPr>
          <w:p w14:paraId="296FF0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6771703" w14:textId="77777777" w:rsidR="00575AC3" w:rsidRPr="006D40F0" w:rsidRDefault="00575AC3" w:rsidP="006D40F0">
            <w:r w:rsidRPr="006D40F0">
              <w:t>7</w:t>
            </w:r>
          </w:p>
        </w:tc>
        <w:tc>
          <w:tcPr>
            <w:tcW w:w="6800" w:type="dxa"/>
            <w:tcBorders>
              <w:top w:val="nil"/>
              <w:left w:val="nil"/>
              <w:bottom w:val="nil"/>
              <w:right w:val="nil"/>
            </w:tcBorders>
            <w:tcMar>
              <w:top w:w="128" w:type="dxa"/>
              <w:left w:w="43" w:type="dxa"/>
              <w:bottom w:w="43" w:type="dxa"/>
              <w:right w:w="43" w:type="dxa"/>
            </w:tcMar>
          </w:tcPr>
          <w:p w14:paraId="61BA9CB0" w14:textId="77777777" w:rsidR="00575AC3" w:rsidRPr="006D40F0" w:rsidRDefault="00575AC3" w:rsidP="006D40F0">
            <w:r w:rsidRPr="006D40F0">
              <w:t>Refusjoner fra EU i forbindelse med variable utgifter knyttet til EUs ordning for sivil beredskap, forhøyes med</w:t>
            </w:r>
          </w:p>
        </w:tc>
        <w:tc>
          <w:tcPr>
            <w:tcW w:w="1400" w:type="dxa"/>
            <w:tcBorders>
              <w:top w:val="nil"/>
              <w:left w:val="nil"/>
              <w:bottom w:val="nil"/>
              <w:right w:val="nil"/>
            </w:tcBorders>
            <w:tcMar>
              <w:top w:w="128" w:type="dxa"/>
              <w:left w:w="43" w:type="dxa"/>
              <w:bottom w:w="43" w:type="dxa"/>
              <w:right w:w="43" w:type="dxa"/>
            </w:tcMar>
            <w:vAlign w:val="bottom"/>
          </w:tcPr>
          <w:p w14:paraId="4F19FA88" w14:textId="77777777" w:rsidR="00575AC3" w:rsidRPr="006D40F0" w:rsidRDefault="00575AC3" w:rsidP="006D40F0">
            <w:r w:rsidRPr="006D40F0">
              <w:t>31 200 000</w:t>
            </w:r>
          </w:p>
        </w:tc>
      </w:tr>
      <w:tr w:rsidR="00DD49A7" w:rsidRPr="006D40F0" w14:paraId="11E31378" w14:textId="77777777">
        <w:trPr>
          <w:trHeight w:val="380"/>
        </w:trPr>
        <w:tc>
          <w:tcPr>
            <w:tcW w:w="680" w:type="dxa"/>
            <w:tcBorders>
              <w:top w:val="nil"/>
              <w:left w:val="nil"/>
              <w:bottom w:val="nil"/>
              <w:right w:val="nil"/>
            </w:tcBorders>
            <w:tcMar>
              <w:top w:w="128" w:type="dxa"/>
              <w:left w:w="43" w:type="dxa"/>
              <w:bottom w:w="43" w:type="dxa"/>
              <w:right w:w="43" w:type="dxa"/>
            </w:tcMar>
          </w:tcPr>
          <w:p w14:paraId="347774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C9F8A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0550061" w14:textId="77777777" w:rsidR="00575AC3" w:rsidRPr="006D40F0" w:rsidRDefault="00575AC3" w:rsidP="006D40F0">
            <w:r w:rsidRPr="006D40F0">
              <w:t>fra kr 50 000 000 til kr 81 200 000</w:t>
            </w:r>
          </w:p>
        </w:tc>
        <w:tc>
          <w:tcPr>
            <w:tcW w:w="1400" w:type="dxa"/>
            <w:tcBorders>
              <w:top w:val="nil"/>
              <w:left w:val="nil"/>
              <w:bottom w:val="nil"/>
              <w:right w:val="nil"/>
            </w:tcBorders>
            <w:tcMar>
              <w:top w:w="128" w:type="dxa"/>
              <w:left w:w="43" w:type="dxa"/>
              <w:bottom w:w="43" w:type="dxa"/>
              <w:right w:w="43" w:type="dxa"/>
            </w:tcMar>
            <w:vAlign w:val="bottom"/>
          </w:tcPr>
          <w:p w14:paraId="27FC3752" w14:textId="77777777" w:rsidR="00575AC3" w:rsidRPr="006D40F0" w:rsidRDefault="00575AC3" w:rsidP="006D40F0"/>
        </w:tc>
      </w:tr>
      <w:tr w:rsidR="00DD49A7" w:rsidRPr="006D40F0" w14:paraId="46069B25" w14:textId="77777777">
        <w:trPr>
          <w:trHeight w:val="380"/>
        </w:trPr>
        <w:tc>
          <w:tcPr>
            <w:tcW w:w="680" w:type="dxa"/>
            <w:tcBorders>
              <w:top w:val="nil"/>
              <w:left w:val="nil"/>
              <w:bottom w:val="nil"/>
              <w:right w:val="nil"/>
            </w:tcBorders>
            <w:tcMar>
              <w:top w:w="128" w:type="dxa"/>
              <w:left w:w="43" w:type="dxa"/>
              <w:bottom w:w="43" w:type="dxa"/>
              <w:right w:w="43" w:type="dxa"/>
            </w:tcMar>
          </w:tcPr>
          <w:p w14:paraId="4F6E8B6E" w14:textId="77777777" w:rsidR="00575AC3" w:rsidRPr="006D40F0" w:rsidRDefault="00575AC3" w:rsidP="006D40F0">
            <w:r w:rsidRPr="006D40F0">
              <w:t>3490</w:t>
            </w:r>
          </w:p>
        </w:tc>
        <w:tc>
          <w:tcPr>
            <w:tcW w:w="680" w:type="dxa"/>
            <w:tcBorders>
              <w:top w:val="nil"/>
              <w:left w:val="nil"/>
              <w:bottom w:val="nil"/>
              <w:right w:val="nil"/>
            </w:tcBorders>
            <w:tcMar>
              <w:top w:w="128" w:type="dxa"/>
              <w:left w:w="43" w:type="dxa"/>
              <w:bottom w:w="43" w:type="dxa"/>
              <w:right w:w="43" w:type="dxa"/>
            </w:tcMar>
          </w:tcPr>
          <w:p w14:paraId="5EE7D49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D2EE87" w14:textId="77777777" w:rsidR="00575AC3" w:rsidRPr="006D40F0" w:rsidRDefault="00575AC3" w:rsidP="006D40F0">
            <w:r w:rsidRPr="006D40F0">
              <w:t>Utlendingsdirektoratet:</w:t>
            </w:r>
          </w:p>
        </w:tc>
        <w:tc>
          <w:tcPr>
            <w:tcW w:w="1400" w:type="dxa"/>
            <w:tcBorders>
              <w:top w:val="nil"/>
              <w:left w:val="nil"/>
              <w:bottom w:val="nil"/>
              <w:right w:val="nil"/>
            </w:tcBorders>
            <w:tcMar>
              <w:top w:w="128" w:type="dxa"/>
              <w:left w:w="43" w:type="dxa"/>
              <w:bottom w:w="43" w:type="dxa"/>
              <w:right w:w="43" w:type="dxa"/>
            </w:tcMar>
            <w:vAlign w:val="bottom"/>
          </w:tcPr>
          <w:p w14:paraId="7D15BD28" w14:textId="77777777" w:rsidR="00575AC3" w:rsidRPr="006D40F0" w:rsidRDefault="00575AC3" w:rsidP="006D40F0"/>
        </w:tc>
      </w:tr>
      <w:tr w:rsidR="00DD49A7" w:rsidRPr="006D40F0" w14:paraId="56003D23" w14:textId="77777777">
        <w:trPr>
          <w:trHeight w:val="640"/>
        </w:trPr>
        <w:tc>
          <w:tcPr>
            <w:tcW w:w="680" w:type="dxa"/>
            <w:tcBorders>
              <w:top w:val="nil"/>
              <w:left w:val="nil"/>
              <w:bottom w:val="nil"/>
              <w:right w:val="nil"/>
            </w:tcBorders>
            <w:tcMar>
              <w:top w:w="128" w:type="dxa"/>
              <w:left w:w="43" w:type="dxa"/>
              <w:bottom w:w="43" w:type="dxa"/>
              <w:right w:w="43" w:type="dxa"/>
            </w:tcMar>
          </w:tcPr>
          <w:p w14:paraId="067ABEC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F56DB9"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B7F2A19" w14:textId="77777777" w:rsidR="00575AC3" w:rsidRPr="006D40F0" w:rsidRDefault="00575AC3" w:rsidP="006D40F0">
            <w:r w:rsidRPr="006D40F0">
              <w:t>Assistert retur fra Norge for asylsøkere med avslag, ODA-godkjente 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87EDD65" w14:textId="77777777" w:rsidR="00575AC3" w:rsidRPr="006D40F0" w:rsidRDefault="00575AC3" w:rsidP="006D40F0">
            <w:r w:rsidRPr="006D40F0">
              <w:t>3 714 000</w:t>
            </w:r>
          </w:p>
        </w:tc>
      </w:tr>
      <w:tr w:rsidR="00DD49A7" w:rsidRPr="006D40F0" w14:paraId="4C5EEE77" w14:textId="77777777">
        <w:trPr>
          <w:trHeight w:val="380"/>
        </w:trPr>
        <w:tc>
          <w:tcPr>
            <w:tcW w:w="680" w:type="dxa"/>
            <w:tcBorders>
              <w:top w:val="nil"/>
              <w:left w:val="nil"/>
              <w:bottom w:val="nil"/>
              <w:right w:val="nil"/>
            </w:tcBorders>
            <w:tcMar>
              <w:top w:w="128" w:type="dxa"/>
              <w:left w:w="43" w:type="dxa"/>
              <w:bottom w:w="43" w:type="dxa"/>
              <w:right w:w="43" w:type="dxa"/>
            </w:tcMar>
          </w:tcPr>
          <w:p w14:paraId="6236529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90A38E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35C08B" w14:textId="77777777" w:rsidR="00575AC3" w:rsidRPr="006D40F0" w:rsidRDefault="00575AC3" w:rsidP="006D40F0">
            <w:r w:rsidRPr="006D40F0">
              <w:t>fra kr 2 192 000 til kr 5 906 000</w:t>
            </w:r>
          </w:p>
        </w:tc>
        <w:tc>
          <w:tcPr>
            <w:tcW w:w="1400" w:type="dxa"/>
            <w:tcBorders>
              <w:top w:val="nil"/>
              <w:left w:val="nil"/>
              <w:bottom w:val="nil"/>
              <w:right w:val="nil"/>
            </w:tcBorders>
            <w:tcMar>
              <w:top w:w="128" w:type="dxa"/>
              <w:left w:w="43" w:type="dxa"/>
              <w:bottom w:w="43" w:type="dxa"/>
              <w:right w:w="43" w:type="dxa"/>
            </w:tcMar>
            <w:vAlign w:val="bottom"/>
          </w:tcPr>
          <w:p w14:paraId="41289167" w14:textId="77777777" w:rsidR="00575AC3" w:rsidRPr="006D40F0" w:rsidRDefault="00575AC3" w:rsidP="006D40F0"/>
        </w:tc>
      </w:tr>
      <w:tr w:rsidR="00DD49A7" w:rsidRPr="006D40F0" w14:paraId="75B5A3B9" w14:textId="77777777">
        <w:trPr>
          <w:trHeight w:val="640"/>
        </w:trPr>
        <w:tc>
          <w:tcPr>
            <w:tcW w:w="680" w:type="dxa"/>
            <w:tcBorders>
              <w:top w:val="nil"/>
              <w:left w:val="nil"/>
              <w:bottom w:val="nil"/>
              <w:right w:val="nil"/>
            </w:tcBorders>
            <w:tcMar>
              <w:top w:w="128" w:type="dxa"/>
              <w:left w:w="43" w:type="dxa"/>
              <w:bottom w:w="43" w:type="dxa"/>
              <w:right w:w="43" w:type="dxa"/>
            </w:tcMar>
          </w:tcPr>
          <w:p w14:paraId="70EF21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0D59C11" w14:textId="77777777" w:rsidR="00575AC3" w:rsidRPr="006D40F0" w:rsidRDefault="00575AC3" w:rsidP="006D40F0">
            <w:r w:rsidRPr="006D40F0">
              <w:t>3</w:t>
            </w:r>
          </w:p>
        </w:tc>
        <w:tc>
          <w:tcPr>
            <w:tcW w:w="6800" w:type="dxa"/>
            <w:tcBorders>
              <w:top w:val="nil"/>
              <w:left w:val="nil"/>
              <w:bottom w:val="nil"/>
              <w:right w:val="nil"/>
            </w:tcBorders>
            <w:tcMar>
              <w:top w:w="128" w:type="dxa"/>
              <w:left w:w="43" w:type="dxa"/>
              <w:bottom w:w="43" w:type="dxa"/>
              <w:right w:w="43" w:type="dxa"/>
            </w:tcMar>
          </w:tcPr>
          <w:p w14:paraId="3DD105E0" w14:textId="77777777" w:rsidR="00575AC3" w:rsidRPr="006D40F0" w:rsidRDefault="00575AC3" w:rsidP="006D40F0">
            <w:r w:rsidRPr="006D40F0">
              <w:t>Reiseutgifter for flyktninger fra utlandet, ODA-godkjente 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16DB4A14" w14:textId="77777777" w:rsidR="00575AC3" w:rsidRPr="006D40F0" w:rsidRDefault="00575AC3" w:rsidP="006D40F0">
            <w:r w:rsidRPr="006D40F0">
              <w:t>2 471 000</w:t>
            </w:r>
          </w:p>
        </w:tc>
      </w:tr>
      <w:tr w:rsidR="00DD49A7" w:rsidRPr="006D40F0" w14:paraId="1D531699" w14:textId="77777777">
        <w:trPr>
          <w:trHeight w:val="380"/>
        </w:trPr>
        <w:tc>
          <w:tcPr>
            <w:tcW w:w="680" w:type="dxa"/>
            <w:tcBorders>
              <w:top w:val="nil"/>
              <w:left w:val="nil"/>
              <w:bottom w:val="nil"/>
              <w:right w:val="nil"/>
            </w:tcBorders>
            <w:tcMar>
              <w:top w:w="128" w:type="dxa"/>
              <w:left w:w="43" w:type="dxa"/>
              <w:bottom w:w="43" w:type="dxa"/>
              <w:right w:w="43" w:type="dxa"/>
            </w:tcMar>
          </w:tcPr>
          <w:p w14:paraId="5456F4D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6FB565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32BFB9C" w14:textId="77777777" w:rsidR="00575AC3" w:rsidRPr="006D40F0" w:rsidRDefault="00575AC3" w:rsidP="006D40F0">
            <w:r w:rsidRPr="006D40F0">
              <w:t>fra kr 33 201 000 til kr 30 730 000</w:t>
            </w:r>
          </w:p>
        </w:tc>
        <w:tc>
          <w:tcPr>
            <w:tcW w:w="1400" w:type="dxa"/>
            <w:tcBorders>
              <w:top w:val="nil"/>
              <w:left w:val="nil"/>
              <w:bottom w:val="nil"/>
              <w:right w:val="nil"/>
            </w:tcBorders>
            <w:tcMar>
              <w:top w:w="128" w:type="dxa"/>
              <w:left w:w="43" w:type="dxa"/>
              <w:bottom w:w="43" w:type="dxa"/>
              <w:right w:w="43" w:type="dxa"/>
            </w:tcMar>
            <w:vAlign w:val="bottom"/>
          </w:tcPr>
          <w:p w14:paraId="19604566" w14:textId="77777777" w:rsidR="00575AC3" w:rsidRPr="006D40F0" w:rsidRDefault="00575AC3" w:rsidP="006D40F0"/>
        </w:tc>
      </w:tr>
      <w:tr w:rsidR="00DD49A7" w:rsidRPr="006D40F0" w14:paraId="73F4FB96" w14:textId="77777777">
        <w:trPr>
          <w:trHeight w:val="380"/>
        </w:trPr>
        <w:tc>
          <w:tcPr>
            <w:tcW w:w="680" w:type="dxa"/>
            <w:tcBorders>
              <w:top w:val="nil"/>
              <w:left w:val="nil"/>
              <w:bottom w:val="nil"/>
              <w:right w:val="nil"/>
            </w:tcBorders>
            <w:tcMar>
              <w:top w:w="128" w:type="dxa"/>
              <w:left w:w="43" w:type="dxa"/>
              <w:bottom w:w="43" w:type="dxa"/>
              <w:right w:w="43" w:type="dxa"/>
            </w:tcMar>
          </w:tcPr>
          <w:p w14:paraId="1796BC6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C7A16E"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6188A7CA" w14:textId="77777777" w:rsidR="00575AC3" w:rsidRPr="006D40F0" w:rsidRDefault="00575AC3" w:rsidP="006D40F0">
            <w:r w:rsidRPr="006D40F0">
              <w:t>Asylmottak, ODA-godkjente 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5299DE60" w14:textId="77777777" w:rsidR="00575AC3" w:rsidRPr="006D40F0" w:rsidRDefault="00575AC3" w:rsidP="006D40F0">
            <w:r w:rsidRPr="006D40F0">
              <w:t>1 138 077 000</w:t>
            </w:r>
          </w:p>
        </w:tc>
      </w:tr>
      <w:tr w:rsidR="00DD49A7" w:rsidRPr="006D40F0" w14:paraId="0829A1C5" w14:textId="77777777">
        <w:trPr>
          <w:trHeight w:val="380"/>
        </w:trPr>
        <w:tc>
          <w:tcPr>
            <w:tcW w:w="680" w:type="dxa"/>
            <w:tcBorders>
              <w:top w:val="nil"/>
              <w:left w:val="nil"/>
              <w:bottom w:val="nil"/>
              <w:right w:val="nil"/>
            </w:tcBorders>
            <w:tcMar>
              <w:top w:w="128" w:type="dxa"/>
              <w:left w:w="43" w:type="dxa"/>
              <w:bottom w:w="43" w:type="dxa"/>
              <w:right w:w="43" w:type="dxa"/>
            </w:tcMar>
          </w:tcPr>
          <w:p w14:paraId="1864AD3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55FD6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2E7643C" w14:textId="77777777" w:rsidR="00575AC3" w:rsidRPr="006D40F0" w:rsidRDefault="00575AC3" w:rsidP="006D40F0">
            <w:r w:rsidRPr="006D40F0">
              <w:t>fra kr 2 634 796 000 til kr 3 772 873 000</w:t>
            </w:r>
          </w:p>
        </w:tc>
        <w:tc>
          <w:tcPr>
            <w:tcW w:w="1400" w:type="dxa"/>
            <w:tcBorders>
              <w:top w:val="nil"/>
              <w:left w:val="nil"/>
              <w:bottom w:val="nil"/>
              <w:right w:val="nil"/>
            </w:tcBorders>
            <w:tcMar>
              <w:top w:w="128" w:type="dxa"/>
              <w:left w:w="43" w:type="dxa"/>
              <w:bottom w:w="43" w:type="dxa"/>
              <w:right w:w="43" w:type="dxa"/>
            </w:tcMar>
            <w:vAlign w:val="bottom"/>
          </w:tcPr>
          <w:p w14:paraId="21FD2964" w14:textId="77777777" w:rsidR="00575AC3" w:rsidRPr="006D40F0" w:rsidRDefault="00575AC3" w:rsidP="006D40F0"/>
        </w:tc>
      </w:tr>
      <w:tr w:rsidR="00DD49A7" w:rsidRPr="006D40F0" w14:paraId="54414D86" w14:textId="77777777">
        <w:trPr>
          <w:trHeight w:val="380"/>
        </w:trPr>
        <w:tc>
          <w:tcPr>
            <w:tcW w:w="680" w:type="dxa"/>
            <w:tcBorders>
              <w:top w:val="nil"/>
              <w:left w:val="nil"/>
              <w:bottom w:val="nil"/>
              <w:right w:val="nil"/>
            </w:tcBorders>
            <w:tcMar>
              <w:top w:w="128" w:type="dxa"/>
              <w:left w:w="43" w:type="dxa"/>
              <w:bottom w:w="43" w:type="dxa"/>
              <w:right w:w="43" w:type="dxa"/>
            </w:tcMar>
          </w:tcPr>
          <w:p w14:paraId="402FBE2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29E07B4" w14:textId="77777777" w:rsidR="00575AC3" w:rsidRPr="006D40F0" w:rsidRDefault="00575AC3" w:rsidP="006D40F0">
            <w:r w:rsidRPr="006D40F0">
              <w:t>7</w:t>
            </w:r>
          </w:p>
        </w:tc>
        <w:tc>
          <w:tcPr>
            <w:tcW w:w="6800" w:type="dxa"/>
            <w:tcBorders>
              <w:top w:val="nil"/>
              <w:left w:val="nil"/>
              <w:bottom w:val="nil"/>
              <w:right w:val="nil"/>
            </w:tcBorders>
            <w:tcMar>
              <w:top w:w="128" w:type="dxa"/>
              <w:left w:w="43" w:type="dxa"/>
              <w:bottom w:w="43" w:type="dxa"/>
              <w:right w:w="43" w:type="dxa"/>
            </w:tcMar>
          </w:tcPr>
          <w:p w14:paraId="039A46B5" w14:textId="77777777" w:rsidR="00575AC3" w:rsidRPr="006D40F0" w:rsidRDefault="00575AC3" w:rsidP="006D40F0">
            <w:r w:rsidRPr="006D40F0">
              <w:t>Tolk og oversettelse, ODA-godkjente 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509737B7" w14:textId="77777777" w:rsidR="00575AC3" w:rsidRPr="006D40F0" w:rsidRDefault="00575AC3" w:rsidP="006D40F0">
            <w:r w:rsidRPr="006D40F0">
              <w:t>3 310 000</w:t>
            </w:r>
          </w:p>
        </w:tc>
      </w:tr>
      <w:tr w:rsidR="00DD49A7" w:rsidRPr="006D40F0" w14:paraId="4F0D268B" w14:textId="77777777">
        <w:trPr>
          <w:trHeight w:val="380"/>
        </w:trPr>
        <w:tc>
          <w:tcPr>
            <w:tcW w:w="680" w:type="dxa"/>
            <w:tcBorders>
              <w:top w:val="nil"/>
              <w:left w:val="nil"/>
              <w:bottom w:val="nil"/>
              <w:right w:val="nil"/>
            </w:tcBorders>
            <w:tcMar>
              <w:top w:w="128" w:type="dxa"/>
              <w:left w:w="43" w:type="dxa"/>
              <w:bottom w:w="43" w:type="dxa"/>
              <w:right w:w="43" w:type="dxa"/>
            </w:tcMar>
          </w:tcPr>
          <w:p w14:paraId="6847E75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83EB4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4E4B185" w14:textId="77777777" w:rsidR="00575AC3" w:rsidRPr="006D40F0" w:rsidRDefault="00575AC3" w:rsidP="006D40F0">
            <w:r w:rsidRPr="006D40F0">
              <w:t>fra kr 29 588 000 til kr 26 278 000</w:t>
            </w:r>
          </w:p>
        </w:tc>
        <w:tc>
          <w:tcPr>
            <w:tcW w:w="1400" w:type="dxa"/>
            <w:tcBorders>
              <w:top w:val="nil"/>
              <w:left w:val="nil"/>
              <w:bottom w:val="nil"/>
              <w:right w:val="nil"/>
            </w:tcBorders>
            <w:tcMar>
              <w:top w:w="128" w:type="dxa"/>
              <w:left w:w="43" w:type="dxa"/>
              <w:bottom w:w="43" w:type="dxa"/>
              <w:right w:w="43" w:type="dxa"/>
            </w:tcMar>
            <w:vAlign w:val="bottom"/>
          </w:tcPr>
          <w:p w14:paraId="147B08CC" w14:textId="77777777" w:rsidR="00575AC3" w:rsidRPr="006D40F0" w:rsidRDefault="00575AC3" w:rsidP="006D40F0"/>
        </w:tc>
      </w:tr>
      <w:tr w:rsidR="00DD49A7" w:rsidRPr="006D40F0" w14:paraId="3670BFAB" w14:textId="77777777">
        <w:trPr>
          <w:trHeight w:val="640"/>
        </w:trPr>
        <w:tc>
          <w:tcPr>
            <w:tcW w:w="680" w:type="dxa"/>
            <w:tcBorders>
              <w:top w:val="nil"/>
              <w:left w:val="nil"/>
              <w:bottom w:val="nil"/>
              <w:right w:val="nil"/>
            </w:tcBorders>
            <w:tcMar>
              <w:top w:w="128" w:type="dxa"/>
              <w:left w:w="43" w:type="dxa"/>
              <w:bottom w:w="43" w:type="dxa"/>
              <w:right w:w="43" w:type="dxa"/>
            </w:tcMar>
          </w:tcPr>
          <w:p w14:paraId="468C71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E433EE" w14:textId="77777777" w:rsidR="00575AC3" w:rsidRPr="006D40F0" w:rsidRDefault="00575AC3" w:rsidP="006D40F0">
            <w:r w:rsidRPr="006D40F0">
              <w:t>8</w:t>
            </w:r>
          </w:p>
        </w:tc>
        <w:tc>
          <w:tcPr>
            <w:tcW w:w="6800" w:type="dxa"/>
            <w:tcBorders>
              <w:top w:val="nil"/>
              <w:left w:val="nil"/>
              <w:bottom w:val="nil"/>
              <w:right w:val="nil"/>
            </w:tcBorders>
            <w:tcMar>
              <w:top w:w="128" w:type="dxa"/>
              <w:left w:w="43" w:type="dxa"/>
              <w:bottom w:w="43" w:type="dxa"/>
              <w:right w:w="43" w:type="dxa"/>
            </w:tcMar>
          </w:tcPr>
          <w:p w14:paraId="11A8DC79" w14:textId="77777777" w:rsidR="00575AC3" w:rsidRPr="006D40F0" w:rsidRDefault="00575AC3" w:rsidP="006D40F0">
            <w:r w:rsidRPr="006D40F0">
              <w:t>Internasjonalt migrasjonsarbeid og reintegrering i hjemlandet, ODA-godkjente 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161ECB7A" w14:textId="77777777" w:rsidR="00575AC3" w:rsidRPr="006D40F0" w:rsidRDefault="00575AC3" w:rsidP="006D40F0">
            <w:r w:rsidRPr="006D40F0">
              <w:t>6 074 000</w:t>
            </w:r>
          </w:p>
        </w:tc>
      </w:tr>
      <w:tr w:rsidR="00DD49A7" w:rsidRPr="006D40F0" w14:paraId="3185B0C9" w14:textId="77777777">
        <w:trPr>
          <w:trHeight w:val="380"/>
        </w:trPr>
        <w:tc>
          <w:tcPr>
            <w:tcW w:w="680" w:type="dxa"/>
            <w:tcBorders>
              <w:top w:val="nil"/>
              <w:left w:val="nil"/>
              <w:bottom w:val="nil"/>
              <w:right w:val="nil"/>
            </w:tcBorders>
            <w:tcMar>
              <w:top w:w="128" w:type="dxa"/>
              <w:left w:w="43" w:type="dxa"/>
              <w:bottom w:w="43" w:type="dxa"/>
              <w:right w:w="43" w:type="dxa"/>
            </w:tcMar>
          </w:tcPr>
          <w:p w14:paraId="1E75CD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854B5F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D49EC3" w14:textId="77777777" w:rsidR="00575AC3" w:rsidRPr="006D40F0" w:rsidRDefault="00575AC3" w:rsidP="006D40F0">
            <w:r w:rsidRPr="006D40F0">
              <w:t>fra kr 34 839 000 til kr 40 913 000</w:t>
            </w:r>
          </w:p>
        </w:tc>
        <w:tc>
          <w:tcPr>
            <w:tcW w:w="1400" w:type="dxa"/>
            <w:tcBorders>
              <w:top w:val="nil"/>
              <w:left w:val="nil"/>
              <w:bottom w:val="nil"/>
              <w:right w:val="nil"/>
            </w:tcBorders>
            <w:tcMar>
              <w:top w:w="128" w:type="dxa"/>
              <w:left w:w="43" w:type="dxa"/>
              <w:bottom w:w="43" w:type="dxa"/>
              <w:right w:w="43" w:type="dxa"/>
            </w:tcMar>
            <w:vAlign w:val="bottom"/>
          </w:tcPr>
          <w:p w14:paraId="7BDB923A" w14:textId="77777777" w:rsidR="00575AC3" w:rsidRPr="006D40F0" w:rsidRDefault="00575AC3" w:rsidP="006D40F0"/>
        </w:tc>
      </w:tr>
      <w:tr w:rsidR="00DD49A7" w:rsidRPr="006D40F0" w14:paraId="4686D10F" w14:textId="77777777">
        <w:trPr>
          <w:trHeight w:val="380"/>
        </w:trPr>
        <w:tc>
          <w:tcPr>
            <w:tcW w:w="680" w:type="dxa"/>
            <w:tcBorders>
              <w:top w:val="nil"/>
              <w:left w:val="nil"/>
              <w:bottom w:val="nil"/>
              <w:right w:val="nil"/>
            </w:tcBorders>
            <w:tcMar>
              <w:top w:w="128" w:type="dxa"/>
              <w:left w:w="43" w:type="dxa"/>
              <w:bottom w:w="43" w:type="dxa"/>
              <w:right w:w="43" w:type="dxa"/>
            </w:tcMar>
          </w:tcPr>
          <w:p w14:paraId="70DBD048" w14:textId="77777777" w:rsidR="00575AC3" w:rsidRPr="006D40F0" w:rsidRDefault="00575AC3" w:rsidP="006D40F0">
            <w:r w:rsidRPr="006D40F0">
              <w:t>3587</w:t>
            </w:r>
          </w:p>
        </w:tc>
        <w:tc>
          <w:tcPr>
            <w:tcW w:w="680" w:type="dxa"/>
            <w:tcBorders>
              <w:top w:val="nil"/>
              <w:left w:val="nil"/>
              <w:bottom w:val="nil"/>
              <w:right w:val="nil"/>
            </w:tcBorders>
            <w:tcMar>
              <w:top w:w="128" w:type="dxa"/>
              <w:left w:w="43" w:type="dxa"/>
              <w:bottom w:w="43" w:type="dxa"/>
              <w:right w:w="43" w:type="dxa"/>
            </w:tcMar>
          </w:tcPr>
          <w:p w14:paraId="3BD23C0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B5521A0" w14:textId="77777777" w:rsidR="00575AC3" w:rsidRPr="006D40F0" w:rsidRDefault="00575AC3" w:rsidP="006D40F0">
            <w:r w:rsidRPr="006D40F0">
              <w:t xml:space="preserve">Direktoratet for </w:t>
            </w:r>
            <w:proofErr w:type="spellStart"/>
            <w:r w:rsidRPr="006D40F0">
              <w:t>byggkvalitet</w:t>
            </w:r>
            <w:proofErr w:type="spellEnd"/>
            <w:r w:rsidRPr="006D40F0">
              <w:t>:</w:t>
            </w:r>
          </w:p>
        </w:tc>
        <w:tc>
          <w:tcPr>
            <w:tcW w:w="1400" w:type="dxa"/>
            <w:tcBorders>
              <w:top w:val="nil"/>
              <w:left w:val="nil"/>
              <w:bottom w:val="nil"/>
              <w:right w:val="nil"/>
            </w:tcBorders>
            <w:tcMar>
              <w:top w:w="128" w:type="dxa"/>
              <w:left w:w="43" w:type="dxa"/>
              <w:bottom w:w="43" w:type="dxa"/>
              <w:right w:w="43" w:type="dxa"/>
            </w:tcMar>
            <w:vAlign w:val="bottom"/>
          </w:tcPr>
          <w:p w14:paraId="5BF7A521" w14:textId="77777777" w:rsidR="00575AC3" w:rsidRPr="006D40F0" w:rsidRDefault="00575AC3" w:rsidP="006D40F0"/>
        </w:tc>
      </w:tr>
      <w:tr w:rsidR="00DD49A7" w:rsidRPr="006D40F0" w14:paraId="22B70603" w14:textId="77777777">
        <w:trPr>
          <w:trHeight w:val="380"/>
        </w:trPr>
        <w:tc>
          <w:tcPr>
            <w:tcW w:w="680" w:type="dxa"/>
            <w:tcBorders>
              <w:top w:val="nil"/>
              <w:left w:val="nil"/>
              <w:bottom w:val="nil"/>
              <w:right w:val="nil"/>
            </w:tcBorders>
            <w:tcMar>
              <w:top w:w="128" w:type="dxa"/>
              <w:left w:w="43" w:type="dxa"/>
              <w:bottom w:w="43" w:type="dxa"/>
              <w:right w:w="43" w:type="dxa"/>
            </w:tcMar>
          </w:tcPr>
          <w:p w14:paraId="3D0EFFC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7701CF"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078D227E" w14:textId="77777777" w:rsidR="00575AC3" w:rsidRPr="006D40F0" w:rsidRDefault="00575AC3" w:rsidP="006D40F0">
            <w:r w:rsidRPr="006D40F0">
              <w:t>Gebyrer, nedsettes med</w:t>
            </w:r>
          </w:p>
        </w:tc>
        <w:tc>
          <w:tcPr>
            <w:tcW w:w="1400" w:type="dxa"/>
            <w:tcBorders>
              <w:top w:val="nil"/>
              <w:left w:val="nil"/>
              <w:bottom w:val="nil"/>
              <w:right w:val="nil"/>
            </w:tcBorders>
            <w:tcMar>
              <w:top w:w="128" w:type="dxa"/>
              <w:left w:w="43" w:type="dxa"/>
              <w:bottom w:w="43" w:type="dxa"/>
              <w:right w:w="43" w:type="dxa"/>
            </w:tcMar>
            <w:vAlign w:val="bottom"/>
          </w:tcPr>
          <w:p w14:paraId="4C70E968" w14:textId="77777777" w:rsidR="00575AC3" w:rsidRPr="006D40F0" w:rsidRDefault="00575AC3" w:rsidP="006D40F0">
            <w:r w:rsidRPr="006D40F0">
              <w:t>1 460 000</w:t>
            </w:r>
          </w:p>
        </w:tc>
      </w:tr>
      <w:tr w:rsidR="00DD49A7" w:rsidRPr="006D40F0" w14:paraId="312BD973" w14:textId="77777777">
        <w:trPr>
          <w:trHeight w:val="380"/>
        </w:trPr>
        <w:tc>
          <w:tcPr>
            <w:tcW w:w="680" w:type="dxa"/>
            <w:tcBorders>
              <w:top w:val="nil"/>
              <w:left w:val="nil"/>
              <w:bottom w:val="nil"/>
              <w:right w:val="nil"/>
            </w:tcBorders>
            <w:tcMar>
              <w:top w:w="128" w:type="dxa"/>
              <w:left w:w="43" w:type="dxa"/>
              <w:bottom w:w="43" w:type="dxa"/>
              <w:right w:w="43" w:type="dxa"/>
            </w:tcMar>
          </w:tcPr>
          <w:p w14:paraId="626E62A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CB780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BC8C32A" w14:textId="77777777" w:rsidR="00575AC3" w:rsidRPr="006D40F0" w:rsidRDefault="00575AC3" w:rsidP="006D40F0">
            <w:r w:rsidRPr="006D40F0">
              <w:t>fra kr 42 705 000 til kr 41 245 000</w:t>
            </w:r>
          </w:p>
        </w:tc>
        <w:tc>
          <w:tcPr>
            <w:tcW w:w="1400" w:type="dxa"/>
            <w:tcBorders>
              <w:top w:val="nil"/>
              <w:left w:val="nil"/>
              <w:bottom w:val="nil"/>
              <w:right w:val="nil"/>
            </w:tcBorders>
            <w:tcMar>
              <w:top w:w="128" w:type="dxa"/>
              <w:left w:w="43" w:type="dxa"/>
              <w:bottom w:w="43" w:type="dxa"/>
              <w:right w:w="43" w:type="dxa"/>
            </w:tcMar>
            <w:vAlign w:val="bottom"/>
          </w:tcPr>
          <w:p w14:paraId="5FF4108D" w14:textId="77777777" w:rsidR="00575AC3" w:rsidRPr="006D40F0" w:rsidRDefault="00575AC3" w:rsidP="006D40F0"/>
        </w:tc>
      </w:tr>
      <w:tr w:rsidR="00DD49A7" w:rsidRPr="006D40F0" w14:paraId="5BDF4ABE" w14:textId="77777777">
        <w:trPr>
          <w:trHeight w:val="380"/>
        </w:trPr>
        <w:tc>
          <w:tcPr>
            <w:tcW w:w="680" w:type="dxa"/>
            <w:tcBorders>
              <w:top w:val="nil"/>
              <w:left w:val="nil"/>
              <w:bottom w:val="nil"/>
              <w:right w:val="nil"/>
            </w:tcBorders>
            <w:tcMar>
              <w:top w:w="128" w:type="dxa"/>
              <w:left w:w="43" w:type="dxa"/>
              <w:bottom w:w="43" w:type="dxa"/>
              <w:right w:w="43" w:type="dxa"/>
            </w:tcMar>
          </w:tcPr>
          <w:p w14:paraId="7A41DDA7" w14:textId="77777777" w:rsidR="00575AC3" w:rsidRPr="006D40F0" w:rsidRDefault="00575AC3" w:rsidP="006D40F0">
            <w:r w:rsidRPr="006D40F0">
              <w:t>3595</w:t>
            </w:r>
          </w:p>
        </w:tc>
        <w:tc>
          <w:tcPr>
            <w:tcW w:w="680" w:type="dxa"/>
            <w:tcBorders>
              <w:top w:val="nil"/>
              <w:left w:val="nil"/>
              <w:bottom w:val="nil"/>
              <w:right w:val="nil"/>
            </w:tcBorders>
            <w:tcMar>
              <w:top w:w="128" w:type="dxa"/>
              <w:left w:w="43" w:type="dxa"/>
              <w:bottom w:w="43" w:type="dxa"/>
              <w:right w:w="43" w:type="dxa"/>
            </w:tcMar>
          </w:tcPr>
          <w:p w14:paraId="4BE1377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18D9EC" w14:textId="77777777" w:rsidR="00575AC3" w:rsidRPr="006D40F0" w:rsidRDefault="00575AC3" w:rsidP="006D40F0">
            <w:r w:rsidRPr="006D40F0">
              <w:t>Statens kartverk:</w:t>
            </w:r>
          </w:p>
        </w:tc>
        <w:tc>
          <w:tcPr>
            <w:tcW w:w="1400" w:type="dxa"/>
            <w:tcBorders>
              <w:top w:val="nil"/>
              <w:left w:val="nil"/>
              <w:bottom w:val="nil"/>
              <w:right w:val="nil"/>
            </w:tcBorders>
            <w:tcMar>
              <w:top w:w="128" w:type="dxa"/>
              <w:left w:w="43" w:type="dxa"/>
              <w:bottom w:w="43" w:type="dxa"/>
              <w:right w:w="43" w:type="dxa"/>
            </w:tcMar>
            <w:vAlign w:val="bottom"/>
          </w:tcPr>
          <w:p w14:paraId="466CED7A" w14:textId="77777777" w:rsidR="00575AC3" w:rsidRPr="006D40F0" w:rsidRDefault="00575AC3" w:rsidP="006D40F0"/>
        </w:tc>
      </w:tr>
      <w:tr w:rsidR="00DD49A7" w:rsidRPr="006D40F0" w14:paraId="4C6C3280" w14:textId="77777777">
        <w:trPr>
          <w:trHeight w:val="380"/>
        </w:trPr>
        <w:tc>
          <w:tcPr>
            <w:tcW w:w="680" w:type="dxa"/>
            <w:tcBorders>
              <w:top w:val="nil"/>
              <w:left w:val="nil"/>
              <w:bottom w:val="nil"/>
              <w:right w:val="nil"/>
            </w:tcBorders>
            <w:tcMar>
              <w:top w:w="128" w:type="dxa"/>
              <w:left w:w="43" w:type="dxa"/>
              <w:bottom w:w="43" w:type="dxa"/>
              <w:right w:w="43" w:type="dxa"/>
            </w:tcMar>
          </w:tcPr>
          <w:p w14:paraId="20434AA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944E5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48D9593" w14:textId="77777777" w:rsidR="00575AC3" w:rsidRPr="006D40F0" w:rsidRDefault="00575AC3" w:rsidP="006D40F0">
            <w:r w:rsidRPr="006D40F0">
              <w:t>Gebyrinntekter tinglysing, nedsettes med</w:t>
            </w:r>
          </w:p>
        </w:tc>
        <w:tc>
          <w:tcPr>
            <w:tcW w:w="1400" w:type="dxa"/>
            <w:tcBorders>
              <w:top w:val="nil"/>
              <w:left w:val="nil"/>
              <w:bottom w:val="nil"/>
              <w:right w:val="nil"/>
            </w:tcBorders>
            <w:tcMar>
              <w:top w:w="128" w:type="dxa"/>
              <w:left w:w="43" w:type="dxa"/>
              <w:bottom w:w="43" w:type="dxa"/>
              <w:right w:w="43" w:type="dxa"/>
            </w:tcMar>
            <w:vAlign w:val="bottom"/>
          </w:tcPr>
          <w:p w14:paraId="26B016EC" w14:textId="77777777" w:rsidR="00575AC3" w:rsidRPr="006D40F0" w:rsidRDefault="00575AC3" w:rsidP="006D40F0">
            <w:r w:rsidRPr="006D40F0">
              <w:t>52 700 000</w:t>
            </w:r>
          </w:p>
        </w:tc>
      </w:tr>
      <w:tr w:rsidR="00DD49A7" w:rsidRPr="006D40F0" w14:paraId="396ACAEE" w14:textId="77777777">
        <w:trPr>
          <w:trHeight w:val="380"/>
        </w:trPr>
        <w:tc>
          <w:tcPr>
            <w:tcW w:w="680" w:type="dxa"/>
            <w:tcBorders>
              <w:top w:val="nil"/>
              <w:left w:val="nil"/>
              <w:bottom w:val="nil"/>
              <w:right w:val="nil"/>
            </w:tcBorders>
            <w:tcMar>
              <w:top w:w="128" w:type="dxa"/>
              <w:left w:w="43" w:type="dxa"/>
              <w:bottom w:w="43" w:type="dxa"/>
              <w:right w:w="43" w:type="dxa"/>
            </w:tcMar>
          </w:tcPr>
          <w:p w14:paraId="6DDA3F6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BE2E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154728" w14:textId="77777777" w:rsidR="00575AC3" w:rsidRPr="006D40F0" w:rsidRDefault="00575AC3" w:rsidP="006D40F0">
            <w:r w:rsidRPr="006D40F0">
              <w:t>fra kr 477 700 000 til kr 425 000 000</w:t>
            </w:r>
          </w:p>
        </w:tc>
        <w:tc>
          <w:tcPr>
            <w:tcW w:w="1400" w:type="dxa"/>
            <w:tcBorders>
              <w:top w:val="nil"/>
              <w:left w:val="nil"/>
              <w:bottom w:val="nil"/>
              <w:right w:val="nil"/>
            </w:tcBorders>
            <w:tcMar>
              <w:top w:w="128" w:type="dxa"/>
              <w:left w:w="43" w:type="dxa"/>
              <w:bottom w:w="43" w:type="dxa"/>
              <w:right w:w="43" w:type="dxa"/>
            </w:tcMar>
            <w:vAlign w:val="bottom"/>
          </w:tcPr>
          <w:p w14:paraId="4257B295" w14:textId="77777777" w:rsidR="00575AC3" w:rsidRPr="006D40F0" w:rsidRDefault="00575AC3" w:rsidP="006D40F0"/>
        </w:tc>
      </w:tr>
      <w:tr w:rsidR="00DD49A7" w:rsidRPr="006D40F0" w14:paraId="08EE8BE2" w14:textId="77777777">
        <w:trPr>
          <w:trHeight w:val="380"/>
        </w:trPr>
        <w:tc>
          <w:tcPr>
            <w:tcW w:w="680" w:type="dxa"/>
            <w:tcBorders>
              <w:top w:val="nil"/>
              <w:left w:val="nil"/>
              <w:bottom w:val="nil"/>
              <w:right w:val="nil"/>
            </w:tcBorders>
            <w:tcMar>
              <w:top w:w="128" w:type="dxa"/>
              <w:left w:w="43" w:type="dxa"/>
              <w:bottom w:w="43" w:type="dxa"/>
              <w:right w:w="43" w:type="dxa"/>
            </w:tcMar>
          </w:tcPr>
          <w:p w14:paraId="50F7ED4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563D9E"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5186B029" w14:textId="77777777" w:rsidR="00575AC3" w:rsidRPr="006D40F0" w:rsidRDefault="00575AC3" w:rsidP="006D40F0">
            <w:r w:rsidRPr="006D40F0">
              <w:t>Salg og abonnement m.m., forhøyes med</w:t>
            </w:r>
          </w:p>
        </w:tc>
        <w:tc>
          <w:tcPr>
            <w:tcW w:w="1400" w:type="dxa"/>
            <w:tcBorders>
              <w:top w:val="nil"/>
              <w:left w:val="nil"/>
              <w:bottom w:val="nil"/>
              <w:right w:val="nil"/>
            </w:tcBorders>
            <w:tcMar>
              <w:top w:w="128" w:type="dxa"/>
              <w:left w:w="43" w:type="dxa"/>
              <w:bottom w:w="43" w:type="dxa"/>
              <w:right w:w="43" w:type="dxa"/>
            </w:tcMar>
            <w:vAlign w:val="bottom"/>
          </w:tcPr>
          <w:p w14:paraId="372105F6" w14:textId="77777777" w:rsidR="00575AC3" w:rsidRPr="006D40F0" w:rsidRDefault="00575AC3" w:rsidP="006D40F0">
            <w:r w:rsidRPr="006D40F0">
              <w:t>8 254 000</w:t>
            </w:r>
          </w:p>
        </w:tc>
      </w:tr>
      <w:tr w:rsidR="00DD49A7" w:rsidRPr="006D40F0" w14:paraId="32CFC87D" w14:textId="77777777">
        <w:trPr>
          <w:trHeight w:val="380"/>
        </w:trPr>
        <w:tc>
          <w:tcPr>
            <w:tcW w:w="680" w:type="dxa"/>
            <w:tcBorders>
              <w:top w:val="nil"/>
              <w:left w:val="nil"/>
              <w:bottom w:val="nil"/>
              <w:right w:val="nil"/>
            </w:tcBorders>
            <w:tcMar>
              <w:top w:w="128" w:type="dxa"/>
              <w:left w:w="43" w:type="dxa"/>
              <w:bottom w:w="43" w:type="dxa"/>
              <w:right w:w="43" w:type="dxa"/>
            </w:tcMar>
          </w:tcPr>
          <w:p w14:paraId="427904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B1E42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89A692" w14:textId="77777777" w:rsidR="00575AC3" w:rsidRPr="006D40F0" w:rsidRDefault="00575AC3" w:rsidP="006D40F0">
            <w:r w:rsidRPr="006D40F0">
              <w:t>fra kr 149 106 000 til kr 157 360 000</w:t>
            </w:r>
          </w:p>
        </w:tc>
        <w:tc>
          <w:tcPr>
            <w:tcW w:w="1400" w:type="dxa"/>
            <w:tcBorders>
              <w:top w:val="nil"/>
              <w:left w:val="nil"/>
              <w:bottom w:val="nil"/>
              <w:right w:val="nil"/>
            </w:tcBorders>
            <w:tcMar>
              <w:top w:w="128" w:type="dxa"/>
              <w:left w:w="43" w:type="dxa"/>
              <w:bottom w:w="43" w:type="dxa"/>
              <w:right w:w="43" w:type="dxa"/>
            </w:tcMar>
            <w:vAlign w:val="bottom"/>
          </w:tcPr>
          <w:p w14:paraId="41C80E0C" w14:textId="77777777" w:rsidR="00575AC3" w:rsidRPr="006D40F0" w:rsidRDefault="00575AC3" w:rsidP="006D40F0"/>
        </w:tc>
      </w:tr>
      <w:tr w:rsidR="00DD49A7" w:rsidRPr="006D40F0" w14:paraId="350F80E0" w14:textId="77777777">
        <w:trPr>
          <w:trHeight w:val="380"/>
        </w:trPr>
        <w:tc>
          <w:tcPr>
            <w:tcW w:w="680" w:type="dxa"/>
            <w:tcBorders>
              <w:top w:val="nil"/>
              <w:left w:val="nil"/>
              <w:bottom w:val="nil"/>
              <w:right w:val="nil"/>
            </w:tcBorders>
            <w:tcMar>
              <w:top w:w="128" w:type="dxa"/>
              <w:left w:w="43" w:type="dxa"/>
              <w:bottom w:w="43" w:type="dxa"/>
              <w:right w:w="43" w:type="dxa"/>
            </w:tcMar>
          </w:tcPr>
          <w:p w14:paraId="684B2CFD" w14:textId="77777777" w:rsidR="00575AC3" w:rsidRPr="006D40F0" w:rsidRDefault="00575AC3" w:rsidP="006D40F0">
            <w:r w:rsidRPr="006D40F0">
              <w:t>3605</w:t>
            </w:r>
          </w:p>
        </w:tc>
        <w:tc>
          <w:tcPr>
            <w:tcW w:w="680" w:type="dxa"/>
            <w:tcBorders>
              <w:top w:val="nil"/>
              <w:left w:val="nil"/>
              <w:bottom w:val="nil"/>
              <w:right w:val="nil"/>
            </w:tcBorders>
            <w:tcMar>
              <w:top w:w="128" w:type="dxa"/>
              <w:left w:w="43" w:type="dxa"/>
              <w:bottom w:w="43" w:type="dxa"/>
              <w:right w:w="43" w:type="dxa"/>
            </w:tcMar>
          </w:tcPr>
          <w:p w14:paraId="2709CDF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3021DA" w14:textId="77777777" w:rsidR="00575AC3" w:rsidRPr="006D40F0" w:rsidRDefault="00575AC3" w:rsidP="006D40F0">
            <w:r w:rsidRPr="006D40F0">
              <w:t>Arbeids- og velferdsetaten:</w:t>
            </w:r>
          </w:p>
        </w:tc>
        <w:tc>
          <w:tcPr>
            <w:tcW w:w="1400" w:type="dxa"/>
            <w:tcBorders>
              <w:top w:val="nil"/>
              <w:left w:val="nil"/>
              <w:bottom w:val="nil"/>
              <w:right w:val="nil"/>
            </w:tcBorders>
            <w:tcMar>
              <w:top w:w="128" w:type="dxa"/>
              <w:left w:w="43" w:type="dxa"/>
              <w:bottom w:w="43" w:type="dxa"/>
              <w:right w:w="43" w:type="dxa"/>
            </w:tcMar>
            <w:vAlign w:val="bottom"/>
          </w:tcPr>
          <w:p w14:paraId="578F71D9" w14:textId="77777777" w:rsidR="00575AC3" w:rsidRPr="006D40F0" w:rsidRDefault="00575AC3" w:rsidP="006D40F0"/>
        </w:tc>
      </w:tr>
      <w:tr w:rsidR="00DD49A7" w:rsidRPr="006D40F0" w14:paraId="33ABC9A2" w14:textId="77777777">
        <w:trPr>
          <w:trHeight w:val="380"/>
        </w:trPr>
        <w:tc>
          <w:tcPr>
            <w:tcW w:w="680" w:type="dxa"/>
            <w:tcBorders>
              <w:top w:val="nil"/>
              <w:left w:val="nil"/>
              <w:bottom w:val="nil"/>
              <w:right w:val="nil"/>
            </w:tcBorders>
            <w:tcMar>
              <w:top w:w="128" w:type="dxa"/>
              <w:left w:w="43" w:type="dxa"/>
              <w:bottom w:w="43" w:type="dxa"/>
              <w:right w:w="43" w:type="dxa"/>
            </w:tcMar>
          </w:tcPr>
          <w:p w14:paraId="2ECFF28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9921FA"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FB95F57" w14:textId="77777777" w:rsidR="00575AC3" w:rsidRPr="006D40F0" w:rsidRDefault="00575AC3" w:rsidP="006D40F0">
            <w:r w:rsidRPr="006D40F0">
              <w:t>Administrasjonsvederlag, nedsettes med</w:t>
            </w:r>
          </w:p>
        </w:tc>
        <w:tc>
          <w:tcPr>
            <w:tcW w:w="1400" w:type="dxa"/>
            <w:tcBorders>
              <w:top w:val="nil"/>
              <w:left w:val="nil"/>
              <w:bottom w:val="nil"/>
              <w:right w:val="nil"/>
            </w:tcBorders>
            <w:tcMar>
              <w:top w:w="128" w:type="dxa"/>
              <w:left w:w="43" w:type="dxa"/>
              <w:bottom w:w="43" w:type="dxa"/>
              <w:right w:w="43" w:type="dxa"/>
            </w:tcMar>
            <w:vAlign w:val="bottom"/>
          </w:tcPr>
          <w:p w14:paraId="658B7F9E" w14:textId="77777777" w:rsidR="00575AC3" w:rsidRPr="006D40F0" w:rsidRDefault="00575AC3" w:rsidP="006D40F0">
            <w:r w:rsidRPr="006D40F0">
              <w:t>1 800 000</w:t>
            </w:r>
          </w:p>
        </w:tc>
      </w:tr>
      <w:tr w:rsidR="00DD49A7" w:rsidRPr="006D40F0" w14:paraId="7622DD46" w14:textId="77777777">
        <w:trPr>
          <w:trHeight w:val="380"/>
        </w:trPr>
        <w:tc>
          <w:tcPr>
            <w:tcW w:w="680" w:type="dxa"/>
            <w:tcBorders>
              <w:top w:val="nil"/>
              <w:left w:val="nil"/>
              <w:bottom w:val="nil"/>
              <w:right w:val="nil"/>
            </w:tcBorders>
            <w:tcMar>
              <w:top w:w="128" w:type="dxa"/>
              <w:left w:w="43" w:type="dxa"/>
              <w:bottom w:w="43" w:type="dxa"/>
              <w:right w:w="43" w:type="dxa"/>
            </w:tcMar>
          </w:tcPr>
          <w:p w14:paraId="606321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0E8FF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B57BC1" w14:textId="77777777" w:rsidR="00575AC3" w:rsidRPr="006D40F0" w:rsidRDefault="00575AC3" w:rsidP="006D40F0">
            <w:r w:rsidRPr="006D40F0">
              <w:t>fra kr 11 061 000 til kr 9 261 000</w:t>
            </w:r>
          </w:p>
        </w:tc>
        <w:tc>
          <w:tcPr>
            <w:tcW w:w="1400" w:type="dxa"/>
            <w:tcBorders>
              <w:top w:val="nil"/>
              <w:left w:val="nil"/>
              <w:bottom w:val="nil"/>
              <w:right w:val="nil"/>
            </w:tcBorders>
            <w:tcMar>
              <w:top w:w="128" w:type="dxa"/>
              <w:left w:w="43" w:type="dxa"/>
              <w:bottom w:w="43" w:type="dxa"/>
              <w:right w:w="43" w:type="dxa"/>
            </w:tcMar>
            <w:vAlign w:val="bottom"/>
          </w:tcPr>
          <w:p w14:paraId="5859551B" w14:textId="77777777" w:rsidR="00575AC3" w:rsidRPr="006D40F0" w:rsidRDefault="00575AC3" w:rsidP="006D40F0"/>
        </w:tc>
      </w:tr>
      <w:tr w:rsidR="00DD49A7" w:rsidRPr="006D40F0" w14:paraId="58E6B26E" w14:textId="77777777">
        <w:trPr>
          <w:trHeight w:val="380"/>
        </w:trPr>
        <w:tc>
          <w:tcPr>
            <w:tcW w:w="680" w:type="dxa"/>
            <w:tcBorders>
              <w:top w:val="nil"/>
              <w:left w:val="nil"/>
              <w:bottom w:val="nil"/>
              <w:right w:val="nil"/>
            </w:tcBorders>
            <w:tcMar>
              <w:top w:w="128" w:type="dxa"/>
              <w:left w:w="43" w:type="dxa"/>
              <w:bottom w:w="43" w:type="dxa"/>
              <w:right w:w="43" w:type="dxa"/>
            </w:tcMar>
          </w:tcPr>
          <w:p w14:paraId="328FB8EC" w14:textId="77777777" w:rsidR="00575AC3" w:rsidRPr="006D40F0" w:rsidRDefault="00575AC3" w:rsidP="006D40F0">
            <w:r w:rsidRPr="006D40F0">
              <w:t>3635</w:t>
            </w:r>
          </w:p>
        </w:tc>
        <w:tc>
          <w:tcPr>
            <w:tcW w:w="680" w:type="dxa"/>
            <w:tcBorders>
              <w:top w:val="nil"/>
              <w:left w:val="nil"/>
              <w:bottom w:val="nil"/>
              <w:right w:val="nil"/>
            </w:tcBorders>
            <w:tcMar>
              <w:top w:w="128" w:type="dxa"/>
              <w:left w:w="43" w:type="dxa"/>
              <w:bottom w:w="43" w:type="dxa"/>
              <w:right w:w="43" w:type="dxa"/>
            </w:tcMar>
          </w:tcPr>
          <w:p w14:paraId="4EB5FE3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E56A14" w14:textId="77777777" w:rsidR="00575AC3" w:rsidRPr="006D40F0" w:rsidRDefault="00575AC3" w:rsidP="006D40F0">
            <w:r w:rsidRPr="006D40F0">
              <w:t>Ventelønn mv.:</w:t>
            </w:r>
          </w:p>
        </w:tc>
        <w:tc>
          <w:tcPr>
            <w:tcW w:w="1400" w:type="dxa"/>
            <w:tcBorders>
              <w:top w:val="nil"/>
              <w:left w:val="nil"/>
              <w:bottom w:val="nil"/>
              <w:right w:val="nil"/>
            </w:tcBorders>
            <w:tcMar>
              <w:top w:w="128" w:type="dxa"/>
              <w:left w:w="43" w:type="dxa"/>
              <w:bottom w:w="43" w:type="dxa"/>
              <w:right w:w="43" w:type="dxa"/>
            </w:tcMar>
            <w:vAlign w:val="bottom"/>
          </w:tcPr>
          <w:p w14:paraId="1A2357A9" w14:textId="77777777" w:rsidR="00575AC3" w:rsidRPr="006D40F0" w:rsidRDefault="00575AC3" w:rsidP="006D40F0"/>
        </w:tc>
      </w:tr>
      <w:tr w:rsidR="00DD49A7" w:rsidRPr="006D40F0" w14:paraId="2E9956C7" w14:textId="77777777">
        <w:trPr>
          <w:trHeight w:val="380"/>
        </w:trPr>
        <w:tc>
          <w:tcPr>
            <w:tcW w:w="680" w:type="dxa"/>
            <w:tcBorders>
              <w:top w:val="nil"/>
              <w:left w:val="nil"/>
              <w:bottom w:val="nil"/>
              <w:right w:val="nil"/>
            </w:tcBorders>
            <w:tcMar>
              <w:top w:w="128" w:type="dxa"/>
              <w:left w:w="43" w:type="dxa"/>
              <w:bottom w:w="43" w:type="dxa"/>
              <w:right w:w="43" w:type="dxa"/>
            </w:tcMar>
          </w:tcPr>
          <w:p w14:paraId="2557FD1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B95B1C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8D2D9C4" w14:textId="77777777" w:rsidR="00575AC3" w:rsidRPr="006D40F0" w:rsidRDefault="00575AC3" w:rsidP="006D40F0">
            <w:r w:rsidRPr="006D40F0">
              <w:t>Refusjon statlig virksomhet mv., nedsettes med</w:t>
            </w:r>
          </w:p>
        </w:tc>
        <w:tc>
          <w:tcPr>
            <w:tcW w:w="1400" w:type="dxa"/>
            <w:tcBorders>
              <w:top w:val="nil"/>
              <w:left w:val="nil"/>
              <w:bottom w:val="nil"/>
              <w:right w:val="nil"/>
            </w:tcBorders>
            <w:tcMar>
              <w:top w:w="128" w:type="dxa"/>
              <w:left w:w="43" w:type="dxa"/>
              <w:bottom w:w="43" w:type="dxa"/>
              <w:right w:w="43" w:type="dxa"/>
            </w:tcMar>
            <w:vAlign w:val="bottom"/>
          </w:tcPr>
          <w:p w14:paraId="4BF91B4E" w14:textId="77777777" w:rsidR="00575AC3" w:rsidRPr="006D40F0" w:rsidRDefault="00575AC3" w:rsidP="006D40F0">
            <w:r w:rsidRPr="006D40F0">
              <w:t>1 000 000</w:t>
            </w:r>
          </w:p>
        </w:tc>
      </w:tr>
      <w:tr w:rsidR="00DD49A7" w:rsidRPr="006D40F0" w14:paraId="1B9E32A9" w14:textId="77777777">
        <w:trPr>
          <w:trHeight w:val="380"/>
        </w:trPr>
        <w:tc>
          <w:tcPr>
            <w:tcW w:w="680" w:type="dxa"/>
            <w:tcBorders>
              <w:top w:val="nil"/>
              <w:left w:val="nil"/>
              <w:bottom w:val="nil"/>
              <w:right w:val="nil"/>
            </w:tcBorders>
            <w:tcMar>
              <w:top w:w="128" w:type="dxa"/>
              <w:left w:w="43" w:type="dxa"/>
              <w:bottom w:w="43" w:type="dxa"/>
              <w:right w:w="43" w:type="dxa"/>
            </w:tcMar>
          </w:tcPr>
          <w:p w14:paraId="4BA2E92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D78DB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641AFE" w14:textId="77777777" w:rsidR="00575AC3" w:rsidRPr="006D40F0" w:rsidRDefault="00575AC3" w:rsidP="006D40F0">
            <w:r w:rsidRPr="006D40F0">
              <w:t>fra kr 1 400 000 til kr 400 000</w:t>
            </w:r>
          </w:p>
        </w:tc>
        <w:tc>
          <w:tcPr>
            <w:tcW w:w="1400" w:type="dxa"/>
            <w:tcBorders>
              <w:top w:val="nil"/>
              <w:left w:val="nil"/>
              <w:bottom w:val="nil"/>
              <w:right w:val="nil"/>
            </w:tcBorders>
            <w:tcMar>
              <w:top w:w="128" w:type="dxa"/>
              <w:left w:w="43" w:type="dxa"/>
              <w:bottom w:w="43" w:type="dxa"/>
              <w:right w:w="43" w:type="dxa"/>
            </w:tcMar>
            <w:vAlign w:val="bottom"/>
          </w:tcPr>
          <w:p w14:paraId="7E6C4BA0" w14:textId="77777777" w:rsidR="00575AC3" w:rsidRPr="006D40F0" w:rsidRDefault="00575AC3" w:rsidP="006D40F0"/>
        </w:tc>
      </w:tr>
      <w:tr w:rsidR="00DD49A7" w:rsidRPr="006D40F0" w14:paraId="4DBD23D6" w14:textId="77777777">
        <w:trPr>
          <w:trHeight w:val="380"/>
        </w:trPr>
        <w:tc>
          <w:tcPr>
            <w:tcW w:w="680" w:type="dxa"/>
            <w:tcBorders>
              <w:top w:val="nil"/>
              <w:left w:val="nil"/>
              <w:bottom w:val="nil"/>
              <w:right w:val="nil"/>
            </w:tcBorders>
            <w:tcMar>
              <w:top w:w="128" w:type="dxa"/>
              <w:left w:w="43" w:type="dxa"/>
              <w:bottom w:w="43" w:type="dxa"/>
              <w:right w:w="43" w:type="dxa"/>
            </w:tcMar>
          </w:tcPr>
          <w:p w14:paraId="1F0A48DA" w14:textId="77777777" w:rsidR="00575AC3" w:rsidRPr="006D40F0" w:rsidRDefault="00575AC3" w:rsidP="006D40F0">
            <w:r w:rsidRPr="006D40F0">
              <w:t>3672</w:t>
            </w:r>
          </w:p>
        </w:tc>
        <w:tc>
          <w:tcPr>
            <w:tcW w:w="680" w:type="dxa"/>
            <w:tcBorders>
              <w:top w:val="nil"/>
              <w:left w:val="nil"/>
              <w:bottom w:val="nil"/>
              <w:right w:val="nil"/>
            </w:tcBorders>
            <w:tcMar>
              <w:top w:w="128" w:type="dxa"/>
              <w:left w:w="43" w:type="dxa"/>
              <w:bottom w:w="43" w:type="dxa"/>
              <w:right w:w="43" w:type="dxa"/>
            </w:tcMar>
          </w:tcPr>
          <w:p w14:paraId="6899834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44EEBF9" w14:textId="77777777" w:rsidR="00575AC3" w:rsidRPr="006D40F0" w:rsidRDefault="00575AC3" w:rsidP="006D40F0">
            <w:r w:rsidRPr="006D40F0">
              <w:t>Opplæring i norsk og samfunnskunnskap for voksne innvandrere:</w:t>
            </w:r>
          </w:p>
        </w:tc>
        <w:tc>
          <w:tcPr>
            <w:tcW w:w="1400" w:type="dxa"/>
            <w:tcBorders>
              <w:top w:val="nil"/>
              <w:left w:val="nil"/>
              <w:bottom w:val="nil"/>
              <w:right w:val="nil"/>
            </w:tcBorders>
            <w:tcMar>
              <w:top w:w="128" w:type="dxa"/>
              <w:left w:w="43" w:type="dxa"/>
              <w:bottom w:w="43" w:type="dxa"/>
              <w:right w:w="43" w:type="dxa"/>
            </w:tcMar>
            <w:vAlign w:val="bottom"/>
          </w:tcPr>
          <w:p w14:paraId="42BFA8D7" w14:textId="77777777" w:rsidR="00575AC3" w:rsidRPr="006D40F0" w:rsidRDefault="00575AC3" w:rsidP="006D40F0"/>
        </w:tc>
      </w:tr>
      <w:tr w:rsidR="00DD49A7" w:rsidRPr="006D40F0" w14:paraId="0BFA7B75" w14:textId="77777777">
        <w:trPr>
          <w:trHeight w:val="380"/>
        </w:trPr>
        <w:tc>
          <w:tcPr>
            <w:tcW w:w="680" w:type="dxa"/>
            <w:tcBorders>
              <w:top w:val="nil"/>
              <w:left w:val="nil"/>
              <w:bottom w:val="nil"/>
              <w:right w:val="nil"/>
            </w:tcBorders>
            <w:tcMar>
              <w:top w:w="128" w:type="dxa"/>
              <w:left w:w="43" w:type="dxa"/>
              <w:bottom w:w="43" w:type="dxa"/>
              <w:right w:w="43" w:type="dxa"/>
            </w:tcMar>
          </w:tcPr>
          <w:p w14:paraId="6C14998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522F72"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4F3282C" w14:textId="77777777" w:rsidR="00575AC3" w:rsidRPr="006D40F0" w:rsidRDefault="00575AC3" w:rsidP="006D40F0">
            <w:r w:rsidRPr="006D40F0">
              <w:t>Norskopplæring i mottak, ODA-godkjente utgifter, forhøyes med</w:t>
            </w:r>
          </w:p>
        </w:tc>
        <w:tc>
          <w:tcPr>
            <w:tcW w:w="1400" w:type="dxa"/>
            <w:tcBorders>
              <w:top w:val="nil"/>
              <w:left w:val="nil"/>
              <w:bottom w:val="nil"/>
              <w:right w:val="nil"/>
            </w:tcBorders>
            <w:tcMar>
              <w:top w:w="128" w:type="dxa"/>
              <w:left w:w="43" w:type="dxa"/>
              <w:bottom w:w="43" w:type="dxa"/>
              <w:right w:w="43" w:type="dxa"/>
            </w:tcMar>
            <w:vAlign w:val="bottom"/>
          </w:tcPr>
          <w:p w14:paraId="7F58C7EB" w14:textId="77777777" w:rsidR="00575AC3" w:rsidRPr="006D40F0" w:rsidRDefault="00575AC3" w:rsidP="006D40F0">
            <w:r w:rsidRPr="006D40F0">
              <w:t>24 814 000</w:t>
            </w:r>
          </w:p>
        </w:tc>
      </w:tr>
      <w:tr w:rsidR="00DD49A7" w:rsidRPr="006D40F0" w14:paraId="2121F6FC" w14:textId="77777777">
        <w:trPr>
          <w:trHeight w:val="380"/>
        </w:trPr>
        <w:tc>
          <w:tcPr>
            <w:tcW w:w="680" w:type="dxa"/>
            <w:tcBorders>
              <w:top w:val="nil"/>
              <w:left w:val="nil"/>
              <w:bottom w:val="nil"/>
              <w:right w:val="nil"/>
            </w:tcBorders>
            <w:tcMar>
              <w:top w:w="128" w:type="dxa"/>
              <w:left w:w="43" w:type="dxa"/>
              <w:bottom w:w="43" w:type="dxa"/>
              <w:right w:w="43" w:type="dxa"/>
            </w:tcMar>
          </w:tcPr>
          <w:p w14:paraId="235EFF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E774DA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1EBDD36" w14:textId="77777777" w:rsidR="00575AC3" w:rsidRPr="006D40F0" w:rsidRDefault="00575AC3" w:rsidP="006D40F0">
            <w:r w:rsidRPr="006D40F0">
              <w:t>fra kr 40 261 000 til kr 65 075 000</w:t>
            </w:r>
          </w:p>
        </w:tc>
        <w:tc>
          <w:tcPr>
            <w:tcW w:w="1400" w:type="dxa"/>
            <w:tcBorders>
              <w:top w:val="nil"/>
              <w:left w:val="nil"/>
              <w:bottom w:val="nil"/>
              <w:right w:val="nil"/>
            </w:tcBorders>
            <w:tcMar>
              <w:top w:w="128" w:type="dxa"/>
              <w:left w:w="43" w:type="dxa"/>
              <w:bottom w:w="43" w:type="dxa"/>
              <w:right w:w="43" w:type="dxa"/>
            </w:tcMar>
            <w:vAlign w:val="bottom"/>
          </w:tcPr>
          <w:p w14:paraId="209221A8" w14:textId="77777777" w:rsidR="00575AC3" w:rsidRPr="006D40F0" w:rsidRDefault="00575AC3" w:rsidP="006D40F0"/>
        </w:tc>
      </w:tr>
      <w:tr w:rsidR="00DD49A7" w:rsidRPr="006D40F0" w14:paraId="208E5AA0" w14:textId="77777777">
        <w:trPr>
          <w:trHeight w:val="380"/>
        </w:trPr>
        <w:tc>
          <w:tcPr>
            <w:tcW w:w="680" w:type="dxa"/>
            <w:tcBorders>
              <w:top w:val="nil"/>
              <w:left w:val="nil"/>
              <w:bottom w:val="nil"/>
              <w:right w:val="nil"/>
            </w:tcBorders>
            <w:tcMar>
              <w:top w:w="128" w:type="dxa"/>
              <w:left w:w="43" w:type="dxa"/>
              <w:bottom w:w="43" w:type="dxa"/>
              <w:right w:w="43" w:type="dxa"/>
            </w:tcMar>
          </w:tcPr>
          <w:p w14:paraId="2F0CE9EE" w14:textId="77777777" w:rsidR="00575AC3" w:rsidRPr="006D40F0" w:rsidRDefault="00575AC3" w:rsidP="006D40F0">
            <w:r w:rsidRPr="006D40F0">
              <w:t>3710</w:t>
            </w:r>
          </w:p>
        </w:tc>
        <w:tc>
          <w:tcPr>
            <w:tcW w:w="680" w:type="dxa"/>
            <w:tcBorders>
              <w:top w:val="nil"/>
              <w:left w:val="nil"/>
              <w:bottom w:val="nil"/>
              <w:right w:val="nil"/>
            </w:tcBorders>
            <w:tcMar>
              <w:top w:w="128" w:type="dxa"/>
              <w:left w:w="43" w:type="dxa"/>
              <w:bottom w:w="43" w:type="dxa"/>
              <w:right w:w="43" w:type="dxa"/>
            </w:tcMar>
          </w:tcPr>
          <w:p w14:paraId="1D7714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C64A414" w14:textId="77777777" w:rsidR="00575AC3" w:rsidRPr="006D40F0" w:rsidRDefault="00575AC3" w:rsidP="006D40F0">
            <w:r w:rsidRPr="006D40F0">
              <w:t>Vaksiner mv.:</w:t>
            </w:r>
          </w:p>
        </w:tc>
        <w:tc>
          <w:tcPr>
            <w:tcW w:w="1400" w:type="dxa"/>
            <w:tcBorders>
              <w:top w:val="nil"/>
              <w:left w:val="nil"/>
              <w:bottom w:val="nil"/>
              <w:right w:val="nil"/>
            </w:tcBorders>
            <w:tcMar>
              <w:top w:w="128" w:type="dxa"/>
              <w:left w:w="43" w:type="dxa"/>
              <w:bottom w:w="43" w:type="dxa"/>
              <w:right w:w="43" w:type="dxa"/>
            </w:tcMar>
            <w:vAlign w:val="bottom"/>
          </w:tcPr>
          <w:p w14:paraId="3BF77D4A" w14:textId="77777777" w:rsidR="00575AC3" w:rsidRPr="006D40F0" w:rsidRDefault="00575AC3" w:rsidP="006D40F0"/>
        </w:tc>
      </w:tr>
      <w:tr w:rsidR="00DD49A7" w:rsidRPr="006D40F0" w14:paraId="64920439" w14:textId="77777777">
        <w:trPr>
          <w:trHeight w:val="380"/>
        </w:trPr>
        <w:tc>
          <w:tcPr>
            <w:tcW w:w="680" w:type="dxa"/>
            <w:tcBorders>
              <w:top w:val="nil"/>
              <w:left w:val="nil"/>
              <w:bottom w:val="nil"/>
              <w:right w:val="nil"/>
            </w:tcBorders>
            <w:tcMar>
              <w:top w:w="128" w:type="dxa"/>
              <w:left w:w="43" w:type="dxa"/>
              <w:bottom w:w="43" w:type="dxa"/>
              <w:right w:w="43" w:type="dxa"/>
            </w:tcMar>
          </w:tcPr>
          <w:p w14:paraId="10375E5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2A8AD1" w14:textId="77777777" w:rsidR="00575AC3" w:rsidRPr="006D40F0" w:rsidRDefault="00575AC3" w:rsidP="006D40F0">
            <w:r w:rsidRPr="006D40F0">
              <w:t>3</w:t>
            </w:r>
          </w:p>
        </w:tc>
        <w:tc>
          <w:tcPr>
            <w:tcW w:w="6800" w:type="dxa"/>
            <w:tcBorders>
              <w:top w:val="nil"/>
              <w:left w:val="nil"/>
              <w:bottom w:val="nil"/>
              <w:right w:val="nil"/>
            </w:tcBorders>
            <w:tcMar>
              <w:top w:w="128" w:type="dxa"/>
              <w:left w:w="43" w:type="dxa"/>
              <w:bottom w:w="43" w:type="dxa"/>
              <w:right w:w="43" w:type="dxa"/>
            </w:tcMar>
          </w:tcPr>
          <w:p w14:paraId="761C46A5" w14:textId="77777777" w:rsidR="00575AC3" w:rsidRPr="006D40F0" w:rsidRDefault="00575AC3" w:rsidP="006D40F0">
            <w:r w:rsidRPr="006D40F0">
              <w:t>Vaksinesalg, forhøyes med</w:t>
            </w:r>
          </w:p>
        </w:tc>
        <w:tc>
          <w:tcPr>
            <w:tcW w:w="1400" w:type="dxa"/>
            <w:tcBorders>
              <w:top w:val="nil"/>
              <w:left w:val="nil"/>
              <w:bottom w:val="nil"/>
              <w:right w:val="nil"/>
            </w:tcBorders>
            <w:tcMar>
              <w:top w:w="128" w:type="dxa"/>
              <w:left w:w="43" w:type="dxa"/>
              <w:bottom w:w="43" w:type="dxa"/>
              <w:right w:w="43" w:type="dxa"/>
            </w:tcMar>
            <w:vAlign w:val="bottom"/>
          </w:tcPr>
          <w:p w14:paraId="35CF1629" w14:textId="77777777" w:rsidR="00575AC3" w:rsidRPr="006D40F0" w:rsidRDefault="00575AC3" w:rsidP="006D40F0">
            <w:r w:rsidRPr="006D40F0">
              <w:t>13 900 000</w:t>
            </w:r>
          </w:p>
        </w:tc>
      </w:tr>
      <w:tr w:rsidR="00DD49A7" w:rsidRPr="006D40F0" w14:paraId="79D721B1" w14:textId="77777777">
        <w:trPr>
          <w:trHeight w:val="380"/>
        </w:trPr>
        <w:tc>
          <w:tcPr>
            <w:tcW w:w="680" w:type="dxa"/>
            <w:tcBorders>
              <w:top w:val="nil"/>
              <w:left w:val="nil"/>
              <w:bottom w:val="nil"/>
              <w:right w:val="nil"/>
            </w:tcBorders>
            <w:tcMar>
              <w:top w:w="128" w:type="dxa"/>
              <w:left w:w="43" w:type="dxa"/>
              <w:bottom w:w="43" w:type="dxa"/>
              <w:right w:w="43" w:type="dxa"/>
            </w:tcMar>
          </w:tcPr>
          <w:p w14:paraId="50B8FD0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D0258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3D5F8C" w14:textId="77777777" w:rsidR="00575AC3" w:rsidRPr="006D40F0" w:rsidRDefault="00575AC3" w:rsidP="006D40F0">
            <w:r w:rsidRPr="006D40F0">
              <w:t>fra kr 224 486 000 til kr 238 386 000</w:t>
            </w:r>
          </w:p>
        </w:tc>
        <w:tc>
          <w:tcPr>
            <w:tcW w:w="1400" w:type="dxa"/>
            <w:tcBorders>
              <w:top w:val="nil"/>
              <w:left w:val="nil"/>
              <w:bottom w:val="nil"/>
              <w:right w:val="nil"/>
            </w:tcBorders>
            <w:tcMar>
              <w:top w:w="128" w:type="dxa"/>
              <w:left w:w="43" w:type="dxa"/>
              <w:bottom w:w="43" w:type="dxa"/>
              <w:right w:w="43" w:type="dxa"/>
            </w:tcMar>
            <w:vAlign w:val="bottom"/>
          </w:tcPr>
          <w:p w14:paraId="24876915" w14:textId="77777777" w:rsidR="00575AC3" w:rsidRPr="006D40F0" w:rsidRDefault="00575AC3" w:rsidP="006D40F0"/>
        </w:tc>
      </w:tr>
      <w:tr w:rsidR="00DD49A7" w:rsidRPr="006D40F0" w14:paraId="76657CC3" w14:textId="77777777">
        <w:trPr>
          <w:trHeight w:val="380"/>
        </w:trPr>
        <w:tc>
          <w:tcPr>
            <w:tcW w:w="680" w:type="dxa"/>
            <w:tcBorders>
              <w:top w:val="nil"/>
              <w:left w:val="nil"/>
              <w:bottom w:val="nil"/>
              <w:right w:val="nil"/>
            </w:tcBorders>
            <w:tcMar>
              <w:top w:w="128" w:type="dxa"/>
              <w:left w:w="43" w:type="dxa"/>
              <w:bottom w:w="43" w:type="dxa"/>
              <w:right w:w="43" w:type="dxa"/>
            </w:tcMar>
          </w:tcPr>
          <w:p w14:paraId="4D34860D" w14:textId="77777777" w:rsidR="00575AC3" w:rsidRPr="006D40F0" w:rsidRDefault="00575AC3" w:rsidP="006D40F0">
            <w:r w:rsidRPr="006D40F0">
              <w:t>3740</w:t>
            </w:r>
          </w:p>
        </w:tc>
        <w:tc>
          <w:tcPr>
            <w:tcW w:w="680" w:type="dxa"/>
            <w:tcBorders>
              <w:top w:val="nil"/>
              <w:left w:val="nil"/>
              <w:bottom w:val="nil"/>
              <w:right w:val="nil"/>
            </w:tcBorders>
            <w:tcMar>
              <w:top w:w="128" w:type="dxa"/>
              <w:left w:w="43" w:type="dxa"/>
              <w:bottom w:w="43" w:type="dxa"/>
              <w:right w:w="43" w:type="dxa"/>
            </w:tcMar>
          </w:tcPr>
          <w:p w14:paraId="730779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0C1FA51" w14:textId="77777777" w:rsidR="00575AC3" w:rsidRPr="006D40F0" w:rsidRDefault="00575AC3" w:rsidP="006D40F0">
            <w:r w:rsidRPr="006D40F0">
              <w:t>Helsedirektoratet:</w:t>
            </w:r>
          </w:p>
        </w:tc>
        <w:tc>
          <w:tcPr>
            <w:tcW w:w="1400" w:type="dxa"/>
            <w:tcBorders>
              <w:top w:val="nil"/>
              <w:left w:val="nil"/>
              <w:bottom w:val="nil"/>
              <w:right w:val="nil"/>
            </w:tcBorders>
            <w:tcMar>
              <w:top w:w="128" w:type="dxa"/>
              <w:left w:w="43" w:type="dxa"/>
              <w:bottom w:w="43" w:type="dxa"/>
              <w:right w:w="43" w:type="dxa"/>
            </w:tcMar>
            <w:vAlign w:val="bottom"/>
          </w:tcPr>
          <w:p w14:paraId="2CACA5E8" w14:textId="77777777" w:rsidR="00575AC3" w:rsidRPr="006D40F0" w:rsidRDefault="00575AC3" w:rsidP="006D40F0"/>
        </w:tc>
      </w:tr>
      <w:tr w:rsidR="00DD49A7" w:rsidRPr="006D40F0" w14:paraId="2913CC13" w14:textId="77777777">
        <w:trPr>
          <w:trHeight w:val="380"/>
        </w:trPr>
        <w:tc>
          <w:tcPr>
            <w:tcW w:w="680" w:type="dxa"/>
            <w:tcBorders>
              <w:top w:val="nil"/>
              <w:left w:val="nil"/>
              <w:bottom w:val="nil"/>
              <w:right w:val="nil"/>
            </w:tcBorders>
            <w:tcMar>
              <w:top w:w="128" w:type="dxa"/>
              <w:left w:w="43" w:type="dxa"/>
              <w:bottom w:w="43" w:type="dxa"/>
              <w:right w:w="43" w:type="dxa"/>
            </w:tcMar>
          </w:tcPr>
          <w:p w14:paraId="2E70351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1B2B444"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5FBA4B8D" w14:textId="77777777" w:rsidR="00575AC3" w:rsidRPr="006D40F0" w:rsidRDefault="00575AC3" w:rsidP="006D40F0">
            <w:r w:rsidRPr="006D40F0">
              <w:t>Diverse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08F13891" w14:textId="77777777" w:rsidR="00575AC3" w:rsidRPr="006D40F0" w:rsidRDefault="00575AC3" w:rsidP="006D40F0">
            <w:r w:rsidRPr="006D40F0">
              <w:t>111 600 000</w:t>
            </w:r>
          </w:p>
        </w:tc>
      </w:tr>
      <w:tr w:rsidR="00DD49A7" w:rsidRPr="006D40F0" w14:paraId="573FB0B8" w14:textId="77777777">
        <w:trPr>
          <w:trHeight w:val="380"/>
        </w:trPr>
        <w:tc>
          <w:tcPr>
            <w:tcW w:w="680" w:type="dxa"/>
            <w:tcBorders>
              <w:top w:val="nil"/>
              <w:left w:val="nil"/>
              <w:bottom w:val="nil"/>
              <w:right w:val="nil"/>
            </w:tcBorders>
            <w:tcMar>
              <w:top w:w="128" w:type="dxa"/>
              <w:left w:w="43" w:type="dxa"/>
              <w:bottom w:w="43" w:type="dxa"/>
              <w:right w:w="43" w:type="dxa"/>
            </w:tcMar>
          </w:tcPr>
          <w:p w14:paraId="7788AD9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7999D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1105261" w14:textId="77777777" w:rsidR="00575AC3" w:rsidRPr="006D40F0" w:rsidRDefault="00575AC3" w:rsidP="006D40F0">
            <w:r w:rsidRPr="006D40F0">
              <w:t>fra kr 22 644 000 til kr 134 244 000</w:t>
            </w:r>
          </w:p>
        </w:tc>
        <w:tc>
          <w:tcPr>
            <w:tcW w:w="1400" w:type="dxa"/>
            <w:tcBorders>
              <w:top w:val="nil"/>
              <w:left w:val="nil"/>
              <w:bottom w:val="nil"/>
              <w:right w:val="nil"/>
            </w:tcBorders>
            <w:tcMar>
              <w:top w:w="128" w:type="dxa"/>
              <w:left w:w="43" w:type="dxa"/>
              <w:bottom w:w="43" w:type="dxa"/>
              <w:right w:w="43" w:type="dxa"/>
            </w:tcMar>
            <w:vAlign w:val="bottom"/>
          </w:tcPr>
          <w:p w14:paraId="2A353BB1" w14:textId="77777777" w:rsidR="00575AC3" w:rsidRPr="006D40F0" w:rsidRDefault="00575AC3" w:rsidP="006D40F0"/>
        </w:tc>
      </w:tr>
      <w:tr w:rsidR="00DD49A7" w:rsidRPr="006D40F0" w14:paraId="1BD70D52" w14:textId="77777777">
        <w:trPr>
          <w:trHeight w:val="380"/>
        </w:trPr>
        <w:tc>
          <w:tcPr>
            <w:tcW w:w="680" w:type="dxa"/>
            <w:tcBorders>
              <w:top w:val="nil"/>
              <w:left w:val="nil"/>
              <w:bottom w:val="nil"/>
              <w:right w:val="nil"/>
            </w:tcBorders>
            <w:tcMar>
              <w:top w:w="128" w:type="dxa"/>
              <w:left w:w="43" w:type="dxa"/>
              <w:bottom w:w="43" w:type="dxa"/>
              <w:right w:w="43" w:type="dxa"/>
            </w:tcMar>
          </w:tcPr>
          <w:p w14:paraId="416B5E4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0BD488"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13E534FC" w14:textId="77777777" w:rsidR="00575AC3" w:rsidRPr="006D40F0" w:rsidRDefault="00575AC3" w:rsidP="006D40F0">
            <w:r w:rsidRPr="006D40F0">
              <w:t>Gebyrinntekter,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5B2E5746" w14:textId="77777777" w:rsidR="00575AC3" w:rsidRPr="006D40F0" w:rsidRDefault="00575AC3" w:rsidP="006D40F0">
            <w:r w:rsidRPr="006D40F0">
              <w:t>13 500 000</w:t>
            </w:r>
          </w:p>
        </w:tc>
      </w:tr>
      <w:tr w:rsidR="00DD49A7" w:rsidRPr="006D40F0" w14:paraId="456223FB" w14:textId="77777777">
        <w:trPr>
          <w:trHeight w:val="380"/>
        </w:trPr>
        <w:tc>
          <w:tcPr>
            <w:tcW w:w="680" w:type="dxa"/>
            <w:tcBorders>
              <w:top w:val="nil"/>
              <w:left w:val="nil"/>
              <w:bottom w:val="nil"/>
              <w:right w:val="nil"/>
            </w:tcBorders>
            <w:tcMar>
              <w:top w:w="128" w:type="dxa"/>
              <w:left w:w="43" w:type="dxa"/>
              <w:bottom w:w="43" w:type="dxa"/>
              <w:right w:w="43" w:type="dxa"/>
            </w:tcMar>
          </w:tcPr>
          <w:p w14:paraId="2426C4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E3C089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021F825" w14:textId="77777777" w:rsidR="00575AC3" w:rsidRPr="006D40F0" w:rsidRDefault="00575AC3" w:rsidP="006D40F0">
            <w:r w:rsidRPr="006D40F0">
              <w:t>fra kr 42 857 000 til kr 29 357 000</w:t>
            </w:r>
          </w:p>
        </w:tc>
        <w:tc>
          <w:tcPr>
            <w:tcW w:w="1400" w:type="dxa"/>
            <w:tcBorders>
              <w:top w:val="nil"/>
              <w:left w:val="nil"/>
              <w:bottom w:val="nil"/>
              <w:right w:val="nil"/>
            </w:tcBorders>
            <w:tcMar>
              <w:top w:w="128" w:type="dxa"/>
              <w:left w:w="43" w:type="dxa"/>
              <w:bottom w:w="43" w:type="dxa"/>
              <w:right w:w="43" w:type="dxa"/>
            </w:tcMar>
            <w:vAlign w:val="bottom"/>
          </w:tcPr>
          <w:p w14:paraId="12399051" w14:textId="77777777" w:rsidR="00575AC3" w:rsidRPr="006D40F0" w:rsidRDefault="00575AC3" w:rsidP="006D40F0"/>
        </w:tc>
      </w:tr>
      <w:tr w:rsidR="00DD49A7" w:rsidRPr="006D40F0" w14:paraId="3E398283" w14:textId="77777777">
        <w:trPr>
          <w:trHeight w:val="380"/>
        </w:trPr>
        <w:tc>
          <w:tcPr>
            <w:tcW w:w="680" w:type="dxa"/>
            <w:tcBorders>
              <w:top w:val="nil"/>
              <w:left w:val="nil"/>
              <w:bottom w:val="nil"/>
              <w:right w:val="nil"/>
            </w:tcBorders>
            <w:tcMar>
              <w:top w:w="128" w:type="dxa"/>
              <w:left w:w="43" w:type="dxa"/>
              <w:bottom w:w="43" w:type="dxa"/>
              <w:right w:w="43" w:type="dxa"/>
            </w:tcMar>
          </w:tcPr>
          <w:p w14:paraId="610B22A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3C8183" w14:textId="77777777" w:rsidR="00575AC3" w:rsidRPr="006D40F0" w:rsidRDefault="00575AC3" w:rsidP="006D40F0">
            <w:r w:rsidRPr="006D40F0">
              <w:t>5</w:t>
            </w:r>
          </w:p>
        </w:tc>
        <w:tc>
          <w:tcPr>
            <w:tcW w:w="6800" w:type="dxa"/>
            <w:tcBorders>
              <w:top w:val="nil"/>
              <w:left w:val="nil"/>
              <w:bottom w:val="nil"/>
              <w:right w:val="nil"/>
            </w:tcBorders>
            <w:tcMar>
              <w:top w:w="128" w:type="dxa"/>
              <w:left w:w="43" w:type="dxa"/>
              <w:bottom w:w="43" w:type="dxa"/>
              <w:right w:w="43" w:type="dxa"/>
            </w:tcMar>
          </w:tcPr>
          <w:p w14:paraId="43413E34" w14:textId="77777777" w:rsidR="00575AC3" w:rsidRPr="006D40F0" w:rsidRDefault="00575AC3" w:rsidP="006D40F0">
            <w:r w:rsidRPr="006D40F0">
              <w:t>Helsetjenester til utenlandsboende mv., nedsettes med</w:t>
            </w:r>
          </w:p>
        </w:tc>
        <w:tc>
          <w:tcPr>
            <w:tcW w:w="1400" w:type="dxa"/>
            <w:tcBorders>
              <w:top w:val="nil"/>
              <w:left w:val="nil"/>
              <w:bottom w:val="nil"/>
              <w:right w:val="nil"/>
            </w:tcBorders>
            <w:tcMar>
              <w:top w:w="128" w:type="dxa"/>
              <w:left w:w="43" w:type="dxa"/>
              <w:bottom w:w="43" w:type="dxa"/>
              <w:right w:w="43" w:type="dxa"/>
            </w:tcMar>
            <w:vAlign w:val="bottom"/>
          </w:tcPr>
          <w:p w14:paraId="38FC32E6" w14:textId="77777777" w:rsidR="00575AC3" w:rsidRPr="006D40F0" w:rsidRDefault="00575AC3" w:rsidP="006D40F0">
            <w:r w:rsidRPr="006D40F0">
              <w:t>11 000 000</w:t>
            </w:r>
          </w:p>
        </w:tc>
      </w:tr>
      <w:tr w:rsidR="00DD49A7" w:rsidRPr="006D40F0" w14:paraId="10CA31A0" w14:textId="77777777">
        <w:trPr>
          <w:trHeight w:val="380"/>
        </w:trPr>
        <w:tc>
          <w:tcPr>
            <w:tcW w:w="680" w:type="dxa"/>
            <w:tcBorders>
              <w:top w:val="nil"/>
              <w:left w:val="nil"/>
              <w:bottom w:val="nil"/>
              <w:right w:val="nil"/>
            </w:tcBorders>
            <w:tcMar>
              <w:top w:w="128" w:type="dxa"/>
              <w:left w:w="43" w:type="dxa"/>
              <w:bottom w:w="43" w:type="dxa"/>
              <w:right w:w="43" w:type="dxa"/>
            </w:tcMar>
          </w:tcPr>
          <w:p w14:paraId="3F50B71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8C4B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444FD7" w14:textId="77777777" w:rsidR="00575AC3" w:rsidRPr="006D40F0" w:rsidRDefault="00575AC3" w:rsidP="006D40F0">
            <w:r w:rsidRPr="006D40F0">
              <w:t>fra kr 76 000 000 til kr 65 000 000</w:t>
            </w:r>
          </w:p>
        </w:tc>
        <w:tc>
          <w:tcPr>
            <w:tcW w:w="1400" w:type="dxa"/>
            <w:tcBorders>
              <w:top w:val="nil"/>
              <w:left w:val="nil"/>
              <w:bottom w:val="nil"/>
              <w:right w:val="nil"/>
            </w:tcBorders>
            <w:tcMar>
              <w:top w:w="128" w:type="dxa"/>
              <w:left w:w="43" w:type="dxa"/>
              <w:bottom w:w="43" w:type="dxa"/>
              <w:right w:w="43" w:type="dxa"/>
            </w:tcMar>
            <w:vAlign w:val="bottom"/>
          </w:tcPr>
          <w:p w14:paraId="1AB79B36" w14:textId="77777777" w:rsidR="00575AC3" w:rsidRPr="006D40F0" w:rsidRDefault="00575AC3" w:rsidP="006D40F0"/>
        </w:tc>
      </w:tr>
      <w:tr w:rsidR="00DD49A7" w:rsidRPr="006D40F0" w14:paraId="75638D96" w14:textId="77777777">
        <w:trPr>
          <w:trHeight w:val="380"/>
        </w:trPr>
        <w:tc>
          <w:tcPr>
            <w:tcW w:w="680" w:type="dxa"/>
            <w:tcBorders>
              <w:top w:val="nil"/>
              <w:left w:val="nil"/>
              <w:bottom w:val="nil"/>
              <w:right w:val="nil"/>
            </w:tcBorders>
            <w:tcMar>
              <w:top w:w="128" w:type="dxa"/>
              <w:left w:w="43" w:type="dxa"/>
              <w:bottom w:w="43" w:type="dxa"/>
              <w:right w:w="43" w:type="dxa"/>
            </w:tcMar>
          </w:tcPr>
          <w:p w14:paraId="37DE73C8" w14:textId="77777777" w:rsidR="00575AC3" w:rsidRPr="006D40F0" w:rsidRDefault="00575AC3" w:rsidP="006D40F0">
            <w:r w:rsidRPr="006D40F0">
              <w:t>3745</w:t>
            </w:r>
          </w:p>
        </w:tc>
        <w:tc>
          <w:tcPr>
            <w:tcW w:w="680" w:type="dxa"/>
            <w:tcBorders>
              <w:top w:val="nil"/>
              <w:left w:val="nil"/>
              <w:bottom w:val="nil"/>
              <w:right w:val="nil"/>
            </w:tcBorders>
            <w:tcMar>
              <w:top w:w="128" w:type="dxa"/>
              <w:left w:w="43" w:type="dxa"/>
              <w:bottom w:w="43" w:type="dxa"/>
              <w:right w:w="43" w:type="dxa"/>
            </w:tcMar>
          </w:tcPr>
          <w:p w14:paraId="6C0CA36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E4DDBD" w14:textId="77777777" w:rsidR="00575AC3" w:rsidRPr="006D40F0" w:rsidRDefault="00575AC3" w:rsidP="006D40F0">
            <w:r w:rsidRPr="006D40F0">
              <w:t>Folkehelseinstituttet:</w:t>
            </w:r>
          </w:p>
        </w:tc>
        <w:tc>
          <w:tcPr>
            <w:tcW w:w="1400" w:type="dxa"/>
            <w:tcBorders>
              <w:top w:val="nil"/>
              <w:left w:val="nil"/>
              <w:bottom w:val="nil"/>
              <w:right w:val="nil"/>
            </w:tcBorders>
            <w:tcMar>
              <w:top w:w="128" w:type="dxa"/>
              <w:left w:w="43" w:type="dxa"/>
              <w:bottom w:w="43" w:type="dxa"/>
              <w:right w:w="43" w:type="dxa"/>
            </w:tcMar>
            <w:vAlign w:val="bottom"/>
          </w:tcPr>
          <w:p w14:paraId="561B6E4E" w14:textId="77777777" w:rsidR="00575AC3" w:rsidRPr="006D40F0" w:rsidRDefault="00575AC3" w:rsidP="006D40F0"/>
        </w:tc>
      </w:tr>
      <w:tr w:rsidR="00DD49A7" w:rsidRPr="006D40F0" w14:paraId="4AFDC332" w14:textId="77777777">
        <w:trPr>
          <w:trHeight w:val="380"/>
        </w:trPr>
        <w:tc>
          <w:tcPr>
            <w:tcW w:w="680" w:type="dxa"/>
            <w:tcBorders>
              <w:top w:val="nil"/>
              <w:left w:val="nil"/>
              <w:bottom w:val="nil"/>
              <w:right w:val="nil"/>
            </w:tcBorders>
            <w:tcMar>
              <w:top w:w="128" w:type="dxa"/>
              <w:left w:w="43" w:type="dxa"/>
              <w:bottom w:w="43" w:type="dxa"/>
              <w:right w:w="43" w:type="dxa"/>
            </w:tcMar>
          </w:tcPr>
          <w:p w14:paraId="073B98E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6473B6"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6CB7D8A4" w14:textId="77777777" w:rsidR="00575AC3" w:rsidRPr="006D40F0" w:rsidRDefault="00575AC3" w:rsidP="006D40F0">
            <w:r w:rsidRPr="006D40F0">
              <w:t>Diverse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63FF0F60" w14:textId="77777777" w:rsidR="00575AC3" w:rsidRPr="006D40F0" w:rsidRDefault="00575AC3" w:rsidP="006D40F0">
            <w:r w:rsidRPr="006D40F0">
              <w:t>101 200 000</w:t>
            </w:r>
          </w:p>
        </w:tc>
      </w:tr>
      <w:tr w:rsidR="00DD49A7" w:rsidRPr="006D40F0" w14:paraId="047FF91A" w14:textId="77777777">
        <w:trPr>
          <w:trHeight w:val="380"/>
        </w:trPr>
        <w:tc>
          <w:tcPr>
            <w:tcW w:w="680" w:type="dxa"/>
            <w:tcBorders>
              <w:top w:val="nil"/>
              <w:left w:val="nil"/>
              <w:bottom w:val="nil"/>
              <w:right w:val="nil"/>
            </w:tcBorders>
            <w:tcMar>
              <w:top w:w="128" w:type="dxa"/>
              <w:left w:w="43" w:type="dxa"/>
              <w:bottom w:w="43" w:type="dxa"/>
              <w:right w:w="43" w:type="dxa"/>
            </w:tcMar>
          </w:tcPr>
          <w:p w14:paraId="04362F8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DCA2A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FBF16E5" w14:textId="77777777" w:rsidR="00575AC3" w:rsidRPr="006D40F0" w:rsidRDefault="00575AC3" w:rsidP="006D40F0">
            <w:r w:rsidRPr="006D40F0">
              <w:t>fra kr 214 879 000 til kr 316 079 000</w:t>
            </w:r>
          </w:p>
        </w:tc>
        <w:tc>
          <w:tcPr>
            <w:tcW w:w="1400" w:type="dxa"/>
            <w:tcBorders>
              <w:top w:val="nil"/>
              <w:left w:val="nil"/>
              <w:bottom w:val="nil"/>
              <w:right w:val="nil"/>
            </w:tcBorders>
            <w:tcMar>
              <w:top w:w="128" w:type="dxa"/>
              <w:left w:w="43" w:type="dxa"/>
              <w:bottom w:w="43" w:type="dxa"/>
              <w:right w:w="43" w:type="dxa"/>
            </w:tcMar>
            <w:vAlign w:val="bottom"/>
          </w:tcPr>
          <w:p w14:paraId="20DE200B" w14:textId="77777777" w:rsidR="00575AC3" w:rsidRPr="006D40F0" w:rsidRDefault="00575AC3" w:rsidP="006D40F0"/>
        </w:tc>
      </w:tr>
      <w:tr w:rsidR="00DD49A7" w:rsidRPr="006D40F0" w14:paraId="6249777D" w14:textId="77777777">
        <w:trPr>
          <w:trHeight w:val="380"/>
        </w:trPr>
        <w:tc>
          <w:tcPr>
            <w:tcW w:w="680" w:type="dxa"/>
            <w:tcBorders>
              <w:top w:val="nil"/>
              <w:left w:val="nil"/>
              <w:bottom w:val="nil"/>
              <w:right w:val="nil"/>
            </w:tcBorders>
            <w:tcMar>
              <w:top w:w="128" w:type="dxa"/>
              <w:left w:w="43" w:type="dxa"/>
              <w:bottom w:w="43" w:type="dxa"/>
              <w:right w:w="43" w:type="dxa"/>
            </w:tcMar>
          </w:tcPr>
          <w:p w14:paraId="3C840947" w14:textId="77777777" w:rsidR="00575AC3" w:rsidRPr="006D40F0" w:rsidRDefault="00575AC3" w:rsidP="006D40F0">
            <w:r w:rsidRPr="006D40F0">
              <w:t>3747</w:t>
            </w:r>
          </w:p>
        </w:tc>
        <w:tc>
          <w:tcPr>
            <w:tcW w:w="680" w:type="dxa"/>
            <w:tcBorders>
              <w:top w:val="nil"/>
              <w:left w:val="nil"/>
              <w:bottom w:val="nil"/>
              <w:right w:val="nil"/>
            </w:tcBorders>
            <w:tcMar>
              <w:top w:w="128" w:type="dxa"/>
              <w:left w:w="43" w:type="dxa"/>
              <w:bottom w:w="43" w:type="dxa"/>
              <w:right w:w="43" w:type="dxa"/>
            </w:tcMar>
          </w:tcPr>
          <w:p w14:paraId="3064B06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D111F4" w14:textId="77777777" w:rsidR="00575AC3" w:rsidRPr="006D40F0" w:rsidRDefault="00575AC3" w:rsidP="006D40F0">
            <w:r w:rsidRPr="006D40F0">
              <w:t>Direktoratet for strålevern og atomsikkerhet:</w:t>
            </w:r>
          </w:p>
        </w:tc>
        <w:tc>
          <w:tcPr>
            <w:tcW w:w="1400" w:type="dxa"/>
            <w:tcBorders>
              <w:top w:val="nil"/>
              <w:left w:val="nil"/>
              <w:bottom w:val="nil"/>
              <w:right w:val="nil"/>
            </w:tcBorders>
            <w:tcMar>
              <w:top w:w="128" w:type="dxa"/>
              <w:left w:w="43" w:type="dxa"/>
              <w:bottom w:w="43" w:type="dxa"/>
              <w:right w:w="43" w:type="dxa"/>
            </w:tcMar>
            <w:vAlign w:val="bottom"/>
          </w:tcPr>
          <w:p w14:paraId="6CAA74A3" w14:textId="77777777" w:rsidR="00575AC3" w:rsidRPr="006D40F0" w:rsidRDefault="00575AC3" w:rsidP="006D40F0"/>
        </w:tc>
      </w:tr>
      <w:tr w:rsidR="00DD49A7" w:rsidRPr="006D40F0" w14:paraId="106692CF" w14:textId="77777777">
        <w:trPr>
          <w:trHeight w:val="380"/>
        </w:trPr>
        <w:tc>
          <w:tcPr>
            <w:tcW w:w="680" w:type="dxa"/>
            <w:tcBorders>
              <w:top w:val="nil"/>
              <w:left w:val="nil"/>
              <w:bottom w:val="nil"/>
              <w:right w:val="nil"/>
            </w:tcBorders>
            <w:tcMar>
              <w:top w:w="128" w:type="dxa"/>
              <w:left w:w="43" w:type="dxa"/>
              <w:bottom w:w="43" w:type="dxa"/>
              <w:right w:w="43" w:type="dxa"/>
            </w:tcMar>
          </w:tcPr>
          <w:p w14:paraId="3779F45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A07A96"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138BAE6D" w14:textId="77777777" w:rsidR="00575AC3" w:rsidRPr="006D40F0" w:rsidRDefault="00575AC3" w:rsidP="006D40F0">
            <w:r w:rsidRPr="006D40F0">
              <w:t>Gebyrinntekter,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70AF4E95" w14:textId="77777777" w:rsidR="00575AC3" w:rsidRPr="006D40F0" w:rsidRDefault="00575AC3" w:rsidP="006D40F0">
            <w:r w:rsidRPr="006D40F0">
              <w:t>3 200 000</w:t>
            </w:r>
          </w:p>
        </w:tc>
      </w:tr>
      <w:tr w:rsidR="00DD49A7" w:rsidRPr="006D40F0" w14:paraId="0579B851" w14:textId="77777777">
        <w:trPr>
          <w:trHeight w:val="380"/>
        </w:trPr>
        <w:tc>
          <w:tcPr>
            <w:tcW w:w="680" w:type="dxa"/>
            <w:tcBorders>
              <w:top w:val="nil"/>
              <w:left w:val="nil"/>
              <w:bottom w:val="nil"/>
              <w:right w:val="nil"/>
            </w:tcBorders>
            <w:tcMar>
              <w:top w:w="128" w:type="dxa"/>
              <w:left w:w="43" w:type="dxa"/>
              <w:bottom w:w="43" w:type="dxa"/>
              <w:right w:w="43" w:type="dxa"/>
            </w:tcMar>
          </w:tcPr>
          <w:p w14:paraId="4A1AB93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E4108D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FC017C" w14:textId="77777777" w:rsidR="00575AC3" w:rsidRPr="006D40F0" w:rsidRDefault="00575AC3" w:rsidP="006D40F0">
            <w:r w:rsidRPr="006D40F0">
              <w:t>fra kr 42 354 000 til kr 45 554 000</w:t>
            </w:r>
          </w:p>
        </w:tc>
        <w:tc>
          <w:tcPr>
            <w:tcW w:w="1400" w:type="dxa"/>
            <w:tcBorders>
              <w:top w:val="nil"/>
              <w:left w:val="nil"/>
              <w:bottom w:val="nil"/>
              <w:right w:val="nil"/>
            </w:tcBorders>
            <w:tcMar>
              <w:top w:w="128" w:type="dxa"/>
              <w:left w:w="43" w:type="dxa"/>
              <w:bottom w:w="43" w:type="dxa"/>
              <w:right w:w="43" w:type="dxa"/>
            </w:tcMar>
            <w:vAlign w:val="bottom"/>
          </w:tcPr>
          <w:p w14:paraId="21D1B782" w14:textId="77777777" w:rsidR="00575AC3" w:rsidRPr="006D40F0" w:rsidRDefault="00575AC3" w:rsidP="006D40F0"/>
        </w:tc>
      </w:tr>
      <w:tr w:rsidR="00DD49A7" w:rsidRPr="006D40F0" w14:paraId="79DB3766" w14:textId="77777777">
        <w:trPr>
          <w:trHeight w:val="380"/>
        </w:trPr>
        <w:tc>
          <w:tcPr>
            <w:tcW w:w="680" w:type="dxa"/>
            <w:tcBorders>
              <w:top w:val="nil"/>
              <w:left w:val="nil"/>
              <w:bottom w:val="nil"/>
              <w:right w:val="nil"/>
            </w:tcBorders>
            <w:tcMar>
              <w:top w:w="128" w:type="dxa"/>
              <w:left w:w="43" w:type="dxa"/>
              <w:bottom w:w="43" w:type="dxa"/>
              <w:right w:w="43" w:type="dxa"/>
            </w:tcMar>
          </w:tcPr>
          <w:p w14:paraId="29A0B6D8" w14:textId="77777777" w:rsidR="00575AC3" w:rsidRPr="006D40F0" w:rsidRDefault="00575AC3" w:rsidP="006D40F0">
            <w:r w:rsidRPr="006D40F0">
              <w:t>3855</w:t>
            </w:r>
          </w:p>
        </w:tc>
        <w:tc>
          <w:tcPr>
            <w:tcW w:w="680" w:type="dxa"/>
            <w:tcBorders>
              <w:top w:val="nil"/>
              <w:left w:val="nil"/>
              <w:bottom w:val="nil"/>
              <w:right w:val="nil"/>
            </w:tcBorders>
            <w:tcMar>
              <w:top w:w="128" w:type="dxa"/>
              <w:left w:w="43" w:type="dxa"/>
              <w:bottom w:w="43" w:type="dxa"/>
              <w:right w:w="43" w:type="dxa"/>
            </w:tcMar>
          </w:tcPr>
          <w:p w14:paraId="159357E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09F43A8" w14:textId="77777777" w:rsidR="00575AC3" w:rsidRPr="006D40F0" w:rsidRDefault="00575AC3" w:rsidP="006D40F0">
            <w:r w:rsidRPr="006D40F0">
              <w:t>Statlig forvaltning av barnevernet:</w:t>
            </w:r>
          </w:p>
        </w:tc>
        <w:tc>
          <w:tcPr>
            <w:tcW w:w="1400" w:type="dxa"/>
            <w:tcBorders>
              <w:top w:val="nil"/>
              <w:left w:val="nil"/>
              <w:bottom w:val="nil"/>
              <w:right w:val="nil"/>
            </w:tcBorders>
            <w:tcMar>
              <w:top w:w="128" w:type="dxa"/>
              <w:left w:w="43" w:type="dxa"/>
              <w:bottom w:w="43" w:type="dxa"/>
              <w:right w:w="43" w:type="dxa"/>
            </w:tcMar>
            <w:vAlign w:val="bottom"/>
          </w:tcPr>
          <w:p w14:paraId="08F3539C" w14:textId="77777777" w:rsidR="00575AC3" w:rsidRPr="006D40F0" w:rsidRDefault="00575AC3" w:rsidP="006D40F0"/>
        </w:tc>
      </w:tr>
      <w:tr w:rsidR="00DD49A7" w:rsidRPr="006D40F0" w14:paraId="629C8DDC" w14:textId="77777777">
        <w:trPr>
          <w:trHeight w:val="380"/>
        </w:trPr>
        <w:tc>
          <w:tcPr>
            <w:tcW w:w="680" w:type="dxa"/>
            <w:tcBorders>
              <w:top w:val="nil"/>
              <w:left w:val="nil"/>
              <w:bottom w:val="nil"/>
              <w:right w:val="nil"/>
            </w:tcBorders>
            <w:tcMar>
              <w:top w:w="128" w:type="dxa"/>
              <w:left w:w="43" w:type="dxa"/>
              <w:bottom w:w="43" w:type="dxa"/>
              <w:right w:w="43" w:type="dxa"/>
            </w:tcMar>
          </w:tcPr>
          <w:p w14:paraId="69E938F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3A5D2D" w14:textId="77777777" w:rsidR="00575AC3" w:rsidRPr="006D40F0" w:rsidRDefault="00575AC3" w:rsidP="006D40F0">
            <w:r w:rsidRPr="006D40F0">
              <w:t>60</w:t>
            </w:r>
          </w:p>
        </w:tc>
        <w:tc>
          <w:tcPr>
            <w:tcW w:w="6800" w:type="dxa"/>
            <w:tcBorders>
              <w:top w:val="nil"/>
              <w:left w:val="nil"/>
              <w:bottom w:val="nil"/>
              <w:right w:val="nil"/>
            </w:tcBorders>
            <w:tcMar>
              <w:top w:w="128" w:type="dxa"/>
              <w:left w:w="43" w:type="dxa"/>
              <w:bottom w:w="43" w:type="dxa"/>
              <w:right w:w="43" w:type="dxa"/>
            </w:tcMar>
          </w:tcPr>
          <w:p w14:paraId="61156934" w14:textId="77777777" w:rsidR="00575AC3" w:rsidRPr="006D40F0" w:rsidRDefault="00575AC3" w:rsidP="006D40F0">
            <w:r w:rsidRPr="006D40F0">
              <w:t>Kommunale egenandeler, nedsettes med</w:t>
            </w:r>
          </w:p>
        </w:tc>
        <w:tc>
          <w:tcPr>
            <w:tcW w:w="1400" w:type="dxa"/>
            <w:tcBorders>
              <w:top w:val="nil"/>
              <w:left w:val="nil"/>
              <w:bottom w:val="nil"/>
              <w:right w:val="nil"/>
            </w:tcBorders>
            <w:tcMar>
              <w:top w:w="128" w:type="dxa"/>
              <w:left w:w="43" w:type="dxa"/>
              <w:bottom w:w="43" w:type="dxa"/>
              <w:right w:w="43" w:type="dxa"/>
            </w:tcMar>
            <w:vAlign w:val="bottom"/>
          </w:tcPr>
          <w:p w14:paraId="0D71D246" w14:textId="77777777" w:rsidR="00575AC3" w:rsidRPr="006D40F0" w:rsidRDefault="00575AC3" w:rsidP="006D40F0">
            <w:r w:rsidRPr="006D40F0">
              <w:t>70 000 000</w:t>
            </w:r>
          </w:p>
        </w:tc>
      </w:tr>
      <w:tr w:rsidR="00DD49A7" w:rsidRPr="006D40F0" w14:paraId="113C4B81" w14:textId="77777777">
        <w:trPr>
          <w:trHeight w:val="380"/>
        </w:trPr>
        <w:tc>
          <w:tcPr>
            <w:tcW w:w="680" w:type="dxa"/>
            <w:tcBorders>
              <w:top w:val="nil"/>
              <w:left w:val="nil"/>
              <w:bottom w:val="nil"/>
              <w:right w:val="nil"/>
            </w:tcBorders>
            <w:tcMar>
              <w:top w:w="128" w:type="dxa"/>
              <w:left w:w="43" w:type="dxa"/>
              <w:bottom w:w="43" w:type="dxa"/>
              <w:right w:w="43" w:type="dxa"/>
            </w:tcMar>
          </w:tcPr>
          <w:p w14:paraId="2AFB273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1CFB5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2E4256E" w14:textId="77777777" w:rsidR="00575AC3" w:rsidRPr="006D40F0" w:rsidRDefault="00575AC3" w:rsidP="006D40F0">
            <w:r w:rsidRPr="006D40F0">
              <w:t>fra kr 2 641 496 000 til kr 2 571 496 000</w:t>
            </w:r>
          </w:p>
        </w:tc>
        <w:tc>
          <w:tcPr>
            <w:tcW w:w="1400" w:type="dxa"/>
            <w:tcBorders>
              <w:top w:val="nil"/>
              <w:left w:val="nil"/>
              <w:bottom w:val="nil"/>
              <w:right w:val="nil"/>
            </w:tcBorders>
            <w:tcMar>
              <w:top w:w="128" w:type="dxa"/>
              <w:left w:w="43" w:type="dxa"/>
              <w:bottom w:w="43" w:type="dxa"/>
              <w:right w:w="43" w:type="dxa"/>
            </w:tcMar>
            <w:vAlign w:val="bottom"/>
          </w:tcPr>
          <w:p w14:paraId="357CD676" w14:textId="77777777" w:rsidR="00575AC3" w:rsidRPr="006D40F0" w:rsidRDefault="00575AC3" w:rsidP="006D40F0"/>
        </w:tc>
      </w:tr>
      <w:tr w:rsidR="00DD49A7" w:rsidRPr="006D40F0" w14:paraId="33AD1096" w14:textId="77777777">
        <w:trPr>
          <w:trHeight w:val="380"/>
        </w:trPr>
        <w:tc>
          <w:tcPr>
            <w:tcW w:w="680" w:type="dxa"/>
            <w:tcBorders>
              <w:top w:val="nil"/>
              <w:left w:val="nil"/>
              <w:bottom w:val="nil"/>
              <w:right w:val="nil"/>
            </w:tcBorders>
            <w:tcMar>
              <w:top w:w="128" w:type="dxa"/>
              <w:left w:w="43" w:type="dxa"/>
              <w:bottom w:w="43" w:type="dxa"/>
              <w:right w:w="43" w:type="dxa"/>
            </w:tcMar>
          </w:tcPr>
          <w:p w14:paraId="51295726" w14:textId="77777777" w:rsidR="00575AC3" w:rsidRPr="006D40F0" w:rsidRDefault="00575AC3" w:rsidP="006D40F0">
            <w:r w:rsidRPr="006D40F0">
              <w:t>3856</w:t>
            </w:r>
          </w:p>
        </w:tc>
        <w:tc>
          <w:tcPr>
            <w:tcW w:w="680" w:type="dxa"/>
            <w:tcBorders>
              <w:top w:val="nil"/>
              <w:left w:val="nil"/>
              <w:bottom w:val="nil"/>
              <w:right w:val="nil"/>
            </w:tcBorders>
            <w:tcMar>
              <w:top w:w="128" w:type="dxa"/>
              <w:left w:w="43" w:type="dxa"/>
              <w:bottom w:w="43" w:type="dxa"/>
              <w:right w:w="43" w:type="dxa"/>
            </w:tcMar>
          </w:tcPr>
          <w:p w14:paraId="3A012AF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9DB121C" w14:textId="77777777" w:rsidR="00575AC3" w:rsidRPr="006D40F0" w:rsidRDefault="00575AC3" w:rsidP="006D40F0">
            <w:r w:rsidRPr="006D40F0">
              <w:t>Barnevernets omsorgssenter for enslige, mindreårige asylsøkere:</w:t>
            </w:r>
          </w:p>
        </w:tc>
        <w:tc>
          <w:tcPr>
            <w:tcW w:w="1400" w:type="dxa"/>
            <w:tcBorders>
              <w:top w:val="nil"/>
              <w:left w:val="nil"/>
              <w:bottom w:val="nil"/>
              <w:right w:val="nil"/>
            </w:tcBorders>
            <w:tcMar>
              <w:top w:w="128" w:type="dxa"/>
              <w:left w:w="43" w:type="dxa"/>
              <w:bottom w:w="43" w:type="dxa"/>
              <w:right w:w="43" w:type="dxa"/>
            </w:tcMar>
            <w:vAlign w:val="bottom"/>
          </w:tcPr>
          <w:p w14:paraId="4452B315" w14:textId="77777777" w:rsidR="00575AC3" w:rsidRPr="006D40F0" w:rsidRDefault="00575AC3" w:rsidP="006D40F0"/>
        </w:tc>
      </w:tr>
      <w:tr w:rsidR="00DD49A7" w:rsidRPr="006D40F0" w14:paraId="50CB3A56" w14:textId="77777777">
        <w:trPr>
          <w:trHeight w:val="380"/>
        </w:trPr>
        <w:tc>
          <w:tcPr>
            <w:tcW w:w="680" w:type="dxa"/>
            <w:tcBorders>
              <w:top w:val="nil"/>
              <w:left w:val="nil"/>
              <w:bottom w:val="nil"/>
              <w:right w:val="nil"/>
            </w:tcBorders>
            <w:tcMar>
              <w:top w:w="128" w:type="dxa"/>
              <w:left w:w="43" w:type="dxa"/>
              <w:bottom w:w="43" w:type="dxa"/>
              <w:right w:w="43" w:type="dxa"/>
            </w:tcMar>
          </w:tcPr>
          <w:p w14:paraId="116209C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1F1054" w14:textId="77777777" w:rsidR="00575AC3" w:rsidRPr="006D40F0" w:rsidRDefault="00575AC3" w:rsidP="006D40F0">
            <w:r w:rsidRPr="006D40F0">
              <w:t>4</w:t>
            </w:r>
          </w:p>
        </w:tc>
        <w:tc>
          <w:tcPr>
            <w:tcW w:w="6800" w:type="dxa"/>
            <w:tcBorders>
              <w:top w:val="nil"/>
              <w:left w:val="nil"/>
              <w:bottom w:val="nil"/>
              <w:right w:val="nil"/>
            </w:tcBorders>
            <w:tcMar>
              <w:top w:w="128" w:type="dxa"/>
              <w:left w:w="43" w:type="dxa"/>
              <w:bottom w:w="43" w:type="dxa"/>
              <w:right w:w="43" w:type="dxa"/>
            </w:tcMar>
          </w:tcPr>
          <w:p w14:paraId="37C26751" w14:textId="77777777" w:rsidR="00575AC3" w:rsidRPr="006D40F0" w:rsidRDefault="00575AC3" w:rsidP="006D40F0">
            <w:r w:rsidRPr="006D40F0">
              <w:t>Refusjon av ODA-godkjente utgifter, nedsettes med</w:t>
            </w:r>
          </w:p>
        </w:tc>
        <w:tc>
          <w:tcPr>
            <w:tcW w:w="1400" w:type="dxa"/>
            <w:tcBorders>
              <w:top w:val="nil"/>
              <w:left w:val="nil"/>
              <w:bottom w:val="nil"/>
              <w:right w:val="nil"/>
            </w:tcBorders>
            <w:tcMar>
              <w:top w:w="128" w:type="dxa"/>
              <w:left w:w="43" w:type="dxa"/>
              <w:bottom w:w="43" w:type="dxa"/>
              <w:right w:w="43" w:type="dxa"/>
            </w:tcMar>
            <w:vAlign w:val="bottom"/>
          </w:tcPr>
          <w:p w14:paraId="3802718F" w14:textId="77777777" w:rsidR="00575AC3" w:rsidRPr="006D40F0" w:rsidRDefault="00575AC3" w:rsidP="006D40F0">
            <w:r w:rsidRPr="006D40F0">
              <w:t>51 879 000</w:t>
            </w:r>
          </w:p>
        </w:tc>
      </w:tr>
      <w:tr w:rsidR="00DD49A7" w:rsidRPr="006D40F0" w14:paraId="12278A0B" w14:textId="77777777">
        <w:trPr>
          <w:trHeight w:val="380"/>
        </w:trPr>
        <w:tc>
          <w:tcPr>
            <w:tcW w:w="680" w:type="dxa"/>
            <w:tcBorders>
              <w:top w:val="nil"/>
              <w:left w:val="nil"/>
              <w:bottom w:val="nil"/>
              <w:right w:val="nil"/>
            </w:tcBorders>
            <w:tcMar>
              <w:top w:w="128" w:type="dxa"/>
              <w:left w:w="43" w:type="dxa"/>
              <w:bottom w:w="43" w:type="dxa"/>
              <w:right w:w="43" w:type="dxa"/>
            </w:tcMar>
          </w:tcPr>
          <w:p w14:paraId="1F89E8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8B13E1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A71BF9" w14:textId="77777777" w:rsidR="00575AC3" w:rsidRPr="006D40F0" w:rsidRDefault="00575AC3" w:rsidP="006D40F0">
            <w:r w:rsidRPr="006D40F0">
              <w:t>fra kr 452 869 000 til kr 400 990 000</w:t>
            </w:r>
          </w:p>
        </w:tc>
        <w:tc>
          <w:tcPr>
            <w:tcW w:w="1400" w:type="dxa"/>
            <w:tcBorders>
              <w:top w:val="nil"/>
              <w:left w:val="nil"/>
              <w:bottom w:val="nil"/>
              <w:right w:val="nil"/>
            </w:tcBorders>
            <w:tcMar>
              <w:top w:w="128" w:type="dxa"/>
              <w:left w:w="43" w:type="dxa"/>
              <w:bottom w:w="43" w:type="dxa"/>
              <w:right w:w="43" w:type="dxa"/>
            </w:tcMar>
            <w:vAlign w:val="bottom"/>
          </w:tcPr>
          <w:p w14:paraId="2FE8D45C" w14:textId="77777777" w:rsidR="00575AC3" w:rsidRPr="006D40F0" w:rsidRDefault="00575AC3" w:rsidP="006D40F0"/>
        </w:tc>
      </w:tr>
      <w:tr w:rsidR="00DD49A7" w:rsidRPr="006D40F0" w14:paraId="31ACD443" w14:textId="77777777">
        <w:trPr>
          <w:trHeight w:val="380"/>
        </w:trPr>
        <w:tc>
          <w:tcPr>
            <w:tcW w:w="680" w:type="dxa"/>
            <w:tcBorders>
              <w:top w:val="nil"/>
              <w:left w:val="nil"/>
              <w:bottom w:val="nil"/>
              <w:right w:val="nil"/>
            </w:tcBorders>
            <w:tcMar>
              <w:top w:w="128" w:type="dxa"/>
              <w:left w:w="43" w:type="dxa"/>
              <w:bottom w:w="43" w:type="dxa"/>
              <w:right w:w="43" w:type="dxa"/>
            </w:tcMar>
          </w:tcPr>
          <w:p w14:paraId="11E77974" w14:textId="77777777" w:rsidR="00575AC3" w:rsidRPr="006D40F0" w:rsidRDefault="00575AC3" w:rsidP="006D40F0">
            <w:r w:rsidRPr="006D40F0">
              <w:t>3868</w:t>
            </w:r>
          </w:p>
        </w:tc>
        <w:tc>
          <w:tcPr>
            <w:tcW w:w="680" w:type="dxa"/>
            <w:tcBorders>
              <w:top w:val="nil"/>
              <w:left w:val="nil"/>
              <w:bottom w:val="nil"/>
              <w:right w:val="nil"/>
            </w:tcBorders>
            <w:tcMar>
              <w:top w:w="128" w:type="dxa"/>
              <w:left w:w="43" w:type="dxa"/>
              <w:bottom w:w="43" w:type="dxa"/>
              <w:right w:w="43" w:type="dxa"/>
            </w:tcMar>
          </w:tcPr>
          <w:p w14:paraId="782B061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96A8D5" w14:textId="77777777" w:rsidR="00575AC3" w:rsidRPr="006D40F0" w:rsidRDefault="00575AC3" w:rsidP="006D40F0">
            <w:r w:rsidRPr="006D40F0">
              <w:t>Forbrukertilsynet:</w:t>
            </w:r>
          </w:p>
        </w:tc>
        <w:tc>
          <w:tcPr>
            <w:tcW w:w="1400" w:type="dxa"/>
            <w:tcBorders>
              <w:top w:val="nil"/>
              <w:left w:val="nil"/>
              <w:bottom w:val="nil"/>
              <w:right w:val="nil"/>
            </w:tcBorders>
            <w:tcMar>
              <w:top w:w="128" w:type="dxa"/>
              <w:left w:w="43" w:type="dxa"/>
              <w:bottom w:w="43" w:type="dxa"/>
              <w:right w:w="43" w:type="dxa"/>
            </w:tcMar>
            <w:vAlign w:val="bottom"/>
          </w:tcPr>
          <w:p w14:paraId="1FD7B7A4" w14:textId="77777777" w:rsidR="00575AC3" w:rsidRPr="006D40F0" w:rsidRDefault="00575AC3" w:rsidP="006D40F0"/>
        </w:tc>
      </w:tr>
      <w:tr w:rsidR="00DD49A7" w:rsidRPr="006D40F0" w14:paraId="6563663B" w14:textId="77777777">
        <w:trPr>
          <w:trHeight w:val="380"/>
        </w:trPr>
        <w:tc>
          <w:tcPr>
            <w:tcW w:w="680" w:type="dxa"/>
            <w:tcBorders>
              <w:top w:val="nil"/>
              <w:left w:val="nil"/>
              <w:bottom w:val="nil"/>
              <w:right w:val="nil"/>
            </w:tcBorders>
            <w:tcMar>
              <w:top w:w="128" w:type="dxa"/>
              <w:left w:w="43" w:type="dxa"/>
              <w:bottom w:w="43" w:type="dxa"/>
              <w:right w:w="43" w:type="dxa"/>
            </w:tcMar>
          </w:tcPr>
          <w:p w14:paraId="4E57E555"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D05C34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1221726" w14:textId="77777777" w:rsidR="00575AC3" w:rsidRPr="006D40F0" w:rsidRDefault="00575AC3" w:rsidP="006D40F0">
            <w:r w:rsidRPr="006D40F0">
              <w:t>Gebyrinntekter, bevilges med</w:t>
            </w:r>
          </w:p>
        </w:tc>
        <w:tc>
          <w:tcPr>
            <w:tcW w:w="1400" w:type="dxa"/>
            <w:tcBorders>
              <w:top w:val="nil"/>
              <w:left w:val="nil"/>
              <w:bottom w:val="nil"/>
              <w:right w:val="nil"/>
            </w:tcBorders>
            <w:tcMar>
              <w:top w:w="128" w:type="dxa"/>
              <w:left w:w="43" w:type="dxa"/>
              <w:bottom w:w="43" w:type="dxa"/>
              <w:right w:w="43" w:type="dxa"/>
            </w:tcMar>
            <w:vAlign w:val="bottom"/>
          </w:tcPr>
          <w:p w14:paraId="13DECCCC" w14:textId="77777777" w:rsidR="00575AC3" w:rsidRPr="006D40F0" w:rsidRDefault="00575AC3" w:rsidP="006D40F0">
            <w:r w:rsidRPr="006D40F0">
              <w:t>1 500 000</w:t>
            </w:r>
          </w:p>
        </w:tc>
      </w:tr>
      <w:tr w:rsidR="00DD49A7" w:rsidRPr="006D40F0" w14:paraId="608AA41C" w14:textId="77777777">
        <w:trPr>
          <w:trHeight w:val="380"/>
        </w:trPr>
        <w:tc>
          <w:tcPr>
            <w:tcW w:w="680" w:type="dxa"/>
            <w:tcBorders>
              <w:top w:val="nil"/>
              <w:left w:val="nil"/>
              <w:bottom w:val="nil"/>
              <w:right w:val="nil"/>
            </w:tcBorders>
            <w:tcMar>
              <w:top w:w="128" w:type="dxa"/>
              <w:left w:w="43" w:type="dxa"/>
              <w:bottom w:w="43" w:type="dxa"/>
              <w:right w:w="43" w:type="dxa"/>
            </w:tcMar>
          </w:tcPr>
          <w:p w14:paraId="3155CCA6" w14:textId="77777777" w:rsidR="00575AC3" w:rsidRPr="006D40F0" w:rsidRDefault="00575AC3" w:rsidP="006D40F0">
            <w:r w:rsidRPr="006D40F0">
              <w:t>3883</w:t>
            </w:r>
          </w:p>
        </w:tc>
        <w:tc>
          <w:tcPr>
            <w:tcW w:w="680" w:type="dxa"/>
            <w:tcBorders>
              <w:top w:val="nil"/>
              <w:left w:val="nil"/>
              <w:bottom w:val="nil"/>
              <w:right w:val="nil"/>
            </w:tcBorders>
            <w:tcMar>
              <w:top w:w="128" w:type="dxa"/>
              <w:left w:w="43" w:type="dxa"/>
              <w:bottom w:w="43" w:type="dxa"/>
              <w:right w:w="43" w:type="dxa"/>
            </w:tcMar>
          </w:tcPr>
          <w:p w14:paraId="4398CAF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7AFCE62" w14:textId="77777777" w:rsidR="00575AC3" w:rsidRPr="006D40F0" w:rsidRDefault="00575AC3" w:rsidP="006D40F0">
            <w:r w:rsidRPr="006D40F0">
              <w:t>Kirkebevaringsfondet:</w:t>
            </w:r>
          </w:p>
        </w:tc>
        <w:tc>
          <w:tcPr>
            <w:tcW w:w="1400" w:type="dxa"/>
            <w:tcBorders>
              <w:top w:val="nil"/>
              <w:left w:val="nil"/>
              <w:bottom w:val="nil"/>
              <w:right w:val="nil"/>
            </w:tcBorders>
            <w:tcMar>
              <w:top w:w="128" w:type="dxa"/>
              <w:left w:w="43" w:type="dxa"/>
              <w:bottom w:w="43" w:type="dxa"/>
              <w:right w:w="43" w:type="dxa"/>
            </w:tcMar>
            <w:vAlign w:val="bottom"/>
          </w:tcPr>
          <w:p w14:paraId="0E8D5F38" w14:textId="77777777" w:rsidR="00575AC3" w:rsidRPr="006D40F0" w:rsidRDefault="00575AC3" w:rsidP="006D40F0"/>
        </w:tc>
      </w:tr>
      <w:tr w:rsidR="00DD49A7" w:rsidRPr="006D40F0" w14:paraId="25A3E9D2" w14:textId="77777777">
        <w:trPr>
          <w:trHeight w:val="380"/>
        </w:trPr>
        <w:tc>
          <w:tcPr>
            <w:tcW w:w="680" w:type="dxa"/>
            <w:tcBorders>
              <w:top w:val="nil"/>
              <w:left w:val="nil"/>
              <w:bottom w:val="nil"/>
              <w:right w:val="nil"/>
            </w:tcBorders>
            <w:tcMar>
              <w:top w:w="128" w:type="dxa"/>
              <w:left w:w="43" w:type="dxa"/>
              <w:bottom w:w="43" w:type="dxa"/>
              <w:right w:w="43" w:type="dxa"/>
            </w:tcMar>
          </w:tcPr>
          <w:p w14:paraId="41C6ABED"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7DBE7032"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0DE32AD9" w14:textId="77777777" w:rsidR="00575AC3" w:rsidRPr="006D40F0" w:rsidRDefault="00575AC3" w:rsidP="006D40F0">
            <w:r w:rsidRPr="006D40F0">
              <w:t>Overført fra Kirkebevaringsfondet, bevilges med</w:t>
            </w:r>
          </w:p>
        </w:tc>
        <w:tc>
          <w:tcPr>
            <w:tcW w:w="1400" w:type="dxa"/>
            <w:tcBorders>
              <w:top w:val="nil"/>
              <w:left w:val="nil"/>
              <w:bottom w:val="nil"/>
              <w:right w:val="nil"/>
            </w:tcBorders>
            <w:tcMar>
              <w:top w:w="128" w:type="dxa"/>
              <w:left w:w="43" w:type="dxa"/>
              <w:bottom w:w="43" w:type="dxa"/>
              <w:right w:w="43" w:type="dxa"/>
            </w:tcMar>
            <w:vAlign w:val="bottom"/>
          </w:tcPr>
          <w:p w14:paraId="5EEF83E6" w14:textId="77777777" w:rsidR="00575AC3" w:rsidRPr="006D40F0" w:rsidRDefault="00575AC3" w:rsidP="006D40F0">
            <w:r w:rsidRPr="006D40F0">
              <w:t>100 000 000</w:t>
            </w:r>
          </w:p>
        </w:tc>
      </w:tr>
      <w:tr w:rsidR="00DD49A7" w:rsidRPr="006D40F0" w14:paraId="0E041D9B" w14:textId="77777777">
        <w:trPr>
          <w:trHeight w:val="380"/>
        </w:trPr>
        <w:tc>
          <w:tcPr>
            <w:tcW w:w="680" w:type="dxa"/>
            <w:tcBorders>
              <w:top w:val="nil"/>
              <w:left w:val="nil"/>
              <w:bottom w:val="nil"/>
              <w:right w:val="nil"/>
            </w:tcBorders>
            <w:tcMar>
              <w:top w:w="128" w:type="dxa"/>
              <w:left w:w="43" w:type="dxa"/>
              <w:bottom w:w="43" w:type="dxa"/>
              <w:right w:w="43" w:type="dxa"/>
            </w:tcMar>
          </w:tcPr>
          <w:p w14:paraId="1C4DD9E9" w14:textId="77777777" w:rsidR="00575AC3" w:rsidRPr="006D40F0" w:rsidRDefault="00575AC3" w:rsidP="006D40F0">
            <w:r w:rsidRPr="006D40F0">
              <w:t>3904</w:t>
            </w:r>
          </w:p>
        </w:tc>
        <w:tc>
          <w:tcPr>
            <w:tcW w:w="680" w:type="dxa"/>
            <w:tcBorders>
              <w:top w:val="nil"/>
              <w:left w:val="nil"/>
              <w:bottom w:val="nil"/>
              <w:right w:val="nil"/>
            </w:tcBorders>
            <w:tcMar>
              <w:top w:w="128" w:type="dxa"/>
              <w:left w:w="43" w:type="dxa"/>
              <w:bottom w:w="43" w:type="dxa"/>
              <w:right w:w="43" w:type="dxa"/>
            </w:tcMar>
          </w:tcPr>
          <w:p w14:paraId="71AD71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D8A16D" w14:textId="77777777" w:rsidR="00575AC3" w:rsidRPr="006D40F0" w:rsidRDefault="00575AC3" w:rsidP="006D40F0">
            <w:r w:rsidRPr="006D40F0">
              <w:t>Brønnøysundregistrene:</w:t>
            </w:r>
          </w:p>
        </w:tc>
        <w:tc>
          <w:tcPr>
            <w:tcW w:w="1400" w:type="dxa"/>
            <w:tcBorders>
              <w:top w:val="nil"/>
              <w:left w:val="nil"/>
              <w:bottom w:val="nil"/>
              <w:right w:val="nil"/>
            </w:tcBorders>
            <w:tcMar>
              <w:top w:w="128" w:type="dxa"/>
              <w:left w:w="43" w:type="dxa"/>
              <w:bottom w:w="43" w:type="dxa"/>
              <w:right w:w="43" w:type="dxa"/>
            </w:tcMar>
            <w:vAlign w:val="bottom"/>
          </w:tcPr>
          <w:p w14:paraId="02B5A83F" w14:textId="77777777" w:rsidR="00575AC3" w:rsidRPr="006D40F0" w:rsidRDefault="00575AC3" w:rsidP="006D40F0"/>
        </w:tc>
      </w:tr>
      <w:tr w:rsidR="00DD49A7" w:rsidRPr="006D40F0" w14:paraId="69DBC486" w14:textId="77777777">
        <w:trPr>
          <w:trHeight w:val="380"/>
        </w:trPr>
        <w:tc>
          <w:tcPr>
            <w:tcW w:w="680" w:type="dxa"/>
            <w:tcBorders>
              <w:top w:val="nil"/>
              <w:left w:val="nil"/>
              <w:bottom w:val="nil"/>
              <w:right w:val="nil"/>
            </w:tcBorders>
            <w:tcMar>
              <w:top w:w="128" w:type="dxa"/>
              <w:left w:w="43" w:type="dxa"/>
              <w:bottom w:w="43" w:type="dxa"/>
              <w:right w:w="43" w:type="dxa"/>
            </w:tcMar>
          </w:tcPr>
          <w:p w14:paraId="4EF076F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0FA56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54A81C5" w14:textId="77777777" w:rsidR="00575AC3" w:rsidRPr="006D40F0" w:rsidRDefault="00575AC3" w:rsidP="006D40F0">
            <w:r w:rsidRPr="006D40F0">
              <w:t>Gebyrinntekter,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56613284" w14:textId="77777777" w:rsidR="00575AC3" w:rsidRPr="006D40F0" w:rsidRDefault="00575AC3" w:rsidP="006D40F0">
            <w:r w:rsidRPr="006D40F0">
              <w:t>40 600 000</w:t>
            </w:r>
          </w:p>
        </w:tc>
      </w:tr>
      <w:tr w:rsidR="00DD49A7" w:rsidRPr="006D40F0" w14:paraId="67BE39E2" w14:textId="77777777">
        <w:trPr>
          <w:trHeight w:val="380"/>
        </w:trPr>
        <w:tc>
          <w:tcPr>
            <w:tcW w:w="680" w:type="dxa"/>
            <w:tcBorders>
              <w:top w:val="nil"/>
              <w:left w:val="nil"/>
              <w:bottom w:val="nil"/>
              <w:right w:val="nil"/>
            </w:tcBorders>
            <w:tcMar>
              <w:top w:w="128" w:type="dxa"/>
              <w:left w:w="43" w:type="dxa"/>
              <w:bottom w:w="43" w:type="dxa"/>
              <w:right w:w="43" w:type="dxa"/>
            </w:tcMar>
          </w:tcPr>
          <w:p w14:paraId="2F0F28F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A34ED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156AE5" w14:textId="77777777" w:rsidR="00575AC3" w:rsidRPr="006D40F0" w:rsidRDefault="00575AC3" w:rsidP="006D40F0">
            <w:r w:rsidRPr="006D40F0">
              <w:t>fra kr 715 065 000 til kr 674 465 000</w:t>
            </w:r>
          </w:p>
        </w:tc>
        <w:tc>
          <w:tcPr>
            <w:tcW w:w="1400" w:type="dxa"/>
            <w:tcBorders>
              <w:top w:val="nil"/>
              <w:left w:val="nil"/>
              <w:bottom w:val="nil"/>
              <w:right w:val="nil"/>
            </w:tcBorders>
            <w:tcMar>
              <w:top w:w="128" w:type="dxa"/>
              <w:left w:w="43" w:type="dxa"/>
              <w:bottom w:w="43" w:type="dxa"/>
              <w:right w:w="43" w:type="dxa"/>
            </w:tcMar>
            <w:vAlign w:val="bottom"/>
          </w:tcPr>
          <w:p w14:paraId="5FB2C1B6" w14:textId="77777777" w:rsidR="00575AC3" w:rsidRPr="006D40F0" w:rsidRDefault="00575AC3" w:rsidP="006D40F0"/>
        </w:tc>
      </w:tr>
      <w:tr w:rsidR="00DD49A7" w:rsidRPr="006D40F0" w14:paraId="286398A9" w14:textId="77777777">
        <w:trPr>
          <w:trHeight w:val="380"/>
        </w:trPr>
        <w:tc>
          <w:tcPr>
            <w:tcW w:w="680" w:type="dxa"/>
            <w:tcBorders>
              <w:top w:val="nil"/>
              <w:left w:val="nil"/>
              <w:bottom w:val="nil"/>
              <w:right w:val="nil"/>
            </w:tcBorders>
            <w:tcMar>
              <w:top w:w="128" w:type="dxa"/>
              <w:left w:w="43" w:type="dxa"/>
              <w:bottom w:w="43" w:type="dxa"/>
              <w:right w:w="43" w:type="dxa"/>
            </w:tcMar>
          </w:tcPr>
          <w:p w14:paraId="07BF79FB" w14:textId="77777777" w:rsidR="00575AC3" w:rsidRPr="006D40F0" w:rsidRDefault="00575AC3" w:rsidP="006D40F0">
            <w:r w:rsidRPr="006D40F0">
              <w:t>3908</w:t>
            </w:r>
          </w:p>
        </w:tc>
        <w:tc>
          <w:tcPr>
            <w:tcW w:w="680" w:type="dxa"/>
            <w:tcBorders>
              <w:top w:val="nil"/>
              <w:left w:val="nil"/>
              <w:bottom w:val="nil"/>
              <w:right w:val="nil"/>
            </w:tcBorders>
            <w:tcMar>
              <w:top w:w="128" w:type="dxa"/>
              <w:left w:w="43" w:type="dxa"/>
              <w:bottom w:w="43" w:type="dxa"/>
              <w:right w:w="43" w:type="dxa"/>
            </w:tcMar>
          </w:tcPr>
          <w:p w14:paraId="57B754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F39FC13" w14:textId="77777777" w:rsidR="00575AC3" w:rsidRPr="006D40F0" w:rsidRDefault="00575AC3" w:rsidP="006D40F0">
            <w:r w:rsidRPr="006D40F0">
              <w:t>Institutt for energiteknikk:</w:t>
            </w:r>
          </w:p>
        </w:tc>
        <w:tc>
          <w:tcPr>
            <w:tcW w:w="1400" w:type="dxa"/>
            <w:tcBorders>
              <w:top w:val="nil"/>
              <w:left w:val="nil"/>
              <w:bottom w:val="nil"/>
              <w:right w:val="nil"/>
            </w:tcBorders>
            <w:tcMar>
              <w:top w:w="128" w:type="dxa"/>
              <w:left w:w="43" w:type="dxa"/>
              <w:bottom w:w="43" w:type="dxa"/>
              <w:right w:w="43" w:type="dxa"/>
            </w:tcMar>
            <w:vAlign w:val="bottom"/>
          </w:tcPr>
          <w:p w14:paraId="5E882796" w14:textId="77777777" w:rsidR="00575AC3" w:rsidRPr="006D40F0" w:rsidRDefault="00575AC3" w:rsidP="006D40F0"/>
        </w:tc>
      </w:tr>
      <w:tr w:rsidR="00DD49A7" w:rsidRPr="006D40F0" w14:paraId="0AC59914" w14:textId="77777777">
        <w:trPr>
          <w:trHeight w:val="380"/>
        </w:trPr>
        <w:tc>
          <w:tcPr>
            <w:tcW w:w="680" w:type="dxa"/>
            <w:tcBorders>
              <w:top w:val="nil"/>
              <w:left w:val="nil"/>
              <w:bottom w:val="nil"/>
              <w:right w:val="nil"/>
            </w:tcBorders>
            <w:tcMar>
              <w:top w:w="128" w:type="dxa"/>
              <w:left w:w="43" w:type="dxa"/>
              <w:bottom w:w="43" w:type="dxa"/>
              <w:right w:w="43" w:type="dxa"/>
            </w:tcMar>
          </w:tcPr>
          <w:p w14:paraId="0FE445D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35816A8"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256A04CC" w14:textId="77777777" w:rsidR="00575AC3" w:rsidRPr="006D40F0" w:rsidRDefault="00575AC3" w:rsidP="006D40F0">
            <w:r w:rsidRPr="006D40F0">
              <w:t>Renter, nedsettes med</w:t>
            </w:r>
          </w:p>
        </w:tc>
        <w:tc>
          <w:tcPr>
            <w:tcW w:w="1400" w:type="dxa"/>
            <w:tcBorders>
              <w:top w:val="nil"/>
              <w:left w:val="nil"/>
              <w:bottom w:val="nil"/>
              <w:right w:val="nil"/>
            </w:tcBorders>
            <w:tcMar>
              <w:top w:w="128" w:type="dxa"/>
              <w:left w:w="43" w:type="dxa"/>
              <w:bottom w:w="43" w:type="dxa"/>
              <w:right w:w="43" w:type="dxa"/>
            </w:tcMar>
            <w:vAlign w:val="bottom"/>
          </w:tcPr>
          <w:p w14:paraId="6F46D0CF" w14:textId="77777777" w:rsidR="00575AC3" w:rsidRPr="006D40F0" w:rsidRDefault="00575AC3" w:rsidP="006D40F0">
            <w:r w:rsidRPr="006D40F0">
              <w:t>1 800 000</w:t>
            </w:r>
          </w:p>
        </w:tc>
      </w:tr>
      <w:tr w:rsidR="00DD49A7" w:rsidRPr="006D40F0" w14:paraId="7E93B7C6" w14:textId="77777777">
        <w:trPr>
          <w:trHeight w:val="380"/>
        </w:trPr>
        <w:tc>
          <w:tcPr>
            <w:tcW w:w="680" w:type="dxa"/>
            <w:tcBorders>
              <w:top w:val="nil"/>
              <w:left w:val="nil"/>
              <w:bottom w:val="nil"/>
              <w:right w:val="nil"/>
            </w:tcBorders>
            <w:tcMar>
              <w:top w:w="128" w:type="dxa"/>
              <w:left w:w="43" w:type="dxa"/>
              <w:bottom w:w="43" w:type="dxa"/>
              <w:right w:w="43" w:type="dxa"/>
            </w:tcMar>
          </w:tcPr>
          <w:p w14:paraId="598E3BC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972A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41F88D" w14:textId="77777777" w:rsidR="00575AC3" w:rsidRPr="006D40F0" w:rsidRDefault="00575AC3" w:rsidP="006D40F0">
            <w:r w:rsidRPr="006D40F0">
              <w:t>fra kr 3 400 000 til kr 1 600 000</w:t>
            </w:r>
          </w:p>
        </w:tc>
        <w:tc>
          <w:tcPr>
            <w:tcW w:w="1400" w:type="dxa"/>
            <w:tcBorders>
              <w:top w:val="nil"/>
              <w:left w:val="nil"/>
              <w:bottom w:val="nil"/>
              <w:right w:val="nil"/>
            </w:tcBorders>
            <w:tcMar>
              <w:top w:w="128" w:type="dxa"/>
              <w:left w:w="43" w:type="dxa"/>
              <w:bottom w:w="43" w:type="dxa"/>
              <w:right w:w="43" w:type="dxa"/>
            </w:tcMar>
            <w:vAlign w:val="bottom"/>
          </w:tcPr>
          <w:p w14:paraId="37E8F1DF" w14:textId="77777777" w:rsidR="00575AC3" w:rsidRPr="006D40F0" w:rsidRDefault="00575AC3" w:rsidP="006D40F0"/>
        </w:tc>
      </w:tr>
      <w:tr w:rsidR="00DD49A7" w:rsidRPr="006D40F0" w14:paraId="21A8F6DF" w14:textId="77777777">
        <w:trPr>
          <w:trHeight w:val="380"/>
        </w:trPr>
        <w:tc>
          <w:tcPr>
            <w:tcW w:w="680" w:type="dxa"/>
            <w:tcBorders>
              <w:top w:val="nil"/>
              <w:left w:val="nil"/>
              <w:bottom w:val="nil"/>
              <w:right w:val="nil"/>
            </w:tcBorders>
            <w:tcMar>
              <w:top w:w="128" w:type="dxa"/>
              <w:left w:w="43" w:type="dxa"/>
              <w:bottom w:w="43" w:type="dxa"/>
              <w:right w:w="43" w:type="dxa"/>
            </w:tcMar>
          </w:tcPr>
          <w:p w14:paraId="03FE2DE1" w14:textId="77777777" w:rsidR="00575AC3" w:rsidRPr="006D40F0" w:rsidRDefault="00575AC3" w:rsidP="006D40F0">
            <w:r w:rsidRPr="006D40F0">
              <w:t>3912</w:t>
            </w:r>
          </w:p>
        </w:tc>
        <w:tc>
          <w:tcPr>
            <w:tcW w:w="680" w:type="dxa"/>
            <w:tcBorders>
              <w:top w:val="nil"/>
              <w:left w:val="nil"/>
              <w:bottom w:val="nil"/>
              <w:right w:val="nil"/>
            </w:tcBorders>
            <w:tcMar>
              <w:top w:w="128" w:type="dxa"/>
              <w:left w:w="43" w:type="dxa"/>
              <w:bottom w:w="43" w:type="dxa"/>
              <w:right w:w="43" w:type="dxa"/>
            </w:tcMar>
          </w:tcPr>
          <w:p w14:paraId="4932C97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C677A9A" w14:textId="77777777" w:rsidR="00575AC3" w:rsidRPr="006D40F0" w:rsidRDefault="00575AC3" w:rsidP="006D40F0">
            <w:r w:rsidRPr="006D40F0">
              <w:t>Klagenemndssekretariatet:</w:t>
            </w:r>
          </w:p>
        </w:tc>
        <w:tc>
          <w:tcPr>
            <w:tcW w:w="1400" w:type="dxa"/>
            <w:tcBorders>
              <w:top w:val="nil"/>
              <w:left w:val="nil"/>
              <w:bottom w:val="nil"/>
              <w:right w:val="nil"/>
            </w:tcBorders>
            <w:tcMar>
              <w:top w:w="128" w:type="dxa"/>
              <w:left w:w="43" w:type="dxa"/>
              <w:bottom w:w="43" w:type="dxa"/>
              <w:right w:w="43" w:type="dxa"/>
            </w:tcMar>
            <w:vAlign w:val="bottom"/>
          </w:tcPr>
          <w:p w14:paraId="68D72B67" w14:textId="77777777" w:rsidR="00575AC3" w:rsidRPr="006D40F0" w:rsidRDefault="00575AC3" w:rsidP="006D40F0"/>
        </w:tc>
      </w:tr>
      <w:tr w:rsidR="00DD49A7" w:rsidRPr="006D40F0" w14:paraId="560C6903" w14:textId="77777777">
        <w:trPr>
          <w:trHeight w:val="380"/>
        </w:trPr>
        <w:tc>
          <w:tcPr>
            <w:tcW w:w="680" w:type="dxa"/>
            <w:tcBorders>
              <w:top w:val="nil"/>
              <w:left w:val="nil"/>
              <w:bottom w:val="nil"/>
              <w:right w:val="nil"/>
            </w:tcBorders>
            <w:tcMar>
              <w:top w:w="128" w:type="dxa"/>
              <w:left w:w="43" w:type="dxa"/>
              <w:bottom w:w="43" w:type="dxa"/>
              <w:right w:w="43" w:type="dxa"/>
            </w:tcMar>
          </w:tcPr>
          <w:p w14:paraId="6A13846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9CC4B61"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D746C6D" w14:textId="77777777" w:rsidR="00575AC3" w:rsidRPr="006D40F0" w:rsidRDefault="00575AC3" w:rsidP="006D40F0">
            <w:r w:rsidRPr="006D40F0">
              <w:t>Klagegebyr, forhøyes med</w:t>
            </w:r>
          </w:p>
        </w:tc>
        <w:tc>
          <w:tcPr>
            <w:tcW w:w="1400" w:type="dxa"/>
            <w:tcBorders>
              <w:top w:val="nil"/>
              <w:left w:val="nil"/>
              <w:bottom w:val="nil"/>
              <w:right w:val="nil"/>
            </w:tcBorders>
            <w:tcMar>
              <w:top w:w="128" w:type="dxa"/>
              <w:left w:w="43" w:type="dxa"/>
              <w:bottom w:w="43" w:type="dxa"/>
              <w:right w:w="43" w:type="dxa"/>
            </w:tcMar>
            <w:vAlign w:val="bottom"/>
          </w:tcPr>
          <w:p w14:paraId="76708788" w14:textId="77777777" w:rsidR="00575AC3" w:rsidRPr="006D40F0" w:rsidRDefault="00575AC3" w:rsidP="006D40F0">
            <w:r w:rsidRPr="006D40F0">
              <w:t>111 000</w:t>
            </w:r>
          </w:p>
        </w:tc>
      </w:tr>
      <w:tr w:rsidR="00DD49A7" w:rsidRPr="006D40F0" w14:paraId="081E3D29" w14:textId="77777777">
        <w:trPr>
          <w:trHeight w:val="380"/>
        </w:trPr>
        <w:tc>
          <w:tcPr>
            <w:tcW w:w="680" w:type="dxa"/>
            <w:tcBorders>
              <w:top w:val="nil"/>
              <w:left w:val="nil"/>
              <w:bottom w:val="nil"/>
              <w:right w:val="nil"/>
            </w:tcBorders>
            <w:tcMar>
              <w:top w:w="128" w:type="dxa"/>
              <w:left w:w="43" w:type="dxa"/>
              <w:bottom w:w="43" w:type="dxa"/>
              <w:right w:w="43" w:type="dxa"/>
            </w:tcMar>
          </w:tcPr>
          <w:p w14:paraId="352574A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F8047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D09ACE" w14:textId="77777777" w:rsidR="00575AC3" w:rsidRPr="006D40F0" w:rsidRDefault="00575AC3" w:rsidP="006D40F0">
            <w:r w:rsidRPr="006D40F0">
              <w:t>fra kr 689 000 til kr 800 000</w:t>
            </w:r>
          </w:p>
        </w:tc>
        <w:tc>
          <w:tcPr>
            <w:tcW w:w="1400" w:type="dxa"/>
            <w:tcBorders>
              <w:top w:val="nil"/>
              <w:left w:val="nil"/>
              <w:bottom w:val="nil"/>
              <w:right w:val="nil"/>
            </w:tcBorders>
            <w:tcMar>
              <w:top w:w="128" w:type="dxa"/>
              <w:left w:w="43" w:type="dxa"/>
              <w:bottom w:w="43" w:type="dxa"/>
              <w:right w:w="43" w:type="dxa"/>
            </w:tcMar>
            <w:vAlign w:val="bottom"/>
          </w:tcPr>
          <w:p w14:paraId="26CFACA0" w14:textId="77777777" w:rsidR="00575AC3" w:rsidRPr="006D40F0" w:rsidRDefault="00575AC3" w:rsidP="006D40F0"/>
        </w:tc>
      </w:tr>
      <w:tr w:rsidR="00DD49A7" w:rsidRPr="006D40F0" w14:paraId="38C6A71A" w14:textId="77777777">
        <w:trPr>
          <w:trHeight w:val="380"/>
        </w:trPr>
        <w:tc>
          <w:tcPr>
            <w:tcW w:w="680" w:type="dxa"/>
            <w:tcBorders>
              <w:top w:val="nil"/>
              <w:left w:val="nil"/>
              <w:bottom w:val="nil"/>
              <w:right w:val="nil"/>
            </w:tcBorders>
            <w:tcMar>
              <w:top w:w="128" w:type="dxa"/>
              <w:left w:w="43" w:type="dxa"/>
              <w:bottom w:w="43" w:type="dxa"/>
              <w:right w:w="43" w:type="dxa"/>
            </w:tcMar>
          </w:tcPr>
          <w:p w14:paraId="0B1D08D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3E9DE40"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6E002087" w14:textId="77777777" w:rsidR="00575AC3" w:rsidRPr="006D40F0" w:rsidRDefault="00575AC3" w:rsidP="006D40F0">
            <w:r w:rsidRPr="006D40F0">
              <w:t>Refusjoner og andre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15ECCECF" w14:textId="77777777" w:rsidR="00575AC3" w:rsidRPr="006D40F0" w:rsidRDefault="00575AC3" w:rsidP="006D40F0">
            <w:r w:rsidRPr="006D40F0">
              <w:t>291 000</w:t>
            </w:r>
          </w:p>
        </w:tc>
      </w:tr>
      <w:tr w:rsidR="00DD49A7" w:rsidRPr="006D40F0" w14:paraId="56C44ABD" w14:textId="77777777">
        <w:trPr>
          <w:trHeight w:val="380"/>
        </w:trPr>
        <w:tc>
          <w:tcPr>
            <w:tcW w:w="680" w:type="dxa"/>
            <w:tcBorders>
              <w:top w:val="nil"/>
              <w:left w:val="nil"/>
              <w:bottom w:val="nil"/>
              <w:right w:val="nil"/>
            </w:tcBorders>
            <w:tcMar>
              <w:top w:w="128" w:type="dxa"/>
              <w:left w:w="43" w:type="dxa"/>
              <w:bottom w:w="43" w:type="dxa"/>
              <w:right w:w="43" w:type="dxa"/>
            </w:tcMar>
          </w:tcPr>
          <w:p w14:paraId="38056A5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2CE241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4A4F14" w14:textId="77777777" w:rsidR="00575AC3" w:rsidRPr="006D40F0" w:rsidRDefault="00575AC3" w:rsidP="006D40F0">
            <w:r w:rsidRPr="006D40F0">
              <w:t>fra kr 209 000 til kr 500 000</w:t>
            </w:r>
          </w:p>
        </w:tc>
        <w:tc>
          <w:tcPr>
            <w:tcW w:w="1400" w:type="dxa"/>
            <w:tcBorders>
              <w:top w:val="nil"/>
              <w:left w:val="nil"/>
              <w:bottom w:val="nil"/>
              <w:right w:val="nil"/>
            </w:tcBorders>
            <w:tcMar>
              <w:top w:w="128" w:type="dxa"/>
              <w:left w:w="43" w:type="dxa"/>
              <w:bottom w:w="43" w:type="dxa"/>
              <w:right w:w="43" w:type="dxa"/>
            </w:tcMar>
            <w:vAlign w:val="bottom"/>
          </w:tcPr>
          <w:p w14:paraId="32C8A73B" w14:textId="77777777" w:rsidR="00575AC3" w:rsidRPr="006D40F0" w:rsidRDefault="00575AC3" w:rsidP="006D40F0"/>
        </w:tc>
      </w:tr>
      <w:tr w:rsidR="00DD49A7" w:rsidRPr="006D40F0" w14:paraId="3503A1B4" w14:textId="77777777">
        <w:trPr>
          <w:trHeight w:val="380"/>
        </w:trPr>
        <w:tc>
          <w:tcPr>
            <w:tcW w:w="680" w:type="dxa"/>
            <w:tcBorders>
              <w:top w:val="nil"/>
              <w:left w:val="nil"/>
              <w:bottom w:val="nil"/>
              <w:right w:val="nil"/>
            </w:tcBorders>
            <w:tcMar>
              <w:top w:w="128" w:type="dxa"/>
              <w:left w:w="43" w:type="dxa"/>
              <w:bottom w:w="43" w:type="dxa"/>
              <w:right w:w="43" w:type="dxa"/>
            </w:tcMar>
          </w:tcPr>
          <w:p w14:paraId="437419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FDE36B" w14:textId="77777777" w:rsidR="00575AC3" w:rsidRPr="006D40F0" w:rsidRDefault="00575AC3" w:rsidP="006D40F0">
            <w:r w:rsidRPr="006D40F0">
              <w:t>87</w:t>
            </w:r>
          </w:p>
        </w:tc>
        <w:tc>
          <w:tcPr>
            <w:tcW w:w="6800" w:type="dxa"/>
            <w:tcBorders>
              <w:top w:val="nil"/>
              <w:left w:val="nil"/>
              <w:bottom w:val="nil"/>
              <w:right w:val="nil"/>
            </w:tcBorders>
            <w:tcMar>
              <w:top w:w="128" w:type="dxa"/>
              <w:left w:w="43" w:type="dxa"/>
              <w:bottom w:w="43" w:type="dxa"/>
              <w:right w:w="43" w:type="dxa"/>
            </w:tcMar>
          </w:tcPr>
          <w:p w14:paraId="420A6985" w14:textId="77777777" w:rsidR="00575AC3" w:rsidRPr="006D40F0" w:rsidRDefault="00575AC3" w:rsidP="006D40F0">
            <w:r w:rsidRPr="006D40F0">
              <w:t>Overtredelsesgebyr, forhøyes med</w:t>
            </w:r>
          </w:p>
        </w:tc>
        <w:tc>
          <w:tcPr>
            <w:tcW w:w="1400" w:type="dxa"/>
            <w:tcBorders>
              <w:top w:val="nil"/>
              <w:left w:val="nil"/>
              <w:bottom w:val="nil"/>
              <w:right w:val="nil"/>
            </w:tcBorders>
            <w:tcMar>
              <w:top w:w="128" w:type="dxa"/>
              <w:left w:w="43" w:type="dxa"/>
              <w:bottom w:w="43" w:type="dxa"/>
              <w:right w:w="43" w:type="dxa"/>
            </w:tcMar>
            <w:vAlign w:val="bottom"/>
          </w:tcPr>
          <w:p w14:paraId="247EF181" w14:textId="77777777" w:rsidR="00575AC3" w:rsidRPr="006D40F0" w:rsidRDefault="00575AC3" w:rsidP="006D40F0">
            <w:r w:rsidRPr="006D40F0">
              <w:t>12 300 000</w:t>
            </w:r>
          </w:p>
        </w:tc>
      </w:tr>
      <w:tr w:rsidR="00DD49A7" w:rsidRPr="006D40F0" w14:paraId="55643A1C" w14:textId="77777777">
        <w:trPr>
          <w:trHeight w:val="380"/>
        </w:trPr>
        <w:tc>
          <w:tcPr>
            <w:tcW w:w="680" w:type="dxa"/>
            <w:tcBorders>
              <w:top w:val="nil"/>
              <w:left w:val="nil"/>
              <w:bottom w:val="nil"/>
              <w:right w:val="nil"/>
            </w:tcBorders>
            <w:tcMar>
              <w:top w:w="128" w:type="dxa"/>
              <w:left w:w="43" w:type="dxa"/>
              <w:bottom w:w="43" w:type="dxa"/>
              <w:right w:w="43" w:type="dxa"/>
            </w:tcMar>
          </w:tcPr>
          <w:p w14:paraId="675F46F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31492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CFCFC1" w14:textId="77777777" w:rsidR="00575AC3" w:rsidRPr="006D40F0" w:rsidRDefault="00575AC3" w:rsidP="006D40F0">
            <w:r w:rsidRPr="006D40F0">
              <w:t>fra kr 100 000 til kr 12 400 000</w:t>
            </w:r>
          </w:p>
        </w:tc>
        <w:tc>
          <w:tcPr>
            <w:tcW w:w="1400" w:type="dxa"/>
            <w:tcBorders>
              <w:top w:val="nil"/>
              <w:left w:val="nil"/>
              <w:bottom w:val="nil"/>
              <w:right w:val="nil"/>
            </w:tcBorders>
            <w:tcMar>
              <w:top w:w="128" w:type="dxa"/>
              <w:left w:w="43" w:type="dxa"/>
              <w:bottom w:w="43" w:type="dxa"/>
              <w:right w:w="43" w:type="dxa"/>
            </w:tcMar>
            <w:vAlign w:val="bottom"/>
          </w:tcPr>
          <w:p w14:paraId="1D620B9D" w14:textId="77777777" w:rsidR="00575AC3" w:rsidRPr="006D40F0" w:rsidRDefault="00575AC3" w:rsidP="006D40F0"/>
        </w:tc>
      </w:tr>
      <w:tr w:rsidR="00DD49A7" w:rsidRPr="006D40F0" w14:paraId="24554AC0" w14:textId="77777777">
        <w:trPr>
          <w:trHeight w:val="380"/>
        </w:trPr>
        <w:tc>
          <w:tcPr>
            <w:tcW w:w="680" w:type="dxa"/>
            <w:tcBorders>
              <w:top w:val="nil"/>
              <w:left w:val="nil"/>
              <w:bottom w:val="nil"/>
              <w:right w:val="nil"/>
            </w:tcBorders>
            <w:tcMar>
              <w:top w:w="128" w:type="dxa"/>
              <w:left w:w="43" w:type="dxa"/>
              <w:bottom w:w="43" w:type="dxa"/>
              <w:right w:w="43" w:type="dxa"/>
            </w:tcMar>
          </w:tcPr>
          <w:p w14:paraId="0116273B" w14:textId="77777777" w:rsidR="00575AC3" w:rsidRPr="006D40F0" w:rsidRDefault="00575AC3" w:rsidP="006D40F0">
            <w:r w:rsidRPr="006D40F0">
              <w:t>3917</w:t>
            </w:r>
          </w:p>
        </w:tc>
        <w:tc>
          <w:tcPr>
            <w:tcW w:w="680" w:type="dxa"/>
            <w:tcBorders>
              <w:top w:val="nil"/>
              <w:left w:val="nil"/>
              <w:bottom w:val="nil"/>
              <w:right w:val="nil"/>
            </w:tcBorders>
            <w:tcMar>
              <w:top w:w="128" w:type="dxa"/>
              <w:left w:w="43" w:type="dxa"/>
              <w:bottom w:w="43" w:type="dxa"/>
              <w:right w:w="43" w:type="dxa"/>
            </w:tcMar>
          </w:tcPr>
          <w:p w14:paraId="49EBBAD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6C34C7" w14:textId="77777777" w:rsidR="00575AC3" w:rsidRPr="006D40F0" w:rsidRDefault="00575AC3" w:rsidP="006D40F0">
            <w:r w:rsidRPr="006D40F0">
              <w:t>Fiskeridirektoratet:</w:t>
            </w:r>
          </w:p>
        </w:tc>
        <w:tc>
          <w:tcPr>
            <w:tcW w:w="1400" w:type="dxa"/>
            <w:tcBorders>
              <w:top w:val="nil"/>
              <w:left w:val="nil"/>
              <w:bottom w:val="nil"/>
              <w:right w:val="nil"/>
            </w:tcBorders>
            <w:tcMar>
              <w:top w:w="128" w:type="dxa"/>
              <w:left w:w="43" w:type="dxa"/>
              <w:bottom w:w="43" w:type="dxa"/>
              <w:right w:w="43" w:type="dxa"/>
            </w:tcMar>
            <w:vAlign w:val="bottom"/>
          </w:tcPr>
          <w:p w14:paraId="1931BE11" w14:textId="77777777" w:rsidR="00575AC3" w:rsidRPr="006D40F0" w:rsidRDefault="00575AC3" w:rsidP="006D40F0"/>
        </w:tc>
      </w:tr>
      <w:tr w:rsidR="00DD49A7" w:rsidRPr="006D40F0" w14:paraId="07664424" w14:textId="77777777">
        <w:trPr>
          <w:trHeight w:val="380"/>
        </w:trPr>
        <w:tc>
          <w:tcPr>
            <w:tcW w:w="680" w:type="dxa"/>
            <w:tcBorders>
              <w:top w:val="nil"/>
              <w:left w:val="nil"/>
              <w:bottom w:val="nil"/>
              <w:right w:val="nil"/>
            </w:tcBorders>
            <w:tcMar>
              <w:top w:w="128" w:type="dxa"/>
              <w:left w:w="43" w:type="dxa"/>
              <w:bottom w:w="43" w:type="dxa"/>
              <w:right w:w="43" w:type="dxa"/>
            </w:tcMar>
          </w:tcPr>
          <w:p w14:paraId="7721608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81A88F"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72C5DBA" w14:textId="77777777" w:rsidR="00575AC3" w:rsidRPr="006D40F0" w:rsidRDefault="00575AC3" w:rsidP="006D40F0">
            <w:r w:rsidRPr="006D40F0">
              <w:t>Diverse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0C147201" w14:textId="77777777" w:rsidR="00575AC3" w:rsidRPr="006D40F0" w:rsidRDefault="00575AC3" w:rsidP="006D40F0">
            <w:r w:rsidRPr="006D40F0">
              <w:t>4 900 000</w:t>
            </w:r>
          </w:p>
        </w:tc>
      </w:tr>
      <w:tr w:rsidR="00DD49A7" w:rsidRPr="006D40F0" w14:paraId="13DC1C91" w14:textId="77777777">
        <w:trPr>
          <w:trHeight w:val="380"/>
        </w:trPr>
        <w:tc>
          <w:tcPr>
            <w:tcW w:w="680" w:type="dxa"/>
            <w:tcBorders>
              <w:top w:val="nil"/>
              <w:left w:val="nil"/>
              <w:bottom w:val="nil"/>
              <w:right w:val="nil"/>
            </w:tcBorders>
            <w:tcMar>
              <w:top w:w="128" w:type="dxa"/>
              <w:left w:w="43" w:type="dxa"/>
              <w:bottom w:w="43" w:type="dxa"/>
              <w:right w:w="43" w:type="dxa"/>
            </w:tcMar>
          </w:tcPr>
          <w:p w14:paraId="7950E04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EB8333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B92C7AF" w14:textId="77777777" w:rsidR="00575AC3" w:rsidRPr="006D40F0" w:rsidRDefault="00575AC3" w:rsidP="006D40F0">
            <w:r w:rsidRPr="006D40F0">
              <w:t>fra kr 1 253 000 til kr 6 153 000</w:t>
            </w:r>
          </w:p>
        </w:tc>
        <w:tc>
          <w:tcPr>
            <w:tcW w:w="1400" w:type="dxa"/>
            <w:tcBorders>
              <w:top w:val="nil"/>
              <w:left w:val="nil"/>
              <w:bottom w:val="nil"/>
              <w:right w:val="nil"/>
            </w:tcBorders>
            <w:tcMar>
              <w:top w:w="128" w:type="dxa"/>
              <w:left w:w="43" w:type="dxa"/>
              <w:bottom w:w="43" w:type="dxa"/>
              <w:right w:w="43" w:type="dxa"/>
            </w:tcMar>
            <w:vAlign w:val="bottom"/>
          </w:tcPr>
          <w:p w14:paraId="79036F92" w14:textId="77777777" w:rsidR="00575AC3" w:rsidRPr="006D40F0" w:rsidRDefault="00575AC3" w:rsidP="006D40F0"/>
        </w:tc>
      </w:tr>
      <w:tr w:rsidR="00DD49A7" w:rsidRPr="006D40F0" w14:paraId="3BACEF1E" w14:textId="77777777">
        <w:trPr>
          <w:trHeight w:val="380"/>
        </w:trPr>
        <w:tc>
          <w:tcPr>
            <w:tcW w:w="680" w:type="dxa"/>
            <w:tcBorders>
              <w:top w:val="nil"/>
              <w:left w:val="nil"/>
              <w:bottom w:val="nil"/>
              <w:right w:val="nil"/>
            </w:tcBorders>
            <w:tcMar>
              <w:top w:w="128" w:type="dxa"/>
              <w:left w:w="43" w:type="dxa"/>
              <w:bottom w:w="43" w:type="dxa"/>
              <w:right w:w="43" w:type="dxa"/>
            </w:tcMar>
          </w:tcPr>
          <w:p w14:paraId="7E40A922"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1A581FA" w14:textId="77777777" w:rsidR="00575AC3" w:rsidRPr="006D40F0" w:rsidRDefault="00575AC3" w:rsidP="006D40F0">
            <w:r w:rsidRPr="006D40F0">
              <w:t>13</w:t>
            </w:r>
          </w:p>
        </w:tc>
        <w:tc>
          <w:tcPr>
            <w:tcW w:w="6800" w:type="dxa"/>
            <w:tcBorders>
              <w:top w:val="nil"/>
              <w:left w:val="nil"/>
              <w:bottom w:val="nil"/>
              <w:right w:val="nil"/>
            </w:tcBorders>
            <w:tcMar>
              <w:top w:w="128" w:type="dxa"/>
              <w:left w:w="43" w:type="dxa"/>
              <w:bottom w:w="43" w:type="dxa"/>
              <w:right w:w="43" w:type="dxa"/>
            </w:tcMar>
          </w:tcPr>
          <w:p w14:paraId="15781AC8" w14:textId="77777777" w:rsidR="00575AC3" w:rsidRPr="006D40F0" w:rsidRDefault="00575AC3" w:rsidP="006D40F0">
            <w:r w:rsidRPr="006D40F0">
              <w:t>Inntekter fra salg av oppdrettstillatelser, bevilges med</w:t>
            </w:r>
          </w:p>
        </w:tc>
        <w:tc>
          <w:tcPr>
            <w:tcW w:w="1400" w:type="dxa"/>
            <w:tcBorders>
              <w:top w:val="nil"/>
              <w:left w:val="nil"/>
              <w:bottom w:val="nil"/>
              <w:right w:val="nil"/>
            </w:tcBorders>
            <w:tcMar>
              <w:top w:w="128" w:type="dxa"/>
              <w:left w:w="43" w:type="dxa"/>
              <w:bottom w:w="43" w:type="dxa"/>
              <w:right w:w="43" w:type="dxa"/>
            </w:tcMar>
            <w:vAlign w:val="bottom"/>
          </w:tcPr>
          <w:p w14:paraId="3BA81EA8" w14:textId="77777777" w:rsidR="00575AC3" w:rsidRPr="006D40F0" w:rsidRDefault="00575AC3" w:rsidP="006D40F0">
            <w:r w:rsidRPr="006D40F0">
              <w:t>3 555 700 000</w:t>
            </w:r>
          </w:p>
        </w:tc>
      </w:tr>
      <w:tr w:rsidR="00DD49A7" w:rsidRPr="006D40F0" w14:paraId="233B448A" w14:textId="77777777">
        <w:trPr>
          <w:trHeight w:val="380"/>
        </w:trPr>
        <w:tc>
          <w:tcPr>
            <w:tcW w:w="680" w:type="dxa"/>
            <w:tcBorders>
              <w:top w:val="nil"/>
              <w:left w:val="nil"/>
              <w:bottom w:val="nil"/>
              <w:right w:val="nil"/>
            </w:tcBorders>
            <w:tcMar>
              <w:top w:w="128" w:type="dxa"/>
              <w:left w:w="43" w:type="dxa"/>
              <w:bottom w:w="43" w:type="dxa"/>
              <w:right w:w="43" w:type="dxa"/>
            </w:tcMar>
          </w:tcPr>
          <w:p w14:paraId="745E34CD" w14:textId="77777777" w:rsidR="00575AC3" w:rsidRPr="006D40F0" w:rsidRDefault="00575AC3" w:rsidP="006D40F0">
            <w:r w:rsidRPr="006D40F0">
              <w:t>3923</w:t>
            </w:r>
          </w:p>
        </w:tc>
        <w:tc>
          <w:tcPr>
            <w:tcW w:w="680" w:type="dxa"/>
            <w:tcBorders>
              <w:top w:val="nil"/>
              <w:left w:val="nil"/>
              <w:bottom w:val="nil"/>
              <w:right w:val="nil"/>
            </w:tcBorders>
            <w:tcMar>
              <w:top w:w="128" w:type="dxa"/>
              <w:left w:w="43" w:type="dxa"/>
              <w:bottom w:w="43" w:type="dxa"/>
              <w:right w:w="43" w:type="dxa"/>
            </w:tcMar>
          </w:tcPr>
          <w:p w14:paraId="5D1C93A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C5A7A1D" w14:textId="77777777" w:rsidR="00575AC3" w:rsidRPr="006D40F0" w:rsidRDefault="00575AC3" w:rsidP="006D40F0">
            <w:r w:rsidRPr="006D40F0">
              <w:t>Havforskningsinstituttet:</w:t>
            </w:r>
          </w:p>
        </w:tc>
        <w:tc>
          <w:tcPr>
            <w:tcW w:w="1400" w:type="dxa"/>
            <w:tcBorders>
              <w:top w:val="nil"/>
              <w:left w:val="nil"/>
              <w:bottom w:val="nil"/>
              <w:right w:val="nil"/>
            </w:tcBorders>
            <w:tcMar>
              <w:top w:w="128" w:type="dxa"/>
              <w:left w:w="43" w:type="dxa"/>
              <w:bottom w:w="43" w:type="dxa"/>
              <w:right w:w="43" w:type="dxa"/>
            </w:tcMar>
            <w:vAlign w:val="bottom"/>
          </w:tcPr>
          <w:p w14:paraId="260B86B3" w14:textId="77777777" w:rsidR="00575AC3" w:rsidRPr="006D40F0" w:rsidRDefault="00575AC3" w:rsidP="006D40F0"/>
        </w:tc>
      </w:tr>
      <w:tr w:rsidR="00DD49A7" w:rsidRPr="006D40F0" w14:paraId="6BE43A68" w14:textId="77777777">
        <w:trPr>
          <w:trHeight w:val="380"/>
        </w:trPr>
        <w:tc>
          <w:tcPr>
            <w:tcW w:w="680" w:type="dxa"/>
            <w:tcBorders>
              <w:top w:val="nil"/>
              <w:left w:val="nil"/>
              <w:bottom w:val="nil"/>
              <w:right w:val="nil"/>
            </w:tcBorders>
            <w:tcMar>
              <w:top w:w="128" w:type="dxa"/>
              <w:left w:w="43" w:type="dxa"/>
              <w:bottom w:w="43" w:type="dxa"/>
              <w:right w:w="43" w:type="dxa"/>
            </w:tcMar>
          </w:tcPr>
          <w:p w14:paraId="33C12E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2F87C4"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B781583" w14:textId="77777777" w:rsidR="00575AC3" w:rsidRPr="006D40F0" w:rsidRDefault="00575AC3" w:rsidP="006D40F0">
            <w:r w:rsidRPr="006D40F0">
              <w:t>Oppdragsinntekter,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28DE1BFB" w14:textId="77777777" w:rsidR="00575AC3" w:rsidRPr="006D40F0" w:rsidRDefault="00575AC3" w:rsidP="006D40F0">
            <w:r w:rsidRPr="006D40F0">
              <w:t>8 800 000</w:t>
            </w:r>
          </w:p>
        </w:tc>
      </w:tr>
      <w:tr w:rsidR="00DD49A7" w:rsidRPr="006D40F0" w14:paraId="2E92FE44" w14:textId="77777777">
        <w:trPr>
          <w:trHeight w:val="380"/>
        </w:trPr>
        <w:tc>
          <w:tcPr>
            <w:tcW w:w="680" w:type="dxa"/>
            <w:tcBorders>
              <w:top w:val="nil"/>
              <w:left w:val="nil"/>
              <w:bottom w:val="nil"/>
              <w:right w:val="nil"/>
            </w:tcBorders>
            <w:tcMar>
              <w:top w:w="128" w:type="dxa"/>
              <w:left w:w="43" w:type="dxa"/>
              <w:bottom w:w="43" w:type="dxa"/>
              <w:right w:w="43" w:type="dxa"/>
            </w:tcMar>
          </w:tcPr>
          <w:p w14:paraId="2DA199E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99D89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8179A29" w14:textId="77777777" w:rsidR="00575AC3" w:rsidRPr="006D40F0" w:rsidRDefault="00575AC3" w:rsidP="006D40F0">
            <w:r w:rsidRPr="006D40F0">
              <w:t>fra kr 455 330 000 til kr 464 130 000</w:t>
            </w:r>
          </w:p>
        </w:tc>
        <w:tc>
          <w:tcPr>
            <w:tcW w:w="1400" w:type="dxa"/>
            <w:tcBorders>
              <w:top w:val="nil"/>
              <w:left w:val="nil"/>
              <w:bottom w:val="nil"/>
              <w:right w:val="nil"/>
            </w:tcBorders>
            <w:tcMar>
              <w:top w:w="128" w:type="dxa"/>
              <w:left w:w="43" w:type="dxa"/>
              <w:bottom w:w="43" w:type="dxa"/>
              <w:right w:w="43" w:type="dxa"/>
            </w:tcMar>
            <w:vAlign w:val="bottom"/>
          </w:tcPr>
          <w:p w14:paraId="4C81E74B" w14:textId="77777777" w:rsidR="00575AC3" w:rsidRPr="006D40F0" w:rsidRDefault="00575AC3" w:rsidP="006D40F0"/>
        </w:tc>
      </w:tr>
      <w:tr w:rsidR="00DD49A7" w:rsidRPr="006D40F0" w14:paraId="05949705" w14:textId="77777777">
        <w:trPr>
          <w:trHeight w:val="380"/>
        </w:trPr>
        <w:tc>
          <w:tcPr>
            <w:tcW w:w="680" w:type="dxa"/>
            <w:tcBorders>
              <w:top w:val="nil"/>
              <w:left w:val="nil"/>
              <w:bottom w:val="nil"/>
              <w:right w:val="nil"/>
            </w:tcBorders>
            <w:tcMar>
              <w:top w:w="128" w:type="dxa"/>
              <w:left w:w="43" w:type="dxa"/>
              <w:bottom w:w="43" w:type="dxa"/>
              <w:right w:w="43" w:type="dxa"/>
            </w:tcMar>
          </w:tcPr>
          <w:p w14:paraId="58313E42" w14:textId="77777777" w:rsidR="00575AC3" w:rsidRPr="006D40F0" w:rsidRDefault="00575AC3" w:rsidP="006D40F0">
            <w:r w:rsidRPr="006D40F0">
              <w:t>3926</w:t>
            </w:r>
          </w:p>
        </w:tc>
        <w:tc>
          <w:tcPr>
            <w:tcW w:w="680" w:type="dxa"/>
            <w:tcBorders>
              <w:top w:val="nil"/>
              <w:left w:val="nil"/>
              <w:bottom w:val="nil"/>
              <w:right w:val="nil"/>
            </w:tcBorders>
            <w:tcMar>
              <w:top w:w="128" w:type="dxa"/>
              <w:left w:w="43" w:type="dxa"/>
              <w:bottom w:w="43" w:type="dxa"/>
              <w:right w:w="43" w:type="dxa"/>
            </w:tcMar>
          </w:tcPr>
          <w:p w14:paraId="742E55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9B7BB1" w14:textId="77777777" w:rsidR="00575AC3" w:rsidRPr="006D40F0" w:rsidRDefault="00575AC3" w:rsidP="006D40F0">
            <w:r w:rsidRPr="006D40F0">
              <w:t>Havforskningsinstituttet, forskningsfartøy:</w:t>
            </w:r>
          </w:p>
        </w:tc>
        <w:tc>
          <w:tcPr>
            <w:tcW w:w="1400" w:type="dxa"/>
            <w:tcBorders>
              <w:top w:val="nil"/>
              <w:left w:val="nil"/>
              <w:bottom w:val="nil"/>
              <w:right w:val="nil"/>
            </w:tcBorders>
            <w:tcMar>
              <w:top w:w="128" w:type="dxa"/>
              <w:left w:w="43" w:type="dxa"/>
              <w:bottom w:w="43" w:type="dxa"/>
              <w:right w:w="43" w:type="dxa"/>
            </w:tcMar>
            <w:vAlign w:val="bottom"/>
          </w:tcPr>
          <w:p w14:paraId="57E4F4EA" w14:textId="77777777" w:rsidR="00575AC3" w:rsidRPr="006D40F0" w:rsidRDefault="00575AC3" w:rsidP="006D40F0"/>
        </w:tc>
      </w:tr>
      <w:tr w:rsidR="00DD49A7" w:rsidRPr="006D40F0" w14:paraId="24D40CB4" w14:textId="77777777">
        <w:trPr>
          <w:trHeight w:val="380"/>
        </w:trPr>
        <w:tc>
          <w:tcPr>
            <w:tcW w:w="680" w:type="dxa"/>
            <w:tcBorders>
              <w:top w:val="nil"/>
              <w:left w:val="nil"/>
              <w:bottom w:val="nil"/>
              <w:right w:val="nil"/>
            </w:tcBorders>
            <w:tcMar>
              <w:top w:w="128" w:type="dxa"/>
              <w:left w:w="43" w:type="dxa"/>
              <w:bottom w:w="43" w:type="dxa"/>
              <w:right w:w="43" w:type="dxa"/>
            </w:tcMar>
          </w:tcPr>
          <w:p w14:paraId="30723E6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9D10056"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206B3F0" w14:textId="77777777" w:rsidR="00575AC3" w:rsidRPr="006D40F0" w:rsidRDefault="00575AC3" w:rsidP="006D40F0">
            <w:r w:rsidRPr="006D40F0">
              <w:t>Oppdragsinntekter,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6631F014" w14:textId="77777777" w:rsidR="00575AC3" w:rsidRPr="006D40F0" w:rsidRDefault="00575AC3" w:rsidP="006D40F0">
            <w:r w:rsidRPr="006D40F0">
              <w:t>4 100 000</w:t>
            </w:r>
          </w:p>
        </w:tc>
      </w:tr>
      <w:tr w:rsidR="00DD49A7" w:rsidRPr="006D40F0" w14:paraId="39252C67" w14:textId="77777777">
        <w:trPr>
          <w:trHeight w:val="380"/>
        </w:trPr>
        <w:tc>
          <w:tcPr>
            <w:tcW w:w="680" w:type="dxa"/>
            <w:tcBorders>
              <w:top w:val="nil"/>
              <w:left w:val="nil"/>
              <w:bottom w:val="nil"/>
              <w:right w:val="nil"/>
            </w:tcBorders>
            <w:tcMar>
              <w:top w:w="128" w:type="dxa"/>
              <w:left w:w="43" w:type="dxa"/>
              <w:bottom w:w="43" w:type="dxa"/>
              <w:right w:w="43" w:type="dxa"/>
            </w:tcMar>
          </w:tcPr>
          <w:p w14:paraId="75F81C4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A617CD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FE8AF0" w14:textId="77777777" w:rsidR="00575AC3" w:rsidRPr="006D40F0" w:rsidRDefault="00575AC3" w:rsidP="006D40F0">
            <w:r w:rsidRPr="006D40F0">
              <w:t>fra kr 199 414 000 til kr 203 514 000</w:t>
            </w:r>
          </w:p>
        </w:tc>
        <w:tc>
          <w:tcPr>
            <w:tcW w:w="1400" w:type="dxa"/>
            <w:tcBorders>
              <w:top w:val="nil"/>
              <w:left w:val="nil"/>
              <w:bottom w:val="nil"/>
              <w:right w:val="nil"/>
            </w:tcBorders>
            <w:tcMar>
              <w:top w:w="128" w:type="dxa"/>
              <w:left w:w="43" w:type="dxa"/>
              <w:bottom w:w="43" w:type="dxa"/>
              <w:right w:w="43" w:type="dxa"/>
            </w:tcMar>
            <w:vAlign w:val="bottom"/>
          </w:tcPr>
          <w:p w14:paraId="7824DC52" w14:textId="77777777" w:rsidR="00575AC3" w:rsidRPr="006D40F0" w:rsidRDefault="00575AC3" w:rsidP="006D40F0"/>
        </w:tc>
      </w:tr>
      <w:tr w:rsidR="00DD49A7" w:rsidRPr="006D40F0" w14:paraId="1C98DC80" w14:textId="77777777">
        <w:trPr>
          <w:trHeight w:val="380"/>
        </w:trPr>
        <w:tc>
          <w:tcPr>
            <w:tcW w:w="680" w:type="dxa"/>
            <w:tcBorders>
              <w:top w:val="nil"/>
              <w:left w:val="nil"/>
              <w:bottom w:val="nil"/>
              <w:right w:val="nil"/>
            </w:tcBorders>
            <w:tcMar>
              <w:top w:w="128" w:type="dxa"/>
              <w:left w:w="43" w:type="dxa"/>
              <w:bottom w:w="43" w:type="dxa"/>
              <w:right w:w="43" w:type="dxa"/>
            </w:tcMar>
          </w:tcPr>
          <w:p w14:paraId="62253392" w14:textId="77777777" w:rsidR="00575AC3" w:rsidRPr="006D40F0" w:rsidRDefault="00575AC3" w:rsidP="006D40F0">
            <w:r w:rsidRPr="006D40F0">
              <w:t>3950</w:t>
            </w:r>
          </w:p>
        </w:tc>
        <w:tc>
          <w:tcPr>
            <w:tcW w:w="680" w:type="dxa"/>
            <w:tcBorders>
              <w:top w:val="nil"/>
              <w:left w:val="nil"/>
              <w:bottom w:val="nil"/>
              <w:right w:val="nil"/>
            </w:tcBorders>
            <w:tcMar>
              <w:top w:w="128" w:type="dxa"/>
              <w:left w:w="43" w:type="dxa"/>
              <w:bottom w:w="43" w:type="dxa"/>
              <w:right w:w="43" w:type="dxa"/>
            </w:tcMar>
          </w:tcPr>
          <w:p w14:paraId="4838652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8E0980" w14:textId="77777777" w:rsidR="00575AC3" w:rsidRPr="006D40F0" w:rsidRDefault="00575AC3" w:rsidP="006D40F0">
            <w:r w:rsidRPr="006D40F0">
              <w:t>Forvaltning av statlig eierskap:</w:t>
            </w:r>
          </w:p>
        </w:tc>
        <w:tc>
          <w:tcPr>
            <w:tcW w:w="1400" w:type="dxa"/>
            <w:tcBorders>
              <w:top w:val="nil"/>
              <w:left w:val="nil"/>
              <w:bottom w:val="nil"/>
              <w:right w:val="nil"/>
            </w:tcBorders>
            <w:tcMar>
              <w:top w:w="128" w:type="dxa"/>
              <w:left w:w="43" w:type="dxa"/>
              <w:bottom w:w="43" w:type="dxa"/>
              <w:right w:w="43" w:type="dxa"/>
            </w:tcMar>
            <w:vAlign w:val="bottom"/>
          </w:tcPr>
          <w:p w14:paraId="020F360A" w14:textId="77777777" w:rsidR="00575AC3" w:rsidRPr="006D40F0" w:rsidRDefault="00575AC3" w:rsidP="006D40F0"/>
        </w:tc>
      </w:tr>
      <w:tr w:rsidR="00DD49A7" w:rsidRPr="006D40F0" w14:paraId="3EAA041B" w14:textId="77777777">
        <w:trPr>
          <w:trHeight w:val="380"/>
        </w:trPr>
        <w:tc>
          <w:tcPr>
            <w:tcW w:w="680" w:type="dxa"/>
            <w:tcBorders>
              <w:top w:val="nil"/>
              <w:left w:val="nil"/>
              <w:bottom w:val="nil"/>
              <w:right w:val="nil"/>
            </w:tcBorders>
            <w:tcMar>
              <w:top w:w="128" w:type="dxa"/>
              <w:left w:w="43" w:type="dxa"/>
              <w:bottom w:w="43" w:type="dxa"/>
              <w:right w:w="43" w:type="dxa"/>
            </w:tcMar>
          </w:tcPr>
          <w:p w14:paraId="2F4FDD3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E55E3E" w14:textId="77777777" w:rsidR="00575AC3" w:rsidRPr="006D40F0" w:rsidRDefault="00575AC3" w:rsidP="006D40F0">
            <w:r w:rsidRPr="006D40F0">
              <w:t>96</w:t>
            </w:r>
          </w:p>
        </w:tc>
        <w:tc>
          <w:tcPr>
            <w:tcW w:w="6800" w:type="dxa"/>
            <w:tcBorders>
              <w:top w:val="nil"/>
              <w:left w:val="nil"/>
              <w:bottom w:val="nil"/>
              <w:right w:val="nil"/>
            </w:tcBorders>
            <w:tcMar>
              <w:top w:w="128" w:type="dxa"/>
              <w:left w:w="43" w:type="dxa"/>
              <w:bottom w:w="43" w:type="dxa"/>
              <w:right w:w="43" w:type="dxa"/>
            </w:tcMar>
          </w:tcPr>
          <w:p w14:paraId="6B5D4843" w14:textId="77777777" w:rsidR="00575AC3" w:rsidRPr="006D40F0" w:rsidRDefault="00575AC3" w:rsidP="006D40F0">
            <w:r w:rsidRPr="006D40F0">
              <w:t>Salg av aksjer, forhøyes med</w:t>
            </w:r>
          </w:p>
        </w:tc>
        <w:tc>
          <w:tcPr>
            <w:tcW w:w="1400" w:type="dxa"/>
            <w:tcBorders>
              <w:top w:val="nil"/>
              <w:left w:val="nil"/>
              <w:bottom w:val="nil"/>
              <w:right w:val="nil"/>
            </w:tcBorders>
            <w:tcMar>
              <w:top w:w="128" w:type="dxa"/>
              <w:left w:w="43" w:type="dxa"/>
              <w:bottom w:w="43" w:type="dxa"/>
              <w:right w:w="43" w:type="dxa"/>
            </w:tcMar>
            <w:vAlign w:val="bottom"/>
          </w:tcPr>
          <w:p w14:paraId="74AA2713" w14:textId="77777777" w:rsidR="00575AC3" w:rsidRPr="006D40F0" w:rsidRDefault="00575AC3" w:rsidP="006D40F0">
            <w:r w:rsidRPr="006D40F0">
              <w:t>125 000 000</w:t>
            </w:r>
          </w:p>
        </w:tc>
      </w:tr>
      <w:tr w:rsidR="00DD49A7" w:rsidRPr="006D40F0" w14:paraId="67C06D5E" w14:textId="77777777">
        <w:trPr>
          <w:trHeight w:val="380"/>
        </w:trPr>
        <w:tc>
          <w:tcPr>
            <w:tcW w:w="680" w:type="dxa"/>
            <w:tcBorders>
              <w:top w:val="nil"/>
              <w:left w:val="nil"/>
              <w:bottom w:val="nil"/>
              <w:right w:val="nil"/>
            </w:tcBorders>
            <w:tcMar>
              <w:top w:w="128" w:type="dxa"/>
              <w:left w:w="43" w:type="dxa"/>
              <w:bottom w:w="43" w:type="dxa"/>
              <w:right w:w="43" w:type="dxa"/>
            </w:tcMar>
          </w:tcPr>
          <w:p w14:paraId="1B6C518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8194F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73BD204" w14:textId="77777777" w:rsidR="00575AC3" w:rsidRPr="006D40F0" w:rsidRDefault="00575AC3" w:rsidP="006D40F0">
            <w:r w:rsidRPr="006D40F0">
              <w:t>fra kr 25 000 000 til kr 150 000 000</w:t>
            </w:r>
          </w:p>
        </w:tc>
        <w:tc>
          <w:tcPr>
            <w:tcW w:w="1400" w:type="dxa"/>
            <w:tcBorders>
              <w:top w:val="nil"/>
              <w:left w:val="nil"/>
              <w:bottom w:val="nil"/>
              <w:right w:val="nil"/>
            </w:tcBorders>
            <w:tcMar>
              <w:top w:w="128" w:type="dxa"/>
              <w:left w:w="43" w:type="dxa"/>
              <w:bottom w:w="43" w:type="dxa"/>
              <w:right w:w="43" w:type="dxa"/>
            </w:tcMar>
            <w:vAlign w:val="bottom"/>
          </w:tcPr>
          <w:p w14:paraId="4CF4D5F1" w14:textId="77777777" w:rsidR="00575AC3" w:rsidRPr="006D40F0" w:rsidRDefault="00575AC3" w:rsidP="006D40F0"/>
        </w:tc>
      </w:tr>
      <w:tr w:rsidR="00DD49A7" w:rsidRPr="006D40F0" w14:paraId="53286763" w14:textId="77777777">
        <w:trPr>
          <w:trHeight w:val="380"/>
        </w:trPr>
        <w:tc>
          <w:tcPr>
            <w:tcW w:w="680" w:type="dxa"/>
            <w:tcBorders>
              <w:top w:val="nil"/>
              <w:left w:val="nil"/>
              <w:bottom w:val="nil"/>
              <w:right w:val="nil"/>
            </w:tcBorders>
            <w:tcMar>
              <w:top w:w="128" w:type="dxa"/>
              <w:left w:w="43" w:type="dxa"/>
              <w:bottom w:w="43" w:type="dxa"/>
              <w:right w:w="43" w:type="dxa"/>
            </w:tcMar>
          </w:tcPr>
          <w:p w14:paraId="5C30A1CA" w14:textId="77777777" w:rsidR="00575AC3" w:rsidRPr="006D40F0" w:rsidRDefault="00575AC3" w:rsidP="006D40F0">
            <w:r w:rsidRPr="006D40F0">
              <w:t>3952</w:t>
            </w:r>
          </w:p>
        </w:tc>
        <w:tc>
          <w:tcPr>
            <w:tcW w:w="680" w:type="dxa"/>
            <w:tcBorders>
              <w:top w:val="nil"/>
              <w:left w:val="nil"/>
              <w:bottom w:val="nil"/>
              <w:right w:val="nil"/>
            </w:tcBorders>
            <w:tcMar>
              <w:top w:w="128" w:type="dxa"/>
              <w:left w:w="43" w:type="dxa"/>
              <w:bottom w:w="43" w:type="dxa"/>
              <w:right w:w="43" w:type="dxa"/>
            </w:tcMar>
          </w:tcPr>
          <w:p w14:paraId="50BB98C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7E0CE54" w14:textId="77777777" w:rsidR="00575AC3" w:rsidRPr="006D40F0" w:rsidRDefault="00575AC3" w:rsidP="006D40F0">
            <w:proofErr w:type="spellStart"/>
            <w:r w:rsidRPr="006D40F0">
              <w:t>Investinor</w:t>
            </w:r>
            <w:proofErr w:type="spellEnd"/>
            <w:r w:rsidRPr="006D40F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165843A9" w14:textId="77777777" w:rsidR="00575AC3" w:rsidRPr="006D40F0" w:rsidRDefault="00575AC3" w:rsidP="006D40F0"/>
        </w:tc>
      </w:tr>
      <w:tr w:rsidR="00DD49A7" w:rsidRPr="006D40F0" w14:paraId="55F7D1B8" w14:textId="77777777">
        <w:trPr>
          <w:trHeight w:val="380"/>
        </w:trPr>
        <w:tc>
          <w:tcPr>
            <w:tcW w:w="680" w:type="dxa"/>
            <w:tcBorders>
              <w:top w:val="nil"/>
              <w:left w:val="nil"/>
              <w:bottom w:val="nil"/>
              <w:right w:val="nil"/>
            </w:tcBorders>
            <w:tcMar>
              <w:top w:w="128" w:type="dxa"/>
              <w:left w:w="43" w:type="dxa"/>
              <w:bottom w:w="43" w:type="dxa"/>
              <w:right w:w="43" w:type="dxa"/>
            </w:tcMar>
          </w:tcPr>
          <w:p w14:paraId="50131542" w14:textId="77777777" w:rsidR="00575AC3" w:rsidRPr="006D40F0" w:rsidRDefault="00575AC3" w:rsidP="006D40F0">
            <w:r w:rsidRPr="006D40F0">
              <w:lastRenderedPageBreak/>
              <w:t>(NY)</w:t>
            </w:r>
          </w:p>
        </w:tc>
        <w:tc>
          <w:tcPr>
            <w:tcW w:w="680" w:type="dxa"/>
            <w:tcBorders>
              <w:top w:val="nil"/>
              <w:left w:val="nil"/>
              <w:bottom w:val="nil"/>
              <w:right w:val="nil"/>
            </w:tcBorders>
            <w:tcMar>
              <w:top w:w="128" w:type="dxa"/>
              <w:left w:w="43" w:type="dxa"/>
              <w:bottom w:w="43" w:type="dxa"/>
              <w:right w:w="43" w:type="dxa"/>
            </w:tcMar>
          </w:tcPr>
          <w:p w14:paraId="07236C15"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74F612B4" w14:textId="77777777" w:rsidR="00575AC3" w:rsidRPr="006D40F0" w:rsidRDefault="00575AC3" w:rsidP="006D40F0">
            <w:r w:rsidRPr="006D40F0">
              <w:t>Tilbakeført kapital, pre-såkornfond m.m., bevilges med</w:t>
            </w:r>
          </w:p>
        </w:tc>
        <w:tc>
          <w:tcPr>
            <w:tcW w:w="1400" w:type="dxa"/>
            <w:tcBorders>
              <w:top w:val="nil"/>
              <w:left w:val="nil"/>
              <w:bottom w:val="nil"/>
              <w:right w:val="nil"/>
            </w:tcBorders>
            <w:tcMar>
              <w:top w:w="128" w:type="dxa"/>
              <w:left w:w="43" w:type="dxa"/>
              <w:bottom w:w="43" w:type="dxa"/>
              <w:right w:w="43" w:type="dxa"/>
            </w:tcMar>
            <w:vAlign w:val="bottom"/>
          </w:tcPr>
          <w:p w14:paraId="1F38829F" w14:textId="77777777" w:rsidR="00575AC3" w:rsidRPr="006D40F0" w:rsidRDefault="00575AC3" w:rsidP="006D40F0">
            <w:r w:rsidRPr="006D40F0">
              <w:t>23 200 000</w:t>
            </w:r>
          </w:p>
        </w:tc>
      </w:tr>
      <w:tr w:rsidR="00DD49A7" w:rsidRPr="006D40F0" w14:paraId="71FA25E4" w14:textId="77777777">
        <w:trPr>
          <w:trHeight w:val="380"/>
        </w:trPr>
        <w:tc>
          <w:tcPr>
            <w:tcW w:w="680" w:type="dxa"/>
            <w:tcBorders>
              <w:top w:val="nil"/>
              <w:left w:val="nil"/>
              <w:bottom w:val="nil"/>
              <w:right w:val="nil"/>
            </w:tcBorders>
            <w:tcMar>
              <w:top w:w="128" w:type="dxa"/>
              <w:left w:w="43" w:type="dxa"/>
              <w:bottom w:w="43" w:type="dxa"/>
              <w:right w:w="43" w:type="dxa"/>
            </w:tcMar>
          </w:tcPr>
          <w:p w14:paraId="1F357662"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10B4EB6"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09D79667" w14:textId="77777777" w:rsidR="00575AC3" w:rsidRPr="006D40F0" w:rsidRDefault="00575AC3" w:rsidP="006D40F0">
            <w:r w:rsidRPr="006D40F0">
              <w:t>Tilbakeført kapital, såkornfond, bevilges med</w:t>
            </w:r>
          </w:p>
        </w:tc>
        <w:tc>
          <w:tcPr>
            <w:tcW w:w="1400" w:type="dxa"/>
            <w:tcBorders>
              <w:top w:val="nil"/>
              <w:left w:val="nil"/>
              <w:bottom w:val="nil"/>
              <w:right w:val="nil"/>
            </w:tcBorders>
            <w:tcMar>
              <w:top w:w="128" w:type="dxa"/>
              <w:left w:w="43" w:type="dxa"/>
              <w:bottom w:w="43" w:type="dxa"/>
              <w:right w:w="43" w:type="dxa"/>
            </w:tcMar>
            <w:vAlign w:val="bottom"/>
          </w:tcPr>
          <w:p w14:paraId="2EB1B1AE" w14:textId="77777777" w:rsidR="00575AC3" w:rsidRPr="006D40F0" w:rsidRDefault="00575AC3" w:rsidP="006D40F0">
            <w:r w:rsidRPr="006D40F0">
              <w:t>102 600 000</w:t>
            </w:r>
          </w:p>
        </w:tc>
      </w:tr>
      <w:tr w:rsidR="00DD49A7" w:rsidRPr="006D40F0" w14:paraId="56534169" w14:textId="77777777">
        <w:trPr>
          <w:trHeight w:val="380"/>
        </w:trPr>
        <w:tc>
          <w:tcPr>
            <w:tcW w:w="680" w:type="dxa"/>
            <w:tcBorders>
              <w:top w:val="nil"/>
              <w:left w:val="nil"/>
              <w:bottom w:val="nil"/>
              <w:right w:val="nil"/>
            </w:tcBorders>
            <w:tcMar>
              <w:top w:w="128" w:type="dxa"/>
              <w:left w:w="43" w:type="dxa"/>
              <w:bottom w:w="43" w:type="dxa"/>
              <w:right w:w="43" w:type="dxa"/>
            </w:tcMar>
          </w:tcPr>
          <w:p w14:paraId="248C992F" w14:textId="77777777" w:rsidR="00575AC3" w:rsidRPr="006D40F0" w:rsidRDefault="00575AC3" w:rsidP="006D40F0">
            <w:r w:rsidRPr="006D40F0">
              <w:t>4300</w:t>
            </w:r>
          </w:p>
        </w:tc>
        <w:tc>
          <w:tcPr>
            <w:tcW w:w="680" w:type="dxa"/>
            <w:tcBorders>
              <w:top w:val="nil"/>
              <w:left w:val="nil"/>
              <w:bottom w:val="nil"/>
              <w:right w:val="nil"/>
            </w:tcBorders>
            <w:tcMar>
              <w:top w:w="128" w:type="dxa"/>
              <w:left w:w="43" w:type="dxa"/>
              <w:bottom w:w="43" w:type="dxa"/>
              <w:right w:w="43" w:type="dxa"/>
            </w:tcMar>
          </w:tcPr>
          <w:p w14:paraId="40DD759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AF41F2F" w14:textId="77777777" w:rsidR="00575AC3" w:rsidRPr="006D40F0" w:rsidRDefault="00575AC3" w:rsidP="006D40F0">
            <w:r w:rsidRPr="006D40F0">
              <w:t>Samferdselsdepartementet:</w:t>
            </w:r>
          </w:p>
        </w:tc>
        <w:tc>
          <w:tcPr>
            <w:tcW w:w="1400" w:type="dxa"/>
            <w:tcBorders>
              <w:top w:val="nil"/>
              <w:left w:val="nil"/>
              <w:bottom w:val="nil"/>
              <w:right w:val="nil"/>
            </w:tcBorders>
            <w:tcMar>
              <w:top w:w="128" w:type="dxa"/>
              <w:left w:w="43" w:type="dxa"/>
              <w:bottom w:w="43" w:type="dxa"/>
              <w:right w:w="43" w:type="dxa"/>
            </w:tcMar>
            <w:vAlign w:val="bottom"/>
          </w:tcPr>
          <w:p w14:paraId="525D09F1" w14:textId="77777777" w:rsidR="00575AC3" w:rsidRPr="006D40F0" w:rsidRDefault="00575AC3" w:rsidP="006D40F0"/>
        </w:tc>
      </w:tr>
      <w:tr w:rsidR="00DD49A7" w:rsidRPr="006D40F0" w14:paraId="4B82B02F" w14:textId="77777777">
        <w:trPr>
          <w:trHeight w:val="380"/>
        </w:trPr>
        <w:tc>
          <w:tcPr>
            <w:tcW w:w="680" w:type="dxa"/>
            <w:tcBorders>
              <w:top w:val="nil"/>
              <w:left w:val="nil"/>
              <w:bottom w:val="nil"/>
              <w:right w:val="nil"/>
            </w:tcBorders>
            <w:tcMar>
              <w:top w:w="128" w:type="dxa"/>
              <w:left w:w="43" w:type="dxa"/>
              <w:bottom w:w="43" w:type="dxa"/>
              <w:right w:w="43" w:type="dxa"/>
            </w:tcMar>
          </w:tcPr>
          <w:p w14:paraId="53013156"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6FCE8210"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60608723" w14:textId="77777777" w:rsidR="00575AC3" w:rsidRPr="006D40F0" w:rsidRDefault="00575AC3" w:rsidP="006D40F0">
            <w:r w:rsidRPr="006D40F0">
              <w:t>Overtredelsesgebyr for utslipp fra nye kjøretøy, bevilges med</w:t>
            </w:r>
          </w:p>
        </w:tc>
        <w:tc>
          <w:tcPr>
            <w:tcW w:w="1400" w:type="dxa"/>
            <w:tcBorders>
              <w:top w:val="nil"/>
              <w:left w:val="nil"/>
              <w:bottom w:val="nil"/>
              <w:right w:val="nil"/>
            </w:tcBorders>
            <w:tcMar>
              <w:top w:w="128" w:type="dxa"/>
              <w:left w:w="43" w:type="dxa"/>
              <w:bottom w:w="43" w:type="dxa"/>
              <w:right w:w="43" w:type="dxa"/>
            </w:tcMar>
            <w:vAlign w:val="bottom"/>
          </w:tcPr>
          <w:p w14:paraId="722D3622" w14:textId="77777777" w:rsidR="00575AC3" w:rsidRPr="006D40F0" w:rsidRDefault="00575AC3" w:rsidP="006D40F0">
            <w:r w:rsidRPr="006D40F0">
              <w:t>110 000 000</w:t>
            </w:r>
          </w:p>
        </w:tc>
      </w:tr>
      <w:tr w:rsidR="00DD49A7" w:rsidRPr="006D40F0" w14:paraId="45D069CF" w14:textId="77777777">
        <w:trPr>
          <w:trHeight w:val="380"/>
        </w:trPr>
        <w:tc>
          <w:tcPr>
            <w:tcW w:w="680" w:type="dxa"/>
            <w:tcBorders>
              <w:top w:val="nil"/>
              <w:left w:val="nil"/>
              <w:bottom w:val="nil"/>
              <w:right w:val="nil"/>
            </w:tcBorders>
            <w:tcMar>
              <w:top w:w="128" w:type="dxa"/>
              <w:left w:w="43" w:type="dxa"/>
              <w:bottom w:w="43" w:type="dxa"/>
              <w:right w:w="43" w:type="dxa"/>
            </w:tcMar>
          </w:tcPr>
          <w:p w14:paraId="6FADE266" w14:textId="77777777" w:rsidR="00575AC3" w:rsidRPr="006D40F0" w:rsidRDefault="00575AC3" w:rsidP="006D40F0">
            <w:r w:rsidRPr="006D40F0">
              <w:t>4330</w:t>
            </w:r>
          </w:p>
        </w:tc>
        <w:tc>
          <w:tcPr>
            <w:tcW w:w="680" w:type="dxa"/>
            <w:tcBorders>
              <w:top w:val="nil"/>
              <w:left w:val="nil"/>
              <w:bottom w:val="nil"/>
              <w:right w:val="nil"/>
            </w:tcBorders>
            <w:tcMar>
              <w:top w:w="128" w:type="dxa"/>
              <w:left w:w="43" w:type="dxa"/>
              <w:bottom w:w="43" w:type="dxa"/>
              <w:right w:w="43" w:type="dxa"/>
            </w:tcMar>
          </w:tcPr>
          <w:p w14:paraId="7CD34F6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99EF12" w14:textId="77777777" w:rsidR="00575AC3" w:rsidRPr="006D40F0" w:rsidRDefault="00575AC3" w:rsidP="006D40F0">
            <w:r w:rsidRPr="006D40F0">
              <w:t>Særskilte transporttiltak:</w:t>
            </w:r>
          </w:p>
        </w:tc>
        <w:tc>
          <w:tcPr>
            <w:tcW w:w="1400" w:type="dxa"/>
            <w:tcBorders>
              <w:top w:val="nil"/>
              <w:left w:val="nil"/>
              <w:bottom w:val="nil"/>
              <w:right w:val="nil"/>
            </w:tcBorders>
            <w:tcMar>
              <w:top w:w="128" w:type="dxa"/>
              <w:left w:w="43" w:type="dxa"/>
              <w:bottom w:w="43" w:type="dxa"/>
              <w:right w:w="43" w:type="dxa"/>
            </w:tcMar>
            <w:vAlign w:val="bottom"/>
          </w:tcPr>
          <w:p w14:paraId="1975587D" w14:textId="77777777" w:rsidR="00575AC3" w:rsidRPr="006D40F0" w:rsidRDefault="00575AC3" w:rsidP="006D40F0"/>
        </w:tc>
      </w:tr>
      <w:tr w:rsidR="00DD49A7" w:rsidRPr="006D40F0" w14:paraId="23B8260D" w14:textId="77777777">
        <w:trPr>
          <w:trHeight w:val="380"/>
        </w:trPr>
        <w:tc>
          <w:tcPr>
            <w:tcW w:w="680" w:type="dxa"/>
            <w:tcBorders>
              <w:top w:val="nil"/>
              <w:left w:val="nil"/>
              <w:bottom w:val="nil"/>
              <w:right w:val="nil"/>
            </w:tcBorders>
            <w:tcMar>
              <w:top w:w="128" w:type="dxa"/>
              <w:left w:w="43" w:type="dxa"/>
              <w:bottom w:w="43" w:type="dxa"/>
              <w:right w:w="43" w:type="dxa"/>
            </w:tcMar>
          </w:tcPr>
          <w:p w14:paraId="6777FF17"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01820DD8"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559CDF0" w14:textId="77777777" w:rsidR="00575AC3" w:rsidRPr="006D40F0" w:rsidRDefault="00575AC3" w:rsidP="006D40F0">
            <w:r w:rsidRPr="006D40F0">
              <w:t xml:space="preserve">Tilbakebetaling av kjøp av sjøtransporttjenester på strekningen </w:t>
            </w:r>
          </w:p>
        </w:tc>
        <w:tc>
          <w:tcPr>
            <w:tcW w:w="1400" w:type="dxa"/>
            <w:tcBorders>
              <w:top w:val="nil"/>
              <w:left w:val="nil"/>
              <w:bottom w:val="nil"/>
              <w:right w:val="nil"/>
            </w:tcBorders>
            <w:tcMar>
              <w:top w:w="128" w:type="dxa"/>
              <w:left w:w="43" w:type="dxa"/>
              <w:bottom w:w="43" w:type="dxa"/>
              <w:right w:w="43" w:type="dxa"/>
            </w:tcMar>
            <w:vAlign w:val="bottom"/>
          </w:tcPr>
          <w:p w14:paraId="113E726B" w14:textId="77777777" w:rsidR="00575AC3" w:rsidRPr="006D40F0" w:rsidRDefault="00575AC3" w:rsidP="006D40F0"/>
        </w:tc>
      </w:tr>
      <w:tr w:rsidR="00DD49A7" w:rsidRPr="006D40F0" w14:paraId="32E5C5C6" w14:textId="77777777">
        <w:trPr>
          <w:trHeight w:val="380"/>
        </w:trPr>
        <w:tc>
          <w:tcPr>
            <w:tcW w:w="680" w:type="dxa"/>
            <w:tcBorders>
              <w:top w:val="nil"/>
              <w:left w:val="nil"/>
              <w:bottom w:val="nil"/>
              <w:right w:val="nil"/>
            </w:tcBorders>
            <w:tcMar>
              <w:top w:w="128" w:type="dxa"/>
              <w:left w:w="43" w:type="dxa"/>
              <w:bottom w:w="43" w:type="dxa"/>
              <w:right w:w="43" w:type="dxa"/>
            </w:tcMar>
          </w:tcPr>
          <w:p w14:paraId="6A98768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607B63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E54288" w14:textId="77777777" w:rsidR="00575AC3" w:rsidRPr="006D40F0" w:rsidRDefault="00575AC3" w:rsidP="006D40F0">
            <w:r w:rsidRPr="006D40F0">
              <w:t>Bergen-Kirkenes, bevilges med</w:t>
            </w:r>
          </w:p>
        </w:tc>
        <w:tc>
          <w:tcPr>
            <w:tcW w:w="1400" w:type="dxa"/>
            <w:tcBorders>
              <w:top w:val="nil"/>
              <w:left w:val="nil"/>
              <w:bottom w:val="nil"/>
              <w:right w:val="nil"/>
            </w:tcBorders>
            <w:tcMar>
              <w:top w:w="128" w:type="dxa"/>
              <w:left w:w="43" w:type="dxa"/>
              <w:bottom w:w="43" w:type="dxa"/>
              <w:right w:w="43" w:type="dxa"/>
            </w:tcMar>
            <w:vAlign w:val="bottom"/>
          </w:tcPr>
          <w:p w14:paraId="16360EE3" w14:textId="77777777" w:rsidR="00575AC3" w:rsidRPr="006D40F0" w:rsidRDefault="00575AC3" w:rsidP="006D40F0">
            <w:r w:rsidRPr="006D40F0">
              <w:t>25 800 000</w:t>
            </w:r>
          </w:p>
        </w:tc>
      </w:tr>
      <w:tr w:rsidR="00DD49A7" w:rsidRPr="006D40F0" w14:paraId="169C1C78" w14:textId="77777777">
        <w:trPr>
          <w:trHeight w:val="380"/>
        </w:trPr>
        <w:tc>
          <w:tcPr>
            <w:tcW w:w="680" w:type="dxa"/>
            <w:tcBorders>
              <w:top w:val="nil"/>
              <w:left w:val="nil"/>
              <w:bottom w:val="nil"/>
              <w:right w:val="nil"/>
            </w:tcBorders>
            <w:tcMar>
              <w:top w:w="128" w:type="dxa"/>
              <w:left w:w="43" w:type="dxa"/>
              <w:bottom w:w="43" w:type="dxa"/>
              <w:right w:w="43" w:type="dxa"/>
            </w:tcMar>
          </w:tcPr>
          <w:p w14:paraId="33E11652" w14:textId="77777777" w:rsidR="00575AC3" w:rsidRPr="006D40F0" w:rsidRDefault="00575AC3" w:rsidP="006D40F0">
            <w:r w:rsidRPr="006D40F0">
              <w:t>4420</w:t>
            </w:r>
          </w:p>
        </w:tc>
        <w:tc>
          <w:tcPr>
            <w:tcW w:w="680" w:type="dxa"/>
            <w:tcBorders>
              <w:top w:val="nil"/>
              <w:left w:val="nil"/>
              <w:bottom w:val="nil"/>
              <w:right w:val="nil"/>
            </w:tcBorders>
            <w:tcMar>
              <w:top w:w="128" w:type="dxa"/>
              <w:left w:w="43" w:type="dxa"/>
              <w:bottom w:w="43" w:type="dxa"/>
              <w:right w:w="43" w:type="dxa"/>
            </w:tcMar>
          </w:tcPr>
          <w:p w14:paraId="5D22160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B36334" w14:textId="77777777" w:rsidR="00575AC3" w:rsidRPr="006D40F0" w:rsidRDefault="00575AC3" w:rsidP="006D40F0">
            <w:r w:rsidRPr="006D40F0">
              <w:t>Miljødirektoratet:</w:t>
            </w:r>
          </w:p>
        </w:tc>
        <w:tc>
          <w:tcPr>
            <w:tcW w:w="1400" w:type="dxa"/>
            <w:tcBorders>
              <w:top w:val="nil"/>
              <w:left w:val="nil"/>
              <w:bottom w:val="nil"/>
              <w:right w:val="nil"/>
            </w:tcBorders>
            <w:tcMar>
              <w:top w:w="128" w:type="dxa"/>
              <w:left w:w="43" w:type="dxa"/>
              <w:bottom w:w="43" w:type="dxa"/>
              <w:right w:w="43" w:type="dxa"/>
            </w:tcMar>
            <w:vAlign w:val="bottom"/>
          </w:tcPr>
          <w:p w14:paraId="1FF1B43C" w14:textId="77777777" w:rsidR="00575AC3" w:rsidRPr="006D40F0" w:rsidRDefault="00575AC3" w:rsidP="006D40F0"/>
        </w:tc>
      </w:tr>
      <w:tr w:rsidR="00DD49A7" w:rsidRPr="006D40F0" w14:paraId="3BAE8FB8" w14:textId="77777777">
        <w:trPr>
          <w:trHeight w:val="380"/>
        </w:trPr>
        <w:tc>
          <w:tcPr>
            <w:tcW w:w="680" w:type="dxa"/>
            <w:tcBorders>
              <w:top w:val="nil"/>
              <w:left w:val="nil"/>
              <w:bottom w:val="nil"/>
              <w:right w:val="nil"/>
            </w:tcBorders>
            <w:tcMar>
              <w:top w:w="128" w:type="dxa"/>
              <w:left w:w="43" w:type="dxa"/>
              <w:bottom w:w="43" w:type="dxa"/>
              <w:right w:w="43" w:type="dxa"/>
            </w:tcMar>
          </w:tcPr>
          <w:p w14:paraId="7DFCE3A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B7A456" w14:textId="77777777" w:rsidR="00575AC3" w:rsidRPr="006D40F0" w:rsidRDefault="00575AC3" w:rsidP="006D40F0">
            <w:r w:rsidRPr="006D40F0">
              <w:t>7</w:t>
            </w:r>
          </w:p>
        </w:tc>
        <w:tc>
          <w:tcPr>
            <w:tcW w:w="6800" w:type="dxa"/>
            <w:tcBorders>
              <w:top w:val="nil"/>
              <w:left w:val="nil"/>
              <w:bottom w:val="nil"/>
              <w:right w:val="nil"/>
            </w:tcBorders>
            <w:tcMar>
              <w:top w:w="128" w:type="dxa"/>
              <w:left w:w="43" w:type="dxa"/>
              <w:bottom w:w="43" w:type="dxa"/>
              <w:right w:w="43" w:type="dxa"/>
            </w:tcMar>
          </w:tcPr>
          <w:p w14:paraId="45286982" w14:textId="77777777" w:rsidR="00575AC3" w:rsidRPr="006D40F0" w:rsidRDefault="00575AC3" w:rsidP="006D40F0">
            <w:r w:rsidRPr="006D40F0">
              <w:t>Gebyrer, kvotesystemet, forhøyes med</w:t>
            </w:r>
          </w:p>
        </w:tc>
        <w:tc>
          <w:tcPr>
            <w:tcW w:w="1400" w:type="dxa"/>
            <w:tcBorders>
              <w:top w:val="nil"/>
              <w:left w:val="nil"/>
              <w:bottom w:val="nil"/>
              <w:right w:val="nil"/>
            </w:tcBorders>
            <w:tcMar>
              <w:top w:w="128" w:type="dxa"/>
              <w:left w:w="43" w:type="dxa"/>
              <w:bottom w:w="43" w:type="dxa"/>
              <w:right w:w="43" w:type="dxa"/>
            </w:tcMar>
            <w:vAlign w:val="bottom"/>
          </w:tcPr>
          <w:p w14:paraId="3A647A24" w14:textId="77777777" w:rsidR="00575AC3" w:rsidRPr="006D40F0" w:rsidRDefault="00575AC3" w:rsidP="006D40F0">
            <w:r w:rsidRPr="006D40F0">
              <w:t>4 000 000</w:t>
            </w:r>
          </w:p>
        </w:tc>
      </w:tr>
      <w:tr w:rsidR="00DD49A7" w:rsidRPr="006D40F0" w14:paraId="74BA840F" w14:textId="77777777">
        <w:trPr>
          <w:trHeight w:val="380"/>
        </w:trPr>
        <w:tc>
          <w:tcPr>
            <w:tcW w:w="680" w:type="dxa"/>
            <w:tcBorders>
              <w:top w:val="nil"/>
              <w:left w:val="nil"/>
              <w:bottom w:val="nil"/>
              <w:right w:val="nil"/>
            </w:tcBorders>
            <w:tcMar>
              <w:top w:w="128" w:type="dxa"/>
              <w:left w:w="43" w:type="dxa"/>
              <w:bottom w:w="43" w:type="dxa"/>
              <w:right w:w="43" w:type="dxa"/>
            </w:tcMar>
          </w:tcPr>
          <w:p w14:paraId="32CC5B1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D036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2B9A4F3" w14:textId="77777777" w:rsidR="00575AC3" w:rsidRPr="006D40F0" w:rsidRDefault="00575AC3" w:rsidP="006D40F0">
            <w:r w:rsidRPr="006D40F0">
              <w:t>fra kr 5 928 000 til kr 9 928 000</w:t>
            </w:r>
          </w:p>
        </w:tc>
        <w:tc>
          <w:tcPr>
            <w:tcW w:w="1400" w:type="dxa"/>
            <w:tcBorders>
              <w:top w:val="nil"/>
              <w:left w:val="nil"/>
              <w:bottom w:val="nil"/>
              <w:right w:val="nil"/>
            </w:tcBorders>
            <w:tcMar>
              <w:top w:w="128" w:type="dxa"/>
              <w:left w:w="43" w:type="dxa"/>
              <w:bottom w:w="43" w:type="dxa"/>
              <w:right w:w="43" w:type="dxa"/>
            </w:tcMar>
            <w:vAlign w:val="bottom"/>
          </w:tcPr>
          <w:p w14:paraId="46F9B5A6" w14:textId="77777777" w:rsidR="00575AC3" w:rsidRPr="006D40F0" w:rsidRDefault="00575AC3" w:rsidP="006D40F0"/>
        </w:tc>
      </w:tr>
      <w:tr w:rsidR="00DD49A7" w:rsidRPr="006D40F0" w14:paraId="236A8C54" w14:textId="77777777">
        <w:trPr>
          <w:trHeight w:val="380"/>
        </w:trPr>
        <w:tc>
          <w:tcPr>
            <w:tcW w:w="680" w:type="dxa"/>
            <w:tcBorders>
              <w:top w:val="nil"/>
              <w:left w:val="nil"/>
              <w:bottom w:val="nil"/>
              <w:right w:val="nil"/>
            </w:tcBorders>
            <w:tcMar>
              <w:top w:w="128" w:type="dxa"/>
              <w:left w:w="43" w:type="dxa"/>
              <w:bottom w:w="43" w:type="dxa"/>
              <w:right w:w="43" w:type="dxa"/>
            </w:tcMar>
          </w:tcPr>
          <w:p w14:paraId="32691CBA" w14:textId="77777777" w:rsidR="00575AC3" w:rsidRPr="006D40F0" w:rsidRDefault="00575AC3" w:rsidP="006D40F0">
            <w:r w:rsidRPr="006D40F0">
              <w:t>4471</w:t>
            </w:r>
          </w:p>
        </w:tc>
        <w:tc>
          <w:tcPr>
            <w:tcW w:w="680" w:type="dxa"/>
            <w:tcBorders>
              <w:top w:val="nil"/>
              <w:left w:val="nil"/>
              <w:bottom w:val="nil"/>
              <w:right w:val="nil"/>
            </w:tcBorders>
            <w:tcMar>
              <w:top w:w="128" w:type="dxa"/>
              <w:left w:w="43" w:type="dxa"/>
              <w:bottom w:w="43" w:type="dxa"/>
              <w:right w:w="43" w:type="dxa"/>
            </w:tcMar>
          </w:tcPr>
          <w:p w14:paraId="057FC6F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01B353" w14:textId="77777777" w:rsidR="00575AC3" w:rsidRPr="006D40F0" w:rsidRDefault="00575AC3" w:rsidP="006D40F0">
            <w:r w:rsidRPr="006D40F0">
              <w:t>Norsk Polarinstitutt:</w:t>
            </w:r>
          </w:p>
        </w:tc>
        <w:tc>
          <w:tcPr>
            <w:tcW w:w="1400" w:type="dxa"/>
            <w:tcBorders>
              <w:top w:val="nil"/>
              <w:left w:val="nil"/>
              <w:bottom w:val="nil"/>
              <w:right w:val="nil"/>
            </w:tcBorders>
            <w:tcMar>
              <w:top w:w="128" w:type="dxa"/>
              <w:left w:w="43" w:type="dxa"/>
              <w:bottom w:w="43" w:type="dxa"/>
              <w:right w:w="43" w:type="dxa"/>
            </w:tcMar>
            <w:vAlign w:val="bottom"/>
          </w:tcPr>
          <w:p w14:paraId="664941B4" w14:textId="77777777" w:rsidR="00575AC3" w:rsidRPr="006D40F0" w:rsidRDefault="00575AC3" w:rsidP="006D40F0"/>
        </w:tc>
      </w:tr>
      <w:tr w:rsidR="00DD49A7" w:rsidRPr="006D40F0" w14:paraId="2237318B" w14:textId="77777777">
        <w:trPr>
          <w:trHeight w:val="380"/>
        </w:trPr>
        <w:tc>
          <w:tcPr>
            <w:tcW w:w="680" w:type="dxa"/>
            <w:tcBorders>
              <w:top w:val="nil"/>
              <w:left w:val="nil"/>
              <w:bottom w:val="nil"/>
              <w:right w:val="nil"/>
            </w:tcBorders>
            <w:tcMar>
              <w:top w:w="128" w:type="dxa"/>
              <w:left w:w="43" w:type="dxa"/>
              <w:bottom w:w="43" w:type="dxa"/>
              <w:right w:w="43" w:type="dxa"/>
            </w:tcMar>
          </w:tcPr>
          <w:p w14:paraId="499648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6C573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85A00CA" w14:textId="77777777" w:rsidR="00575AC3" w:rsidRPr="006D40F0" w:rsidRDefault="00575AC3" w:rsidP="006D40F0">
            <w:r w:rsidRPr="006D40F0">
              <w:t>Salgs- og utleieinntekter,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3FDD273D" w14:textId="77777777" w:rsidR="00575AC3" w:rsidRPr="006D40F0" w:rsidRDefault="00575AC3" w:rsidP="006D40F0">
            <w:r w:rsidRPr="006D40F0">
              <w:t>1 500 000</w:t>
            </w:r>
          </w:p>
        </w:tc>
      </w:tr>
      <w:tr w:rsidR="00DD49A7" w:rsidRPr="006D40F0" w14:paraId="2812B557" w14:textId="77777777">
        <w:trPr>
          <w:trHeight w:val="380"/>
        </w:trPr>
        <w:tc>
          <w:tcPr>
            <w:tcW w:w="680" w:type="dxa"/>
            <w:tcBorders>
              <w:top w:val="nil"/>
              <w:left w:val="nil"/>
              <w:bottom w:val="nil"/>
              <w:right w:val="nil"/>
            </w:tcBorders>
            <w:tcMar>
              <w:top w:w="128" w:type="dxa"/>
              <w:left w:w="43" w:type="dxa"/>
              <w:bottom w:w="43" w:type="dxa"/>
              <w:right w:w="43" w:type="dxa"/>
            </w:tcMar>
          </w:tcPr>
          <w:p w14:paraId="3A7467E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C3E56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C44BFB7" w14:textId="77777777" w:rsidR="00575AC3" w:rsidRPr="006D40F0" w:rsidRDefault="00575AC3" w:rsidP="006D40F0">
            <w:r w:rsidRPr="006D40F0">
              <w:t>fra kr 7 327 000 til kr 8 827 000</w:t>
            </w:r>
          </w:p>
        </w:tc>
        <w:tc>
          <w:tcPr>
            <w:tcW w:w="1400" w:type="dxa"/>
            <w:tcBorders>
              <w:top w:val="nil"/>
              <w:left w:val="nil"/>
              <w:bottom w:val="nil"/>
              <w:right w:val="nil"/>
            </w:tcBorders>
            <w:tcMar>
              <w:top w:w="128" w:type="dxa"/>
              <w:left w:w="43" w:type="dxa"/>
              <w:bottom w:w="43" w:type="dxa"/>
              <w:right w:w="43" w:type="dxa"/>
            </w:tcMar>
            <w:vAlign w:val="bottom"/>
          </w:tcPr>
          <w:p w14:paraId="547BAFC3" w14:textId="77777777" w:rsidR="00575AC3" w:rsidRPr="006D40F0" w:rsidRDefault="00575AC3" w:rsidP="006D40F0"/>
        </w:tc>
      </w:tr>
      <w:tr w:rsidR="00DD49A7" w:rsidRPr="006D40F0" w14:paraId="6A989251" w14:textId="77777777">
        <w:trPr>
          <w:trHeight w:val="380"/>
        </w:trPr>
        <w:tc>
          <w:tcPr>
            <w:tcW w:w="680" w:type="dxa"/>
            <w:tcBorders>
              <w:top w:val="nil"/>
              <w:left w:val="nil"/>
              <w:bottom w:val="nil"/>
              <w:right w:val="nil"/>
            </w:tcBorders>
            <w:tcMar>
              <w:top w:w="128" w:type="dxa"/>
              <w:left w:w="43" w:type="dxa"/>
              <w:bottom w:w="43" w:type="dxa"/>
              <w:right w:w="43" w:type="dxa"/>
            </w:tcMar>
          </w:tcPr>
          <w:p w14:paraId="70C39ADA" w14:textId="77777777" w:rsidR="00575AC3" w:rsidRPr="006D40F0" w:rsidRDefault="00575AC3" w:rsidP="006D40F0">
            <w:r w:rsidRPr="006D40F0">
              <w:t>4481</w:t>
            </w:r>
          </w:p>
        </w:tc>
        <w:tc>
          <w:tcPr>
            <w:tcW w:w="680" w:type="dxa"/>
            <w:tcBorders>
              <w:top w:val="nil"/>
              <w:left w:val="nil"/>
              <w:bottom w:val="nil"/>
              <w:right w:val="nil"/>
            </w:tcBorders>
            <w:tcMar>
              <w:top w:w="128" w:type="dxa"/>
              <w:left w:w="43" w:type="dxa"/>
              <w:bottom w:w="43" w:type="dxa"/>
              <w:right w:w="43" w:type="dxa"/>
            </w:tcMar>
          </w:tcPr>
          <w:p w14:paraId="1B188BA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B1E288" w14:textId="77777777" w:rsidR="00575AC3" w:rsidRPr="006D40F0" w:rsidRDefault="00575AC3" w:rsidP="006D40F0">
            <w:r w:rsidRPr="006D40F0">
              <w:t>Salg av klimakvoter:</w:t>
            </w:r>
          </w:p>
        </w:tc>
        <w:tc>
          <w:tcPr>
            <w:tcW w:w="1400" w:type="dxa"/>
            <w:tcBorders>
              <w:top w:val="nil"/>
              <w:left w:val="nil"/>
              <w:bottom w:val="nil"/>
              <w:right w:val="nil"/>
            </w:tcBorders>
            <w:tcMar>
              <w:top w:w="128" w:type="dxa"/>
              <w:left w:w="43" w:type="dxa"/>
              <w:bottom w:w="43" w:type="dxa"/>
              <w:right w:w="43" w:type="dxa"/>
            </w:tcMar>
            <w:vAlign w:val="bottom"/>
          </w:tcPr>
          <w:p w14:paraId="1E4C279E" w14:textId="77777777" w:rsidR="00575AC3" w:rsidRPr="006D40F0" w:rsidRDefault="00575AC3" w:rsidP="006D40F0"/>
        </w:tc>
      </w:tr>
      <w:tr w:rsidR="00DD49A7" w:rsidRPr="006D40F0" w14:paraId="4631B72B" w14:textId="77777777">
        <w:trPr>
          <w:trHeight w:val="380"/>
        </w:trPr>
        <w:tc>
          <w:tcPr>
            <w:tcW w:w="680" w:type="dxa"/>
            <w:tcBorders>
              <w:top w:val="nil"/>
              <w:left w:val="nil"/>
              <w:bottom w:val="nil"/>
              <w:right w:val="nil"/>
            </w:tcBorders>
            <w:tcMar>
              <w:top w:w="128" w:type="dxa"/>
              <w:left w:w="43" w:type="dxa"/>
              <w:bottom w:w="43" w:type="dxa"/>
              <w:right w:w="43" w:type="dxa"/>
            </w:tcMar>
          </w:tcPr>
          <w:p w14:paraId="7A3216E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A6525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7DB1E87C" w14:textId="77777777" w:rsidR="00575AC3" w:rsidRPr="006D40F0" w:rsidRDefault="00575AC3" w:rsidP="006D40F0">
            <w:r w:rsidRPr="006D40F0">
              <w:t>Salgsinntekter,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2D30DA41" w14:textId="77777777" w:rsidR="00575AC3" w:rsidRPr="006D40F0" w:rsidRDefault="00575AC3" w:rsidP="006D40F0">
            <w:r w:rsidRPr="006D40F0">
              <w:t>918 000 000</w:t>
            </w:r>
          </w:p>
        </w:tc>
      </w:tr>
      <w:tr w:rsidR="00DD49A7" w:rsidRPr="006D40F0" w14:paraId="370B4A1E" w14:textId="77777777">
        <w:trPr>
          <w:trHeight w:val="380"/>
        </w:trPr>
        <w:tc>
          <w:tcPr>
            <w:tcW w:w="680" w:type="dxa"/>
            <w:tcBorders>
              <w:top w:val="nil"/>
              <w:left w:val="nil"/>
              <w:bottom w:val="nil"/>
              <w:right w:val="nil"/>
            </w:tcBorders>
            <w:tcMar>
              <w:top w:w="128" w:type="dxa"/>
              <w:left w:w="43" w:type="dxa"/>
              <w:bottom w:w="43" w:type="dxa"/>
              <w:right w:w="43" w:type="dxa"/>
            </w:tcMar>
          </w:tcPr>
          <w:p w14:paraId="7C4CD85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156FA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685977" w14:textId="77777777" w:rsidR="00575AC3" w:rsidRPr="006D40F0" w:rsidRDefault="00575AC3" w:rsidP="006D40F0">
            <w:r w:rsidRPr="006D40F0">
              <w:t>fra kr 2 826 518 000 til kr 1 908 518 000</w:t>
            </w:r>
          </w:p>
        </w:tc>
        <w:tc>
          <w:tcPr>
            <w:tcW w:w="1400" w:type="dxa"/>
            <w:tcBorders>
              <w:top w:val="nil"/>
              <w:left w:val="nil"/>
              <w:bottom w:val="nil"/>
              <w:right w:val="nil"/>
            </w:tcBorders>
            <w:tcMar>
              <w:top w:w="128" w:type="dxa"/>
              <w:left w:w="43" w:type="dxa"/>
              <w:bottom w:w="43" w:type="dxa"/>
              <w:right w:w="43" w:type="dxa"/>
            </w:tcMar>
            <w:vAlign w:val="bottom"/>
          </w:tcPr>
          <w:p w14:paraId="6E3D0C3C" w14:textId="77777777" w:rsidR="00575AC3" w:rsidRPr="006D40F0" w:rsidRDefault="00575AC3" w:rsidP="006D40F0"/>
        </w:tc>
      </w:tr>
      <w:tr w:rsidR="00DD49A7" w:rsidRPr="006D40F0" w14:paraId="66E7B635" w14:textId="77777777">
        <w:trPr>
          <w:trHeight w:val="380"/>
        </w:trPr>
        <w:tc>
          <w:tcPr>
            <w:tcW w:w="680" w:type="dxa"/>
            <w:tcBorders>
              <w:top w:val="nil"/>
              <w:left w:val="nil"/>
              <w:bottom w:val="nil"/>
              <w:right w:val="nil"/>
            </w:tcBorders>
            <w:tcMar>
              <w:top w:w="128" w:type="dxa"/>
              <w:left w:w="43" w:type="dxa"/>
              <w:bottom w:w="43" w:type="dxa"/>
              <w:right w:w="43" w:type="dxa"/>
            </w:tcMar>
          </w:tcPr>
          <w:p w14:paraId="47271F2A" w14:textId="77777777" w:rsidR="00575AC3" w:rsidRPr="006D40F0" w:rsidRDefault="00575AC3" w:rsidP="006D40F0">
            <w:r w:rsidRPr="006D40F0">
              <w:t>4565</w:t>
            </w:r>
          </w:p>
        </w:tc>
        <w:tc>
          <w:tcPr>
            <w:tcW w:w="680" w:type="dxa"/>
            <w:tcBorders>
              <w:top w:val="nil"/>
              <w:left w:val="nil"/>
              <w:bottom w:val="nil"/>
              <w:right w:val="nil"/>
            </w:tcBorders>
            <w:tcMar>
              <w:top w:w="128" w:type="dxa"/>
              <w:left w:w="43" w:type="dxa"/>
              <w:bottom w:w="43" w:type="dxa"/>
              <w:right w:w="43" w:type="dxa"/>
            </w:tcMar>
          </w:tcPr>
          <w:p w14:paraId="42E365E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8C9FC82" w14:textId="77777777" w:rsidR="00575AC3" w:rsidRPr="006D40F0" w:rsidRDefault="00575AC3" w:rsidP="006D40F0">
            <w:r w:rsidRPr="006D40F0">
              <w:t>Boliglånsordningen i Statens pensjonskasse:</w:t>
            </w:r>
          </w:p>
        </w:tc>
        <w:tc>
          <w:tcPr>
            <w:tcW w:w="1400" w:type="dxa"/>
            <w:tcBorders>
              <w:top w:val="nil"/>
              <w:left w:val="nil"/>
              <w:bottom w:val="nil"/>
              <w:right w:val="nil"/>
            </w:tcBorders>
            <w:tcMar>
              <w:top w:w="128" w:type="dxa"/>
              <w:left w:w="43" w:type="dxa"/>
              <w:bottom w:w="43" w:type="dxa"/>
              <w:right w:w="43" w:type="dxa"/>
            </w:tcMar>
            <w:vAlign w:val="bottom"/>
          </w:tcPr>
          <w:p w14:paraId="67E8BEAC" w14:textId="77777777" w:rsidR="00575AC3" w:rsidRPr="006D40F0" w:rsidRDefault="00575AC3" w:rsidP="006D40F0"/>
        </w:tc>
      </w:tr>
      <w:tr w:rsidR="00DD49A7" w:rsidRPr="006D40F0" w14:paraId="540F4C02" w14:textId="77777777">
        <w:trPr>
          <w:trHeight w:val="380"/>
        </w:trPr>
        <w:tc>
          <w:tcPr>
            <w:tcW w:w="680" w:type="dxa"/>
            <w:tcBorders>
              <w:top w:val="nil"/>
              <w:left w:val="nil"/>
              <w:bottom w:val="nil"/>
              <w:right w:val="nil"/>
            </w:tcBorders>
            <w:tcMar>
              <w:top w:w="128" w:type="dxa"/>
              <w:left w:w="43" w:type="dxa"/>
              <w:bottom w:w="43" w:type="dxa"/>
              <w:right w:w="43" w:type="dxa"/>
            </w:tcMar>
          </w:tcPr>
          <w:p w14:paraId="6245F46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0BE1BD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83FBE36" w14:textId="77777777" w:rsidR="00575AC3" w:rsidRPr="006D40F0" w:rsidRDefault="00575AC3" w:rsidP="006D40F0">
            <w:r w:rsidRPr="006D40F0">
              <w:t>Gebyrinntekter, lån, forhøyes med</w:t>
            </w:r>
          </w:p>
        </w:tc>
        <w:tc>
          <w:tcPr>
            <w:tcW w:w="1400" w:type="dxa"/>
            <w:tcBorders>
              <w:top w:val="nil"/>
              <w:left w:val="nil"/>
              <w:bottom w:val="nil"/>
              <w:right w:val="nil"/>
            </w:tcBorders>
            <w:tcMar>
              <w:top w:w="128" w:type="dxa"/>
              <w:left w:w="43" w:type="dxa"/>
              <w:bottom w:w="43" w:type="dxa"/>
              <w:right w:w="43" w:type="dxa"/>
            </w:tcMar>
            <w:vAlign w:val="bottom"/>
          </w:tcPr>
          <w:p w14:paraId="1070D7B1" w14:textId="77777777" w:rsidR="00575AC3" w:rsidRPr="006D40F0" w:rsidRDefault="00575AC3" w:rsidP="006D40F0">
            <w:r w:rsidRPr="006D40F0">
              <w:t>5 000 000</w:t>
            </w:r>
          </w:p>
        </w:tc>
      </w:tr>
      <w:tr w:rsidR="00DD49A7" w:rsidRPr="006D40F0" w14:paraId="01550130" w14:textId="77777777">
        <w:trPr>
          <w:trHeight w:val="380"/>
        </w:trPr>
        <w:tc>
          <w:tcPr>
            <w:tcW w:w="680" w:type="dxa"/>
            <w:tcBorders>
              <w:top w:val="nil"/>
              <w:left w:val="nil"/>
              <w:bottom w:val="nil"/>
              <w:right w:val="nil"/>
            </w:tcBorders>
            <w:tcMar>
              <w:top w:w="128" w:type="dxa"/>
              <w:left w:w="43" w:type="dxa"/>
              <w:bottom w:w="43" w:type="dxa"/>
              <w:right w:w="43" w:type="dxa"/>
            </w:tcMar>
          </w:tcPr>
          <w:p w14:paraId="69E3D71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4BFA2E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6D9B3C4" w14:textId="77777777" w:rsidR="00575AC3" w:rsidRPr="006D40F0" w:rsidRDefault="00575AC3" w:rsidP="006D40F0">
            <w:r w:rsidRPr="006D40F0">
              <w:t>fra kr 47 000 000 til kr 52 000 000</w:t>
            </w:r>
          </w:p>
        </w:tc>
        <w:tc>
          <w:tcPr>
            <w:tcW w:w="1400" w:type="dxa"/>
            <w:tcBorders>
              <w:top w:val="nil"/>
              <w:left w:val="nil"/>
              <w:bottom w:val="nil"/>
              <w:right w:val="nil"/>
            </w:tcBorders>
            <w:tcMar>
              <w:top w:w="128" w:type="dxa"/>
              <w:left w:w="43" w:type="dxa"/>
              <w:bottom w:w="43" w:type="dxa"/>
              <w:right w:w="43" w:type="dxa"/>
            </w:tcMar>
            <w:vAlign w:val="bottom"/>
          </w:tcPr>
          <w:p w14:paraId="08D227FE" w14:textId="77777777" w:rsidR="00575AC3" w:rsidRPr="006D40F0" w:rsidRDefault="00575AC3" w:rsidP="006D40F0"/>
        </w:tc>
      </w:tr>
      <w:tr w:rsidR="00DD49A7" w:rsidRPr="006D40F0" w14:paraId="305035E4" w14:textId="77777777">
        <w:trPr>
          <w:trHeight w:val="380"/>
        </w:trPr>
        <w:tc>
          <w:tcPr>
            <w:tcW w:w="680" w:type="dxa"/>
            <w:tcBorders>
              <w:top w:val="nil"/>
              <w:left w:val="nil"/>
              <w:bottom w:val="nil"/>
              <w:right w:val="nil"/>
            </w:tcBorders>
            <w:tcMar>
              <w:top w:w="128" w:type="dxa"/>
              <w:left w:w="43" w:type="dxa"/>
              <w:bottom w:w="43" w:type="dxa"/>
              <w:right w:w="43" w:type="dxa"/>
            </w:tcMar>
          </w:tcPr>
          <w:p w14:paraId="351B2D9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EB182BA"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2AF102BC" w14:textId="77777777" w:rsidR="00575AC3" w:rsidRPr="006D40F0" w:rsidRDefault="00575AC3" w:rsidP="006D40F0">
            <w:r w:rsidRPr="006D40F0">
              <w:t>Tilbakebetaling av lån, forhøyes med</w:t>
            </w:r>
          </w:p>
        </w:tc>
        <w:tc>
          <w:tcPr>
            <w:tcW w:w="1400" w:type="dxa"/>
            <w:tcBorders>
              <w:top w:val="nil"/>
              <w:left w:val="nil"/>
              <w:bottom w:val="nil"/>
              <w:right w:val="nil"/>
            </w:tcBorders>
            <w:tcMar>
              <w:top w:w="128" w:type="dxa"/>
              <w:left w:w="43" w:type="dxa"/>
              <w:bottom w:w="43" w:type="dxa"/>
              <w:right w:w="43" w:type="dxa"/>
            </w:tcMar>
            <w:vAlign w:val="bottom"/>
          </w:tcPr>
          <w:p w14:paraId="7B02AA67" w14:textId="77777777" w:rsidR="00575AC3" w:rsidRPr="006D40F0" w:rsidRDefault="00575AC3" w:rsidP="006D40F0">
            <w:r w:rsidRPr="006D40F0">
              <w:t>1 200 000 000</w:t>
            </w:r>
          </w:p>
        </w:tc>
      </w:tr>
      <w:tr w:rsidR="00DD49A7" w:rsidRPr="006D40F0" w14:paraId="33E18EDF" w14:textId="77777777">
        <w:trPr>
          <w:trHeight w:val="380"/>
        </w:trPr>
        <w:tc>
          <w:tcPr>
            <w:tcW w:w="680" w:type="dxa"/>
            <w:tcBorders>
              <w:top w:val="nil"/>
              <w:left w:val="nil"/>
              <w:bottom w:val="nil"/>
              <w:right w:val="nil"/>
            </w:tcBorders>
            <w:tcMar>
              <w:top w:w="128" w:type="dxa"/>
              <w:left w:w="43" w:type="dxa"/>
              <w:bottom w:w="43" w:type="dxa"/>
              <w:right w:w="43" w:type="dxa"/>
            </w:tcMar>
          </w:tcPr>
          <w:p w14:paraId="10304B1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7BC797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48D4744" w14:textId="77777777" w:rsidR="00575AC3" w:rsidRPr="006D40F0" w:rsidRDefault="00575AC3" w:rsidP="006D40F0">
            <w:r w:rsidRPr="006D40F0">
              <w:t>fra kr 9 400 000 000 til kr 10 600 000 000</w:t>
            </w:r>
          </w:p>
        </w:tc>
        <w:tc>
          <w:tcPr>
            <w:tcW w:w="1400" w:type="dxa"/>
            <w:tcBorders>
              <w:top w:val="nil"/>
              <w:left w:val="nil"/>
              <w:bottom w:val="nil"/>
              <w:right w:val="nil"/>
            </w:tcBorders>
            <w:tcMar>
              <w:top w:w="128" w:type="dxa"/>
              <w:left w:w="43" w:type="dxa"/>
              <w:bottom w:w="43" w:type="dxa"/>
              <w:right w:w="43" w:type="dxa"/>
            </w:tcMar>
            <w:vAlign w:val="bottom"/>
          </w:tcPr>
          <w:p w14:paraId="3AF3BE8A" w14:textId="77777777" w:rsidR="00575AC3" w:rsidRPr="006D40F0" w:rsidRDefault="00575AC3" w:rsidP="006D40F0"/>
        </w:tc>
      </w:tr>
      <w:tr w:rsidR="00DD49A7" w:rsidRPr="006D40F0" w14:paraId="14BECD4C" w14:textId="77777777">
        <w:trPr>
          <w:trHeight w:val="380"/>
        </w:trPr>
        <w:tc>
          <w:tcPr>
            <w:tcW w:w="680" w:type="dxa"/>
            <w:tcBorders>
              <w:top w:val="nil"/>
              <w:left w:val="nil"/>
              <w:bottom w:val="nil"/>
              <w:right w:val="nil"/>
            </w:tcBorders>
            <w:tcMar>
              <w:top w:w="128" w:type="dxa"/>
              <w:left w:w="43" w:type="dxa"/>
              <w:bottom w:w="43" w:type="dxa"/>
              <w:right w:w="43" w:type="dxa"/>
            </w:tcMar>
          </w:tcPr>
          <w:p w14:paraId="6F32D993" w14:textId="77777777" w:rsidR="00575AC3" w:rsidRPr="006D40F0" w:rsidRDefault="00575AC3" w:rsidP="006D40F0">
            <w:r w:rsidRPr="006D40F0">
              <w:t>4605</w:t>
            </w:r>
          </w:p>
        </w:tc>
        <w:tc>
          <w:tcPr>
            <w:tcW w:w="680" w:type="dxa"/>
            <w:tcBorders>
              <w:top w:val="nil"/>
              <w:left w:val="nil"/>
              <w:bottom w:val="nil"/>
              <w:right w:val="nil"/>
            </w:tcBorders>
            <w:tcMar>
              <w:top w:w="128" w:type="dxa"/>
              <w:left w:w="43" w:type="dxa"/>
              <w:bottom w:w="43" w:type="dxa"/>
              <w:right w:w="43" w:type="dxa"/>
            </w:tcMar>
          </w:tcPr>
          <w:p w14:paraId="0CD1D11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4E4BF8" w14:textId="77777777" w:rsidR="00575AC3" w:rsidRPr="006D40F0" w:rsidRDefault="00575AC3" w:rsidP="006D40F0">
            <w:r w:rsidRPr="006D40F0">
              <w:t>Direktoratet for forvaltning og økonomistyring:</w:t>
            </w:r>
          </w:p>
        </w:tc>
        <w:tc>
          <w:tcPr>
            <w:tcW w:w="1400" w:type="dxa"/>
            <w:tcBorders>
              <w:top w:val="nil"/>
              <w:left w:val="nil"/>
              <w:bottom w:val="nil"/>
              <w:right w:val="nil"/>
            </w:tcBorders>
            <w:tcMar>
              <w:top w:w="128" w:type="dxa"/>
              <w:left w:w="43" w:type="dxa"/>
              <w:bottom w:w="43" w:type="dxa"/>
              <w:right w:w="43" w:type="dxa"/>
            </w:tcMar>
            <w:vAlign w:val="bottom"/>
          </w:tcPr>
          <w:p w14:paraId="1EC55E49" w14:textId="77777777" w:rsidR="00575AC3" w:rsidRPr="006D40F0" w:rsidRDefault="00575AC3" w:rsidP="006D40F0"/>
        </w:tc>
      </w:tr>
      <w:tr w:rsidR="00DD49A7" w:rsidRPr="006D40F0" w14:paraId="188023DB" w14:textId="77777777">
        <w:trPr>
          <w:trHeight w:val="380"/>
        </w:trPr>
        <w:tc>
          <w:tcPr>
            <w:tcW w:w="680" w:type="dxa"/>
            <w:tcBorders>
              <w:top w:val="nil"/>
              <w:left w:val="nil"/>
              <w:bottom w:val="nil"/>
              <w:right w:val="nil"/>
            </w:tcBorders>
            <w:tcMar>
              <w:top w:w="128" w:type="dxa"/>
              <w:left w:w="43" w:type="dxa"/>
              <w:bottom w:w="43" w:type="dxa"/>
              <w:right w:w="43" w:type="dxa"/>
            </w:tcMar>
          </w:tcPr>
          <w:p w14:paraId="76D6879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1D9C4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4E012E94" w14:textId="77777777" w:rsidR="00575AC3" w:rsidRPr="006D40F0" w:rsidRDefault="00575AC3" w:rsidP="006D40F0">
            <w:r w:rsidRPr="006D40F0">
              <w:t>Økonomitjenester og andre driftsinntekter,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1E64B4FE" w14:textId="77777777" w:rsidR="00575AC3" w:rsidRPr="006D40F0" w:rsidRDefault="00575AC3" w:rsidP="006D40F0">
            <w:r w:rsidRPr="006D40F0">
              <w:t>110 000 000</w:t>
            </w:r>
          </w:p>
        </w:tc>
      </w:tr>
      <w:tr w:rsidR="00DD49A7" w:rsidRPr="006D40F0" w14:paraId="38EC2A9F" w14:textId="77777777">
        <w:trPr>
          <w:trHeight w:val="380"/>
        </w:trPr>
        <w:tc>
          <w:tcPr>
            <w:tcW w:w="680" w:type="dxa"/>
            <w:tcBorders>
              <w:top w:val="nil"/>
              <w:left w:val="nil"/>
              <w:bottom w:val="nil"/>
              <w:right w:val="nil"/>
            </w:tcBorders>
            <w:tcMar>
              <w:top w:w="128" w:type="dxa"/>
              <w:left w:w="43" w:type="dxa"/>
              <w:bottom w:w="43" w:type="dxa"/>
              <w:right w:w="43" w:type="dxa"/>
            </w:tcMar>
          </w:tcPr>
          <w:p w14:paraId="06EC49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BF004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77BB7CF" w14:textId="77777777" w:rsidR="00575AC3" w:rsidRPr="006D40F0" w:rsidRDefault="00575AC3" w:rsidP="006D40F0">
            <w:r w:rsidRPr="006D40F0">
              <w:t>fra kr 167 587 000 til kr 277 587 000</w:t>
            </w:r>
          </w:p>
        </w:tc>
        <w:tc>
          <w:tcPr>
            <w:tcW w:w="1400" w:type="dxa"/>
            <w:tcBorders>
              <w:top w:val="nil"/>
              <w:left w:val="nil"/>
              <w:bottom w:val="nil"/>
              <w:right w:val="nil"/>
            </w:tcBorders>
            <w:tcMar>
              <w:top w:w="128" w:type="dxa"/>
              <w:left w:w="43" w:type="dxa"/>
              <w:bottom w:w="43" w:type="dxa"/>
              <w:right w:w="43" w:type="dxa"/>
            </w:tcMar>
            <w:vAlign w:val="bottom"/>
          </w:tcPr>
          <w:p w14:paraId="30474343" w14:textId="77777777" w:rsidR="00575AC3" w:rsidRPr="006D40F0" w:rsidRDefault="00575AC3" w:rsidP="006D40F0"/>
        </w:tc>
      </w:tr>
      <w:tr w:rsidR="00DD49A7" w:rsidRPr="006D40F0" w14:paraId="7280C444" w14:textId="77777777">
        <w:trPr>
          <w:trHeight w:val="380"/>
        </w:trPr>
        <w:tc>
          <w:tcPr>
            <w:tcW w:w="680" w:type="dxa"/>
            <w:tcBorders>
              <w:top w:val="nil"/>
              <w:left w:val="nil"/>
              <w:bottom w:val="nil"/>
              <w:right w:val="nil"/>
            </w:tcBorders>
            <w:tcMar>
              <w:top w:w="128" w:type="dxa"/>
              <w:left w:w="43" w:type="dxa"/>
              <w:bottom w:w="43" w:type="dxa"/>
              <w:right w:w="43" w:type="dxa"/>
            </w:tcMar>
          </w:tcPr>
          <w:p w14:paraId="572BE1F6" w14:textId="77777777" w:rsidR="00575AC3" w:rsidRPr="006D40F0" w:rsidRDefault="00575AC3" w:rsidP="006D40F0">
            <w:r w:rsidRPr="006D40F0">
              <w:t>4610</w:t>
            </w:r>
          </w:p>
        </w:tc>
        <w:tc>
          <w:tcPr>
            <w:tcW w:w="680" w:type="dxa"/>
            <w:tcBorders>
              <w:top w:val="nil"/>
              <w:left w:val="nil"/>
              <w:bottom w:val="nil"/>
              <w:right w:val="nil"/>
            </w:tcBorders>
            <w:tcMar>
              <w:top w:w="128" w:type="dxa"/>
              <w:left w:w="43" w:type="dxa"/>
              <w:bottom w:w="43" w:type="dxa"/>
              <w:right w:w="43" w:type="dxa"/>
            </w:tcMar>
          </w:tcPr>
          <w:p w14:paraId="4988902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70F16B1" w14:textId="77777777" w:rsidR="00575AC3" w:rsidRPr="006D40F0" w:rsidRDefault="00575AC3" w:rsidP="006D40F0">
            <w:r w:rsidRPr="006D40F0">
              <w:t>Tolletaten:</w:t>
            </w:r>
          </w:p>
        </w:tc>
        <w:tc>
          <w:tcPr>
            <w:tcW w:w="1400" w:type="dxa"/>
            <w:tcBorders>
              <w:top w:val="nil"/>
              <w:left w:val="nil"/>
              <w:bottom w:val="nil"/>
              <w:right w:val="nil"/>
            </w:tcBorders>
            <w:tcMar>
              <w:top w:w="128" w:type="dxa"/>
              <w:left w:w="43" w:type="dxa"/>
              <w:bottom w:w="43" w:type="dxa"/>
              <w:right w:w="43" w:type="dxa"/>
            </w:tcMar>
            <w:vAlign w:val="bottom"/>
          </w:tcPr>
          <w:p w14:paraId="38E634B5" w14:textId="77777777" w:rsidR="00575AC3" w:rsidRPr="006D40F0" w:rsidRDefault="00575AC3" w:rsidP="006D40F0"/>
        </w:tc>
      </w:tr>
      <w:tr w:rsidR="00DD49A7" w:rsidRPr="006D40F0" w14:paraId="1FB06459" w14:textId="77777777">
        <w:trPr>
          <w:trHeight w:val="380"/>
        </w:trPr>
        <w:tc>
          <w:tcPr>
            <w:tcW w:w="680" w:type="dxa"/>
            <w:tcBorders>
              <w:top w:val="nil"/>
              <w:left w:val="nil"/>
              <w:bottom w:val="nil"/>
              <w:right w:val="nil"/>
            </w:tcBorders>
            <w:tcMar>
              <w:top w:w="128" w:type="dxa"/>
              <w:left w:w="43" w:type="dxa"/>
              <w:bottom w:w="43" w:type="dxa"/>
              <w:right w:w="43" w:type="dxa"/>
            </w:tcMar>
          </w:tcPr>
          <w:p w14:paraId="50F64D9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40BF22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9566B09" w14:textId="77777777" w:rsidR="00575AC3" w:rsidRPr="006D40F0" w:rsidRDefault="00575AC3" w:rsidP="006D40F0">
            <w:r w:rsidRPr="006D40F0">
              <w:t>Særskilt vederlag for tolltjenester, nedsettes med</w:t>
            </w:r>
          </w:p>
        </w:tc>
        <w:tc>
          <w:tcPr>
            <w:tcW w:w="1400" w:type="dxa"/>
            <w:tcBorders>
              <w:top w:val="nil"/>
              <w:left w:val="nil"/>
              <w:bottom w:val="nil"/>
              <w:right w:val="nil"/>
            </w:tcBorders>
            <w:tcMar>
              <w:top w:w="128" w:type="dxa"/>
              <w:left w:w="43" w:type="dxa"/>
              <w:bottom w:w="43" w:type="dxa"/>
              <w:right w:w="43" w:type="dxa"/>
            </w:tcMar>
            <w:vAlign w:val="bottom"/>
          </w:tcPr>
          <w:p w14:paraId="73550511" w14:textId="77777777" w:rsidR="00575AC3" w:rsidRPr="006D40F0" w:rsidRDefault="00575AC3" w:rsidP="006D40F0">
            <w:r w:rsidRPr="006D40F0">
              <w:t>1 547 000</w:t>
            </w:r>
          </w:p>
        </w:tc>
      </w:tr>
      <w:tr w:rsidR="00DD49A7" w:rsidRPr="006D40F0" w14:paraId="1E49F21B" w14:textId="77777777">
        <w:trPr>
          <w:trHeight w:val="380"/>
        </w:trPr>
        <w:tc>
          <w:tcPr>
            <w:tcW w:w="680" w:type="dxa"/>
            <w:tcBorders>
              <w:top w:val="nil"/>
              <w:left w:val="nil"/>
              <w:bottom w:val="nil"/>
              <w:right w:val="nil"/>
            </w:tcBorders>
            <w:tcMar>
              <w:top w:w="128" w:type="dxa"/>
              <w:left w:w="43" w:type="dxa"/>
              <w:bottom w:w="43" w:type="dxa"/>
              <w:right w:w="43" w:type="dxa"/>
            </w:tcMar>
          </w:tcPr>
          <w:p w14:paraId="4D0677E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C31F2D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33EF959" w14:textId="77777777" w:rsidR="00575AC3" w:rsidRPr="006D40F0" w:rsidRDefault="00575AC3" w:rsidP="006D40F0">
            <w:r w:rsidRPr="006D40F0">
              <w:t>fra kr 8 247 000 til kr 6 700 000</w:t>
            </w:r>
          </w:p>
        </w:tc>
        <w:tc>
          <w:tcPr>
            <w:tcW w:w="1400" w:type="dxa"/>
            <w:tcBorders>
              <w:top w:val="nil"/>
              <w:left w:val="nil"/>
              <w:bottom w:val="nil"/>
              <w:right w:val="nil"/>
            </w:tcBorders>
            <w:tcMar>
              <w:top w:w="128" w:type="dxa"/>
              <w:left w:w="43" w:type="dxa"/>
              <w:bottom w:w="43" w:type="dxa"/>
              <w:right w:w="43" w:type="dxa"/>
            </w:tcMar>
            <w:vAlign w:val="bottom"/>
          </w:tcPr>
          <w:p w14:paraId="51F0CF34" w14:textId="77777777" w:rsidR="00575AC3" w:rsidRPr="006D40F0" w:rsidRDefault="00575AC3" w:rsidP="006D40F0"/>
        </w:tc>
      </w:tr>
      <w:tr w:rsidR="00DD49A7" w:rsidRPr="006D40F0" w14:paraId="4ADC0031" w14:textId="77777777">
        <w:trPr>
          <w:trHeight w:val="380"/>
        </w:trPr>
        <w:tc>
          <w:tcPr>
            <w:tcW w:w="680" w:type="dxa"/>
            <w:tcBorders>
              <w:top w:val="nil"/>
              <w:left w:val="nil"/>
              <w:bottom w:val="nil"/>
              <w:right w:val="nil"/>
            </w:tcBorders>
            <w:tcMar>
              <w:top w:w="128" w:type="dxa"/>
              <w:left w:w="43" w:type="dxa"/>
              <w:bottom w:w="43" w:type="dxa"/>
              <w:right w:w="43" w:type="dxa"/>
            </w:tcMar>
          </w:tcPr>
          <w:p w14:paraId="15D9C516" w14:textId="77777777" w:rsidR="00575AC3" w:rsidRPr="006D40F0" w:rsidRDefault="00575AC3" w:rsidP="006D40F0">
            <w:r w:rsidRPr="006D40F0">
              <w:t>4618</w:t>
            </w:r>
          </w:p>
        </w:tc>
        <w:tc>
          <w:tcPr>
            <w:tcW w:w="680" w:type="dxa"/>
            <w:tcBorders>
              <w:top w:val="nil"/>
              <w:left w:val="nil"/>
              <w:bottom w:val="nil"/>
              <w:right w:val="nil"/>
            </w:tcBorders>
            <w:tcMar>
              <w:top w:w="128" w:type="dxa"/>
              <w:left w:w="43" w:type="dxa"/>
              <w:bottom w:w="43" w:type="dxa"/>
              <w:right w:w="43" w:type="dxa"/>
            </w:tcMar>
          </w:tcPr>
          <w:p w14:paraId="5E6A973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A37D1A0" w14:textId="77777777" w:rsidR="00575AC3" w:rsidRPr="006D40F0" w:rsidRDefault="00575AC3" w:rsidP="006D40F0">
            <w:r w:rsidRPr="006D40F0">
              <w:t>Skatteetaten:</w:t>
            </w:r>
          </w:p>
        </w:tc>
        <w:tc>
          <w:tcPr>
            <w:tcW w:w="1400" w:type="dxa"/>
            <w:tcBorders>
              <w:top w:val="nil"/>
              <w:left w:val="nil"/>
              <w:bottom w:val="nil"/>
              <w:right w:val="nil"/>
            </w:tcBorders>
            <w:tcMar>
              <w:top w:w="128" w:type="dxa"/>
              <w:left w:w="43" w:type="dxa"/>
              <w:bottom w:w="43" w:type="dxa"/>
              <w:right w:w="43" w:type="dxa"/>
            </w:tcMar>
            <w:vAlign w:val="bottom"/>
          </w:tcPr>
          <w:p w14:paraId="0A71CD41" w14:textId="77777777" w:rsidR="00575AC3" w:rsidRPr="006D40F0" w:rsidRDefault="00575AC3" w:rsidP="006D40F0"/>
        </w:tc>
      </w:tr>
      <w:tr w:rsidR="00DD49A7" w:rsidRPr="006D40F0" w14:paraId="0B55A9DA" w14:textId="77777777">
        <w:trPr>
          <w:trHeight w:val="380"/>
        </w:trPr>
        <w:tc>
          <w:tcPr>
            <w:tcW w:w="680" w:type="dxa"/>
            <w:tcBorders>
              <w:top w:val="nil"/>
              <w:left w:val="nil"/>
              <w:bottom w:val="nil"/>
              <w:right w:val="nil"/>
            </w:tcBorders>
            <w:tcMar>
              <w:top w:w="128" w:type="dxa"/>
              <w:left w:w="43" w:type="dxa"/>
              <w:bottom w:w="43" w:type="dxa"/>
              <w:right w:w="43" w:type="dxa"/>
            </w:tcMar>
          </w:tcPr>
          <w:p w14:paraId="75003FE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9F59AE"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6D4031DD" w14:textId="77777777" w:rsidR="00575AC3" w:rsidRPr="006D40F0" w:rsidRDefault="00575AC3" w:rsidP="006D40F0">
            <w:r w:rsidRPr="006D40F0">
              <w:t>Refunderte utleggs- og tinglysingsgebyr, nedsettes med</w:t>
            </w:r>
          </w:p>
        </w:tc>
        <w:tc>
          <w:tcPr>
            <w:tcW w:w="1400" w:type="dxa"/>
            <w:tcBorders>
              <w:top w:val="nil"/>
              <w:left w:val="nil"/>
              <w:bottom w:val="nil"/>
              <w:right w:val="nil"/>
            </w:tcBorders>
            <w:tcMar>
              <w:top w:w="128" w:type="dxa"/>
              <w:left w:w="43" w:type="dxa"/>
              <w:bottom w:w="43" w:type="dxa"/>
              <w:right w:w="43" w:type="dxa"/>
            </w:tcMar>
            <w:vAlign w:val="bottom"/>
          </w:tcPr>
          <w:p w14:paraId="52C5DA54" w14:textId="77777777" w:rsidR="00575AC3" w:rsidRPr="006D40F0" w:rsidRDefault="00575AC3" w:rsidP="006D40F0">
            <w:r w:rsidRPr="006D40F0">
              <w:t>6 000 000</w:t>
            </w:r>
          </w:p>
        </w:tc>
      </w:tr>
      <w:tr w:rsidR="00DD49A7" w:rsidRPr="006D40F0" w14:paraId="69F383A7" w14:textId="77777777">
        <w:trPr>
          <w:trHeight w:val="380"/>
        </w:trPr>
        <w:tc>
          <w:tcPr>
            <w:tcW w:w="680" w:type="dxa"/>
            <w:tcBorders>
              <w:top w:val="nil"/>
              <w:left w:val="nil"/>
              <w:bottom w:val="nil"/>
              <w:right w:val="nil"/>
            </w:tcBorders>
            <w:tcMar>
              <w:top w:w="128" w:type="dxa"/>
              <w:left w:w="43" w:type="dxa"/>
              <w:bottom w:w="43" w:type="dxa"/>
              <w:right w:w="43" w:type="dxa"/>
            </w:tcMar>
          </w:tcPr>
          <w:p w14:paraId="7061C1C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5492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80D3BA" w14:textId="77777777" w:rsidR="00575AC3" w:rsidRPr="006D40F0" w:rsidRDefault="00575AC3" w:rsidP="006D40F0">
            <w:r w:rsidRPr="006D40F0">
              <w:t>fra kr 38 000 000 til kr 32 000 000</w:t>
            </w:r>
          </w:p>
        </w:tc>
        <w:tc>
          <w:tcPr>
            <w:tcW w:w="1400" w:type="dxa"/>
            <w:tcBorders>
              <w:top w:val="nil"/>
              <w:left w:val="nil"/>
              <w:bottom w:val="nil"/>
              <w:right w:val="nil"/>
            </w:tcBorders>
            <w:tcMar>
              <w:top w:w="128" w:type="dxa"/>
              <w:left w:w="43" w:type="dxa"/>
              <w:bottom w:w="43" w:type="dxa"/>
              <w:right w:w="43" w:type="dxa"/>
            </w:tcMar>
            <w:vAlign w:val="bottom"/>
          </w:tcPr>
          <w:p w14:paraId="6D4778D5" w14:textId="77777777" w:rsidR="00575AC3" w:rsidRPr="006D40F0" w:rsidRDefault="00575AC3" w:rsidP="006D40F0"/>
        </w:tc>
      </w:tr>
      <w:tr w:rsidR="00DD49A7" w:rsidRPr="006D40F0" w14:paraId="551A74DA" w14:textId="77777777">
        <w:trPr>
          <w:trHeight w:val="380"/>
        </w:trPr>
        <w:tc>
          <w:tcPr>
            <w:tcW w:w="680" w:type="dxa"/>
            <w:tcBorders>
              <w:top w:val="nil"/>
              <w:left w:val="nil"/>
              <w:bottom w:val="nil"/>
              <w:right w:val="nil"/>
            </w:tcBorders>
            <w:tcMar>
              <w:top w:w="128" w:type="dxa"/>
              <w:left w:w="43" w:type="dxa"/>
              <w:bottom w:w="43" w:type="dxa"/>
              <w:right w:w="43" w:type="dxa"/>
            </w:tcMar>
          </w:tcPr>
          <w:p w14:paraId="3E0E9CA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19D47C1" w14:textId="77777777" w:rsidR="00575AC3" w:rsidRPr="006D40F0" w:rsidRDefault="00575AC3" w:rsidP="006D40F0">
            <w:r w:rsidRPr="006D40F0">
              <w:t>3</w:t>
            </w:r>
          </w:p>
        </w:tc>
        <w:tc>
          <w:tcPr>
            <w:tcW w:w="6800" w:type="dxa"/>
            <w:tcBorders>
              <w:top w:val="nil"/>
              <w:left w:val="nil"/>
              <w:bottom w:val="nil"/>
              <w:right w:val="nil"/>
            </w:tcBorders>
            <w:tcMar>
              <w:top w:w="128" w:type="dxa"/>
              <w:left w:w="43" w:type="dxa"/>
              <w:bottom w:w="43" w:type="dxa"/>
              <w:right w:w="43" w:type="dxa"/>
            </w:tcMar>
          </w:tcPr>
          <w:p w14:paraId="19D685B7" w14:textId="77777777" w:rsidR="00575AC3" w:rsidRPr="006D40F0" w:rsidRDefault="00575AC3" w:rsidP="006D40F0">
            <w:r w:rsidRPr="006D40F0">
              <w:t>Andre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55D485B6" w14:textId="77777777" w:rsidR="00575AC3" w:rsidRPr="006D40F0" w:rsidRDefault="00575AC3" w:rsidP="006D40F0">
            <w:r w:rsidRPr="006D40F0">
              <w:t>33 221 000</w:t>
            </w:r>
          </w:p>
        </w:tc>
      </w:tr>
      <w:tr w:rsidR="00DD49A7" w:rsidRPr="006D40F0" w14:paraId="305C74D9" w14:textId="77777777">
        <w:trPr>
          <w:trHeight w:val="380"/>
        </w:trPr>
        <w:tc>
          <w:tcPr>
            <w:tcW w:w="680" w:type="dxa"/>
            <w:tcBorders>
              <w:top w:val="nil"/>
              <w:left w:val="nil"/>
              <w:bottom w:val="nil"/>
              <w:right w:val="nil"/>
            </w:tcBorders>
            <w:tcMar>
              <w:top w:w="128" w:type="dxa"/>
              <w:left w:w="43" w:type="dxa"/>
              <w:bottom w:w="43" w:type="dxa"/>
              <w:right w:w="43" w:type="dxa"/>
            </w:tcMar>
          </w:tcPr>
          <w:p w14:paraId="7301B1F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14A08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9602300" w14:textId="77777777" w:rsidR="00575AC3" w:rsidRPr="006D40F0" w:rsidRDefault="00575AC3" w:rsidP="006D40F0">
            <w:r w:rsidRPr="006D40F0">
              <w:t>fra kr 6 786 000 til kr 40 007 000</w:t>
            </w:r>
          </w:p>
        </w:tc>
        <w:tc>
          <w:tcPr>
            <w:tcW w:w="1400" w:type="dxa"/>
            <w:tcBorders>
              <w:top w:val="nil"/>
              <w:left w:val="nil"/>
              <w:bottom w:val="nil"/>
              <w:right w:val="nil"/>
            </w:tcBorders>
            <w:tcMar>
              <w:top w:w="128" w:type="dxa"/>
              <w:left w:w="43" w:type="dxa"/>
              <w:bottom w:w="43" w:type="dxa"/>
              <w:right w:w="43" w:type="dxa"/>
            </w:tcMar>
            <w:vAlign w:val="bottom"/>
          </w:tcPr>
          <w:p w14:paraId="282BB8C7" w14:textId="77777777" w:rsidR="00575AC3" w:rsidRPr="006D40F0" w:rsidRDefault="00575AC3" w:rsidP="006D40F0"/>
        </w:tc>
      </w:tr>
      <w:tr w:rsidR="00DD49A7" w:rsidRPr="006D40F0" w14:paraId="53A9EFA4" w14:textId="77777777">
        <w:trPr>
          <w:trHeight w:val="380"/>
        </w:trPr>
        <w:tc>
          <w:tcPr>
            <w:tcW w:w="680" w:type="dxa"/>
            <w:tcBorders>
              <w:top w:val="nil"/>
              <w:left w:val="nil"/>
              <w:bottom w:val="nil"/>
              <w:right w:val="nil"/>
            </w:tcBorders>
            <w:tcMar>
              <w:top w:w="128" w:type="dxa"/>
              <w:left w:w="43" w:type="dxa"/>
              <w:bottom w:w="43" w:type="dxa"/>
              <w:right w:w="43" w:type="dxa"/>
            </w:tcMar>
          </w:tcPr>
          <w:p w14:paraId="65FB786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B4703DF" w14:textId="77777777" w:rsidR="00575AC3" w:rsidRPr="006D40F0" w:rsidRDefault="00575AC3" w:rsidP="006D40F0">
            <w:r w:rsidRPr="006D40F0">
              <w:t>5</w:t>
            </w:r>
          </w:p>
        </w:tc>
        <w:tc>
          <w:tcPr>
            <w:tcW w:w="6800" w:type="dxa"/>
            <w:tcBorders>
              <w:top w:val="nil"/>
              <w:left w:val="nil"/>
              <w:bottom w:val="nil"/>
              <w:right w:val="nil"/>
            </w:tcBorders>
            <w:tcMar>
              <w:top w:w="128" w:type="dxa"/>
              <w:left w:w="43" w:type="dxa"/>
              <w:bottom w:w="43" w:type="dxa"/>
              <w:right w:w="43" w:type="dxa"/>
            </w:tcMar>
          </w:tcPr>
          <w:p w14:paraId="6E6C76E6" w14:textId="77777777" w:rsidR="00575AC3" w:rsidRPr="006D40F0" w:rsidRDefault="00575AC3" w:rsidP="006D40F0">
            <w:r w:rsidRPr="006D40F0">
              <w:t>Gebyr for utleggsforretninger, nedsettes med</w:t>
            </w:r>
          </w:p>
        </w:tc>
        <w:tc>
          <w:tcPr>
            <w:tcW w:w="1400" w:type="dxa"/>
            <w:tcBorders>
              <w:top w:val="nil"/>
              <w:left w:val="nil"/>
              <w:bottom w:val="nil"/>
              <w:right w:val="nil"/>
            </w:tcBorders>
            <w:tcMar>
              <w:top w:w="128" w:type="dxa"/>
              <w:left w:w="43" w:type="dxa"/>
              <w:bottom w:w="43" w:type="dxa"/>
              <w:right w:w="43" w:type="dxa"/>
            </w:tcMar>
            <w:vAlign w:val="bottom"/>
          </w:tcPr>
          <w:p w14:paraId="521A3D2E" w14:textId="77777777" w:rsidR="00575AC3" w:rsidRPr="006D40F0" w:rsidRDefault="00575AC3" w:rsidP="006D40F0">
            <w:r w:rsidRPr="006D40F0">
              <w:t>15 000 000</w:t>
            </w:r>
          </w:p>
        </w:tc>
      </w:tr>
      <w:tr w:rsidR="00DD49A7" w:rsidRPr="006D40F0" w14:paraId="51AD186F" w14:textId="77777777">
        <w:trPr>
          <w:trHeight w:val="380"/>
        </w:trPr>
        <w:tc>
          <w:tcPr>
            <w:tcW w:w="680" w:type="dxa"/>
            <w:tcBorders>
              <w:top w:val="nil"/>
              <w:left w:val="nil"/>
              <w:bottom w:val="nil"/>
              <w:right w:val="nil"/>
            </w:tcBorders>
            <w:tcMar>
              <w:top w:w="128" w:type="dxa"/>
              <w:left w:w="43" w:type="dxa"/>
              <w:bottom w:w="43" w:type="dxa"/>
              <w:right w:w="43" w:type="dxa"/>
            </w:tcMar>
          </w:tcPr>
          <w:p w14:paraId="395B4FE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F161FC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ECDBF42" w14:textId="77777777" w:rsidR="00575AC3" w:rsidRPr="006D40F0" w:rsidRDefault="00575AC3" w:rsidP="006D40F0">
            <w:r w:rsidRPr="006D40F0">
              <w:t>fra kr 125 000 000 til kr 110 000 000</w:t>
            </w:r>
          </w:p>
        </w:tc>
        <w:tc>
          <w:tcPr>
            <w:tcW w:w="1400" w:type="dxa"/>
            <w:tcBorders>
              <w:top w:val="nil"/>
              <w:left w:val="nil"/>
              <w:bottom w:val="nil"/>
              <w:right w:val="nil"/>
            </w:tcBorders>
            <w:tcMar>
              <w:top w:w="128" w:type="dxa"/>
              <w:left w:w="43" w:type="dxa"/>
              <w:bottom w:w="43" w:type="dxa"/>
              <w:right w:w="43" w:type="dxa"/>
            </w:tcMar>
            <w:vAlign w:val="bottom"/>
          </w:tcPr>
          <w:p w14:paraId="062EEFAB" w14:textId="77777777" w:rsidR="00575AC3" w:rsidRPr="006D40F0" w:rsidRDefault="00575AC3" w:rsidP="006D40F0"/>
        </w:tc>
      </w:tr>
      <w:tr w:rsidR="00DD49A7" w:rsidRPr="006D40F0" w14:paraId="447FA755" w14:textId="77777777">
        <w:trPr>
          <w:trHeight w:val="380"/>
        </w:trPr>
        <w:tc>
          <w:tcPr>
            <w:tcW w:w="680" w:type="dxa"/>
            <w:tcBorders>
              <w:top w:val="nil"/>
              <w:left w:val="nil"/>
              <w:bottom w:val="nil"/>
              <w:right w:val="nil"/>
            </w:tcBorders>
            <w:tcMar>
              <w:top w:w="128" w:type="dxa"/>
              <w:left w:w="43" w:type="dxa"/>
              <w:bottom w:w="43" w:type="dxa"/>
              <w:right w:w="43" w:type="dxa"/>
            </w:tcMar>
          </w:tcPr>
          <w:p w14:paraId="788F45B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71A2AB" w14:textId="77777777" w:rsidR="00575AC3" w:rsidRPr="006D40F0" w:rsidRDefault="00575AC3" w:rsidP="006D40F0">
            <w:r w:rsidRPr="006D40F0">
              <w:t>86</w:t>
            </w:r>
          </w:p>
        </w:tc>
        <w:tc>
          <w:tcPr>
            <w:tcW w:w="6800" w:type="dxa"/>
            <w:tcBorders>
              <w:top w:val="nil"/>
              <w:left w:val="nil"/>
              <w:bottom w:val="nil"/>
              <w:right w:val="nil"/>
            </w:tcBorders>
            <w:tcMar>
              <w:top w:w="128" w:type="dxa"/>
              <w:left w:w="43" w:type="dxa"/>
              <w:bottom w:w="43" w:type="dxa"/>
              <w:right w:w="43" w:type="dxa"/>
            </w:tcMar>
          </w:tcPr>
          <w:p w14:paraId="417A4E44" w14:textId="77777777" w:rsidR="00575AC3" w:rsidRPr="006D40F0" w:rsidRDefault="00575AC3" w:rsidP="006D40F0">
            <w:r w:rsidRPr="006D40F0">
              <w:t>Bøter, inndragninger mv., forhøyes med</w:t>
            </w:r>
          </w:p>
        </w:tc>
        <w:tc>
          <w:tcPr>
            <w:tcW w:w="1400" w:type="dxa"/>
            <w:tcBorders>
              <w:top w:val="nil"/>
              <w:left w:val="nil"/>
              <w:bottom w:val="nil"/>
              <w:right w:val="nil"/>
            </w:tcBorders>
            <w:tcMar>
              <w:top w:w="128" w:type="dxa"/>
              <w:left w:w="43" w:type="dxa"/>
              <w:bottom w:w="43" w:type="dxa"/>
              <w:right w:w="43" w:type="dxa"/>
            </w:tcMar>
            <w:vAlign w:val="bottom"/>
          </w:tcPr>
          <w:p w14:paraId="0C195FDF" w14:textId="77777777" w:rsidR="00575AC3" w:rsidRPr="006D40F0" w:rsidRDefault="00575AC3" w:rsidP="006D40F0">
            <w:r w:rsidRPr="006D40F0">
              <w:t>150 000 000</w:t>
            </w:r>
          </w:p>
        </w:tc>
      </w:tr>
      <w:tr w:rsidR="00DD49A7" w:rsidRPr="006D40F0" w14:paraId="7F810E51" w14:textId="77777777">
        <w:trPr>
          <w:trHeight w:val="380"/>
        </w:trPr>
        <w:tc>
          <w:tcPr>
            <w:tcW w:w="680" w:type="dxa"/>
            <w:tcBorders>
              <w:top w:val="nil"/>
              <w:left w:val="nil"/>
              <w:bottom w:val="nil"/>
              <w:right w:val="nil"/>
            </w:tcBorders>
            <w:tcMar>
              <w:top w:w="128" w:type="dxa"/>
              <w:left w:w="43" w:type="dxa"/>
              <w:bottom w:w="43" w:type="dxa"/>
              <w:right w:w="43" w:type="dxa"/>
            </w:tcMar>
          </w:tcPr>
          <w:p w14:paraId="70433F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FAE47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A1C7AEE" w14:textId="77777777" w:rsidR="00575AC3" w:rsidRPr="006D40F0" w:rsidRDefault="00575AC3" w:rsidP="006D40F0">
            <w:r w:rsidRPr="006D40F0">
              <w:t>fra kr 1 850 000 000 til kr 2 000 000 000</w:t>
            </w:r>
          </w:p>
        </w:tc>
        <w:tc>
          <w:tcPr>
            <w:tcW w:w="1400" w:type="dxa"/>
            <w:tcBorders>
              <w:top w:val="nil"/>
              <w:left w:val="nil"/>
              <w:bottom w:val="nil"/>
              <w:right w:val="nil"/>
            </w:tcBorders>
            <w:tcMar>
              <w:top w:w="128" w:type="dxa"/>
              <w:left w:w="43" w:type="dxa"/>
              <w:bottom w:w="43" w:type="dxa"/>
              <w:right w:w="43" w:type="dxa"/>
            </w:tcMar>
            <w:vAlign w:val="bottom"/>
          </w:tcPr>
          <w:p w14:paraId="11A4EF67" w14:textId="77777777" w:rsidR="00575AC3" w:rsidRPr="006D40F0" w:rsidRDefault="00575AC3" w:rsidP="006D40F0"/>
        </w:tc>
      </w:tr>
      <w:tr w:rsidR="00DD49A7" w:rsidRPr="006D40F0" w14:paraId="1532F983" w14:textId="77777777">
        <w:trPr>
          <w:trHeight w:val="380"/>
        </w:trPr>
        <w:tc>
          <w:tcPr>
            <w:tcW w:w="680" w:type="dxa"/>
            <w:tcBorders>
              <w:top w:val="nil"/>
              <w:left w:val="nil"/>
              <w:bottom w:val="nil"/>
              <w:right w:val="nil"/>
            </w:tcBorders>
            <w:tcMar>
              <w:top w:w="128" w:type="dxa"/>
              <w:left w:w="43" w:type="dxa"/>
              <w:bottom w:w="43" w:type="dxa"/>
              <w:right w:w="43" w:type="dxa"/>
            </w:tcMar>
          </w:tcPr>
          <w:p w14:paraId="150F39B5" w14:textId="77777777" w:rsidR="00575AC3" w:rsidRPr="006D40F0" w:rsidRDefault="00575AC3" w:rsidP="006D40F0">
            <w:r w:rsidRPr="006D40F0">
              <w:t>4645</w:t>
            </w:r>
          </w:p>
        </w:tc>
        <w:tc>
          <w:tcPr>
            <w:tcW w:w="680" w:type="dxa"/>
            <w:tcBorders>
              <w:top w:val="nil"/>
              <w:left w:val="nil"/>
              <w:bottom w:val="nil"/>
              <w:right w:val="nil"/>
            </w:tcBorders>
            <w:tcMar>
              <w:top w:w="128" w:type="dxa"/>
              <w:left w:w="43" w:type="dxa"/>
              <w:bottom w:w="43" w:type="dxa"/>
              <w:right w:w="43" w:type="dxa"/>
            </w:tcMar>
          </w:tcPr>
          <w:p w14:paraId="0425870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EBA132D" w14:textId="77777777" w:rsidR="00575AC3" w:rsidRPr="006D40F0" w:rsidRDefault="00575AC3" w:rsidP="006D40F0">
            <w:r w:rsidRPr="006D40F0">
              <w:t>Statlig garantiordning for lån til små og mellomstore bedrifter:</w:t>
            </w:r>
          </w:p>
        </w:tc>
        <w:tc>
          <w:tcPr>
            <w:tcW w:w="1400" w:type="dxa"/>
            <w:tcBorders>
              <w:top w:val="nil"/>
              <w:left w:val="nil"/>
              <w:bottom w:val="nil"/>
              <w:right w:val="nil"/>
            </w:tcBorders>
            <w:tcMar>
              <w:top w:w="128" w:type="dxa"/>
              <w:left w:w="43" w:type="dxa"/>
              <w:bottom w:w="43" w:type="dxa"/>
              <w:right w:w="43" w:type="dxa"/>
            </w:tcMar>
            <w:vAlign w:val="bottom"/>
          </w:tcPr>
          <w:p w14:paraId="337E73F3" w14:textId="77777777" w:rsidR="00575AC3" w:rsidRPr="006D40F0" w:rsidRDefault="00575AC3" w:rsidP="006D40F0"/>
        </w:tc>
      </w:tr>
      <w:tr w:rsidR="00DD49A7" w:rsidRPr="006D40F0" w14:paraId="304BDCC4" w14:textId="77777777">
        <w:trPr>
          <w:trHeight w:val="640"/>
        </w:trPr>
        <w:tc>
          <w:tcPr>
            <w:tcW w:w="680" w:type="dxa"/>
            <w:tcBorders>
              <w:top w:val="nil"/>
              <w:left w:val="nil"/>
              <w:bottom w:val="nil"/>
              <w:right w:val="nil"/>
            </w:tcBorders>
            <w:tcMar>
              <w:top w:w="128" w:type="dxa"/>
              <w:left w:w="43" w:type="dxa"/>
              <w:bottom w:w="43" w:type="dxa"/>
              <w:right w:w="43" w:type="dxa"/>
            </w:tcMar>
          </w:tcPr>
          <w:p w14:paraId="5F9ACDF6"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50DC391F" w14:textId="77777777" w:rsidR="00575AC3" w:rsidRPr="006D40F0" w:rsidRDefault="00575AC3" w:rsidP="006D40F0">
            <w:r w:rsidRPr="006D40F0">
              <w:t>50</w:t>
            </w:r>
          </w:p>
        </w:tc>
        <w:tc>
          <w:tcPr>
            <w:tcW w:w="6800" w:type="dxa"/>
            <w:tcBorders>
              <w:top w:val="nil"/>
              <w:left w:val="nil"/>
              <w:bottom w:val="nil"/>
              <w:right w:val="nil"/>
            </w:tcBorders>
            <w:tcMar>
              <w:top w:w="128" w:type="dxa"/>
              <w:left w:w="43" w:type="dxa"/>
              <w:bottom w:w="43" w:type="dxa"/>
              <w:right w:w="43" w:type="dxa"/>
            </w:tcMar>
          </w:tcPr>
          <w:p w14:paraId="2B88438A" w14:textId="77777777" w:rsidR="00575AC3" w:rsidRPr="006D40F0" w:rsidRDefault="00575AC3" w:rsidP="006D40F0">
            <w:r w:rsidRPr="006D40F0">
              <w:t>Tilbakeføring av tapsavsetning for statlig garantiordning for lån til små og mellomstore bedrifter, bevilges med</w:t>
            </w:r>
          </w:p>
        </w:tc>
        <w:tc>
          <w:tcPr>
            <w:tcW w:w="1400" w:type="dxa"/>
            <w:tcBorders>
              <w:top w:val="nil"/>
              <w:left w:val="nil"/>
              <w:bottom w:val="nil"/>
              <w:right w:val="nil"/>
            </w:tcBorders>
            <w:tcMar>
              <w:top w:w="128" w:type="dxa"/>
              <w:left w:w="43" w:type="dxa"/>
              <w:bottom w:w="43" w:type="dxa"/>
              <w:right w:w="43" w:type="dxa"/>
            </w:tcMar>
            <w:vAlign w:val="bottom"/>
          </w:tcPr>
          <w:p w14:paraId="2593C07A" w14:textId="77777777" w:rsidR="00575AC3" w:rsidRPr="006D40F0" w:rsidRDefault="00575AC3" w:rsidP="006D40F0">
            <w:r w:rsidRPr="006D40F0">
              <w:t>7 000 000 000</w:t>
            </w:r>
          </w:p>
        </w:tc>
      </w:tr>
      <w:tr w:rsidR="00DD49A7" w:rsidRPr="006D40F0" w14:paraId="11CD9FC7" w14:textId="77777777">
        <w:trPr>
          <w:trHeight w:val="380"/>
        </w:trPr>
        <w:tc>
          <w:tcPr>
            <w:tcW w:w="680" w:type="dxa"/>
            <w:tcBorders>
              <w:top w:val="nil"/>
              <w:left w:val="nil"/>
              <w:bottom w:val="nil"/>
              <w:right w:val="nil"/>
            </w:tcBorders>
            <w:tcMar>
              <w:top w:w="128" w:type="dxa"/>
              <w:left w:w="43" w:type="dxa"/>
              <w:bottom w:w="43" w:type="dxa"/>
              <w:right w:w="43" w:type="dxa"/>
            </w:tcMar>
          </w:tcPr>
          <w:p w14:paraId="696119E0" w14:textId="77777777" w:rsidR="00575AC3" w:rsidRPr="006D40F0" w:rsidRDefault="00575AC3" w:rsidP="006D40F0">
            <w:r w:rsidRPr="006D40F0">
              <w:t>4710</w:t>
            </w:r>
          </w:p>
        </w:tc>
        <w:tc>
          <w:tcPr>
            <w:tcW w:w="680" w:type="dxa"/>
            <w:tcBorders>
              <w:top w:val="nil"/>
              <w:left w:val="nil"/>
              <w:bottom w:val="nil"/>
              <w:right w:val="nil"/>
            </w:tcBorders>
            <w:tcMar>
              <w:top w:w="128" w:type="dxa"/>
              <w:left w:w="43" w:type="dxa"/>
              <w:bottom w:w="43" w:type="dxa"/>
              <w:right w:w="43" w:type="dxa"/>
            </w:tcMar>
          </w:tcPr>
          <w:p w14:paraId="4D2A9BF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6AD1FCC" w14:textId="77777777" w:rsidR="00575AC3" w:rsidRPr="006D40F0" w:rsidRDefault="00575AC3" w:rsidP="006D40F0">
            <w:r w:rsidRPr="006D40F0">
              <w:t>Forsvarsbygg og nybygg og nyanlegg:</w:t>
            </w:r>
          </w:p>
        </w:tc>
        <w:tc>
          <w:tcPr>
            <w:tcW w:w="1400" w:type="dxa"/>
            <w:tcBorders>
              <w:top w:val="nil"/>
              <w:left w:val="nil"/>
              <w:bottom w:val="nil"/>
              <w:right w:val="nil"/>
            </w:tcBorders>
            <w:tcMar>
              <w:top w:w="128" w:type="dxa"/>
              <w:left w:w="43" w:type="dxa"/>
              <w:bottom w:w="43" w:type="dxa"/>
              <w:right w:w="43" w:type="dxa"/>
            </w:tcMar>
            <w:vAlign w:val="bottom"/>
          </w:tcPr>
          <w:p w14:paraId="6AA9DE9A" w14:textId="77777777" w:rsidR="00575AC3" w:rsidRPr="006D40F0" w:rsidRDefault="00575AC3" w:rsidP="006D40F0"/>
        </w:tc>
      </w:tr>
      <w:tr w:rsidR="00DD49A7" w:rsidRPr="006D40F0" w14:paraId="0CBD331F" w14:textId="77777777">
        <w:trPr>
          <w:trHeight w:val="380"/>
        </w:trPr>
        <w:tc>
          <w:tcPr>
            <w:tcW w:w="680" w:type="dxa"/>
            <w:tcBorders>
              <w:top w:val="nil"/>
              <w:left w:val="nil"/>
              <w:bottom w:val="nil"/>
              <w:right w:val="nil"/>
            </w:tcBorders>
            <w:tcMar>
              <w:top w:w="128" w:type="dxa"/>
              <w:left w:w="43" w:type="dxa"/>
              <w:bottom w:w="43" w:type="dxa"/>
              <w:right w:w="43" w:type="dxa"/>
            </w:tcMar>
          </w:tcPr>
          <w:p w14:paraId="1877430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2522933"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150346F9" w14:textId="77777777" w:rsidR="00575AC3" w:rsidRPr="006D40F0" w:rsidRDefault="00575AC3" w:rsidP="006D40F0">
            <w:r w:rsidRPr="006D40F0">
              <w:t>Driftsinntekter,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39C66FD6" w14:textId="77777777" w:rsidR="00575AC3" w:rsidRPr="006D40F0" w:rsidRDefault="00575AC3" w:rsidP="006D40F0">
            <w:r w:rsidRPr="006D40F0">
              <w:t>30 100 000</w:t>
            </w:r>
          </w:p>
        </w:tc>
      </w:tr>
      <w:tr w:rsidR="00DD49A7" w:rsidRPr="006D40F0" w14:paraId="3BAC5443" w14:textId="77777777">
        <w:trPr>
          <w:trHeight w:val="380"/>
        </w:trPr>
        <w:tc>
          <w:tcPr>
            <w:tcW w:w="680" w:type="dxa"/>
            <w:tcBorders>
              <w:top w:val="nil"/>
              <w:left w:val="nil"/>
              <w:bottom w:val="nil"/>
              <w:right w:val="nil"/>
            </w:tcBorders>
            <w:tcMar>
              <w:top w:w="128" w:type="dxa"/>
              <w:left w:w="43" w:type="dxa"/>
              <w:bottom w:w="43" w:type="dxa"/>
              <w:right w:w="43" w:type="dxa"/>
            </w:tcMar>
          </w:tcPr>
          <w:p w14:paraId="515EDF9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B4679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6F6ED7E" w14:textId="77777777" w:rsidR="00575AC3" w:rsidRPr="006D40F0" w:rsidRDefault="00575AC3" w:rsidP="006D40F0">
            <w:r w:rsidRPr="006D40F0">
              <w:t>fra kr 4 918 506 000 til kr 4 948 606 000</w:t>
            </w:r>
          </w:p>
        </w:tc>
        <w:tc>
          <w:tcPr>
            <w:tcW w:w="1400" w:type="dxa"/>
            <w:tcBorders>
              <w:top w:val="nil"/>
              <w:left w:val="nil"/>
              <w:bottom w:val="nil"/>
              <w:right w:val="nil"/>
            </w:tcBorders>
            <w:tcMar>
              <w:top w:w="128" w:type="dxa"/>
              <w:left w:w="43" w:type="dxa"/>
              <w:bottom w:w="43" w:type="dxa"/>
              <w:right w:w="43" w:type="dxa"/>
            </w:tcMar>
            <w:vAlign w:val="bottom"/>
          </w:tcPr>
          <w:p w14:paraId="4A01A1E3" w14:textId="77777777" w:rsidR="00575AC3" w:rsidRPr="006D40F0" w:rsidRDefault="00575AC3" w:rsidP="006D40F0"/>
        </w:tc>
      </w:tr>
      <w:tr w:rsidR="00DD49A7" w:rsidRPr="006D40F0" w14:paraId="76713302" w14:textId="77777777">
        <w:trPr>
          <w:trHeight w:val="380"/>
        </w:trPr>
        <w:tc>
          <w:tcPr>
            <w:tcW w:w="680" w:type="dxa"/>
            <w:tcBorders>
              <w:top w:val="nil"/>
              <w:left w:val="nil"/>
              <w:bottom w:val="nil"/>
              <w:right w:val="nil"/>
            </w:tcBorders>
            <w:tcMar>
              <w:top w:w="128" w:type="dxa"/>
              <w:left w:w="43" w:type="dxa"/>
              <w:bottom w:w="43" w:type="dxa"/>
              <w:right w:w="43" w:type="dxa"/>
            </w:tcMar>
          </w:tcPr>
          <w:p w14:paraId="5D295D2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E7F166" w14:textId="77777777" w:rsidR="00575AC3" w:rsidRPr="006D40F0" w:rsidRDefault="00575AC3" w:rsidP="006D40F0">
            <w:r w:rsidRPr="006D40F0">
              <w:t>47</w:t>
            </w:r>
          </w:p>
        </w:tc>
        <w:tc>
          <w:tcPr>
            <w:tcW w:w="6800" w:type="dxa"/>
            <w:tcBorders>
              <w:top w:val="nil"/>
              <w:left w:val="nil"/>
              <w:bottom w:val="nil"/>
              <w:right w:val="nil"/>
            </w:tcBorders>
            <w:tcMar>
              <w:top w:w="128" w:type="dxa"/>
              <w:left w:w="43" w:type="dxa"/>
              <w:bottom w:w="43" w:type="dxa"/>
              <w:right w:w="43" w:type="dxa"/>
            </w:tcMar>
          </w:tcPr>
          <w:p w14:paraId="5B248110" w14:textId="77777777" w:rsidR="00575AC3" w:rsidRPr="006D40F0" w:rsidRDefault="00575AC3" w:rsidP="006D40F0">
            <w:r w:rsidRPr="006D40F0">
              <w:t>Salg av eiendom, forhøyes med</w:t>
            </w:r>
          </w:p>
        </w:tc>
        <w:tc>
          <w:tcPr>
            <w:tcW w:w="1400" w:type="dxa"/>
            <w:tcBorders>
              <w:top w:val="nil"/>
              <w:left w:val="nil"/>
              <w:bottom w:val="nil"/>
              <w:right w:val="nil"/>
            </w:tcBorders>
            <w:tcMar>
              <w:top w:w="128" w:type="dxa"/>
              <w:left w:w="43" w:type="dxa"/>
              <w:bottom w:w="43" w:type="dxa"/>
              <w:right w:w="43" w:type="dxa"/>
            </w:tcMar>
            <w:vAlign w:val="bottom"/>
          </w:tcPr>
          <w:p w14:paraId="227826B2" w14:textId="77777777" w:rsidR="00575AC3" w:rsidRPr="006D40F0" w:rsidRDefault="00575AC3" w:rsidP="006D40F0">
            <w:r w:rsidRPr="006D40F0">
              <w:t>100 000 000</w:t>
            </w:r>
          </w:p>
        </w:tc>
      </w:tr>
      <w:tr w:rsidR="00DD49A7" w:rsidRPr="006D40F0" w14:paraId="7607D358" w14:textId="77777777">
        <w:trPr>
          <w:trHeight w:val="380"/>
        </w:trPr>
        <w:tc>
          <w:tcPr>
            <w:tcW w:w="680" w:type="dxa"/>
            <w:tcBorders>
              <w:top w:val="nil"/>
              <w:left w:val="nil"/>
              <w:bottom w:val="nil"/>
              <w:right w:val="nil"/>
            </w:tcBorders>
            <w:tcMar>
              <w:top w:w="128" w:type="dxa"/>
              <w:left w:w="43" w:type="dxa"/>
              <w:bottom w:w="43" w:type="dxa"/>
              <w:right w:w="43" w:type="dxa"/>
            </w:tcMar>
          </w:tcPr>
          <w:p w14:paraId="6FBEC45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7F3E1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7E7F6E" w14:textId="77777777" w:rsidR="00575AC3" w:rsidRPr="006D40F0" w:rsidRDefault="00575AC3" w:rsidP="006D40F0">
            <w:r w:rsidRPr="006D40F0">
              <w:t>fra kr 285 000 000 til kr 385 000 000</w:t>
            </w:r>
          </w:p>
        </w:tc>
        <w:tc>
          <w:tcPr>
            <w:tcW w:w="1400" w:type="dxa"/>
            <w:tcBorders>
              <w:top w:val="nil"/>
              <w:left w:val="nil"/>
              <w:bottom w:val="nil"/>
              <w:right w:val="nil"/>
            </w:tcBorders>
            <w:tcMar>
              <w:top w:w="128" w:type="dxa"/>
              <w:left w:w="43" w:type="dxa"/>
              <w:bottom w:w="43" w:type="dxa"/>
              <w:right w:w="43" w:type="dxa"/>
            </w:tcMar>
            <w:vAlign w:val="bottom"/>
          </w:tcPr>
          <w:p w14:paraId="2FEB6ED6" w14:textId="77777777" w:rsidR="00575AC3" w:rsidRPr="006D40F0" w:rsidRDefault="00575AC3" w:rsidP="006D40F0"/>
        </w:tc>
      </w:tr>
      <w:tr w:rsidR="00DD49A7" w:rsidRPr="006D40F0" w14:paraId="58B18FB9" w14:textId="77777777">
        <w:trPr>
          <w:trHeight w:val="380"/>
        </w:trPr>
        <w:tc>
          <w:tcPr>
            <w:tcW w:w="680" w:type="dxa"/>
            <w:tcBorders>
              <w:top w:val="nil"/>
              <w:left w:val="nil"/>
              <w:bottom w:val="nil"/>
              <w:right w:val="nil"/>
            </w:tcBorders>
            <w:tcMar>
              <w:top w:w="128" w:type="dxa"/>
              <w:left w:w="43" w:type="dxa"/>
              <w:bottom w:w="43" w:type="dxa"/>
              <w:right w:w="43" w:type="dxa"/>
            </w:tcMar>
          </w:tcPr>
          <w:p w14:paraId="2543BB60" w14:textId="77777777" w:rsidR="00575AC3" w:rsidRPr="006D40F0" w:rsidRDefault="00575AC3" w:rsidP="006D40F0">
            <w:r w:rsidRPr="006D40F0">
              <w:t>4720</w:t>
            </w:r>
          </w:p>
        </w:tc>
        <w:tc>
          <w:tcPr>
            <w:tcW w:w="680" w:type="dxa"/>
            <w:tcBorders>
              <w:top w:val="nil"/>
              <w:left w:val="nil"/>
              <w:bottom w:val="nil"/>
              <w:right w:val="nil"/>
            </w:tcBorders>
            <w:tcMar>
              <w:top w:w="128" w:type="dxa"/>
              <w:left w:w="43" w:type="dxa"/>
              <w:bottom w:w="43" w:type="dxa"/>
              <w:right w:w="43" w:type="dxa"/>
            </w:tcMar>
          </w:tcPr>
          <w:p w14:paraId="327814A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3BC84FC" w14:textId="77777777" w:rsidR="00575AC3" w:rsidRPr="006D40F0" w:rsidRDefault="00575AC3" w:rsidP="006D40F0">
            <w:r w:rsidRPr="006D40F0">
              <w:t>Forsvaret:</w:t>
            </w:r>
          </w:p>
        </w:tc>
        <w:tc>
          <w:tcPr>
            <w:tcW w:w="1400" w:type="dxa"/>
            <w:tcBorders>
              <w:top w:val="nil"/>
              <w:left w:val="nil"/>
              <w:bottom w:val="nil"/>
              <w:right w:val="nil"/>
            </w:tcBorders>
            <w:tcMar>
              <w:top w:w="128" w:type="dxa"/>
              <w:left w:w="43" w:type="dxa"/>
              <w:bottom w:w="43" w:type="dxa"/>
              <w:right w:w="43" w:type="dxa"/>
            </w:tcMar>
            <w:vAlign w:val="bottom"/>
          </w:tcPr>
          <w:p w14:paraId="3246943C" w14:textId="77777777" w:rsidR="00575AC3" w:rsidRPr="006D40F0" w:rsidRDefault="00575AC3" w:rsidP="006D40F0"/>
        </w:tc>
      </w:tr>
      <w:tr w:rsidR="00DD49A7" w:rsidRPr="006D40F0" w14:paraId="1C5B30C9" w14:textId="77777777">
        <w:trPr>
          <w:trHeight w:val="380"/>
        </w:trPr>
        <w:tc>
          <w:tcPr>
            <w:tcW w:w="680" w:type="dxa"/>
            <w:tcBorders>
              <w:top w:val="nil"/>
              <w:left w:val="nil"/>
              <w:bottom w:val="nil"/>
              <w:right w:val="nil"/>
            </w:tcBorders>
            <w:tcMar>
              <w:top w:w="128" w:type="dxa"/>
              <w:left w:w="43" w:type="dxa"/>
              <w:bottom w:w="43" w:type="dxa"/>
              <w:right w:w="43" w:type="dxa"/>
            </w:tcMar>
          </w:tcPr>
          <w:p w14:paraId="2EE382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910523D"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322FCD8C" w14:textId="77777777" w:rsidR="00575AC3" w:rsidRPr="006D40F0" w:rsidRDefault="00575AC3" w:rsidP="006D40F0">
            <w:r w:rsidRPr="006D40F0">
              <w:t>Driftsinntekter,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6EED3019" w14:textId="77777777" w:rsidR="00575AC3" w:rsidRPr="006D40F0" w:rsidRDefault="00575AC3" w:rsidP="006D40F0">
            <w:r w:rsidRPr="006D40F0">
              <w:t>549 785 000</w:t>
            </w:r>
          </w:p>
        </w:tc>
      </w:tr>
      <w:tr w:rsidR="00DD49A7" w:rsidRPr="006D40F0" w14:paraId="4C493CDE" w14:textId="77777777">
        <w:trPr>
          <w:trHeight w:val="380"/>
        </w:trPr>
        <w:tc>
          <w:tcPr>
            <w:tcW w:w="680" w:type="dxa"/>
            <w:tcBorders>
              <w:top w:val="nil"/>
              <w:left w:val="nil"/>
              <w:bottom w:val="nil"/>
              <w:right w:val="nil"/>
            </w:tcBorders>
            <w:tcMar>
              <w:top w:w="128" w:type="dxa"/>
              <w:left w:w="43" w:type="dxa"/>
              <w:bottom w:w="43" w:type="dxa"/>
              <w:right w:w="43" w:type="dxa"/>
            </w:tcMar>
          </w:tcPr>
          <w:p w14:paraId="716B52A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D4FB7E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4DDE1F" w14:textId="77777777" w:rsidR="00575AC3" w:rsidRPr="006D40F0" w:rsidRDefault="00575AC3" w:rsidP="006D40F0">
            <w:r w:rsidRPr="006D40F0">
              <w:t>fra kr 894 680 000 til kr 1 444 465 000</w:t>
            </w:r>
          </w:p>
        </w:tc>
        <w:tc>
          <w:tcPr>
            <w:tcW w:w="1400" w:type="dxa"/>
            <w:tcBorders>
              <w:top w:val="nil"/>
              <w:left w:val="nil"/>
              <w:bottom w:val="nil"/>
              <w:right w:val="nil"/>
            </w:tcBorders>
            <w:tcMar>
              <w:top w:w="128" w:type="dxa"/>
              <w:left w:w="43" w:type="dxa"/>
              <w:bottom w:w="43" w:type="dxa"/>
              <w:right w:w="43" w:type="dxa"/>
            </w:tcMar>
            <w:vAlign w:val="bottom"/>
          </w:tcPr>
          <w:p w14:paraId="644F2B9E" w14:textId="77777777" w:rsidR="00575AC3" w:rsidRPr="006D40F0" w:rsidRDefault="00575AC3" w:rsidP="006D40F0"/>
        </w:tc>
      </w:tr>
      <w:tr w:rsidR="00DD49A7" w:rsidRPr="006D40F0" w14:paraId="1842153A" w14:textId="77777777">
        <w:trPr>
          <w:trHeight w:val="380"/>
        </w:trPr>
        <w:tc>
          <w:tcPr>
            <w:tcW w:w="680" w:type="dxa"/>
            <w:tcBorders>
              <w:top w:val="nil"/>
              <w:left w:val="nil"/>
              <w:bottom w:val="nil"/>
              <w:right w:val="nil"/>
            </w:tcBorders>
            <w:tcMar>
              <w:top w:w="128" w:type="dxa"/>
              <w:left w:w="43" w:type="dxa"/>
              <w:bottom w:w="43" w:type="dxa"/>
              <w:right w:w="43" w:type="dxa"/>
            </w:tcMar>
          </w:tcPr>
          <w:p w14:paraId="30B0DCC7" w14:textId="77777777" w:rsidR="00575AC3" w:rsidRPr="006D40F0" w:rsidRDefault="00575AC3" w:rsidP="006D40F0">
            <w:r w:rsidRPr="006D40F0">
              <w:t>4760</w:t>
            </w:r>
          </w:p>
        </w:tc>
        <w:tc>
          <w:tcPr>
            <w:tcW w:w="680" w:type="dxa"/>
            <w:tcBorders>
              <w:top w:val="nil"/>
              <w:left w:val="nil"/>
              <w:bottom w:val="nil"/>
              <w:right w:val="nil"/>
            </w:tcBorders>
            <w:tcMar>
              <w:top w:w="128" w:type="dxa"/>
              <w:left w:w="43" w:type="dxa"/>
              <w:bottom w:w="43" w:type="dxa"/>
              <w:right w:w="43" w:type="dxa"/>
            </w:tcMar>
          </w:tcPr>
          <w:p w14:paraId="0C1286C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DC84007" w14:textId="77777777" w:rsidR="00575AC3" w:rsidRPr="006D40F0" w:rsidRDefault="00575AC3" w:rsidP="006D40F0">
            <w:r w:rsidRPr="006D40F0">
              <w:t>Forsvarsmateriell og større anskaffelser og vedlikehold:</w:t>
            </w:r>
          </w:p>
        </w:tc>
        <w:tc>
          <w:tcPr>
            <w:tcW w:w="1400" w:type="dxa"/>
            <w:tcBorders>
              <w:top w:val="nil"/>
              <w:left w:val="nil"/>
              <w:bottom w:val="nil"/>
              <w:right w:val="nil"/>
            </w:tcBorders>
            <w:tcMar>
              <w:top w:w="128" w:type="dxa"/>
              <w:left w:w="43" w:type="dxa"/>
              <w:bottom w:w="43" w:type="dxa"/>
              <w:right w:w="43" w:type="dxa"/>
            </w:tcMar>
            <w:vAlign w:val="bottom"/>
          </w:tcPr>
          <w:p w14:paraId="464D22EF" w14:textId="77777777" w:rsidR="00575AC3" w:rsidRPr="006D40F0" w:rsidRDefault="00575AC3" w:rsidP="006D40F0"/>
        </w:tc>
      </w:tr>
      <w:tr w:rsidR="00DD49A7" w:rsidRPr="006D40F0" w14:paraId="23BAE0B7" w14:textId="77777777">
        <w:trPr>
          <w:trHeight w:val="380"/>
        </w:trPr>
        <w:tc>
          <w:tcPr>
            <w:tcW w:w="680" w:type="dxa"/>
            <w:tcBorders>
              <w:top w:val="nil"/>
              <w:left w:val="nil"/>
              <w:bottom w:val="nil"/>
              <w:right w:val="nil"/>
            </w:tcBorders>
            <w:tcMar>
              <w:top w:w="128" w:type="dxa"/>
              <w:left w:w="43" w:type="dxa"/>
              <w:bottom w:w="43" w:type="dxa"/>
              <w:right w:w="43" w:type="dxa"/>
            </w:tcMar>
          </w:tcPr>
          <w:p w14:paraId="3A3502D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EBB2230"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0C1B5FBC" w14:textId="77777777" w:rsidR="00575AC3" w:rsidRPr="006D40F0" w:rsidRDefault="00575AC3" w:rsidP="006D40F0">
            <w:r w:rsidRPr="006D40F0">
              <w:t>Driftsinntekter,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1134700A" w14:textId="77777777" w:rsidR="00575AC3" w:rsidRPr="006D40F0" w:rsidRDefault="00575AC3" w:rsidP="006D40F0">
            <w:r w:rsidRPr="006D40F0">
              <w:t>94 000 000</w:t>
            </w:r>
          </w:p>
        </w:tc>
      </w:tr>
      <w:tr w:rsidR="00DD49A7" w:rsidRPr="006D40F0" w14:paraId="1C6868EC" w14:textId="77777777">
        <w:trPr>
          <w:trHeight w:val="380"/>
        </w:trPr>
        <w:tc>
          <w:tcPr>
            <w:tcW w:w="680" w:type="dxa"/>
            <w:tcBorders>
              <w:top w:val="nil"/>
              <w:left w:val="nil"/>
              <w:bottom w:val="nil"/>
              <w:right w:val="nil"/>
            </w:tcBorders>
            <w:tcMar>
              <w:top w:w="128" w:type="dxa"/>
              <w:left w:w="43" w:type="dxa"/>
              <w:bottom w:w="43" w:type="dxa"/>
              <w:right w:w="43" w:type="dxa"/>
            </w:tcMar>
          </w:tcPr>
          <w:p w14:paraId="534B7EF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2534D5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0CB84A9" w14:textId="77777777" w:rsidR="00575AC3" w:rsidRPr="006D40F0" w:rsidRDefault="00575AC3" w:rsidP="006D40F0">
            <w:r w:rsidRPr="006D40F0">
              <w:t>fra kr 34 994 000 til kr 128 994 000</w:t>
            </w:r>
          </w:p>
        </w:tc>
        <w:tc>
          <w:tcPr>
            <w:tcW w:w="1400" w:type="dxa"/>
            <w:tcBorders>
              <w:top w:val="nil"/>
              <w:left w:val="nil"/>
              <w:bottom w:val="nil"/>
              <w:right w:val="nil"/>
            </w:tcBorders>
            <w:tcMar>
              <w:top w:w="128" w:type="dxa"/>
              <w:left w:w="43" w:type="dxa"/>
              <w:bottom w:w="43" w:type="dxa"/>
              <w:right w:w="43" w:type="dxa"/>
            </w:tcMar>
            <w:vAlign w:val="bottom"/>
          </w:tcPr>
          <w:p w14:paraId="3AAD10C0" w14:textId="77777777" w:rsidR="00575AC3" w:rsidRPr="006D40F0" w:rsidRDefault="00575AC3" w:rsidP="006D40F0"/>
        </w:tc>
      </w:tr>
      <w:tr w:rsidR="00DD49A7" w:rsidRPr="006D40F0" w14:paraId="6012E51F" w14:textId="77777777">
        <w:trPr>
          <w:trHeight w:val="380"/>
        </w:trPr>
        <w:tc>
          <w:tcPr>
            <w:tcW w:w="680" w:type="dxa"/>
            <w:tcBorders>
              <w:top w:val="nil"/>
              <w:left w:val="nil"/>
              <w:bottom w:val="nil"/>
              <w:right w:val="nil"/>
            </w:tcBorders>
            <w:tcMar>
              <w:top w:w="128" w:type="dxa"/>
              <w:left w:w="43" w:type="dxa"/>
              <w:bottom w:w="43" w:type="dxa"/>
              <w:right w:w="43" w:type="dxa"/>
            </w:tcMar>
          </w:tcPr>
          <w:p w14:paraId="6C8DF10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C64D52A" w14:textId="77777777" w:rsidR="00575AC3" w:rsidRPr="006D40F0" w:rsidRDefault="00575AC3" w:rsidP="006D40F0">
            <w:r w:rsidRPr="006D40F0">
              <w:t>45</w:t>
            </w:r>
          </w:p>
        </w:tc>
        <w:tc>
          <w:tcPr>
            <w:tcW w:w="6800" w:type="dxa"/>
            <w:tcBorders>
              <w:top w:val="nil"/>
              <w:left w:val="nil"/>
              <w:bottom w:val="nil"/>
              <w:right w:val="nil"/>
            </w:tcBorders>
            <w:tcMar>
              <w:top w:w="128" w:type="dxa"/>
              <w:left w:w="43" w:type="dxa"/>
              <w:bottom w:w="43" w:type="dxa"/>
              <w:right w:w="43" w:type="dxa"/>
            </w:tcMar>
          </w:tcPr>
          <w:p w14:paraId="63527F80" w14:textId="77777777" w:rsidR="00575AC3" w:rsidRPr="006D40F0" w:rsidRDefault="00575AC3" w:rsidP="006D40F0">
            <w:r w:rsidRPr="006D40F0">
              <w:t>Større utstyrsanskaffelser og vedlikehold, 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6EF24A22" w14:textId="77777777" w:rsidR="00575AC3" w:rsidRPr="006D40F0" w:rsidRDefault="00575AC3" w:rsidP="006D40F0">
            <w:r w:rsidRPr="006D40F0">
              <w:t>390 000 000</w:t>
            </w:r>
          </w:p>
        </w:tc>
      </w:tr>
      <w:tr w:rsidR="00DD49A7" w:rsidRPr="006D40F0" w14:paraId="3DD44ABE" w14:textId="77777777">
        <w:trPr>
          <w:trHeight w:val="380"/>
        </w:trPr>
        <w:tc>
          <w:tcPr>
            <w:tcW w:w="680" w:type="dxa"/>
            <w:tcBorders>
              <w:top w:val="nil"/>
              <w:left w:val="nil"/>
              <w:bottom w:val="nil"/>
              <w:right w:val="nil"/>
            </w:tcBorders>
            <w:tcMar>
              <w:top w:w="128" w:type="dxa"/>
              <w:left w:w="43" w:type="dxa"/>
              <w:bottom w:w="43" w:type="dxa"/>
              <w:right w:w="43" w:type="dxa"/>
            </w:tcMar>
          </w:tcPr>
          <w:p w14:paraId="4FECD05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B00AF8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459E045" w14:textId="77777777" w:rsidR="00575AC3" w:rsidRPr="006D40F0" w:rsidRDefault="00575AC3" w:rsidP="006D40F0">
            <w:r w:rsidRPr="006D40F0">
              <w:t>fra kr 1 540 463 000 til kr 1 150 463 000</w:t>
            </w:r>
          </w:p>
        </w:tc>
        <w:tc>
          <w:tcPr>
            <w:tcW w:w="1400" w:type="dxa"/>
            <w:tcBorders>
              <w:top w:val="nil"/>
              <w:left w:val="nil"/>
              <w:bottom w:val="nil"/>
              <w:right w:val="nil"/>
            </w:tcBorders>
            <w:tcMar>
              <w:top w:w="128" w:type="dxa"/>
              <w:left w:w="43" w:type="dxa"/>
              <w:bottom w:w="43" w:type="dxa"/>
              <w:right w:w="43" w:type="dxa"/>
            </w:tcMar>
            <w:vAlign w:val="bottom"/>
          </w:tcPr>
          <w:p w14:paraId="36FDB34C" w14:textId="77777777" w:rsidR="00575AC3" w:rsidRPr="006D40F0" w:rsidRDefault="00575AC3" w:rsidP="006D40F0"/>
        </w:tc>
      </w:tr>
      <w:tr w:rsidR="00DD49A7" w:rsidRPr="006D40F0" w14:paraId="77DBBB9B" w14:textId="77777777">
        <w:trPr>
          <w:trHeight w:val="380"/>
        </w:trPr>
        <w:tc>
          <w:tcPr>
            <w:tcW w:w="680" w:type="dxa"/>
            <w:tcBorders>
              <w:top w:val="nil"/>
              <w:left w:val="nil"/>
              <w:bottom w:val="nil"/>
              <w:right w:val="nil"/>
            </w:tcBorders>
            <w:tcMar>
              <w:top w:w="128" w:type="dxa"/>
              <w:left w:w="43" w:type="dxa"/>
              <w:bottom w:w="43" w:type="dxa"/>
              <w:right w:w="43" w:type="dxa"/>
            </w:tcMar>
          </w:tcPr>
          <w:p w14:paraId="1444369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7EEF0FC" w14:textId="77777777" w:rsidR="00575AC3" w:rsidRPr="006D40F0" w:rsidRDefault="00575AC3" w:rsidP="006D40F0">
            <w:r w:rsidRPr="006D40F0">
              <w:t>48</w:t>
            </w:r>
          </w:p>
        </w:tc>
        <w:tc>
          <w:tcPr>
            <w:tcW w:w="6800" w:type="dxa"/>
            <w:tcBorders>
              <w:top w:val="nil"/>
              <w:left w:val="nil"/>
              <w:bottom w:val="nil"/>
              <w:right w:val="nil"/>
            </w:tcBorders>
            <w:tcMar>
              <w:top w:w="128" w:type="dxa"/>
              <w:left w:w="43" w:type="dxa"/>
              <w:bottom w:w="43" w:type="dxa"/>
              <w:right w:w="43" w:type="dxa"/>
            </w:tcMar>
          </w:tcPr>
          <w:p w14:paraId="449FBAE1" w14:textId="77777777" w:rsidR="00575AC3" w:rsidRPr="006D40F0" w:rsidRDefault="00575AC3" w:rsidP="006D40F0">
            <w:r w:rsidRPr="006D40F0">
              <w:t>Fellesfinansierte investeringer, 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3ED12095" w14:textId="77777777" w:rsidR="00575AC3" w:rsidRPr="006D40F0" w:rsidRDefault="00575AC3" w:rsidP="006D40F0">
            <w:r w:rsidRPr="006D40F0">
              <w:t>310 400 000</w:t>
            </w:r>
          </w:p>
        </w:tc>
      </w:tr>
      <w:tr w:rsidR="00DD49A7" w:rsidRPr="006D40F0" w14:paraId="6F1A0BB8" w14:textId="77777777">
        <w:trPr>
          <w:trHeight w:val="380"/>
        </w:trPr>
        <w:tc>
          <w:tcPr>
            <w:tcW w:w="680" w:type="dxa"/>
            <w:tcBorders>
              <w:top w:val="nil"/>
              <w:left w:val="nil"/>
              <w:bottom w:val="nil"/>
              <w:right w:val="nil"/>
            </w:tcBorders>
            <w:tcMar>
              <w:top w:w="128" w:type="dxa"/>
              <w:left w:w="43" w:type="dxa"/>
              <w:bottom w:w="43" w:type="dxa"/>
              <w:right w:w="43" w:type="dxa"/>
            </w:tcMar>
          </w:tcPr>
          <w:p w14:paraId="43B9347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31E057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1C41FA4" w14:textId="77777777" w:rsidR="00575AC3" w:rsidRPr="006D40F0" w:rsidRDefault="00575AC3" w:rsidP="006D40F0">
            <w:r w:rsidRPr="006D40F0">
              <w:t>fra kr 390 000 000 til kr 700 400 000</w:t>
            </w:r>
          </w:p>
        </w:tc>
        <w:tc>
          <w:tcPr>
            <w:tcW w:w="1400" w:type="dxa"/>
            <w:tcBorders>
              <w:top w:val="nil"/>
              <w:left w:val="nil"/>
              <w:bottom w:val="nil"/>
              <w:right w:val="nil"/>
            </w:tcBorders>
            <w:tcMar>
              <w:top w:w="128" w:type="dxa"/>
              <w:left w:w="43" w:type="dxa"/>
              <w:bottom w:w="43" w:type="dxa"/>
              <w:right w:w="43" w:type="dxa"/>
            </w:tcMar>
            <w:vAlign w:val="bottom"/>
          </w:tcPr>
          <w:p w14:paraId="7BFE8AA6" w14:textId="77777777" w:rsidR="00575AC3" w:rsidRPr="006D40F0" w:rsidRDefault="00575AC3" w:rsidP="006D40F0"/>
        </w:tc>
      </w:tr>
      <w:tr w:rsidR="00DD49A7" w:rsidRPr="006D40F0" w14:paraId="6253E3DD" w14:textId="77777777">
        <w:trPr>
          <w:trHeight w:val="380"/>
        </w:trPr>
        <w:tc>
          <w:tcPr>
            <w:tcW w:w="680" w:type="dxa"/>
            <w:tcBorders>
              <w:top w:val="nil"/>
              <w:left w:val="nil"/>
              <w:bottom w:val="nil"/>
              <w:right w:val="nil"/>
            </w:tcBorders>
            <w:tcMar>
              <w:top w:w="128" w:type="dxa"/>
              <w:left w:w="43" w:type="dxa"/>
              <w:bottom w:w="43" w:type="dxa"/>
              <w:right w:w="43" w:type="dxa"/>
            </w:tcMar>
          </w:tcPr>
          <w:p w14:paraId="55409724" w14:textId="77777777" w:rsidR="00575AC3" w:rsidRPr="006D40F0" w:rsidRDefault="00575AC3" w:rsidP="006D40F0">
            <w:r w:rsidRPr="006D40F0">
              <w:t>4791</w:t>
            </w:r>
          </w:p>
        </w:tc>
        <w:tc>
          <w:tcPr>
            <w:tcW w:w="680" w:type="dxa"/>
            <w:tcBorders>
              <w:top w:val="nil"/>
              <w:left w:val="nil"/>
              <w:bottom w:val="nil"/>
              <w:right w:val="nil"/>
            </w:tcBorders>
            <w:tcMar>
              <w:top w:w="128" w:type="dxa"/>
              <w:left w:w="43" w:type="dxa"/>
              <w:bottom w:w="43" w:type="dxa"/>
              <w:right w:w="43" w:type="dxa"/>
            </w:tcMar>
          </w:tcPr>
          <w:p w14:paraId="29F31F5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F0514BB" w14:textId="77777777" w:rsidR="00575AC3" w:rsidRPr="006D40F0" w:rsidRDefault="00575AC3" w:rsidP="006D40F0">
            <w:r w:rsidRPr="006D40F0">
              <w:t>Redningshelikoptertjenesten:</w:t>
            </w:r>
          </w:p>
        </w:tc>
        <w:tc>
          <w:tcPr>
            <w:tcW w:w="1400" w:type="dxa"/>
            <w:tcBorders>
              <w:top w:val="nil"/>
              <w:left w:val="nil"/>
              <w:bottom w:val="nil"/>
              <w:right w:val="nil"/>
            </w:tcBorders>
            <w:tcMar>
              <w:top w:w="128" w:type="dxa"/>
              <w:left w:w="43" w:type="dxa"/>
              <w:bottom w:w="43" w:type="dxa"/>
              <w:right w:w="43" w:type="dxa"/>
            </w:tcMar>
            <w:vAlign w:val="bottom"/>
          </w:tcPr>
          <w:p w14:paraId="30F92D84" w14:textId="77777777" w:rsidR="00575AC3" w:rsidRPr="006D40F0" w:rsidRDefault="00575AC3" w:rsidP="006D40F0"/>
        </w:tc>
      </w:tr>
      <w:tr w:rsidR="00DD49A7" w:rsidRPr="006D40F0" w14:paraId="08063D92" w14:textId="77777777">
        <w:trPr>
          <w:trHeight w:val="380"/>
        </w:trPr>
        <w:tc>
          <w:tcPr>
            <w:tcW w:w="680" w:type="dxa"/>
            <w:tcBorders>
              <w:top w:val="nil"/>
              <w:left w:val="nil"/>
              <w:bottom w:val="nil"/>
              <w:right w:val="nil"/>
            </w:tcBorders>
            <w:tcMar>
              <w:top w:w="128" w:type="dxa"/>
              <w:left w:w="43" w:type="dxa"/>
              <w:bottom w:w="43" w:type="dxa"/>
              <w:right w:w="43" w:type="dxa"/>
            </w:tcMar>
          </w:tcPr>
          <w:p w14:paraId="475976F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36C2B8"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25D8DB85" w14:textId="77777777" w:rsidR="00575AC3" w:rsidRPr="006D40F0" w:rsidRDefault="00575AC3" w:rsidP="006D40F0">
            <w:r w:rsidRPr="006D40F0">
              <w:t>Driftsinntekter, forhøyes med</w:t>
            </w:r>
          </w:p>
        </w:tc>
        <w:tc>
          <w:tcPr>
            <w:tcW w:w="1400" w:type="dxa"/>
            <w:tcBorders>
              <w:top w:val="nil"/>
              <w:left w:val="nil"/>
              <w:bottom w:val="nil"/>
              <w:right w:val="nil"/>
            </w:tcBorders>
            <w:tcMar>
              <w:top w:w="128" w:type="dxa"/>
              <w:left w:w="43" w:type="dxa"/>
              <w:bottom w:w="43" w:type="dxa"/>
              <w:right w:w="43" w:type="dxa"/>
            </w:tcMar>
            <w:vAlign w:val="bottom"/>
          </w:tcPr>
          <w:p w14:paraId="0B6A4C85" w14:textId="77777777" w:rsidR="00575AC3" w:rsidRPr="006D40F0" w:rsidRDefault="00575AC3" w:rsidP="006D40F0">
            <w:r w:rsidRPr="006D40F0">
              <w:t>31 660 000</w:t>
            </w:r>
          </w:p>
        </w:tc>
      </w:tr>
      <w:tr w:rsidR="00DD49A7" w:rsidRPr="006D40F0" w14:paraId="6ED848FF" w14:textId="77777777">
        <w:trPr>
          <w:trHeight w:val="380"/>
        </w:trPr>
        <w:tc>
          <w:tcPr>
            <w:tcW w:w="680" w:type="dxa"/>
            <w:tcBorders>
              <w:top w:val="nil"/>
              <w:left w:val="nil"/>
              <w:bottom w:val="nil"/>
              <w:right w:val="nil"/>
            </w:tcBorders>
            <w:tcMar>
              <w:top w:w="128" w:type="dxa"/>
              <w:left w:w="43" w:type="dxa"/>
              <w:bottom w:w="43" w:type="dxa"/>
              <w:right w:w="43" w:type="dxa"/>
            </w:tcMar>
          </w:tcPr>
          <w:p w14:paraId="7274C6C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FBB29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FF181B" w14:textId="77777777" w:rsidR="00575AC3" w:rsidRPr="006D40F0" w:rsidRDefault="00575AC3" w:rsidP="006D40F0">
            <w:r w:rsidRPr="006D40F0">
              <w:t>fra kr 529 797 000 til kr 561 457 000</w:t>
            </w:r>
          </w:p>
        </w:tc>
        <w:tc>
          <w:tcPr>
            <w:tcW w:w="1400" w:type="dxa"/>
            <w:tcBorders>
              <w:top w:val="nil"/>
              <w:left w:val="nil"/>
              <w:bottom w:val="nil"/>
              <w:right w:val="nil"/>
            </w:tcBorders>
            <w:tcMar>
              <w:top w:w="128" w:type="dxa"/>
              <w:left w:w="43" w:type="dxa"/>
              <w:bottom w:w="43" w:type="dxa"/>
              <w:right w:w="43" w:type="dxa"/>
            </w:tcMar>
            <w:vAlign w:val="bottom"/>
          </w:tcPr>
          <w:p w14:paraId="434CA810" w14:textId="77777777" w:rsidR="00575AC3" w:rsidRPr="006D40F0" w:rsidRDefault="00575AC3" w:rsidP="006D40F0"/>
        </w:tc>
      </w:tr>
      <w:tr w:rsidR="00DD49A7" w:rsidRPr="006D40F0" w14:paraId="702E0CD0" w14:textId="77777777">
        <w:trPr>
          <w:trHeight w:val="380"/>
        </w:trPr>
        <w:tc>
          <w:tcPr>
            <w:tcW w:w="680" w:type="dxa"/>
            <w:tcBorders>
              <w:top w:val="nil"/>
              <w:left w:val="nil"/>
              <w:bottom w:val="nil"/>
              <w:right w:val="nil"/>
            </w:tcBorders>
            <w:tcMar>
              <w:top w:w="128" w:type="dxa"/>
              <w:left w:w="43" w:type="dxa"/>
              <w:bottom w:w="43" w:type="dxa"/>
              <w:right w:w="43" w:type="dxa"/>
            </w:tcMar>
          </w:tcPr>
          <w:p w14:paraId="7A756102" w14:textId="77777777" w:rsidR="00575AC3" w:rsidRPr="006D40F0" w:rsidRDefault="00575AC3" w:rsidP="006D40F0">
            <w:r w:rsidRPr="006D40F0">
              <w:t>4810</w:t>
            </w:r>
          </w:p>
        </w:tc>
        <w:tc>
          <w:tcPr>
            <w:tcW w:w="680" w:type="dxa"/>
            <w:tcBorders>
              <w:top w:val="nil"/>
              <w:left w:val="nil"/>
              <w:bottom w:val="nil"/>
              <w:right w:val="nil"/>
            </w:tcBorders>
            <w:tcMar>
              <w:top w:w="128" w:type="dxa"/>
              <w:left w:w="43" w:type="dxa"/>
              <w:bottom w:w="43" w:type="dxa"/>
              <w:right w:w="43" w:type="dxa"/>
            </w:tcMar>
          </w:tcPr>
          <w:p w14:paraId="04178C0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63BD97" w14:textId="77777777" w:rsidR="00575AC3" w:rsidRPr="006D40F0" w:rsidRDefault="00575AC3" w:rsidP="006D40F0">
            <w:r w:rsidRPr="006D40F0">
              <w:t>Sokkeldirektoratet:</w:t>
            </w:r>
          </w:p>
        </w:tc>
        <w:tc>
          <w:tcPr>
            <w:tcW w:w="1400" w:type="dxa"/>
            <w:tcBorders>
              <w:top w:val="nil"/>
              <w:left w:val="nil"/>
              <w:bottom w:val="nil"/>
              <w:right w:val="nil"/>
            </w:tcBorders>
            <w:tcMar>
              <w:top w:w="128" w:type="dxa"/>
              <w:left w:w="43" w:type="dxa"/>
              <w:bottom w:w="43" w:type="dxa"/>
              <w:right w:w="43" w:type="dxa"/>
            </w:tcMar>
            <w:vAlign w:val="bottom"/>
          </w:tcPr>
          <w:p w14:paraId="0B6D038E" w14:textId="77777777" w:rsidR="00575AC3" w:rsidRPr="006D40F0" w:rsidRDefault="00575AC3" w:rsidP="006D40F0"/>
        </w:tc>
      </w:tr>
      <w:tr w:rsidR="00DD49A7" w:rsidRPr="006D40F0" w14:paraId="1830225E" w14:textId="77777777">
        <w:trPr>
          <w:trHeight w:val="380"/>
        </w:trPr>
        <w:tc>
          <w:tcPr>
            <w:tcW w:w="680" w:type="dxa"/>
            <w:tcBorders>
              <w:top w:val="nil"/>
              <w:left w:val="nil"/>
              <w:bottom w:val="nil"/>
              <w:right w:val="nil"/>
            </w:tcBorders>
            <w:tcMar>
              <w:top w:w="128" w:type="dxa"/>
              <w:left w:w="43" w:type="dxa"/>
              <w:bottom w:w="43" w:type="dxa"/>
              <w:right w:w="43" w:type="dxa"/>
            </w:tcMar>
          </w:tcPr>
          <w:p w14:paraId="31AE8A8A"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0059718" w14:textId="77777777" w:rsidR="00575AC3" w:rsidRPr="006D40F0" w:rsidRDefault="00575AC3" w:rsidP="006D40F0">
            <w:r w:rsidRPr="006D40F0">
              <w:t>3</w:t>
            </w:r>
          </w:p>
        </w:tc>
        <w:tc>
          <w:tcPr>
            <w:tcW w:w="6800" w:type="dxa"/>
            <w:tcBorders>
              <w:top w:val="nil"/>
              <w:left w:val="nil"/>
              <w:bottom w:val="nil"/>
              <w:right w:val="nil"/>
            </w:tcBorders>
            <w:tcMar>
              <w:top w:w="128" w:type="dxa"/>
              <w:left w:w="43" w:type="dxa"/>
              <w:bottom w:w="43" w:type="dxa"/>
              <w:right w:w="43" w:type="dxa"/>
            </w:tcMar>
          </w:tcPr>
          <w:p w14:paraId="418227B8" w14:textId="77777777" w:rsidR="00575AC3" w:rsidRPr="006D40F0" w:rsidRDefault="00575AC3" w:rsidP="006D40F0">
            <w:r w:rsidRPr="006D40F0">
              <w:t>Salg av undersøkelsesmateriale, bevilges med</w:t>
            </w:r>
          </w:p>
        </w:tc>
        <w:tc>
          <w:tcPr>
            <w:tcW w:w="1400" w:type="dxa"/>
            <w:tcBorders>
              <w:top w:val="nil"/>
              <w:left w:val="nil"/>
              <w:bottom w:val="nil"/>
              <w:right w:val="nil"/>
            </w:tcBorders>
            <w:tcMar>
              <w:top w:w="128" w:type="dxa"/>
              <w:left w:w="43" w:type="dxa"/>
              <w:bottom w:w="43" w:type="dxa"/>
              <w:right w:w="43" w:type="dxa"/>
            </w:tcMar>
            <w:vAlign w:val="bottom"/>
          </w:tcPr>
          <w:p w14:paraId="393A99EE" w14:textId="77777777" w:rsidR="00575AC3" w:rsidRPr="006D40F0" w:rsidRDefault="00575AC3" w:rsidP="006D40F0">
            <w:r w:rsidRPr="006D40F0">
              <w:t>59 500 000</w:t>
            </w:r>
          </w:p>
        </w:tc>
      </w:tr>
      <w:tr w:rsidR="00DD49A7" w:rsidRPr="006D40F0" w14:paraId="0C238CF9" w14:textId="77777777">
        <w:trPr>
          <w:trHeight w:val="380"/>
        </w:trPr>
        <w:tc>
          <w:tcPr>
            <w:tcW w:w="680" w:type="dxa"/>
            <w:tcBorders>
              <w:top w:val="nil"/>
              <w:left w:val="nil"/>
              <w:bottom w:val="nil"/>
              <w:right w:val="nil"/>
            </w:tcBorders>
            <w:tcMar>
              <w:top w:w="128" w:type="dxa"/>
              <w:left w:w="43" w:type="dxa"/>
              <w:bottom w:w="43" w:type="dxa"/>
              <w:right w:w="43" w:type="dxa"/>
            </w:tcMar>
          </w:tcPr>
          <w:p w14:paraId="09A34100" w14:textId="77777777" w:rsidR="00575AC3" w:rsidRPr="006D40F0" w:rsidRDefault="00575AC3" w:rsidP="006D40F0">
            <w:r w:rsidRPr="006D40F0">
              <w:t>4820</w:t>
            </w:r>
          </w:p>
        </w:tc>
        <w:tc>
          <w:tcPr>
            <w:tcW w:w="680" w:type="dxa"/>
            <w:tcBorders>
              <w:top w:val="nil"/>
              <w:left w:val="nil"/>
              <w:bottom w:val="nil"/>
              <w:right w:val="nil"/>
            </w:tcBorders>
            <w:tcMar>
              <w:top w:w="128" w:type="dxa"/>
              <w:left w:w="43" w:type="dxa"/>
              <w:bottom w:w="43" w:type="dxa"/>
              <w:right w:w="43" w:type="dxa"/>
            </w:tcMar>
          </w:tcPr>
          <w:p w14:paraId="5701501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6ACAA3" w14:textId="77777777" w:rsidR="00575AC3" w:rsidRPr="006D40F0" w:rsidRDefault="00575AC3" w:rsidP="006D40F0">
            <w:r w:rsidRPr="006D40F0">
              <w:t>Norges vassdrags- og energidirektorat:</w:t>
            </w:r>
          </w:p>
        </w:tc>
        <w:tc>
          <w:tcPr>
            <w:tcW w:w="1400" w:type="dxa"/>
            <w:tcBorders>
              <w:top w:val="nil"/>
              <w:left w:val="nil"/>
              <w:bottom w:val="nil"/>
              <w:right w:val="nil"/>
            </w:tcBorders>
            <w:tcMar>
              <w:top w:w="128" w:type="dxa"/>
              <w:left w:w="43" w:type="dxa"/>
              <w:bottom w:w="43" w:type="dxa"/>
              <w:right w:w="43" w:type="dxa"/>
            </w:tcMar>
            <w:vAlign w:val="bottom"/>
          </w:tcPr>
          <w:p w14:paraId="63ECBD35" w14:textId="77777777" w:rsidR="00575AC3" w:rsidRPr="006D40F0" w:rsidRDefault="00575AC3" w:rsidP="006D40F0"/>
        </w:tc>
      </w:tr>
      <w:tr w:rsidR="00DD49A7" w:rsidRPr="006D40F0" w14:paraId="085ED42A" w14:textId="77777777">
        <w:trPr>
          <w:trHeight w:val="380"/>
        </w:trPr>
        <w:tc>
          <w:tcPr>
            <w:tcW w:w="680" w:type="dxa"/>
            <w:tcBorders>
              <w:top w:val="nil"/>
              <w:left w:val="nil"/>
              <w:bottom w:val="nil"/>
              <w:right w:val="nil"/>
            </w:tcBorders>
            <w:tcMar>
              <w:top w:w="128" w:type="dxa"/>
              <w:left w:w="43" w:type="dxa"/>
              <w:bottom w:w="43" w:type="dxa"/>
              <w:right w:w="43" w:type="dxa"/>
            </w:tcMar>
          </w:tcPr>
          <w:p w14:paraId="4AE3E3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399BF6B" w14:textId="77777777" w:rsidR="00575AC3" w:rsidRPr="006D40F0" w:rsidRDefault="00575AC3" w:rsidP="006D40F0">
            <w:r w:rsidRPr="006D40F0">
              <w:t>1</w:t>
            </w:r>
          </w:p>
        </w:tc>
        <w:tc>
          <w:tcPr>
            <w:tcW w:w="6800" w:type="dxa"/>
            <w:tcBorders>
              <w:top w:val="nil"/>
              <w:left w:val="nil"/>
              <w:bottom w:val="nil"/>
              <w:right w:val="nil"/>
            </w:tcBorders>
            <w:tcMar>
              <w:top w:w="128" w:type="dxa"/>
              <w:left w:w="43" w:type="dxa"/>
              <w:bottom w:w="43" w:type="dxa"/>
              <w:right w:w="43" w:type="dxa"/>
            </w:tcMar>
          </w:tcPr>
          <w:p w14:paraId="5C514363" w14:textId="77777777" w:rsidR="00575AC3" w:rsidRPr="006D40F0" w:rsidRDefault="00575AC3" w:rsidP="006D40F0">
            <w:r w:rsidRPr="006D40F0">
              <w:t>Gebyrinntekter,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34930CCD" w14:textId="77777777" w:rsidR="00575AC3" w:rsidRPr="006D40F0" w:rsidRDefault="00575AC3" w:rsidP="006D40F0">
            <w:r w:rsidRPr="006D40F0">
              <w:t>1 500 000</w:t>
            </w:r>
          </w:p>
        </w:tc>
      </w:tr>
      <w:tr w:rsidR="00DD49A7" w:rsidRPr="006D40F0" w14:paraId="6B381EB8" w14:textId="77777777">
        <w:trPr>
          <w:trHeight w:val="380"/>
        </w:trPr>
        <w:tc>
          <w:tcPr>
            <w:tcW w:w="680" w:type="dxa"/>
            <w:tcBorders>
              <w:top w:val="nil"/>
              <w:left w:val="nil"/>
              <w:bottom w:val="nil"/>
              <w:right w:val="nil"/>
            </w:tcBorders>
            <w:tcMar>
              <w:top w:w="128" w:type="dxa"/>
              <w:left w:w="43" w:type="dxa"/>
              <w:bottom w:w="43" w:type="dxa"/>
              <w:right w:w="43" w:type="dxa"/>
            </w:tcMar>
          </w:tcPr>
          <w:p w14:paraId="38FE11D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005DD9"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71D0C65" w14:textId="77777777" w:rsidR="00575AC3" w:rsidRPr="006D40F0" w:rsidRDefault="00575AC3" w:rsidP="006D40F0">
            <w:r w:rsidRPr="006D40F0">
              <w:t>fra kr 11 500 000 til kr 10 000 000</w:t>
            </w:r>
          </w:p>
        </w:tc>
        <w:tc>
          <w:tcPr>
            <w:tcW w:w="1400" w:type="dxa"/>
            <w:tcBorders>
              <w:top w:val="nil"/>
              <w:left w:val="nil"/>
              <w:bottom w:val="nil"/>
              <w:right w:val="nil"/>
            </w:tcBorders>
            <w:tcMar>
              <w:top w:w="128" w:type="dxa"/>
              <w:left w:w="43" w:type="dxa"/>
              <w:bottom w:w="43" w:type="dxa"/>
              <w:right w:w="43" w:type="dxa"/>
            </w:tcMar>
            <w:vAlign w:val="bottom"/>
          </w:tcPr>
          <w:p w14:paraId="1071723C" w14:textId="77777777" w:rsidR="00575AC3" w:rsidRPr="006D40F0" w:rsidRDefault="00575AC3" w:rsidP="006D40F0"/>
        </w:tc>
      </w:tr>
      <w:tr w:rsidR="00DD49A7" w:rsidRPr="006D40F0" w14:paraId="264E6240" w14:textId="77777777">
        <w:trPr>
          <w:trHeight w:val="380"/>
        </w:trPr>
        <w:tc>
          <w:tcPr>
            <w:tcW w:w="680" w:type="dxa"/>
            <w:tcBorders>
              <w:top w:val="nil"/>
              <w:left w:val="nil"/>
              <w:bottom w:val="nil"/>
              <w:right w:val="nil"/>
            </w:tcBorders>
            <w:tcMar>
              <w:top w:w="128" w:type="dxa"/>
              <w:left w:w="43" w:type="dxa"/>
              <w:bottom w:w="43" w:type="dxa"/>
              <w:right w:w="43" w:type="dxa"/>
            </w:tcMar>
          </w:tcPr>
          <w:p w14:paraId="62FF582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E5ABCD" w14:textId="77777777" w:rsidR="00575AC3" w:rsidRPr="006D40F0" w:rsidRDefault="00575AC3" w:rsidP="006D40F0">
            <w:r w:rsidRPr="006D40F0">
              <w:t>2</w:t>
            </w:r>
          </w:p>
        </w:tc>
        <w:tc>
          <w:tcPr>
            <w:tcW w:w="6800" w:type="dxa"/>
            <w:tcBorders>
              <w:top w:val="nil"/>
              <w:left w:val="nil"/>
              <w:bottom w:val="nil"/>
              <w:right w:val="nil"/>
            </w:tcBorders>
            <w:tcMar>
              <w:top w:w="128" w:type="dxa"/>
              <w:left w:w="43" w:type="dxa"/>
              <w:bottom w:w="43" w:type="dxa"/>
              <w:right w:w="43" w:type="dxa"/>
            </w:tcMar>
          </w:tcPr>
          <w:p w14:paraId="1DFCDD4C" w14:textId="77777777" w:rsidR="00575AC3" w:rsidRPr="006D40F0" w:rsidRDefault="00575AC3" w:rsidP="006D40F0">
            <w:r w:rsidRPr="006D40F0">
              <w:t>Oppdrags- og samarbeidsinntekter, nedsettes med</w:t>
            </w:r>
          </w:p>
        </w:tc>
        <w:tc>
          <w:tcPr>
            <w:tcW w:w="1400" w:type="dxa"/>
            <w:tcBorders>
              <w:top w:val="nil"/>
              <w:left w:val="nil"/>
              <w:bottom w:val="nil"/>
              <w:right w:val="nil"/>
            </w:tcBorders>
            <w:tcMar>
              <w:top w:w="128" w:type="dxa"/>
              <w:left w:w="43" w:type="dxa"/>
              <w:bottom w:w="43" w:type="dxa"/>
              <w:right w:w="43" w:type="dxa"/>
            </w:tcMar>
            <w:vAlign w:val="bottom"/>
          </w:tcPr>
          <w:p w14:paraId="08C26FF9" w14:textId="77777777" w:rsidR="00575AC3" w:rsidRPr="006D40F0" w:rsidRDefault="00575AC3" w:rsidP="006D40F0">
            <w:r w:rsidRPr="006D40F0">
              <w:t>11 000 000</w:t>
            </w:r>
          </w:p>
        </w:tc>
      </w:tr>
      <w:tr w:rsidR="00DD49A7" w:rsidRPr="006D40F0" w14:paraId="557D6B23" w14:textId="77777777">
        <w:trPr>
          <w:trHeight w:val="380"/>
        </w:trPr>
        <w:tc>
          <w:tcPr>
            <w:tcW w:w="680" w:type="dxa"/>
            <w:tcBorders>
              <w:top w:val="nil"/>
              <w:left w:val="nil"/>
              <w:bottom w:val="nil"/>
              <w:right w:val="nil"/>
            </w:tcBorders>
            <w:tcMar>
              <w:top w:w="128" w:type="dxa"/>
              <w:left w:w="43" w:type="dxa"/>
              <w:bottom w:w="43" w:type="dxa"/>
              <w:right w:w="43" w:type="dxa"/>
            </w:tcMar>
          </w:tcPr>
          <w:p w14:paraId="281BECF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25EB70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69FF4E4" w14:textId="77777777" w:rsidR="00575AC3" w:rsidRPr="006D40F0" w:rsidRDefault="00575AC3" w:rsidP="006D40F0">
            <w:r w:rsidRPr="006D40F0">
              <w:t>fra kr 70 000 000 til kr 59 000 000</w:t>
            </w:r>
          </w:p>
        </w:tc>
        <w:tc>
          <w:tcPr>
            <w:tcW w:w="1400" w:type="dxa"/>
            <w:tcBorders>
              <w:top w:val="nil"/>
              <w:left w:val="nil"/>
              <w:bottom w:val="nil"/>
              <w:right w:val="nil"/>
            </w:tcBorders>
            <w:tcMar>
              <w:top w:w="128" w:type="dxa"/>
              <w:left w:w="43" w:type="dxa"/>
              <w:bottom w:w="43" w:type="dxa"/>
              <w:right w:w="43" w:type="dxa"/>
            </w:tcMar>
            <w:vAlign w:val="bottom"/>
          </w:tcPr>
          <w:p w14:paraId="1182798A" w14:textId="77777777" w:rsidR="00575AC3" w:rsidRPr="006D40F0" w:rsidRDefault="00575AC3" w:rsidP="006D40F0"/>
        </w:tc>
      </w:tr>
      <w:tr w:rsidR="00DD49A7" w:rsidRPr="006D40F0" w14:paraId="057B4FCC" w14:textId="77777777">
        <w:trPr>
          <w:trHeight w:val="380"/>
        </w:trPr>
        <w:tc>
          <w:tcPr>
            <w:tcW w:w="680" w:type="dxa"/>
            <w:tcBorders>
              <w:top w:val="nil"/>
              <w:left w:val="nil"/>
              <w:bottom w:val="nil"/>
              <w:right w:val="nil"/>
            </w:tcBorders>
            <w:tcMar>
              <w:top w:w="128" w:type="dxa"/>
              <w:left w:w="43" w:type="dxa"/>
              <w:bottom w:w="43" w:type="dxa"/>
              <w:right w:w="43" w:type="dxa"/>
            </w:tcMar>
          </w:tcPr>
          <w:p w14:paraId="47840CE9" w14:textId="77777777" w:rsidR="00575AC3" w:rsidRPr="006D40F0" w:rsidRDefault="00575AC3" w:rsidP="006D40F0">
            <w:r w:rsidRPr="006D40F0">
              <w:t>5310</w:t>
            </w:r>
          </w:p>
        </w:tc>
        <w:tc>
          <w:tcPr>
            <w:tcW w:w="680" w:type="dxa"/>
            <w:tcBorders>
              <w:top w:val="nil"/>
              <w:left w:val="nil"/>
              <w:bottom w:val="nil"/>
              <w:right w:val="nil"/>
            </w:tcBorders>
            <w:tcMar>
              <w:top w:w="128" w:type="dxa"/>
              <w:left w:w="43" w:type="dxa"/>
              <w:bottom w:w="43" w:type="dxa"/>
              <w:right w:w="43" w:type="dxa"/>
            </w:tcMar>
          </w:tcPr>
          <w:p w14:paraId="2FF00F6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8BA435" w14:textId="77777777" w:rsidR="00575AC3" w:rsidRPr="006D40F0" w:rsidRDefault="00575AC3" w:rsidP="006D40F0">
            <w:r w:rsidRPr="006D40F0">
              <w:t>Statens lånekasse for utdanning:</w:t>
            </w:r>
          </w:p>
        </w:tc>
        <w:tc>
          <w:tcPr>
            <w:tcW w:w="1400" w:type="dxa"/>
            <w:tcBorders>
              <w:top w:val="nil"/>
              <w:left w:val="nil"/>
              <w:bottom w:val="nil"/>
              <w:right w:val="nil"/>
            </w:tcBorders>
            <w:tcMar>
              <w:top w:w="128" w:type="dxa"/>
              <w:left w:w="43" w:type="dxa"/>
              <w:bottom w:w="43" w:type="dxa"/>
              <w:right w:w="43" w:type="dxa"/>
            </w:tcMar>
            <w:vAlign w:val="bottom"/>
          </w:tcPr>
          <w:p w14:paraId="33274B2A" w14:textId="77777777" w:rsidR="00575AC3" w:rsidRPr="006D40F0" w:rsidRDefault="00575AC3" w:rsidP="006D40F0"/>
        </w:tc>
      </w:tr>
      <w:tr w:rsidR="00DD49A7" w:rsidRPr="006D40F0" w14:paraId="4BD72881" w14:textId="77777777">
        <w:trPr>
          <w:trHeight w:val="380"/>
        </w:trPr>
        <w:tc>
          <w:tcPr>
            <w:tcW w:w="680" w:type="dxa"/>
            <w:tcBorders>
              <w:top w:val="nil"/>
              <w:left w:val="nil"/>
              <w:bottom w:val="nil"/>
              <w:right w:val="nil"/>
            </w:tcBorders>
            <w:tcMar>
              <w:top w:w="128" w:type="dxa"/>
              <w:left w:w="43" w:type="dxa"/>
              <w:bottom w:w="43" w:type="dxa"/>
              <w:right w:w="43" w:type="dxa"/>
            </w:tcMar>
          </w:tcPr>
          <w:p w14:paraId="66B0E7C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BB98122" w14:textId="77777777" w:rsidR="00575AC3" w:rsidRPr="006D40F0" w:rsidRDefault="00575AC3" w:rsidP="006D40F0">
            <w:r w:rsidRPr="006D40F0">
              <w:t>89</w:t>
            </w:r>
          </w:p>
        </w:tc>
        <w:tc>
          <w:tcPr>
            <w:tcW w:w="6800" w:type="dxa"/>
            <w:tcBorders>
              <w:top w:val="nil"/>
              <w:left w:val="nil"/>
              <w:bottom w:val="nil"/>
              <w:right w:val="nil"/>
            </w:tcBorders>
            <w:tcMar>
              <w:top w:w="128" w:type="dxa"/>
              <w:left w:w="43" w:type="dxa"/>
              <w:bottom w:w="43" w:type="dxa"/>
              <w:right w:w="43" w:type="dxa"/>
            </w:tcMar>
          </w:tcPr>
          <w:p w14:paraId="069BD124" w14:textId="77777777" w:rsidR="00575AC3" w:rsidRPr="006D40F0" w:rsidRDefault="00575AC3" w:rsidP="006D40F0">
            <w:r w:rsidRPr="006D40F0">
              <w:t>Purregebyrer, forhøyes med</w:t>
            </w:r>
          </w:p>
        </w:tc>
        <w:tc>
          <w:tcPr>
            <w:tcW w:w="1400" w:type="dxa"/>
            <w:tcBorders>
              <w:top w:val="nil"/>
              <w:left w:val="nil"/>
              <w:bottom w:val="nil"/>
              <w:right w:val="nil"/>
            </w:tcBorders>
            <w:tcMar>
              <w:top w:w="128" w:type="dxa"/>
              <w:left w:w="43" w:type="dxa"/>
              <w:bottom w:w="43" w:type="dxa"/>
              <w:right w:w="43" w:type="dxa"/>
            </w:tcMar>
            <w:vAlign w:val="bottom"/>
          </w:tcPr>
          <w:p w14:paraId="22B3191D" w14:textId="77777777" w:rsidR="00575AC3" w:rsidRPr="006D40F0" w:rsidRDefault="00575AC3" w:rsidP="006D40F0">
            <w:r w:rsidRPr="006D40F0">
              <w:t>16 860 000</w:t>
            </w:r>
          </w:p>
        </w:tc>
      </w:tr>
      <w:tr w:rsidR="00DD49A7" w:rsidRPr="006D40F0" w14:paraId="0ABFDB6E" w14:textId="77777777">
        <w:trPr>
          <w:trHeight w:val="380"/>
        </w:trPr>
        <w:tc>
          <w:tcPr>
            <w:tcW w:w="680" w:type="dxa"/>
            <w:tcBorders>
              <w:top w:val="nil"/>
              <w:left w:val="nil"/>
              <w:bottom w:val="nil"/>
              <w:right w:val="nil"/>
            </w:tcBorders>
            <w:tcMar>
              <w:top w:w="128" w:type="dxa"/>
              <w:left w:w="43" w:type="dxa"/>
              <w:bottom w:w="43" w:type="dxa"/>
              <w:right w:w="43" w:type="dxa"/>
            </w:tcMar>
          </w:tcPr>
          <w:p w14:paraId="1839B4D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DB0C4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6738CF0" w14:textId="77777777" w:rsidR="00575AC3" w:rsidRPr="006D40F0" w:rsidRDefault="00575AC3" w:rsidP="006D40F0">
            <w:r w:rsidRPr="006D40F0">
              <w:t>fra kr 90 228 000 til kr 107 088 000</w:t>
            </w:r>
          </w:p>
        </w:tc>
        <w:tc>
          <w:tcPr>
            <w:tcW w:w="1400" w:type="dxa"/>
            <w:tcBorders>
              <w:top w:val="nil"/>
              <w:left w:val="nil"/>
              <w:bottom w:val="nil"/>
              <w:right w:val="nil"/>
            </w:tcBorders>
            <w:tcMar>
              <w:top w:w="128" w:type="dxa"/>
              <w:left w:w="43" w:type="dxa"/>
              <w:bottom w:w="43" w:type="dxa"/>
              <w:right w:w="43" w:type="dxa"/>
            </w:tcMar>
            <w:vAlign w:val="bottom"/>
          </w:tcPr>
          <w:p w14:paraId="19F2980D" w14:textId="77777777" w:rsidR="00575AC3" w:rsidRPr="006D40F0" w:rsidRDefault="00575AC3" w:rsidP="006D40F0"/>
        </w:tc>
      </w:tr>
      <w:tr w:rsidR="00DD49A7" w:rsidRPr="006D40F0" w14:paraId="3B0C72D5" w14:textId="77777777">
        <w:trPr>
          <w:trHeight w:val="380"/>
        </w:trPr>
        <w:tc>
          <w:tcPr>
            <w:tcW w:w="680" w:type="dxa"/>
            <w:tcBorders>
              <w:top w:val="nil"/>
              <w:left w:val="nil"/>
              <w:bottom w:val="nil"/>
              <w:right w:val="nil"/>
            </w:tcBorders>
            <w:tcMar>
              <w:top w:w="128" w:type="dxa"/>
              <w:left w:w="43" w:type="dxa"/>
              <w:bottom w:w="43" w:type="dxa"/>
              <w:right w:w="43" w:type="dxa"/>
            </w:tcMar>
          </w:tcPr>
          <w:p w14:paraId="7D51C0F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4655BF6"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7F85D317" w14:textId="77777777" w:rsidR="00575AC3" w:rsidRPr="006D40F0" w:rsidRDefault="00575AC3" w:rsidP="006D40F0">
            <w:r w:rsidRPr="006D40F0">
              <w:t>Redusert lån og rentegjeld, nedsettes med</w:t>
            </w:r>
          </w:p>
        </w:tc>
        <w:tc>
          <w:tcPr>
            <w:tcW w:w="1400" w:type="dxa"/>
            <w:tcBorders>
              <w:top w:val="nil"/>
              <w:left w:val="nil"/>
              <w:bottom w:val="nil"/>
              <w:right w:val="nil"/>
            </w:tcBorders>
            <w:tcMar>
              <w:top w:w="128" w:type="dxa"/>
              <w:left w:w="43" w:type="dxa"/>
              <w:bottom w:w="43" w:type="dxa"/>
              <w:right w:w="43" w:type="dxa"/>
            </w:tcMar>
            <w:vAlign w:val="bottom"/>
          </w:tcPr>
          <w:p w14:paraId="4C001AAE" w14:textId="77777777" w:rsidR="00575AC3" w:rsidRPr="006D40F0" w:rsidRDefault="00575AC3" w:rsidP="006D40F0">
            <w:r w:rsidRPr="006D40F0">
              <w:t>591 117 000</w:t>
            </w:r>
          </w:p>
        </w:tc>
      </w:tr>
      <w:tr w:rsidR="00DD49A7" w:rsidRPr="006D40F0" w14:paraId="2EE87F58" w14:textId="77777777">
        <w:trPr>
          <w:trHeight w:val="380"/>
        </w:trPr>
        <w:tc>
          <w:tcPr>
            <w:tcW w:w="680" w:type="dxa"/>
            <w:tcBorders>
              <w:top w:val="nil"/>
              <w:left w:val="nil"/>
              <w:bottom w:val="nil"/>
              <w:right w:val="nil"/>
            </w:tcBorders>
            <w:tcMar>
              <w:top w:w="128" w:type="dxa"/>
              <w:left w:w="43" w:type="dxa"/>
              <w:bottom w:w="43" w:type="dxa"/>
              <w:right w:w="43" w:type="dxa"/>
            </w:tcMar>
          </w:tcPr>
          <w:p w14:paraId="679E254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07FA3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216F463" w14:textId="77777777" w:rsidR="00575AC3" w:rsidRPr="006D40F0" w:rsidRDefault="00575AC3" w:rsidP="006D40F0">
            <w:r w:rsidRPr="006D40F0">
              <w:t>fra kr 13 970 169 000 til kr 13 379 052 000</w:t>
            </w:r>
          </w:p>
        </w:tc>
        <w:tc>
          <w:tcPr>
            <w:tcW w:w="1400" w:type="dxa"/>
            <w:tcBorders>
              <w:top w:val="nil"/>
              <w:left w:val="nil"/>
              <w:bottom w:val="nil"/>
              <w:right w:val="nil"/>
            </w:tcBorders>
            <w:tcMar>
              <w:top w:w="128" w:type="dxa"/>
              <w:left w:w="43" w:type="dxa"/>
              <w:bottom w:w="43" w:type="dxa"/>
              <w:right w:w="43" w:type="dxa"/>
            </w:tcMar>
            <w:vAlign w:val="bottom"/>
          </w:tcPr>
          <w:p w14:paraId="45AA3CBA" w14:textId="77777777" w:rsidR="00575AC3" w:rsidRPr="006D40F0" w:rsidRDefault="00575AC3" w:rsidP="006D40F0"/>
        </w:tc>
      </w:tr>
      <w:tr w:rsidR="00DD49A7" w:rsidRPr="006D40F0" w14:paraId="6D7DAE25" w14:textId="77777777">
        <w:trPr>
          <w:trHeight w:val="380"/>
        </w:trPr>
        <w:tc>
          <w:tcPr>
            <w:tcW w:w="680" w:type="dxa"/>
            <w:tcBorders>
              <w:top w:val="nil"/>
              <w:left w:val="nil"/>
              <w:bottom w:val="nil"/>
              <w:right w:val="nil"/>
            </w:tcBorders>
            <w:tcMar>
              <w:top w:w="128" w:type="dxa"/>
              <w:left w:w="43" w:type="dxa"/>
              <w:bottom w:w="43" w:type="dxa"/>
              <w:right w:w="43" w:type="dxa"/>
            </w:tcMar>
          </w:tcPr>
          <w:p w14:paraId="286A204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A65C879" w14:textId="77777777" w:rsidR="00575AC3" w:rsidRPr="006D40F0" w:rsidRDefault="00575AC3" w:rsidP="006D40F0">
            <w:r w:rsidRPr="006D40F0">
              <w:t>93</w:t>
            </w:r>
          </w:p>
        </w:tc>
        <w:tc>
          <w:tcPr>
            <w:tcW w:w="6800" w:type="dxa"/>
            <w:tcBorders>
              <w:top w:val="nil"/>
              <w:left w:val="nil"/>
              <w:bottom w:val="nil"/>
              <w:right w:val="nil"/>
            </w:tcBorders>
            <w:tcMar>
              <w:top w:w="128" w:type="dxa"/>
              <w:left w:w="43" w:type="dxa"/>
              <w:bottom w:w="43" w:type="dxa"/>
              <w:right w:w="43" w:type="dxa"/>
            </w:tcMar>
          </w:tcPr>
          <w:p w14:paraId="7DC87AA8" w14:textId="77777777" w:rsidR="00575AC3" w:rsidRPr="006D40F0" w:rsidRDefault="00575AC3" w:rsidP="006D40F0">
            <w:r w:rsidRPr="006D40F0">
              <w:t>Omgjøring av utdanningslån til stipend, forhøyes med</w:t>
            </w:r>
          </w:p>
        </w:tc>
        <w:tc>
          <w:tcPr>
            <w:tcW w:w="1400" w:type="dxa"/>
            <w:tcBorders>
              <w:top w:val="nil"/>
              <w:left w:val="nil"/>
              <w:bottom w:val="nil"/>
              <w:right w:val="nil"/>
            </w:tcBorders>
            <w:tcMar>
              <w:top w:w="128" w:type="dxa"/>
              <w:left w:w="43" w:type="dxa"/>
              <w:bottom w:w="43" w:type="dxa"/>
              <w:right w:w="43" w:type="dxa"/>
            </w:tcMar>
            <w:vAlign w:val="bottom"/>
          </w:tcPr>
          <w:p w14:paraId="0F1681C9" w14:textId="77777777" w:rsidR="00575AC3" w:rsidRPr="006D40F0" w:rsidRDefault="00575AC3" w:rsidP="006D40F0">
            <w:r w:rsidRPr="006D40F0">
              <w:t>78 075 000</w:t>
            </w:r>
          </w:p>
        </w:tc>
      </w:tr>
      <w:tr w:rsidR="00DD49A7" w:rsidRPr="006D40F0" w14:paraId="77B9FD43" w14:textId="77777777">
        <w:trPr>
          <w:trHeight w:val="380"/>
        </w:trPr>
        <w:tc>
          <w:tcPr>
            <w:tcW w:w="680" w:type="dxa"/>
            <w:tcBorders>
              <w:top w:val="nil"/>
              <w:left w:val="nil"/>
              <w:bottom w:val="nil"/>
              <w:right w:val="nil"/>
            </w:tcBorders>
            <w:tcMar>
              <w:top w:w="128" w:type="dxa"/>
              <w:left w:w="43" w:type="dxa"/>
              <w:bottom w:w="43" w:type="dxa"/>
              <w:right w:w="43" w:type="dxa"/>
            </w:tcMar>
          </w:tcPr>
          <w:p w14:paraId="098EAF2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E1A88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90C3D6F" w14:textId="77777777" w:rsidR="00575AC3" w:rsidRPr="006D40F0" w:rsidRDefault="00575AC3" w:rsidP="006D40F0">
            <w:r w:rsidRPr="006D40F0">
              <w:t>fra kr 8 287 563 000 til kr 8 365 638 000</w:t>
            </w:r>
          </w:p>
        </w:tc>
        <w:tc>
          <w:tcPr>
            <w:tcW w:w="1400" w:type="dxa"/>
            <w:tcBorders>
              <w:top w:val="nil"/>
              <w:left w:val="nil"/>
              <w:bottom w:val="nil"/>
              <w:right w:val="nil"/>
            </w:tcBorders>
            <w:tcMar>
              <w:top w:w="128" w:type="dxa"/>
              <w:left w:w="43" w:type="dxa"/>
              <w:bottom w:w="43" w:type="dxa"/>
              <w:right w:w="43" w:type="dxa"/>
            </w:tcMar>
            <w:vAlign w:val="bottom"/>
          </w:tcPr>
          <w:p w14:paraId="359D89BE" w14:textId="77777777" w:rsidR="00575AC3" w:rsidRPr="006D40F0" w:rsidRDefault="00575AC3" w:rsidP="006D40F0"/>
        </w:tc>
      </w:tr>
      <w:tr w:rsidR="00DD49A7" w:rsidRPr="006D40F0" w14:paraId="50E3A0C2" w14:textId="77777777">
        <w:trPr>
          <w:trHeight w:val="380"/>
        </w:trPr>
        <w:tc>
          <w:tcPr>
            <w:tcW w:w="680" w:type="dxa"/>
            <w:tcBorders>
              <w:top w:val="nil"/>
              <w:left w:val="nil"/>
              <w:bottom w:val="nil"/>
              <w:right w:val="nil"/>
            </w:tcBorders>
            <w:tcMar>
              <w:top w:w="128" w:type="dxa"/>
              <w:left w:w="43" w:type="dxa"/>
              <w:bottom w:w="43" w:type="dxa"/>
              <w:right w:w="43" w:type="dxa"/>
            </w:tcMar>
          </w:tcPr>
          <w:p w14:paraId="3535D8DE" w14:textId="77777777" w:rsidR="00575AC3" w:rsidRPr="006D40F0" w:rsidRDefault="00575AC3" w:rsidP="006D40F0">
            <w:r w:rsidRPr="006D40F0">
              <w:t>5312</w:t>
            </w:r>
          </w:p>
        </w:tc>
        <w:tc>
          <w:tcPr>
            <w:tcW w:w="680" w:type="dxa"/>
            <w:tcBorders>
              <w:top w:val="nil"/>
              <w:left w:val="nil"/>
              <w:bottom w:val="nil"/>
              <w:right w:val="nil"/>
            </w:tcBorders>
            <w:tcMar>
              <w:top w:w="128" w:type="dxa"/>
              <w:left w:w="43" w:type="dxa"/>
              <w:bottom w:w="43" w:type="dxa"/>
              <w:right w:w="43" w:type="dxa"/>
            </w:tcMar>
          </w:tcPr>
          <w:p w14:paraId="6DCD9B4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3CB02CF" w14:textId="77777777" w:rsidR="00575AC3" w:rsidRPr="006D40F0" w:rsidRDefault="00575AC3" w:rsidP="006D40F0">
            <w:r w:rsidRPr="006D40F0">
              <w:t>Husbanken:</w:t>
            </w:r>
          </w:p>
        </w:tc>
        <w:tc>
          <w:tcPr>
            <w:tcW w:w="1400" w:type="dxa"/>
            <w:tcBorders>
              <w:top w:val="nil"/>
              <w:left w:val="nil"/>
              <w:bottom w:val="nil"/>
              <w:right w:val="nil"/>
            </w:tcBorders>
            <w:tcMar>
              <w:top w:w="128" w:type="dxa"/>
              <w:left w:w="43" w:type="dxa"/>
              <w:bottom w:w="43" w:type="dxa"/>
              <w:right w:w="43" w:type="dxa"/>
            </w:tcMar>
            <w:vAlign w:val="bottom"/>
          </w:tcPr>
          <w:p w14:paraId="1E37772C" w14:textId="77777777" w:rsidR="00575AC3" w:rsidRPr="006D40F0" w:rsidRDefault="00575AC3" w:rsidP="006D40F0"/>
        </w:tc>
      </w:tr>
      <w:tr w:rsidR="00DD49A7" w:rsidRPr="006D40F0" w14:paraId="7527D468" w14:textId="77777777">
        <w:trPr>
          <w:trHeight w:val="380"/>
        </w:trPr>
        <w:tc>
          <w:tcPr>
            <w:tcW w:w="680" w:type="dxa"/>
            <w:tcBorders>
              <w:top w:val="nil"/>
              <w:left w:val="nil"/>
              <w:bottom w:val="nil"/>
              <w:right w:val="nil"/>
            </w:tcBorders>
            <w:tcMar>
              <w:top w:w="128" w:type="dxa"/>
              <w:left w:w="43" w:type="dxa"/>
              <w:bottom w:w="43" w:type="dxa"/>
              <w:right w:w="43" w:type="dxa"/>
            </w:tcMar>
          </w:tcPr>
          <w:p w14:paraId="479B212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5536D26"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0C8F0314" w14:textId="77777777" w:rsidR="00575AC3" w:rsidRPr="006D40F0" w:rsidRDefault="00575AC3" w:rsidP="006D40F0">
            <w:r w:rsidRPr="006D40F0">
              <w:t>Avdrag, nedsettes med</w:t>
            </w:r>
          </w:p>
        </w:tc>
        <w:tc>
          <w:tcPr>
            <w:tcW w:w="1400" w:type="dxa"/>
            <w:tcBorders>
              <w:top w:val="nil"/>
              <w:left w:val="nil"/>
              <w:bottom w:val="nil"/>
              <w:right w:val="nil"/>
            </w:tcBorders>
            <w:tcMar>
              <w:top w:w="128" w:type="dxa"/>
              <w:left w:w="43" w:type="dxa"/>
              <w:bottom w:w="43" w:type="dxa"/>
              <w:right w:w="43" w:type="dxa"/>
            </w:tcMar>
            <w:vAlign w:val="bottom"/>
          </w:tcPr>
          <w:p w14:paraId="6575D98D" w14:textId="77777777" w:rsidR="00575AC3" w:rsidRPr="006D40F0" w:rsidRDefault="00575AC3" w:rsidP="006D40F0">
            <w:r w:rsidRPr="006D40F0">
              <w:t>492 000 000</w:t>
            </w:r>
          </w:p>
        </w:tc>
      </w:tr>
      <w:tr w:rsidR="00DD49A7" w:rsidRPr="006D40F0" w14:paraId="720E7C63" w14:textId="77777777">
        <w:trPr>
          <w:trHeight w:val="380"/>
        </w:trPr>
        <w:tc>
          <w:tcPr>
            <w:tcW w:w="680" w:type="dxa"/>
            <w:tcBorders>
              <w:top w:val="nil"/>
              <w:left w:val="nil"/>
              <w:bottom w:val="nil"/>
              <w:right w:val="nil"/>
            </w:tcBorders>
            <w:tcMar>
              <w:top w:w="128" w:type="dxa"/>
              <w:left w:w="43" w:type="dxa"/>
              <w:bottom w:w="43" w:type="dxa"/>
              <w:right w:w="43" w:type="dxa"/>
            </w:tcMar>
          </w:tcPr>
          <w:p w14:paraId="140C7FF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E96B7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6FAF7AD" w14:textId="77777777" w:rsidR="00575AC3" w:rsidRPr="006D40F0" w:rsidRDefault="00575AC3" w:rsidP="006D40F0">
            <w:r w:rsidRPr="006D40F0">
              <w:t>fra kr 14 648 000 000 til kr 14 156 000 000</w:t>
            </w:r>
          </w:p>
        </w:tc>
        <w:tc>
          <w:tcPr>
            <w:tcW w:w="1400" w:type="dxa"/>
            <w:tcBorders>
              <w:top w:val="nil"/>
              <w:left w:val="nil"/>
              <w:bottom w:val="nil"/>
              <w:right w:val="nil"/>
            </w:tcBorders>
            <w:tcMar>
              <w:top w:w="128" w:type="dxa"/>
              <w:left w:w="43" w:type="dxa"/>
              <w:bottom w:w="43" w:type="dxa"/>
              <w:right w:w="43" w:type="dxa"/>
            </w:tcMar>
            <w:vAlign w:val="bottom"/>
          </w:tcPr>
          <w:p w14:paraId="54FC6729" w14:textId="77777777" w:rsidR="00575AC3" w:rsidRPr="006D40F0" w:rsidRDefault="00575AC3" w:rsidP="006D40F0"/>
        </w:tc>
      </w:tr>
      <w:tr w:rsidR="00DD49A7" w:rsidRPr="006D40F0" w14:paraId="12E54C09" w14:textId="77777777">
        <w:trPr>
          <w:trHeight w:val="380"/>
        </w:trPr>
        <w:tc>
          <w:tcPr>
            <w:tcW w:w="680" w:type="dxa"/>
            <w:tcBorders>
              <w:top w:val="nil"/>
              <w:left w:val="nil"/>
              <w:bottom w:val="nil"/>
              <w:right w:val="nil"/>
            </w:tcBorders>
            <w:tcMar>
              <w:top w:w="128" w:type="dxa"/>
              <w:left w:w="43" w:type="dxa"/>
              <w:bottom w:w="43" w:type="dxa"/>
              <w:right w:w="43" w:type="dxa"/>
            </w:tcMar>
          </w:tcPr>
          <w:p w14:paraId="30C6E2C5" w14:textId="77777777" w:rsidR="00575AC3" w:rsidRPr="006D40F0" w:rsidRDefault="00575AC3" w:rsidP="006D40F0">
            <w:r w:rsidRPr="006D40F0">
              <w:t>5325</w:t>
            </w:r>
          </w:p>
        </w:tc>
        <w:tc>
          <w:tcPr>
            <w:tcW w:w="680" w:type="dxa"/>
            <w:tcBorders>
              <w:top w:val="nil"/>
              <w:left w:val="nil"/>
              <w:bottom w:val="nil"/>
              <w:right w:val="nil"/>
            </w:tcBorders>
            <w:tcMar>
              <w:top w:w="128" w:type="dxa"/>
              <w:left w:w="43" w:type="dxa"/>
              <w:bottom w:w="43" w:type="dxa"/>
              <w:right w:w="43" w:type="dxa"/>
            </w:tcMar>
          </w:tcPr>
          <w:p w14:paraId="58F65C5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E410EA1" w14:textId="77777777" w:rsidR="00575AC3" w:rsidRPr="006D40F0" w:rsidRDefault="00575AC3" w:rsidP="006D40F0">
            <w:r w:rsidRPr="006D40F0">
              <w:t>Innovasjon Norge:</w:t>
            </w:r>
          </w:p>
        </w:tc>
        <w:tc>
          <w:tcPr>
            <w:tcW w:w="1400" w:type="dxa"/>
            <w:tcBorders>
              <w:top w:val="nil"/>
              <w:left w:val="nil"/>
              <w:bottom w:val="nil"/>
              <w:right w:val="nil"/>
            </w:tcBorders>
            <w:tcMar>
              <w:top w:w="128" w:type="dxa"/>
              <w:left w:w="43" w:type="dxa"/>
              <w:bottom w:w="43" w:type="dxa"/>
              <w:right w:w="43" w:type="dxa"/>
            </w:tcMar>
            <w:vAlign w:val="bottom"/>
          </w:tcPr>
          <w:p w14:paraId="20DB29F4" w14:textId="77777777" w:rsidR="00575AC3" w:rsidRPr="006D40F0" w:rsidRDefault="00575AC3" w:rsidP="006D40F0"/>
        </w:tc>
      </w:tr>
      <w:tr w:rsidR="00DD49A7" w:rsidRPr="006D40F0" w14:paraId="01F6A466" w14:textId="77777777">
        <w:trPr>
          <w:trHeight w:val="380"/>
        </w:trPr>
        <w:tc>
          <w:tcPr>
            <w:tcW w:w="680" w:type="dxa"/>
            <w:tcBorders>
              <w:top w:val="nil"/>
              <w:left w:val="nil"/>
              <w:bottom w:val="nil"/>
              <w:right w:val="nil"/>
            </w:tcBorders>
            <w:tcMar>
              <w:top w:w="128" w:type="dxa"/>
              <w:left w:w="43" w:type="dxa"/>
              <w:bottom w:w="43" w:type="dxa"/>
              <w:right w:w="43" w:type="dxa"/>
            </w:tcMar>
          </w:tcPr>
          <w:p w14:paraId="01A2B94F"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5AABBC7A" w14:textId="77777777" w:rsidR="00575AC3" w:rsidRPr="006D40F0" w:rsidRDefault="00575AC3" w:rsidP="006D40F0">
            <w:r w:rsidRPr="006D40F0">
              <w:t>53</w:t>
            </w:r>
          </w:p>
        </w:tc>
        <w:tc>
          <w:tcPr>
            <w:tcW w:w="6800" w:type="dxa"/>
            <w:tcBorders>
              <w:top w:val="nil"/>
              <w:left w:val="nil"/>
              <w:bottom w:val="nil"/>
              <w:right w:val="nil"/>
            </w:tcBorders>
            <w:tcMar>
              <w:top w:w="128" w:type="dxa"/>
              <w:left w:w="43" w:type="dxa"/>
              <w:bottom w:w="43" w:type="dxa"/>
              <w:right w:w="43" w:type="dxa"/>
            </w:tcMar>
          </w:tcPr>
          <w:p w14:paraId="096A77AE" w14:textId="77777777" w:rsidR="00575AC3" w:rsidRPr="006D40F0" w:rsidRDefault="00575AC3" w:rsidP="006D40F0">
            <w:r w:rsidRPr="006D40F0">
              <w:t>Tilbakeføring av ubrukte tiltakspakkemidler, bevilges med</w:t>
            </w:r>
          </w:p>
        </w:tc>
        <w:tc>
          <w:tcPr>
            <w:tcW w:w="1400" w:type="dxa"/>
            <w:tcBorders>
              <w:top w:val="nil"/>
              <w:left w:val="nil"/>
              <w:bottom w:val="nil"/>
              <w:right w:val="nil"/>
            </w:tcBorders>
            <w:tcMar>
              <w:top w:w="128" w:type="dxa"/>
              <w:left w:w="43" w:type="dxa"/>
              <w:bottom w:w="43" w:type="dxa"/>
              <w:right w:w="43" w:type="dxa"/>
            </w:tcMar>
            <w:vAlign w:val="bottom"/>
          </w:tcPr>
          <w:p w14:paraId="547E079B" w14:textId="77777777" w:rsidR="00575AC3" w:rsidRPr="006D40F0" w:rsidRDefault="00575AC3" w:rsidP="006D40F0">
            <w:r w:rsidRPr="006D40F0">
              <w:t>200 839 000</w:t>
            </w:r>
          </w:p>
        </w:tc>
      </w:tr>
      <w:tr w:rsidR="00DD49A7" w:rsidRPr="006D40F0" w14:paraId="27C87B12" w14:textId="77777777">
        <w:trPr>
          <w:trHeight w:val="380"/>
        </w:trPr>
        <w:tc>
          <w:tcPr>
            <w:tcW w:w="680" w:type="dxa"/>
            <w:tcBorders>
              <w:top w:val="nil"/>
              <w:left w:val="nil"/>
              <w:bottom w:val="nil"/>
              <w:right w:val="nil"/>
            </w:tcBorders>
            <w:tcMar>
              <w:top w:w="128" w:type="dxa"/>
              <w:left w:w="43" w:type="dxa"/>
              <w:bottom w:w="43" w:type="dxa"/>
              <w:right w:w="43" w:type="dxa"/>
            </w:tcMar>
          </w:tcPr>
          <w:p w14:paraId="6E0D7D6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691841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67840C89" w14:textId="77777777" w:rsidR="00575AC3" w:rsidRPr="006D40F0" w:rsidRDefault="00575AC3" w:rsidP="006D40F0">
            <w:r w:rsidRPr="006D40F0">
              <w:t>Låneprovisjoner, nedsettes med</w:t>
            </w:r>
          </w:p>
        </w:tc>
        <w:tc>
          <w:tcPr>
            <w:tcW w:w="1400" w:type="dxa"/>
            <w:tcBorders>
              <w:top w:val="nil"/>
              <w:left w:val="nil"/>
              <w:bottom w:val="nil"/>
              <w:right w:val="nil"/>
            </w:tcBorders>
            <w:tcMar>
              <w:top w:w="128" w:type="dxa"/>
              <w:left w:w="43" w:type="dxa"/>
              <w:bottom w:w="43" w:type="dxa"/>
              <w:right w:w="43" w:type="dxa"/>
            </w:tcMar>
            <w:vAlign w:val="bottom"/>
          </w:tcPr>
          <w:p w14:paraId="4FE1E2D9" w14:textId="77777777" w:rsidR="00575AC3" w:rsidRPr="006D40F0" w:rsidRDefault="00575AC3" w:rsidP="006D40F0">
            <w:r w:rsidRPr="006D40F0">
              <w:t>3 700 000</w:t>
            </w:r>
          </w:p>
        </w:tc>
      </w:tr>
      <w:tr w:rsidR="00DD49A7" w:rsidRPr="006D40F0" w14:paraId="2842593F" w14:textId="77777777">
        <w:trPr>
          <w:trHeight w:val="380"/>
        </w:trPr>
        <w:tc>
          <w:tcPr>
            <w:tcW w:w="680" w:type="dxa"/>
            <w:tcBorders>
              <w:top w:val="nil"/>
              <w:left w:val="nil"/>
              <w:bottom w:val="nil"/>
              <w:right w:val="nil"/>
            </w:tcBorders>
            <w:tcMar>
              <w:top w:w="128" w:type="dxa"/>
              <w:left w:w="43" w:type="dxa"/>
              <w:bottom w:w="43" w:type="dxa"/>
              <w:right w:w="43" w:type="dxa"/>
            </w:tcMar>
          </w:tcPr>
          <w:p w14:paraId="51262C0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07384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AABFD73" w14:textId="77777777" w:rsidR="00575AC3" w:rsidRPr="006D40F0" w:rsidRDefault="00575AC3" w:rsidP="006D40F0">
            <w:r w:rsidRPr="006D40F0">
              <w:t>fra kr 72 000 000 til kr 68 300 000</w:t>
            </w:r>
          </w:p>
        </w:tc>
        <w:tc>
          <w:tcPr>
            <w:tcW w:w="1400" w:type="dxa"/>
            <w:tcBorders>
              <w:top w:val="nil"/>
              <w:left w:val="nil"/>
              <w:bottom w:val="nil"/>
              <w:right w:val="nil"/>
            </w:tcBorders>
            <w:tcMar>
              <w:top w:w="128" w:type="dxa"/>
              <w:left w:w="43" w:type="dxa"/>
              <w:bottom w:w="43" w:type="dxa"/>
              <w:right w:w="43" w:type="dxa"/>
            </w:tcMar>
            <w:vAlign w:val="bottom"/>
          </w:tcPr>
          <w:p w14:paraId="2326F2EE" w14:textId="77777777" w:rsidR="00575AC3" w:rsidRPr="006D40F0" w:rsidRDefault="00575AC3" w:rsidP="006D40F0"/>
        </w:tc>
      </w:tr>
      <w:tr w:rsidR="00DD49A7" w:rsidRPr="006D40F0" w14:paraId="78F32DBA" w14:textId="77777777">
        <w:trPr>
          <w:trHeight w:val="380"/>
        </w:trPr>
        <w:tc>
          <w:tcPr>
            <w:tcW w:w="680" w:type="dxa"/>
            <w:tcBorders>
              <w:top w:val="nil"/>
              <w:left w:val="nil"/>
              <w:bottom w:val="nil"/>
              <w:right w:val="nil"/>
            </w:tcBorders>
            <w:tcMar>
              <w:top w:w="128" w:type="dxa"/>
              <w:left w:w="43" w:type="dxa"/>
              <w:bottom w:w="43" w:type="dxa"/>
              <w:right w:w="43" w:type="dxa"/>
            </w:tcMar>
          </w:tcPr>
          <w:p w14:paraId="146695FD" w14:textId="77777777" w:rsidR="00575AC3" w:rsidRPr="006D40F0" w:rsidRDefault="00575AC3" w:rsidP="006D40F0">
            <w:r w:rsidRPr="006D40F0">
              <w:t>5351</w:t>
            </w:r>
          </w:p>
        </w:tc>
        <w:tc>
          <w:tcPr>
            <w:tcW w:w="680" w:type="dxa"/>
            <w:tcBorders>
              <w:top w:val="nil"/>
              <w:left w:val="nil"/>
              <w:bottom w:val="nil"/>
              <w:right w:val="nil"/>
            </w:tcBorders>
            <w:tcMar>
              <w:top w:w="128" w:type="dxa"/>
              <w:left w:w="43" w:type="dxa"/>
              <w:bottom w:w="43" w:type="dxa"/>
              <w:right w:w="43" w:type="dxa"/>
            </w:tcMar>
          </w:tcPr>
          <w:p w14:paraId="3E94C5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588220" w14:textId="77777777" w:rsidR="00575AC3" w:rsidRPr="006D40F0" w:rsidRDefault="00575AC3" w:rsidP="006D40F0">
            <w:r w:rsidRPr="006D40F0">
              <w:t>Overføring fra Norges Bank:</w:t>
            </w:r>
          </w:p>
        </w:tc>
        <w:tc>
          <w:tcPr>
            <w:tcW w:w="1400" w:type="dxa"/>
            <w:tcBorders>
              <w:top w:val="nil"/>
              <w:left w:val="nil"/>
              <w:bottom w:val="nil"/>
              <w:right w:val="nil"/>
            </w:tcBorders>
            <w:tcMar>
              <w:top w:w="128" w:type="dxa"/>
              <w:left w:w="43" w:type="dxa"/>
              <w:bottom w:w="43" w:type="dxa"/>
              <w:right w:w="43" w:type="dxa"/>
            </w:tcMar>
            <w:vAlign w:val="bottom"/>
          </w:tcPr>
          <w:p w14:paraId="1A84EFE0" w14:textId="77777777" w:rsidR="00575AC3" w:rsidRPr="006D40F0" w:rsidRDefault="00575AC3" w:rsidP="006D40F0"/>
        </w:tc>
      </w:tr>
      <w:tr w:rsidR="00DD49A7" w:rsidRPr="006D40F0" w14:paraId="075612EA" w14:textId="77777777">
        <w:trPr>
          <w:trHeight w:val="380"/>
        </w:trPr>
        <w:tc>
          <w:tcPr>
            <w:tcW w:w="680" w:type="dxa"/>
            <w:tcBorders>
              <w:top w:val="nil"/>
              <w:left w:val="nil"/>
              <w:bottom w:val="nil"/>
              <w:right w:val="nil"/>
            </w:tcBorders>
            <w:tcMar>
              <w:top w:w="128" w:type="dxa"/>
              <w:left w:w="43" w:type="dxa"/>
              <w:bottom w:w="43" w:type="dxa"/>
              <w:right w:w="43" w:type="dxa"/>
            </w:tcMar>
          </w:tcPr>
          <w:p w14:paraId="242E321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B450144"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414E3DCF" w14:textId="77777777" w:rsidR="00575AC3" w:rsidRPr="006D40F0" w:rsidRDefault="00575AC3" w:rsidP="006D40F0">
            <w:r w:rsidRPr="006D40F0">
              <w:t>Overføring, nedsettes med</w:t>
            </w:r>
          </w:p>
        </w:tc>
        <w:tc>
          <w:tcPr>
            <w:tcW w:w="1400" w:type="dxa"/>
            <w:tcBorders>
              <w:top w:val="nil"/>
              <w:left w:val="nil"/>
              <w:bottom w:val="nil"/>
              <w:right w:val="nil"/>
            </w:tcBorders>
            <w:tcMar>
              <w:top w:w="128" w:type="dxa"/>
              <w:left w:w="43" w:type="dxa"/>
              <w:bottom w:w="43" w:type="dxa"/>
              <w:right w:w="43" w:type="dxa"/>
            </w:tcMar>
            <w:vAlign w:val="bottom"/>
          </w:tcPr>
          <w:p w14:paraId="71A5F933" w14:textId="77777777" w:rsidR="00575AC3" w:rsidRPr="006D40F0" w:rsidRDefault="00575AC3" w:rsidP="006D40F0">
            <w:r w:rsidRPr="006D40F0">
              <w:t>6 995 742 000</w:t>
            </w:r>
          </w:p>
        </w:tc>
      </w:tr>
      <w:tr w:rsidR="00DD49A7" w:rsidRPr="006D40F0" w14:paraId="1EB752A4" w14:textId="77777777">
        <w:trPr>
          <w:trHeight w:val="380"/>
        </w:trPr>
        <w:tc>
          <w:tcPr>
            <w:tcW w:w="680" w:type="dxa"/>
            <w:tcBorders>
              <w:top w:val="nil"/>
              <w:left w:val="nil"/>
              <w:bottom w:val="nil"/>
              <w:right w:val="nil"/>
            </w:tcBorders>
            <w:tcMar>
              <w:top w:w="128" w:type="dxa"/>
              <w:left w:w="43" w:type="dxa"/>
              <w:bottom w:w="43" w:type="dxa"/>
              <w:right w:w="43" w:type="dxa"/>
            </w:tcMar>
          </w:tcPr>
          <w:p w14:paraId="0C20586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EB2BA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BF651CE" w14:textId="77777777" w:rsidR="00575AC3" w:rsidRPr="006D40F0" w:rsidRDefault="00575AC3" w:rsidP="006D40F0">
            <w:r w:rsidRPr="006D40F0">
              <w:t>fra kr 24 600 000 000 til kr 17 604 258 000</w:t>
            </w:r>
          </w:p>
        </w:tc>
        <w:tc>
          <w:tcPr>
            <w:tcW w:w="1400" w:type="dxa"/>
            <w:tcBorders>
              <w:top w:val="nil"/>
              <w:left w:val="nil"/>
              <w:bottom w:val="nil"/>
              <w:right w:val="nil"/>
            </w:tcBorders>
            <w:tcMar>
              <w:top w:w="128" w:type="dxa"/>
              <w:left w:w="43" w:type="dxa"/>
              <w:bottom w:w="43" w:type="dxa"/>
              <w:right w:w="43" w:type="dxa"/>
            </w:tcMar>
            <w:vAlign w:val="bottom"/>
          </w:tcPr>
          <w:p w14:paraId="03ACFECB" w14:textId="77777777" w:rsidR="00575AC3" w:rsidRPr="006D40F0" w:rsidRDefault="00575AC3" w:rsidP="006D40F0"/>
        </w:tc>
      </w:tr>
      <w:tr w:rsidR="00DD49A7" w:rsidRPr="006D40F0" w14:paraId="0C6E1FDF" w14:textId="77777777">
        <w:trPr>
          <w:trHeight w:val="380"/>
        </w:trPr>
        <w:tc>
          <w:tcPr>
            <w:tcW w:w="680" w:type="dxa"/>
            <w:tcBorders>
              <w:top w:val="nil"/>
              <w:left w:val="nil"/>
              <w:bottom w:val="nil"/>
              <w:right w:val="nil"/>
            </w:tcBorders>
            <w:tcMar>
              <w:top w:w="128" w:type="dxa"/>
              <w:left w:w="43" w:type="dxa"/>
              <w:bottom w:w="43" w:type="dxa"/>
              <w:right w:w="43" w:type="dxa"/>
            </w:tcMar>
          </w:tcPr>
          <w:p w14:paraId="79EA2D73" w14:textId="77777777" w:rsidR="00575AC3" w:rsidRPr="006D40F0" w:rsidRDefault="00575AC3" w:rsidP="006D40F0">
            <w:r w:rsidRPr="006D40F0">
              <w:t>5440</w:t>
            </w:r>
          </w:p>
        </w:tc>
        <w:tc>
          <w:tcPr>
            <w:tcW w:w="680" w:type="dxa"/>
            <w:tcBorders>
              <w:top w:val="nil"/>
              <w:left w:val="nil"/>
              <w:bottom w:val="nil"/>
              <w:right w:val="nil"/>
            </w:tcBorders>
            <w:tcMar>
              <w:top w:w="128" w:type="dxa"/>
              <w:left w:w="43" w:type="dxa"/>
              <w:bottom w:w="43" w:type="dxa"/>
              <w:right w:w="43" w:type="dxa"/>
            </w:tcMar>
          </w:tcPr>
          <w:p w14:paraId="27DE86B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EE40B81" w14:textId="77777777" w:rsidR="00575AC3" w:rsidRPr="006D40F0" w:rsidRDefault="00575AC3" w:rsidP="006D40F0">
            <w:r w:rsidRPr="006D40F0">
              <w:t>Statens direkte økonomiske engasjement i petroleumsvirksomheten:</w:t>
            </w:r>
          </w:p>
        </w:tc>
        <w:tc>
          <w:tcPr>
            <w:tcW w:w="1400" w:type="dxa"/>
            <w:tcBorders>
              <w:top w:val="nil"/>
              <w:left w:val="nil"/>
              <w:bottom w:val="nil"/>
              <w:right w:val="nil"/>
            </w:tcBorders>
            <w:tcMar>
              <w:top w:w="128" w:type="dxa"/>
              <w:left w:w="43" w:type="dxa"/>
              <w:bottom w:w="43" w:type="dxa"/>
              <w:right w:w="43" w:type="dxa"/>
            </w:tcMar>
            <w:vAlign w:val="bottom"/>
          </w:tcPr>
          <w:p w14:paraId="2D9A1D98" w14:textId="77777777" w:rsidR="00575AC3" w:rsidRPr="006D40F0" w:rsidRDefault="00575AC3" w:rsidP="006D40F0"/>
        </w:tc>
      </w:tr>
      <w:tr w:rsidR="00DD49A7" w:rsidRPr="006D40F0" w14:paraId="2360C782" w14:textId="77777777">
        <w:trPr>
          <w:trHeight w:val="380"/>
        </w:trPr>
        <w:tc>
          <w:tcPr>
            <w:tcW w:w="680" w:type="dxa"/>
            <w:tcBorders>
              <w:top w:val="nil"/>
              <w:left w:val="nil"/>
              <w:bottom w:val="nil"/>
              <w:right w:val="nil"/>
            </w:tcBorders>
            <w:tcMar>
              <w:top w:w="128" w:type="dxa"/>
              <w:left w:w="43" w:type="dxa"/>
              <w:bottom w:w="43" w:type="dxa"/>
              <w:right w:w="43" w:type="dxa"/>
            </w:tcMar>
          </w:tcPr>
          <w:p w14:paraId="77C964B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296486" w14:textId="77777777" w:rsidR="00575AC3" w:rsidRPr="006D40F0" w:rsidRDefault="00575AC3" w:rsidP="006D40F0">
            <w:r w:rsidRPr="006D40F0">
              <w:t>24</w:t>
            </w:r>
          </w:p>
        </w:tc>
        <w:tc>
          <w:tcPr>
            <w:tcW w:w="6800" w:type="dxa"/>
            <w:tcBorders>
              <w:top w:val="nil"/>
              <w:left w:val="nil"/>
              <w:bottom w:val="nil"/>
              <w:right w:val="nil"/>
            </w:tcBorders>
            <w:tcMar>
              <w:top w:w="128" w:type="dxa"/>
              <w:left w:w="43" w:type="dxa"/>
              <w:bottom w:w="43" w:type="dxa"/>
              <w:right w:w="43" w:type="dxa"/>
            </w:tcMar>
          </w:tcPr>
          <w:p w14:paraId="43022A64" w14:textId="77777777" w:rsidR="00575AC3" w:rsidRPr="006D40F0" w:rsidRDefault="00575AC3" w:rsidP="006D40F0">
            <w:r w:rsidRPr="006D40F0">
              <w:t xml:space="preserve">Driftsresultat: </w:t>
            </w:r>
          </w:p>
        </w:tc>
        <w:tc>
          <w:tcPr>
            <w:tcW w:w="1400" w:type="dxa"/>
            <w:tcBorders>
              <w:top w:val="nil"/>
              <w:left w:val="nil"/>
              <w:bottom w:val="nil"/>
              <w:right w:val="nil"/>
            </w:tcBorders>
            <w:tcMar>
              <w:top w:w="128" w:type="dxa"/>
              <w:left w:w="43" w:type="dxa"/>
              <w:bottom w:w="43" w:type="dxa"/>
              <w:right w:w="43" w:type="dxa"/>
            </w:tcMar>
            <w:vAlign w:val="bottom"/>
          </w:tcPr>
          <w:p w14:paraId="452123A2" w14:textId="77777777" w:rsidR="00575AC3" w:rsidRPr="006D40F0" w:rsidRDefault="00575AC3" w:rsidP="006D40F0"/>
        </w:tc>
      </w:tr>
      <w:tr w:rsidR="00DD49A7" w:rsidRPr="006D40F0" w14:paraId="316F2C27" w14:textId="77777777">
        <w:trPr>
          <w:trHeight w:val="380"/>
        </w:trPr>
        <w:tc>
          <w:tcPr>
            <w:tcW w:w="680" w:type="dxa"/>
            <w:tcBorders>
              <w:top w:val="nil"/>
              <w:left w:val="nil"/>
              <w:bottom w:val="nil"/>
              <w:right w:val="nil"/>
            </w:tcBorders>
            <w:tcMar>
              <w:top w:w="128" w:type="dxa"/>
              <w:left w:w="43" w:type="dxa"/>
              <w:bottom w:w="43" w:type="dxa"/>
              <w:right w:w="43" w:type="dxa"/>
            </w:tcMar>
          </w:tcPr>
          <w:p w14:paraId="52D28EE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2C13B7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A130E42" w14:textId="77777777" w:rsidR="00575AC3" w:rsidRPr="006D40F0" w:rsidRDefault="00575AC3" w:rsidP="006D40F0">
            <w:r w:rsidRPr="006D40F0">
              <w:t xml:space="preserve">1 Driftsinntekter </w:t>
            </w:r>
            <w:r w:rsidRPr="006D40F0">
              <w:tab/>
              <w:t>272 400 000 000</w:t>
            </w:r>
          </w:p>
        </w:tc>
        <w:tc>
          <w:tcPr>
            <w:tcW w:w="1400" w:type="dxa"/>
            <w:tcBorders>
              <w:top w:val="nil"/>
              <w:left w:val="nil"/>
              <w:bottom w:val="nil"/>
              <w:right w:val="nil"/>
            </w:tcBorders>
            <w:tcMar>
              <w:top w:w="128" w:type="dxa"/>
              <w:left w:w="43" w:type="dxa"/>
              <w:bottom w:w="43" w:type="dxa"/>
              <w:right w:w="43" w:type="dxa"/>
            </w:tcMar>
            <w:vAlign w:val="bottom"/>
          </w:tcPr>
          <w:p w14:paraId="4816E580" w14:textId="77777777" w:rsidR="00575AC3" w:rsidRPr="006D40F0" w:rsidRDefault="00575AC3" w:rsidP="006D40F0"/>
        </w:tc>
      </w:tr>
      <w:tr w:rsidR="00DD49A7" w:rsidRPr="006D40F0" w14:paraId="1943EF04" w14:textId="77777777">
        <w:trPr>
          <w:trHeight w:val="380"/>
        </w:trPr>
        <w:tc>
          <w:tcPr>
            <w:tcW w:w="680" w:type="dxa"/>
            <w:tcBorders>
              <w:top w:val="nil"/>
              <w:left w:val="nil"/>
              <w:bottom w:val="nil"/>
              <w:right w:val="nil"/>
            </w:tcBorders>
            <w:tcMar>
              <w:top w:w="128" w:type="dxa"/>
              <w:left w:w="43" w:type="dxa"/>
              <w:bottom w:w="43" w:type="dxa"/>
              <w:right w:w="43" w:type="dxa"/>
            </w:tcMar>
          </w:tcPr>
          <w:p w14:paraId="10FDA70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DFE00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4632E9D" w14:textId="77777777" w:rsidR="00575AC3" w:rsidRPr="006D40F0" w:rsidRDefault="00575AC3" w:rsidP="006D40F0">
            <w:r w:rsidRPr="006D40F0">
              <w:t xml:space="preserve">2 Driftsutgifter </w:t>
            </w:r>
            <w:r w:rsidRPr="006D40F0">
              <w:tab/>
              <w:t>-46 600 000 000</w:t>
            </w:r>
          </w:p>
        </w:tc>
        <w:tc>
          <w:tcPr>
            <w:tcW w:w="1400" w:type="dxa"/>
            <w:tcBorders>
              <w:top w:val="nil"/>
              <w:left w:val="nil"/>
              <w:bottom w:val="nil"/>
              <w:right w:val="nil"/>
            </w:tcBorders>
            <w:tcMar>
              <w:top w:w="128" w:type="dxa"/>
              <w:left w:w="43" w:type="dxa"/>
              <w:bottom w:w="43" w:type="dxa"/>
              <w:right w:w="43" w:type="dxa"/>
            </w:tcMar>
            <w:vAlign w:val="bottom"/>
          </w:tcPr>
          <w:p w14:paraId="2C000EC9" w14:textId="77777777" w:rsidR="00575AC3" w:rsidRPr="006D40F0" w:rsidRDefault="00575AC3" w:rsidP="006D40F0"/>
        </w:tc>
      </w:tr>
      <w:tr w:rsidR="00DD49A7" w:rsidRPr="006D40F0" w14:paraId="000A3372" w14:textId="77777777">
        <w:trPr>
          <w:trHeight w:val="380"/>
        </w:trPr>
        <w:tc>
          <w:tcPr>
            <w:tcW w:w="680" w:type="dxa"/>
            <w:tcBorders>
              <w:top w:val="nil"/>
              <w:left w:val="nil"/>
              <w:bottom w:val="nil"/>
              <w:right w:val="nil"/>
            </w:tcBorders>
            <w:tcMar>
              <w:top w:w="128" w:type="dxa"/>
              <w:left w:w="43" w:type="dxa"/>
              <w:bottom w:w="43" w:type="dxa"/>
              <w:right w:w="43" w:type="dxa"/>
            </w:tcMar>
          </w:tcPr>
          <w:p w14:paraId="5E35368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A7AD8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5C03FB9" w14:textId="77777777" w:rsidR="00575AC3" w:rsidRPr="006D40F0" w:rsidRDefault="00575AC3" w:rsidP="006D40F0">
            <w:r w:rsidRPr="006D40F0">
              <w:t xml:space="preserve">3 Lete- og feltutviklingsutgifter </w:t>
            </w:r>
            <w:r w:rsidRPr="006D40F0">
              <w:tab/>
              <w:t>-2 200 000 000</w:t>
            </w:r>
          </w:p>
        </w:tc>
        <w:tc>
          <w:tcPr>
            <w:tcW w:w="1400" w:type="dxa"/>
            <w:tcBorders>
              <w:top w:val="nil"/>
              <w:left w:val="nil"/>
              <w:bottom w:val="nil"/>
              <w:right w:val="nil"/>
            </w:tcBorders>
            <w:tcMar>
              <w:top w:w="128" w:type="dxa"/>
              <w:left w:w="43" w:type="dxa"/>
              <w:bottom w:w="43" w:type="dxa"/>
              <w:right w:w="43" w:type="dxa"/>
            </w:tcMar>
            <w:vAlign w:val="bottom"/>
          </w:tcPr>
          <w:p w14:paraId="0B59687D" w14:textId="77777777" w:rsidR="00575AC3" w:rsidRPr="006D40F0" w:rsidRDefault="00575AC3" w:rsidP="006D40F0"/>
        </w:tc>
      </w:tr>
      <w:tr w:rsidR="00DD49A7" w:rsidRPr="006D40F0" w14:paraId="3C18BB90" w14:textId="77777777">
        <w:trPr>
          <w:trHeight w:val="380"/>
        </w:trPr>
        <w:tc>
          <w:tcPr>
            <w:tcW w:w="680" w:type="dxa"/>
            <w:tcBorders>
              <w:top w:val="nil"/>
              <w:left w:val="nil"/>
              <w:bottom w:val="nil"/>
              <w:right w:val="nil"/>
            </w:tcBorders>
            <w:tcMar>
              <w:top w:w="128" w:type="dxa"/>
              <w:left w:w="43" w:type="dxa"/>
              <w:bottom w:w="43" w:type="dxa"/>
              <w:right w:w="43" w:type="dxa"/>
            </w:tcMar>
          </w:tcPr>
          <w:p w14:paraId="22643A1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15352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AA44A59" w14:textId="77777777" w:rsidR="00575AC3" w:rsidRPr="006D40F0" w:rsidRDefault="00575AC3" w:rsidP="006D40F0">
            <w:r w:rsidRPr="006D40F0">
              <w:t xml:space="preserve">4 Avskrivninger </w:t>
            </w:r>
            <w:r w:rsidRPr="006D40F0">
              <w:tab/>
              <w:t>-28 000 000 000</w:t>
            </w:r>
          </w:p>
        </w:tc>
        <w:tc>
          <w:tcPr>
            <w:tcW w:w="1400" w:type="dxa"/>
            <w:tcBorders>
              <w:top w:val="nil"/>
              <w:left w:val="nil"/>
              <w:bottom w:val="nil"/>
              <w:right w:val="nil"/>
            </w:tcBorders>
            <w:tcMar>
              <w:top w:w="128" w:type="dxa"/>
              <w:left w:w="43" w:type="dxa"/>
              <w:bottom w:w="43" w:type="dxa"/>
              <w:right w:w="43" w:type="dxa"/>
            </w:tcMar>
            <w:vAlign w:val="bottom"/>
          </w:tcPr>
          <w:p w14:paraId="2BC4E883" w14:textId="77777777" w:rsidR="00575AC3" w:rsidRPr="006D40F0" w:rsidRDefault="00575AC3" w:rsidP="006D40F0"/>
        </w:tc>
      </w:tr>
      <w:tr w:rsidR="00DD49A7" w:rsidRPr="006D40F0" w14:paraId="40A038AA" w14:textId="77777777">
        <w:trPr>
          <w:trHeight w:val="380"/>
        </w:trPr>
        <w:tc>
          <w:tcPr>
            <w:tcW w:w="680" w:type="dxa"/>
            <w:tcBorders>
              <w:top w:val="nil"/>
              <w:left w:val="nil"/>
              <w:bottom w:val="nil"/>
              <w:right w:val="nil"/>
            </w:tcBorders>
            <w:tcMar>
              <w:top w:w="128" w:type="dxa"/>
              <w:left w:w="43" w:type="dxa"/>
              <w:bottom w:w="43" w:type="dxa"/>
              <w:right w:w="43" w:type="dxa"/>
            </w:tcMar>
          </w:tcPr>
          <w:p w14:paraId="1BE0523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BEC5BA" w14:textId="77777777" w:rsidR="00575AC3" w:rsidRPr="006D40F0" w:rsidRDefault="00575AC3" w:rsidP="006D40F0"/>
        </w:tc>
        <w:tc>
          <w:tcPr>
            <w:tcW w:w="6800" w:type="dxa"/>
            <w:tcBorders>
              <w:top w:val="nil"/>
              <w:left w:val="nil"/>
              <w:bottom w:val="single" w:sz="4" w:space="0" w:color="000000"/>
              <w:right w:val="nil"/>
            </w:tcBorders>
            <w:tcMar>
              <w:top w:w="128" w:type="dxa"/>
              <w:left w:w="43" w:type="dxa"/>
              <w:bottom w:w="43" w:type="dxa"/>
              <w:right w:w="43" w:type="dxa"/>
            </w:tcMar>
          </w:tcPr>
          <w:p w14:paraId="3CB41775" w14:textId="77777777" w:rsidR="00575AC3" w:rsidRPr="006D40F0" w:rsidRDefault="00575AC3" w:rsidP="006D40F0">
            <w:r w:rsidRPr="006D40F0">
              <w:t xml:space="preserve">5 Renter av statens kapital </w:t>
            </w:r>
            <w:r w:rsidRPr="006D40F0">
              <w:tab/>
              <w:t>-3 800 000 000</w:t>
            </w:r>
          </w:p>
        </w:tc>
        <w:tc>
          <w:tcPr>
            <w:tcW w:w="1400" w:type="dxa"/>
            <w:tcBorders>
              <w:top w:val="nil"/>
              <w:left w:val="nil"/>
              <w:bottom w:val="nil"/>
              <w:right w:val="nil"/>
            </w:tcBorders>
            <w:tcMar>
              <w:top w:w="128" w:type="dxa"/>
              <w:left w:w="43" w:type="dxa"/>
              <w:bottom w:w="43" w:type="dxa"/>
              <w:right w:w="43" w:type="dxa"/>
            </w:tcMar>
            <w:vAlign w:val="bottom"/>
          </w:tcPr>
          <w:p w14:paraId="63F4C7C2" w14:textId="77777777" w:rsidR="00575AC3" w:rsidRPr="006D40F0" w:rsidRDefault="00575AC3" w:rsidP="006D40F0"/>
        </w:tc>
      </w:tr>
      <w:tr w:rsidR="00DD49A7" w:rsidRPr="006D40F0" w14:paraId="1B931B0E" w14:textId="77777777">
        <w:trPr>
          <w:trHeight w:val="380"/>
        </w:trPr>
        <w:tc>
          <w:tcPr>
            <w:tcW w:w="680" w:type="dxa"/>
            <w:tcBorders>
              <w:top w:val="nil"/>
              <w:left w:val="nil"/>
              <w:bottom w:val="nil"/>
              <w:right w:val="nil"/>
            </w:tcBorders>
            <w:tcMar>
              <w:top w:w="128" w:type="dxa"/>
              <w:left w:w="43" w:type="dxa"/>
              <w:bottom w:w="43" w:type="dxa"/>
              <w:right w:w="43" w:type="dxa"/>
            </w:tcMar>
          </w:tcPr>
          <w:p w14:paraId="5DAAADC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7D93A80" w14:textId="77777777" w:rsidR="00575AC3" w:rsidRPr="006D40F0" w:rsidRDefault="00575AC3" w:rsidP="006D40F0"/>
        </w:tc>
        <w:tc>
          <w:tcPr>
            <w:tcW w:w="6800" w:type="dxa"/>
            <w:tcBorders>
              <w:top w:val="single" w:sz="4" w:space="0" w:color="000000"/>
              <w:left w:val="nil"/>
              <w:bottom w:val="single" w:sz="4" w:space="0" w:color="000000"/>
              <w:right w:val="nil"/>
            </w:tcBorders>
            <w:tcMar>
              <w:top w:w="128" w:type="dxa"/>
              <w:left w:w="43" w:type="dxa"/>
              <w:bottom w:w="43" w:type="dxa"/>
              <w:right w:w="43" w:type="dxa"/>
            </w:tcMar>
          </w:tcPr>
          <w:p w14:paraId="63A63BD5" w14:textId="77777777" w:rsidR="00575AC3" w:rsidRPr="006D40F0" w:rsidRDefault="00575AC3" w:rsidP="006D40F0">
            <w:r w:rsidRPr="006D40F0">
              <w:tab/>
              <w:t>191 800 000 000</w:t>
            </w:r>
          </w:p>
        </w:tc>
        <w:tc>
          <w:tcPr>
            <w:tcW w:w="1400" w:type="dxa"/>
            <w:tcBorders>
              <w:top w:val="nil"/>
              <w:left w:val="nil"/>
              <w:bottom w:val="nil"/>
              <w:right w:val="nil"/>
            </w:tcBorders>
            <w:tcMar>
              <w:top w:w="128" w:type="dxa"/>
              <w:left w:w="43" w:type="dxa"/>
              <w:bottom w:w="43" w:type="dxa"/>
              <w:right w:w="43" w:type="dxa"/>
            </w:tcMar>
            <w:vAlign w:val="bottom"/>
          </w:tcPr>
          <w:p w14:paraId="7B52339D" w14:textId="77777777" w:rsidR="00575AC3" w:rsidRPr="006D40F0" w:rsidRDefault="00575AC3" w:rsidP="006D40F0"/>
        </w:tc>
      </w:tr>
      <w:tr w:rsidR="00DD49A7" w:rsidRPr="006D40F0" w14:paraId="53882326" w14:textId="77777777">
        <w:trPr>
          <w:trHeight w:val="380"/>
        </w:trPr>
        <w:tc>
          <w:tcPr>
            <w:tcW w:w="680" w:type="dxa"/>
            <w:tcBorders>
              <w:top w:val="nil"/>
              <w:left w:val="nil"/>
              <w:bottom w:val="nil"/>
              <w:right w:val="nil"/>
            </w:tcBorders>
            <w:tcMar>
              <w:top w:w="128" w:type="dxa"/>
              <w:left w:w="43" w:type="dxa"/>
              <w:bottom w:w="43" w:type="dxa"/>
              <w:right w:w="43" w:type="dxa"/>
            </w:tcMar>
          </w:tcPr>
          <w:p w14:paraId="758195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75F3ED1" w14:textId="77777777" w:rsidR="00575AC3" w:rsidRPr="006D40F0" w:rsidRDefault="00575AC3" w:rsidP="006D40F0">
            <w:r w:rsidRPr="006D40F0">
              <w:t>30</w:t>
            </w:r>
          </w:p>
        </w:tc>
        <w:tc>
          <w:tcPr>
            <w:tcW w:w="6800" w:type="dxa"/>
            <w:tcBorders>
              <w:top w:val="nil"/>
              <w:left w:val="nil"/>
              <w:bottom w:val="nil"/>
              <w:right w:val="nil"/>
            </w:tcBorders>
            <w:tcMar>
              <w:top w:w="128" w:type="dxa"/>
              <w:left w:w="43" w:type="dxa"/>
              <w:bottom w:w="43" w:type="dxa"/>
              <w:right w:w="43" w:type="dxa"/>
            </w:tcMar>
          </w:tcPr>
          <w:p w14:paraId="6BF99165" w14:textId="77777777" w:rsidR="00575AC3" w:rsidRPr="006D40F0" w:rsidRDefault="00575AC3" w:rsidP="006D40F0">
            <w:r w:rsidRPr="006D40F0">
              <w:t>Avskrivninger, nedsettes med</w:t>
            </w:r>
          </w:p>
        </w:tc>
        <w:tc>
          <w:tcPr>
            <w:tcW w:w="1400" w:type="dxa"/>
            <w:tcBorders>
              <w:top w:val="nil"/>
              <w:left w:val="nil"/>
              <w:bottom w:val="nil"/>
              <w:right w:val="nil"/>
            </w:tcBorders>
            <w:tcMar>
              <w:top w:w="128" w:type="dxa"/>
              <w:left w:w="43" w:type="dxa"/>
              <w:bottom w:w="43" w:type="dxa"/>
              <w:right w:w="43" w:type="dxa"/>
            </w:tcMar>
            <w:vAlign w:val="bottom"/>
          </w:tcPr>
          <w:p w14:paraId="604BB5BE" w14:textId="77777777" w:rsidR="00575AC3" w:rsidRPr="006D40F0" w:rsidRDefault="00575AC3" w:rsidP="006D40F0">
            <w:r w:rsidRPr="006D40F0">
              <w:t>1 100 000 000</w:t>
            </w:r>
          </w:p>
        </w:tc>
      </w:tr>
      <w:tr w:rsidR="00DD49A7" w:rsidRPr="006D40F0" w14:paraId="6F9FF583" w14:textId="77777777">
        <w:trPr>
          <w:trHeight w:val="380"/>
        </w:trPr>
        <w:tc>
          <w:tcPr>
            <w:tcW w:w="680" w:type="dxa"/>
            <w:tcBorders>
              <w:top w:val="nil"/>
              <w:left w:val="nil"/>
              <w:bottom w:val="nil"/>
              <w:right w:val="nil"/>
            </w:tcBorders>
            <w:tcMar>
              <w:top w:w="128" w:type="dxa"/>
              <w:left w:w="43" w:type="dxa"/>
              <w:bottom w:w="43" w:type="dxa"/>
              <w:right w:w="43" w:type="dxa"/>
            </w:tcMar>
          </w:tcPr>
          <w:p w14:paraId="28B93C9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555B01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3513048" w14:textId="77777777" w:rsidR="00575AC3" w:rsidRPr="006D40F0" w:rsidRDefault="00575AC3" w:rsidP="006D40F0">
            <w:r w:rsidRPr="006D40F0">
              <w:t>fra kr 29 100 000 000 til kr 28 000 000 000</w:t>
            </w:r>
          </w:p>
        </w:tc>
        <w:tc>
          <w:tcPr>
            <w:tcW w:w="1400" w:type="dxa"/>
            <w:tcBorders>
              <w:top w:val="nil"/>
              <w:left w:val="nil"/>
              <w:bottom w:val="nil"/>
              <w:right w:val="nil"/>
            </w:tcBorders>
            <w:tcMar>
              <w:top w:w="128" w:type="dxa"/>
              <w:left w:w="43" w:type="dxa"/>
              <w:bottom w:w="43" w:type="dxa"/>
              <w:right w:w="43" w:type="dxa"/>
            </w:tcMar>
            <w:vAlign w:val="bottom"/>
          </w:tcPr>
          <w:p w14:paraId="7CB61065" w14:textId="77777777" w:rsidR="00575AC3" w:rsidRPr="006D40F0" w:rsidRDefault="00575AC3" w:rsidP="006D40F0"/>
        </w:tc>
      </w:tr>
      <w:tr w:rsidR="00DD49A7" w:rsidRPr="006D40F0" w14:paraId="5DFF23AC" w14:textId="77777777">
        <w:trPr>
          <w:trHeight w:val="380"/>
        </w:trPr>
        <w:tc>
          <w:tcPr>
            <w:tcW w:w="680" w:type="dxa"/>
            <w:tcBorders>
              <w:top w:val="nil"/>
              <w:left w:val="nil"/>
              <w:bottom w:val="nil"/>
              <w:right w:val="nil"/>
            </w:tcBorders>
            <w:tcMar>
              <w:top w:w="128" w:type="dxa"/>
              <w:left w:w="43" w:type="dxa"/>
              <w:bottom w:w="43" w:type="dxa"/>
              <w:right w:w="43" w:type="dxa"/>
            </w:tcMar>
          </w:tcPr>
          <w:p w14:paraId="669AA87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3E8DAA"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38CD8CD3" w14:textId="77777777" w:rsidR="00575AC3" w:rsidRPr="006D40F0" w:rsidRDefault="00575AC3" w:rsidP="006D40F0">
            <w:r w:rsidRPr="006D40F0">
              <w:t>Renter av statens kapital, forhøyes med</w:t>
            </w:r>
          </w:p>
        </w:tc>
        <w:tc>
          <w:tcPr>
            <w:tcW w:w="1400" w:type="dxa"/>
            <w:tcBorders>
              <w:top w:val="nil"/>
              <w:left w:val="nil"/>
              <w:bottom w:val="nil"/>
              <w:right w:val="nil"/>
            </w:tcBorders>
            <w:tcMar>
              <w:top w:w="128" w:type="dxa"/>
              <w:left w:w="43" w:type="dxa"/>
              <w:bottom w:w="43" w:type="dxa"/>
              <w:right w:w="43" w:type="dxa"/>
            </w:tcMar>
            <w:vAlign w:val="bottom"/>
          </w:tcPr>
          <w:p w14:paraId="40A03ADE" w14:textId="77777777" w:rsidR="00575AC3" w:rsidRPr="006D40F0" w:rsidRDefault="00575AC3" w:rsidP="006D40F0">
            <w:r w:rsidRPr="006D40F0">
              <w:t>500 000 000</w:t>
            </w:r>
          </w:p>
        </w:tc>
      </w:tr>
      <w:tr w:rsidR="00DD49A7" w:rsidRPr="006D40F0" w14:paraId="1FE1D399" w14:textId="77777777">
        <w:trPr>
          <w:trHeight w:val="380"/>
        </w:trPr>
        <w:tc>
          <w:tcPr>
            <w:tcW w:w="680" w:type="dxa"/>
            <w:tcBorders>
              <w:top w:val="nil"/>
              <w:left w:val="nil"/>
              <w:bottom w:val="nil"/>
              <w:right w:val="nil"/>
            </w:tcBorders>
            <w:tcMar>
              <w:top w:w="128" w:type="dxa"/>
              <w:left w:w="43" w:type="dxa"/>
              <w:bottom w:w="43" w:type="dxa"/>
              <w:right w:w="43" w:type="dxa"/>
            </w:tcMar>
          </w:tcPr>
          <w:p w14:paraId="2008733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F382CB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918435F" w14:textId="77777777" w:rsidR="00575AC3" w:rsidRPr="006D40F0" w:rsidRDefault="00575AC3" w:rsidP="006D40F0">
            <w:r w:rsidRPr="006D40F0">
              <w:t>fra kr 3 300 000 000 til kr 3 800 000 000</w:t>
            </w:r>
          </w:p>
        </w:tc>
        <w:tc>
          <w:tcPr>
            <w:tcW w:w="1400" w:type="dxa"/>
            <w:tcBorders>
              <w:top w:val="nil"/>
              <w:left w:val="nil"/>
              <w:bottom w:val="nil"/>
              <w:right w:val="nil"/>
            </w:tcBorders>
            <w:tcMar>
              <w:top w:w="128" w:type="dxa"/>
              <w:left w:w="43" w:type="dxa"/>
              <w:bottom w:w="43" w:type="dxa"/>
              <w:right w:w="43" w:type="dxa"/>
            </w:tcMar>
            <w:vAlign w:val="bottom"/>
          </w:tcPr>
          <w:p w14:paraId="22DD53BA" w14:textId="77777777" w:rsidR="00575AC3" w:rsidRPr="006D40F0" w:rsidRDefault="00575AC3" w:rsidP="006D40F0"/>
        </w:tc>
      </w:tr>
      <w:tr w:rsidR="00DD49A7" w:rsidRPr="006D40F0" w14:paraId="16580115" w14:textId="77777777">
        <w:trPr>
          <w:trHeight w:val="380"/>
        </w:trPr>
        <w:tc>
          <w:tcPr>
            <w:tcW w:w="680" w:type="dxa"/>
            <w:tcBorders>
              <w:top w:val="nil"/>
              <w:left w:val="nil"/>
              <w:bottom w:val="nil"/>
              <w:right w:val="nil"/>
            </w:tcBorders>
            <w:tcMar>
              <w:top w:w="128" w:type="dxa"/>
              <w:left w:w="43" w:type="dxa"/>
              <w:bottom w:w="43" w:type="dxa"/>
              <w:right w:w="43" w:type="dxa"/>
            </w:tcMar>
          </w:tcPr>
          <w:p w14:paraId="357F63EF" w14:textId="77777777" w:rsidR="00575AC3" w:rsidRPr="006D40F0" w:rsidRDefault="00575AC3" w:rsidP="006D40F0">
            <w:r w:rsidRPr="006D40F0">
              <w:t>5460</w:t>
            </w:r>
          </w:p>
        </w:tc>
        <w:tc>
          <w:tcPr>
            <w:tcW w:w="680" w:type="dxa"/>
            <w:tcBorders>
              <w:top w:val="nil"/>
              <w:left w:val="nil"/>
              <w:bottom w:val="nil"/>
              <w:right w:val="nil"/>
            </w:tcBorders>
            <w:tcMar>
              <w:top w:w="128" w:type="dxa"/>
              <w:left w:w="43" w:type="dxa"/>
              <w:bottom w:w="43" w:type="dxa"/>
              <w:right w:w="43" w:type="dxa"/>
            </w:tcMar>
          </w:tcPr>
          <w:p w14:paraId="7329890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7A12FB" w14:textId="77777777" w:rsidR="00575AC3" w:rsidRPr="006D40F0" w:rsidRDefault="00575AC3" w:rsidP="006D40F0">
            <w:r w:rsidRPr="006D40F0">
              <w:t>Eksportfinansiering Norge:</w:t>
            </w:r>
          </w:p>
        </w:tc>
        <w:tc>
          <w:tcPr>
            <w:tcW w:w="1400" w:type="dxa"/>
            <w:tcBorders>
              <w:top w:val="nil"/>
              <w:left w:val="nil"/>
              <w:bottom w:val="nil"/>
              <w:right w:val="nil"/>
            </w:tcBorders>
            <w:tcMar>
              <w:top w:w="128" w:type="dxa"/>
              <w:left w:w="43" w:type="dxa"/>
              <w:bottom w:w="43" w:type="dxa"/>
              <w:right w:w="43" w:type="dxa"/>
            </w:tcMar>
            <w:vAlign w:val="bottom"/>
          </w:tcPr>
          <w:p w14:paraId="3536E766" w14:textId="77777777" w:rsidR="00575AC3" w:rsidRPr="006D40F0" w:rsidRDefault="00575AC3" w:rsidP="006D40F0"/>
        </w:tc>
      </w:tr>
      <w:tr w:rsidR="00DD49A7" w:rsidRPr="006D40F0" w14:paraId="716C4D01" w14:textId="77777777">
        <w:trPr>
          <w:trHeight w:val="640"/>
        </w:trPr>
        <w:tc>
          <w:tcPr>
            <w:tcW w:w="680" w:type="dxa"/>
            <w:tcBorders>
              <w:top w:val="nil"/>
              <w:left w:val="nil"/>
              <w:bottom w:val="nil"/>
              <w:right w:val="nil"/>
            </w:tcBorders>
            <w:tcMar>
              <w:top w:w="128" w:type="dxa"/>
              <w:left w:w="43" w:type="dxa"/>
              <w:bottom w:w="43" w:type="dxa"/>
              <w:right w:w="43" w:type="dxa"/>
            </w:tcMar>
          </w:tcPr>
          <w:p w14:paraId="492E51FA"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10BCB60" w14:textId="77777777" w:rsidR="00575AC3" w:rsidRPr="006D40F0" w:rsidRDefault="00575AC3" w:rsidP="006D40F0">
            <w:r w:rsidRPr="006D40F0">
              <w:t>51</w:t>
            </w:r>
          </w:p>
        </w:tc>
        <w:tc>
          <w:tcPr>
            <w:tcW w:w="6800" w:type="dxa"/>
            <w:tcBorders>
              <w:top w:val="nil"/>
              <w:left w:val="nil"/>
              <w:bottom w:val="nil"/>
              <w:right w:val="nil"/>
            </w:tcBorders>
            <w:tcMar>
              <w:top w:w="128" w:type="dxa"/>
              <w:left w:w="43" w:type="dxa"/>
              <w:bottom w:w="43" w:type="dxa"/>
              <w:right w:w="43" w:type="dxa"/>
            </w:tcMar>
          </w:tcPr>
          <w:p w14:paraId="0C85D667" w14:textId="77777777" w:rsidR="00575AC3" w:rsidRPr="006D40F0" w:rsidRDefault="00575AC3" w:rsidP="006D40F0">
            <w:r w:rsidRPr="006D40F0">
              <w:t>Tilbakeføring av tapsavsetning for risikoavlastningsordningen for garantier til Reisegarantifondet, bevilges med</w:t>
            </w:r>
          </w:p>
        </w:tc>
        <w:tc>
          <w:tcPr>
            <w:tcW w:w="1400" w:type="dxa"/>
            <w:tcBorders>
              <w:top w:val="nil"/>
              <w:left w:val="nil"/>
              <w:bottom w:val="nil"/>
              <w:right w:val="nil"/>
            </w:tcBorders>
            <w:tcMar>
              <w:top w:w="128" w:type="dxa"/>
              <w:left w:w="43" w:type="dxa"/>
              <w:bottom w:w="43" w:type="dxa"/>
              <w:right w:w="43" w:type="dxa"/>
            </w:tcMar>
            <w:vAlign w:val="bottom"/>
          </w:tcPr>
          <w:p w14:paraId="057EED8F" w14:textId="77777777" w:rsidR="00575AC3" w:rsidRPr="006D40F0" w:rsidRDefault="00575AC3" w:rsidP="006D40F0">
            <w:r w:rsidRPr="006D40F0">
              <w:t>26 680 000</w:t>
            </w:r>
          </w:p>
        </w:tc>
      </w:tr>
      <w:tr w:rsidR="00DD49A7" w:rsidRPr="006D40F0" w14:paraId="6635891E" w14:textId="77777777">
        <w:trPr>
          <w:trHeight w:val="380"/>
        </w:trPr>
        <w:tc>
          <w:tcPr>
            <w:tcW w:w="680" w:type="dxa"/>
            <w:tcBorders>
              <w:top w:val="nil"/>
              <w:left w:val="nil"/>
              <w:bottom w:val="nil"/>
              <w:right w:val="nil"/>
            </w:tcBorders>
            <w:tcMar>
              <w:top w:w="128" w:type="dxa"/>
              <w:left w:w="43" w:type="dxa"/>
              <w:bottom w:w="43" w:type="dxa"/>
              <w:right w:w="43" w:type="dxa"/>
            </w:tcMar>
          </w:tcPr>
          <w:p w14:paraId="62D3193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77A7A7D" w14:textId="77777777" w:rsidR="00575AC3" w:rsidRPr="006D40F0" w:rsidRDefault="00575AC3" w:rsidP="006D40F0">
            <w:r w:rsidRPr="006D40F0">
              <w:t>52</w:t>
            </w:r>
          </w:p>
        </w:tc>
        <w:tc>
          <w:tcPr>
            <w:tcW w:w="6800" w:type="dxa"/>
            <w:tcBorders>
              <w:top w:val="nil"/>
              <w:left w:val="nil"/>
              <w:bottom w:val="nil"/>
              <w:right w:val="nil"/>
            </w:tcBorders>
            <w:tcMar>
              <w:top w:w="128" w:type="dxa"/>
              <w:left w:w="43" w:type="dxa"/>
              <w:bottom w:w="43" w:type="dxa"/>
              <w:right w:w="43" w:type="dxa"/>
            </w:tcMar>
          </w:tcPr>
          <w:p w14:paraId="10B9F9C2" w14:textId="77777777" w:rsidR="00575AC3" w:rsidRPr="006D40F0" w:rsidRDefault="00575AC3" w:rsidP="006D40F0">
            <w:r w:rsidRPr="006D40F0">
              <w:t>Tilbakeføring fra Eksfin av tidligere bevilget tapsavsetning, forhøyes med</w:t>
            </w:r>
          </w:p>
        </w:tc>
        <w:tc>
          <w:tcPr>
            <w:tcW w:w="1400" w:type="dxa"/>
            <w:tcBorders>
              <w:top w:val="nil"/>
              <w:left w:val="nil"/>
              <w:bottom w:val="nil"/>
              <w:right w:val="nil"/>
            </w:tcBorders>
            <w:tcMar>
              <w:top w:w="128" w:type="dxa"/>
              <w:left w:w="43" w:type="dxa"/>
              <w:bottom w:w="43" w:type="dxa"/>
              <w:right w:w="43" w:type="dxa"/>
            </w:tcMar>
            <w:vAlign w:val="bottom"/>
          </w:tcPr>
          <w:p w14:paraId="49AF53FA" w14:textId="77777777" w:rsidR="00575AC3" w:rsidRPr="006D40F0" w:rsidRDefault="00575AC3" w:rsidP="006D40F0">
            <w:r w:rsidRPr="006D40F0">
              <w:t>1 000 000 000</w:t>
            </w:r>
          </w:p>
        </w:tc>
      </w:tr>
      <w:tr w:rsidR="00DD49A7" w:rsidRPr="006D40F0" w14:paraId="63ACC929" w14:textId="77777777">
        <w:trPr>
          <w:trHeight w:val="380"/>
        </w:trPr>
        <w:tc>
          <w:tcPr>
            <w:tcW w:w="680" w:type="dxa"/>
            <w:tcBorders>
              <w:top w:val="nil"/>
              <w:left w:val="nil"/>
              <w:bottom w:val="nil"/>
              <w:right w:val="nil"/>
            </w:tcBorders>
            <w:tcMar>
              <w:top w:w="128" w:type="dxa"/>
              <w:left w:w="43" w:type="dxa"/>
              <w:bottom w:w="43" w:type="dxa"/>
              <w:right w:w="43" w:type="dxa"/>
            </w:tcMar>
          </w:tcPr>
          <w:p w14:paraId="2EDA21E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154A6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7749926" w14:textId="77777777" w:rsidR="00575AC3" w:rsidRPr="006D40F0" w:rsidRDefault="00575AC3" w:rsidP="006D40F0">
            <w:r w:rsidRPr="006D40F0">
              <w:t>fra kr 9 000 000 000 til kr 10 000 000 000</w:t>
            </w:r>
          </w:p>
        </w:tc>
        <w:tc>
          <w:tcPr>
            <w:tcW w:w="1400" w:type="dxa"/>
            <w:tcBorders>
              <w:top w:val="nil"/>
              <w:left w:val="nil"/>
              <w:bottom w:val="nil"/>
              <w:right w:val="nil"/>
            </w:tcBorders>
            <w:tcMar>
              <w:top w:w="128" w:type="dxa"/>
              <w:left w:w="43" w:type="dxa"/>
              <w:bottom w:w="43" w:type="dxa"/>
              <w:right w:w="43" w:type="dxa"/>
            </w:tcMar>
            <w:vAlign w:val="bottom"/>
          </w:tcPr>
          <w:p w14:paraId="3F2403A6" w14:textId="77777777" w:rsidR="00575AC3" w:rsidRPr="006D40F0" w:rsidRDefault="00575AC3" w:rsidP="006D40F0"/>
        </w:tc>
      </w:tr>
      <w:tr w:rsidR="00DD49A7" w:rsidRPr="006D40F0" w14:paraId="6D22C04C" w14:textId="77777777">
        <w:trPr>
          <w:trHeight w:val="640"/>
        </w:trPr>
        <w:tc>
          <w:tcPr>
            <w:tcW w:w="680" w:type="dxa"/>
            <w:tcBorders>
              <w:top w:val="nil"/>
              <w:left w:val="nil"/>
              <w:bottom w:val="nil"/>
              <w:right w:val="nil"/>
            </w:tcBorders>
            <w:tcMar>
              <w:top w:w="128" w:type="dxa"/>
              <w:left w:w="43" w:type="dxa"/>
              <w:bottom w:w="43" w:type="dxa"/>
              <w:right w:w="43" w:type="dxa"/>
            </w:tcMar>
          </w:tcPr>
          <w:p w14:paraId="76AE27EC"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23E7682" w14:textId="77777777" w:rsidR="00575AC3" w:rsidRPr="006D40F0" w:rsidRDefault="00575AC3" w:rsidP="006D40F0">
            <w:r w:rsidRPr="006D40F0">
              <w:t>53</w:t>
            </w:r>
          </w:p>
        </w:tc>
        <w:tc>
          <w:tcPr>
            <w:tcW w:w="6800" w:type="dxa"/>
            <w:tcBorders>
              <w:top w:val="nil"/>
              <w:left w:val="nil"/>
              <w:bottom w:val="nil"/>
              <w:right w:val="nil"/>
            </w:tcBorders>
            <w:tcMar>
              <w:top w:w="128" w:type="dxa"/>
              <w:left w:w="43" w:type="dxa"/>
              <w:bottom w:w="43" w:type="dxa"/>
              <w:right w:w="43" w:type="dxa"/>
            </w:tcMar>
          </w:tcPr>
          <w:p w14:paraId="015510C1" w14:textId="77777777" w:rsidR="00575AC3" w:rsidRPr="006D40F0" w:rsidRDefault="00575AC3" w:rsidP="006D40F0">
            <w:r w:rsidRPr="006D40F0">
              <w:t>Tilbakeføring av tapsavsetning under Luftfartsgarantiordningen, bevilges med</w:t>
            </w:r>
          </w:p>
        </w:tc>
        <w:tc>
          <w:tcPr>
            <w:tcW w:w="1400" w:type="dxa"/>
            <w:tcBorders>
              <w:top w:val="nil"/>
              <w:left w:val="nil"/>
              <w:bottom w:val="nil"/>
              <w:right w:val="nil"/>
            </w:tcBorders>
            <w:tcMar>
              <w:top w:w="128" w:type="dxa"/>
              <w:left w:w="43" w:type="dxa"/>
              <w:bottom w:w="43" w:type="dxa"/>
              <w:right w:w="43" w:type="dxa"/>
            </w:tcMar>
            <w:vAlign w:val="bottom"/>
          </w:tcPr>
          <w:p w14:paraId="37706014" w14:textId="77777777" w:rsidR="00575AC3" w:rsidRPr="006D40F0" w:rsidRDefault="00575AC3" w:rsidP="006D40F0">
            <w:r w:rsidRPr="006D40F0">
              <w:t>49 700 000</w:t>
            </w:r>
          </w:p>
        </w:tc>
      </w:tr>
      <w:tr w:rsidR="00DD49A7" w:rsidRPr="006D40F0" w14:paraId="319145AE" w14:textId="77777777">
        <w:trPr>
          <w:trHeight w:val="640"/>
        </w:trPr>
        <w:tc>
          <w:tcPr>
            <w:tcW w:w="680" w:type="dxa"/>
            <w:tcBorders>
              <w:top w:val="nil"/>
              <w:left w:val="nil"/>
              <w:bottom w:val="nil"/>
              <w:right w:val="nil"/>
            </w:tcBorders>
            <w:tcMar>
              <w:top w:w="128" w:type="dxa"/>
              <w:left w:w="43" w:type="dxa"/>
              <w:bottom w:w="43" w:type="dxa"/>
              <w:right w:w="43" w:type="dxa"/>
            </w:tcMar>
          </w:tcPr>
          <w:p w14:paraId="69381187"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270553DE" w14:textId="77777777" w:rsidR="00575AC3" w:rsidRPr="006D40F0" w:rsidRDefault="00575AC3" w:rsidP="006D40F0">
            <w:r w:rsidRPr="006D40F0">
              <w:t>56</w:t>
            </w:r>
          </w:p>
        </w:tc>
        <w:tc>
          <w:tcPr>
            <w:tcW w:w="6800" w:type="dxa"/>
            <w:tcBorders>
              <w:top w:val="nil"/>
              <w:left w:val="nil"/>
              <w:bottom w:val="nil"/>
              <w:right w:val="nil"/>
            </w:tcBorders>
            <w:tcMar>
              <w:top w:w="128" w:type="dxa"/>
              <w:left w:w="43" w:type="dxa"/>
              <w:bottom w:w="43" w:type="dxa"/>
              <w:right w:w="43" w:type="dxa"/>
            </w:tcMar>
          </w:tcPr>
          <w:p w14:paraId="126F2DBD" w14:textId="77777777" w:rsidR="00575AC3" w:rsidRPr="006D40F0" w:rsidRDefault="00575AC3" w:rsidP="006D40F0">
            <w:r w:rsidRPr="006D40F0">
              <w:t>Tilbakeføring av tapsavsetning for midlertidig lånegarantiordning for høye strømpriser, bevilges med</w:t>
            </w:r>
          </w:p>
        </w:tc>
        <w:tc>
          <w:tcPr>
            <w:tcW w:w="1400" w:type="dxa"/>
            <w:tcBorders>
              <w:top w:val="nil"/>
              <w:left w:val="nil"/>
              <w:bottom w:val="nil"/>
              <w:right w:val="nil"/>
            </w:tcBorders>
            <w:tcMar>
              <w:top w:w="128" w:type="dxa"/>
              <w:left w:w="43" w:type="dxa"/>
              <w:bottom w:w="43" w:type="dxa"/>
              <w:right w:w="43" w:type="dxa"/>
            </w:tcMar>
            <w:vAlign w:val="bottom"/>
          </w:tcPr>
          <w:p w14:paraId="4E3A6714" w14:textId="77777777" w:rsidR="00575AC3" w:rsidRPr="006D40F0" w:rsidRDefault="00575AC3" w:rsidP="006D40F0">
            <w:r w:rsidRPr="006D40F0">
              <w:t>182 200 000</w:t>
            </w:r>
          </w:p>
        </w:tc>
      </w:tr>
      <w:tr w:rsidR="00DD49A7" w:rsidRPr="006D40F0" w14:paraId="0499530A" w14:textId="77777777">
        <w:trPr>
          <w:trHeight w:val="640"/>
        </w:trPr>
        <w:tc>
          <w:tcPr>
            <w:tcW w:w="680" w:type="dxa"/>
            <w:tcBorders>
              <w:top w:val="nil"/>
              <w:left w:val="nil"/>
              <w:bottom w:val="nil"/>
              <w:right w:val="nil"/>
            </w:tcBorders>
            <w:tcMar>
              <w:top w:w="128" w:type="dxa"/>
              <w:left w:w="43" w:type="dxa"/>
              <w:bottom w:w="43" w:type="dxa"/>
              <w:right w:w="43" w:type="dxa"/>
            </w:tcMar>
          </w:tcPr>
          <w:p w14:paraId="2D2AEE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316A4C6" w14:textId="77777777" w:rsidR="00575AC3" w:rsidRPr="006D40F0" w:rsidRDefault="00575AC3" w:rsidP="006D40F0">
            <w:r w:rsidRPr="006D40F0">
              <w:t>78</w:t>
            </w:r>
          </w:p>
        </w:tc>
        <w:tc>
          <w:tcPr>
            <w:tcW w:w="6800" w:type="dxa"/>
            <w:tcBorders>
              <w:top w:val="nil"/>
              <w:left w:val="nil"/>
              <w:bottom w:val="nil"/>
              <w:right w:val="nil"/>
            </w:tcBorders>
            <w:tcMar>
              <w:top w:w="128" w:type="dxa"/>
              <w:left w:w="43" w:type="dxa"/>
              <w:bottom w:w="43" w:type="dxa"/>
              <w:right w:w="43" w:type="dxa"/>
            </w:tcMar>
          </w:tcPr>
          <w:p w14:paraId="76BC3C62" w14:textId="77777777" w:rsidR="00575AC3" w:rsidRPr="006D40F0" w:rsidRDefault="00575AC3" w:rsidP="006D40F0">
            <w:r w:rsidRPr="006D40F0">
              <w:t>Inntekter fra midlertidig lånegarantiordning ifm. høye strømpriser, nedsettes med</w:t>
            </w:r>
          </w:p>
        </w:tc>
        <w:tc>
          <w:tcPr>
            <w:tcW w:w="1400" w:type="dxa"/>
            <w:tcBorders>
              <w:top w:val="nil"/>
              <w:left w:val="nil"/>
              <w:bottom w:val="nil"/>
              <w:right w:val="nil"/>
            </w:tcBorders>
            <w:tcMar>
              <w:top w:w="128" w:type="dxa"/>
              <w:left w:w="43" w:type="dxa"/>
              <w:bottom w:w="43" w:type="dxa"/>
              <w:right w:w="43" w:type="dxa"/>
            </w:tcMar>
            <w:vAlign w:val="bottom"/>
          </w:tcPr>
          <w:p w14:paraId="2E65707E" w14:textId="77777777" w:rsidR="00575AC3" w:rsidRPr="006D40F0" w:rsidRDefault="00575AC3" w:rsidP="006D40F0">
            <w:r w:rsidRPr="006D40F0">
              <w:t>900 000</w:t>
            </w:r>
          </w:p>
        </w:tc>
      </w:tr>
      <w:tr w:rsidR="00DD49A7" w:rsidRPr="006D40F0" w14:paraId="091C280B" w14:textId="77777777">
        <w:trPr>
          <w:trHeight w:val="380"/>
        </w:trPr>
        <w:tc>
          <w:tcPr>
            <w:tcW w:w="680" w:type="dxa"/>
            <w:tcBorders>
              <w:top w:val="nil"/>
              <w:left w:val="nil"/>
              <w:bottom w:val="nil"/>
              <w:right w:val="nil"/>
            </w:tcBorders>
            <w:tcMar>
              <w:top w:w="128" w:type="dxa"/>
              <w:left w:w="43" w:type="dxa"/>
              <w:bottom w:w="43" w:type="dxa"/>
              <w:right w:w="43" w:type="dxa"/>
            </w:tcMar>
          </w:tcPr>
          <w:p w14:paraId="0913622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A8480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DDF3B29" w14:textId="77777777" w:rsidR="00575AC3" w:rsidRPr="006D40F0" w:rsidRDefault="00575AC3" w:rsidP="006D40F0">
            <w:r w:rsidRPr="006D40F0">
              <w:t>fra kr 1 000 000 til kr 100 000</w:t>
            </w:r>
          </w:p>
        </w:tc>
        <w:tc>
          <w:tcPr>
            <w:tcW w:w="1400" w:type="dxa"/>
            <w:tcBorders>
              <w:top w:val="nil"/>
              <w:left w:val="nil"/>
              <w:bottom w:val="nil"/>
              <w:right w:val="nil"/>
            </w:tcBorders>
            <w:tcMar>
              <w:top w:w="128" w:type="dxa"/>
              <w:left w:w="43" w:type="dxa"/>
              <w:bottom w:w="43" w:type="dxa"/>
              <w:right w:w="43" w:type="dxa"/>
            </w:tcMar>
            <w:vAlign w:val="bottom"/>
          </w:tcPr>
          <w:p w14:paraId="17ED63D9" w14:textId="77777777" w:rsidR="00575AC3" w:rsidRPr="006D40F0" w:rsidRDefault="00575AC3" w:rsidP="006D40F0"/>
        </w:tc>
      </w:tr>
      <w:tr w:rsidR="00DD49A7" w:rsidRPr="006D40F0" w14:paraId="47246B5E" w14:textId="77777777">
        <w:trPr>
          <w:trHeight w:val="380"/>
        </w:trPr>
        <w:tc>
          <w:tcPr>
            <w:tcW w:w="680" w:type="dxa"/>
            <w:tcBorders>
              <w:top w:val="nil"/>
              <w:left w:val="nil"/>
              <w:bottom w:val="nil"/>
              <w:right w:val="nil"/>
            </w:tcBorders>
            <w:tcMar>
              <w:top w:w="128" w:type="dxa"/>
              <w:left w:w="43" w:type="dxa"/>
              <w:bottom w:w="43" w:type="dxa"/>
              <w:right w:w="43" w:type="dxa"/>
            </w:tcMar>
          </w:tcPr>
          <w:p w14:paraId="1838E7EB"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5A25E581" w14:textId="77777777" w:rsidR="00575AC3" w:rsidRPr="006D40F0" w:rsidRDefault="00575AC3" w:rsidP="006D40F0">
            <w:r w:rsidRPr="006D40F0">
              <w:t>89</w:t>
            </w:r>
          </w:p>
        </w:tc>
        <w:tc>
          <w:tcPr>
            <w:tcW w:w="6800" w:type="dxa"/>
            <w:tcBorders>
              <w:top w:val="nil"/>
              <w:left w:val="nil"/>
              <w:bottom w:val="nil"/>
              <w:right w:val="nil"/>
            </w:tcBorders>
            <w:tcMar>
              <w:top w:w="128" w:type="dxa"/>
              <w:left w:w="43" w:type="dxa"/>
              <w:bottom w:w="43" w:type="dxa"/>
              <w:right w:w="43" w:type="dxa"/>
            </w:tcMar>
          </w:tcPr>
          <w:p w14:paraId="7AE27C79" w14:textId="77777777" w:rsidR="00575AC3" w:rsidRPr="006D40F0" w:rsidRDefault="00575AC3" w:rsidP="006D40F0">
            <w:r w:rsidRPr="006D40F0">
              <w:t>Garantiprovisjon, bevilges med</w:t>
            </w:r>
          </w:p>
        </w:tc>
        <w:tc>
          <w:tcPr>
            <w:tcW w:w="1400" w:type="dxa"/>
            <w:tcBorders>
              <w:top w:val="nil"/>
              <w:left w:val="nil"/>
              <w:bottom w:val="nil"/>
              <w:right w:val="nil"/>
            </w:tcBorders>
            <w:tcMar>
              <w:top w:w="128" w:type="dxa"/>
              <w:left w:w="43" w:type="dxa"/>
              <w:bottom w:w="43" w:type="dxa"/>
              <w:right w:w="43" w:type="dxa"/>
            </w:tcMar>
            <w:vAlign w:val="bottom"/>
          </w:tcPr>
          <w:p w14:paraId="5DCE1C66" w14:textId="77777777" w:rsidR="00575AC3" w:rsidRPr="006D40F0" w:rsidRDefault="00575AC3" w:rsidP="006D40F0">
            <w:r w:rsidRPr="006D40F0">
              <w:t>40 000 000</w:t>
            </w:r>
          </w:p>
        </w:tc>
      </w:tr>
      <w:tr w:rsidR="00DD49A7" w:rsidRPr="006D40F0" w14:paraId="205A7B75" w14:textId="77777777">
        <w:trPr>
          <w:trHeight w:val="640"/>
        </w:trPr>
        <w:tc>
          <w:tcPr>
            <w:tcW w:w="680" w:type="dxa"/>
            <w:tcBorders>
              <w:top w:val="nil"/>
              <w:left w:val="nil"/>
              <w:bottom w:val="nil"/>
              <w:right w:val="nil"/>
            </w:tcBorders>
            <w:tcMar>
              <w:top w:w="128" w:type="dxa"/>
              <w:left w:w="43" w:type="dxa"/>
              <w:bottom w:w="43" w:type="dxa"/>
              <w:right w:w="43" w:type="dxa"/>
            </w:tcMar>
          </w:tcPr>
          <w:p w14:paraId="5B37C7B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5F5BE21" w14:textId="77777777" w:rsidR="00575AC3" w:rsidRPr="006D40F0" w:rsidRDefault="00575AC3" w:rsidP="006D40F0">
            <w:r w:rsidRPr="006D40F0">
              <w:t>90</w:t>
            </w:r>
          </w:p>
        </w:tc>
        <w:tc>
          <w:tcPr>
            <w:tcW w:w="6800" w:type="dxa"/>
            <w:tcBorders>
              <w:top w:val="nil"/>
              <w:left w:val="nil"/>
              <w:bottom w:val="nil"/>
              <w:right w:val="nil"/>
            </w:tcBorders>
            <w:tcMar>
              <w:top w:w="128" w:type="dxa"/>
              <w:left w:w="43" w:type="dxa"/>
              <w:bottom w:w="43" w:type="dxa"/>
              <w:right w:w="43" w:type="dxa"/>
            </w:tcMar>
          </w:tcPr>
          <w:p w14:paraId="3F8BBB20" w14:textId="77777777" w:rsidR="00575AC3" w:rsidRPr="006D40F0" w:rsidRDefault="00575AC3" w:rsidP="006D40F0">
            <w:r w:rsidRPr="006D40F0">
              <w:t>Avdrag på lån knyttet til bruk av trekkfullmakt under Alminnelig garantiordning, nedsettes med</w:t>
            </w:r>
          </w:p>
        </w:tc>
        <w:tc>
          <w:tcPr>
            <w:tcW w:w="1400" w:type="dxa"/>
            <w:tcBorders>
              <w:top w:val="nil"/>
              <w:left w:val="nil"/>
              <w:bottom w:val="nil"/>
              <w:right w:val="nil"/>
            </w:tcBorders>
            <w:tcMar>
              <w:top w:w="128" w:type="dxa"/>
              <w:left w:w="43" w:type="dxa"/>
              <w:bottom w:w="43" w:type="dxa"/>
              <w:right w:w="43" w:type="dxa"/>
            </w:tcMar>
            <w:vAlign w:val="bottom"/>
          </w:tcPr>
          <w:p w14:paraId="6E968ADF" w14:textId="77777777" w:rsidR="00575AC3" w:rsidRPr="006D40F0" w:rsidRDefault="00575AC3" w:rsidP="006D40F0">
            <w:r w:rsidRPr="006D40F0">
              <w:t>1 800 000 000</w:t>
            </w:r>
          </w:p>
        </w:tc>
      </w:tr>
      <w:tr w:rsidR="00DD49A7" w:rsidRPr="006D40F0" w14:paraId="49DFB2C8" w14:textId="77777777">
        <w:trPr>
          <w:trHeight w:val="380"/>
        </w:trPr>
        <w:tc>
          <w:tcPr>
            <w:tcW w:w="680" w:type="dxa"/>
            <w:tcBorders>
              <w:top w:val="nil"/>
              <w:left w:val="nil"/>
              <w:bottom w:val="nil"/>
              <w:right w:val="nil"/>
            </w:tcBorders>
            <w:tcMar>
              <w:top w:w="128" w:type="dxa"/>
              <w:left w:w="43" w:type="dxa"/>
              <w:bottom w:w="43" w:type="dxa"/>
              <w:right w:w="43" w:type="dxa"/>
            </w:tcMar>
          </w:tcPr>
          <w:p w14:paraId="4A3F07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0DBFB6"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D808966" w14:textId="77777777" w:rsidR="00575AC3" w:rsidRPr="006D40F0" w:rsidRDefault="00575AC3" w:rsidP="006D40F0">
            <w:r w:rsidRPr="006D40F0">
              <w:t>fra kr 4 400 000 000 til kr 2 600 000 000</w:t>
            </w:r>
          </w:p>
        </w:tc>
        <w:tc>
          <w:tcPr>
            <w:tcW w:w="1400" w:type="dxa"/>
            <w:tcBorders>
              <w:top w:val="nil"/>
              <w:left w:val="nil"/>
              <w:bottom w:val="nil"/>
              <w:right w:val="nil"/>
            </w:tcBorders>
            <w:tcMar>
              <w:top w:w="128" w:type="dxa"/>
              <w:left w:w="43" w:type="dxa"/>
              <w:bottom w:w="43" w:type="dxa"/>
              <w:right w:w="43" w:type="dxa"/>
            </w:tcMar>
            <w:vAlign w:val="bottom"/>
          </w:tcPr>
          <w:p w14:paraId="4723F7A1" w14:textId="77777777" w:rsidR="00575AC3" w:rsidRPr="006D40F0" w:rsidRDefault="00575AC3" w:rsidP="006D40F0"/>
        </w:tc>
      </w:tr>
      <w:tr w:rsidR="00DD49A7" w:rsidRPr="006D40F0" w14:paraId="0023A0F5" w14:textId="77777777">
        <w:trPr>
          <w:trHeight w:val="380"/>
        </w:trPr>
        <w:tc>
          <w:tcPr>
            <w:tcW w:w="680" w:type="dxa"/>
            <w:tcBorders>
              <w:top w:val="nil"/>
              <w:left w:val="nil"/>
              <w:bottom w:val="nil"/>
              <w:right w:val="nil"/>
            </w:tcBorders>
            <w:tcMar>
              <w:top w:w="128" w:type="dxa"/>
              <w:left w:w="43" w:type="dxa"/>
              <w:bottom w:w="43" w:type="dxa"/>
              <w:right w:w="43" w:type="dxa"/>
            </w:tcMar>
          </w:tcPr>
          <w:p w14:paraId="25DA6D96" w14:textId="77777777" w:rsidR="00575AC3" w:rsidRPr="006D40F0" w:rsidRDefault="00575AC3" w:rsidP="006D40F0">
            <w:r w:rsidRPr="006D40F0">
              <w:t>5574</w:t>
            </w:r>
          </w:p>
        </w:tc>
        <w:tc>
          <w:tcPr>
            <w:tcW w:w="680" w:type="dxa"/>
            <w:tcBorders>
              <w:top w:val="nil"/>
              <w:left w:val="nil"/>
              <w:bottom w:val="nil"/>
              <w:right w:val="nil"/>
            </w:tcBorders>
            <w:tcMar>
              <w:top w:w="128" w:type="dxa"/>
              <w:left w:w="43" w:type="dxa"/>
              <w:bottom w:w="43" w:type="dxa"/>
              <w:right w:w="43" w:type="dxa"/>
            </w:tcMar>
          </w:tcPr>
          <w:p w14:paraId="47AADF8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4EBF5A" w14:textId="77777777" w:rsidR="00575AC3" w:rsidRPr="006D40F0" w:rsidRDefault="00575AC3" w:rsidP="006D40F0">
            <w:r w:rsidRPr="006D40F0">
              <w:t>Sektoravgifter under Nærings- og fiskeridepartementet:</w:t>
            </w:r>
          </w:p>
        </w:tc>
        <w:tc>
          <w:tcPr>
            <w:tcW w:w="1400" w:type="dxa"/>
            <w:tcBorders>
              <w:top w:val="nil"/>
              <w:left w:val="nil"/>
              <w:bottom w:val="nil"/>
              <w:right w:val="nil"/>
            </w:tcBorders>
            <w:tcMar>
              <w:top w:w="128" w:type="dxa"/>
              <w:left w:w="43" w:type="dxa"/>
              <w:bottom w:w="43" w:type="dxa"/>
              <w:right w:w="43" w:type="dxa"/>
            </w:tcMar>
            <w:vAlign w:val="bottom"/>
          </w:tcPr>
          <w:p w14:paraId="450F89BB" w14:textId="77777777" w:rsidR="00575AC3" w:rsidRPr="006D40F0" w:rsidRDefault="00575AC3" w:rsidP="006D40F0"/>
        </w:tc>
      </w:tr>
      <w:tr w:rsidR="00DD49A7" w:rsidRPr="006D40F0" w14:paraId="1CC82070" w14:textId="77777777">
        <w:trPr>
          <w:trHeight w:val="380"/>
        </w:trPr>
        <w:tc>
          <w:tcPr>
            <w:tcW w:w="680" w:type="dxa"/>
            <w:tcBorders>
              <w:top w:val="nil"/>
              <w:left w:val="nil"/>
              <w:bottom w:val="nil"/>
              <w:right w:val="nil"/>
            </w:tcBorders>
            <w:tcMar>
              <w:top w:w="128" w:type="dxa"/>
              <w:left w:w="43" w:type="dxa"/>
              <w:bottom w:w="43" w:type="dxa"/>
              <w:right w:w="43" w:type="dxa"/>
            </w:tcMar>
          </w:tcPr>
          <w:p w14:paraId="71E283A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9E1CE21" w14:textId="77777777" w:rsidR="00575AC3" w:rsidRPr="006D40F0" w:rsidRDefault="00575AC3" w:rsidP="006D40F0">
            <w:r w:rsidRPr="006D40F0">
              <w:t>74</w:t>
            </w:r>
          </w:p>
        </w:tc>
        <w:tc>
          <w:tcPr>
            <w:tcW w:w="6800" w:type="dxa"/>
            <w:tcBorders>
              <w:top w:val="nil"/>
              <w:left w:val="nil"/>
              <w:bottom w:val="nil"/>
              <w:right w:val="nil"/>
            </w:tcBorders>
            <w:tcMar>
              <w:top w:w="128" w:type="dxa"/>
              <w:left w:w="43" w:type="dxa"/>
              <w:bottom w:w="43" w:type="dxa"/>
              <w:right w:w="43" w:type="dxa"/>
            </w:tcMar>
          </w:tcPr>
          <w:p w14:paraId="06AD80DD" w14:textId="77777777" w:rsidR="00575AC3" w:rsidRPr="006D40F0" w:rsidRDefault="00575AC3" w:rsidP="006D40F0">
            <w:r w:rsidRPr="006D40F0">
              <w:t>Fiskeriforskningsavgift, forhøyes med</w:t>
            </w:r>
          </w:p>
        </w:tc>
        <w:tc>
          <w:tcPr>
            <w:tcW w:w="1400" w:type="dxa"/>
            <w:tcBorders>
              <w:top w:val="nil"/>
              <w:left w:val="nil"/>
              <w:bottom w:val="nil"/>
              <w:right w:val="nil"/>
            </w:tcBorders>
            <w:tcMar>
              <w:top w:w="128" w:type="dxa"/>
              <w:left w:w="43" w:type="dxa"/>
              <w:bottom w:w="43" w:type="dxa"/>
              <w:right w:w="43" w:type="dxa"/>
            </w:tcMar>
            <w:vAlign w:val="bottom"/>
          </w:tcPr>
          <w:p w14:paraId="49354C97" w14:textId="77777777" w:rsidR="00575AC3" w:rsidRPr="006D40F0" w:rsidRDefault="00575AC3" w:rsidP="006D40F0">
            <w:r w:rsidRPr="006D40F0">
              <w:t>18 800 000</w:t>
            </w:r>
          </w:p>
        </w:tc>
      </w:tr>
      <w:tr w:rsidR="00DD49A7" w:rsidRPr="006D40F0" w14:paraId="562DA9B4" w14:textId="77777777">
        <w:trPr>
          <w:trHeight w:val="380"/>
        </w:trPr>
        <w:tc>
          <w:tcPr>
            <w:tcW w:w="680" w:type="dxa"/>
            <w:tcBorders>
              <w:top w:val="nil"/>
              <w:left w:val="nil"/>
              <w:bottom w:val="nil"/>
              <w:right w:val="nil"/>
            </w:tcBorders>
            <w:tcMar>
              <w:top w:w="128" w:type="dxa"/>
              <w:left w:w="43" w:type="dxa"/>
              <w:bottom w:w="43" w:type="dxa"/>
              <w:right w:w="43" w:type="dxa"/>
            </w:tcMar>
          </w:tcPr>
          <w:p w14:paraId="44912B8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03F8E6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47776F" w14:textId="77777777" w:rsidR="00575AC3" w:rsidRPr="006D40F0" w:rsidRDefault="00575AC3" w:rsidP="006D40F0">
            <w:r w:rsidRPr="006D40F0">
              <w:t>fra kr 365 400 000 til kr 384 200 000</w:t>
            </w:r>
          </w:p>
        </w:tc>
        <w:tc>
          <w:tcPr>
            <w:tcW w:w="1400" w:type="dxa"/>
            <w:tcBorders>
              <w:top w:val="nil"/>
              <w:left w:val="nil"/>
              <w:bottom w:val="nil"/>
              <w:right w:val="nil"/>
            </w:tcBorders>
            <w:tcMar>
              <w:top w:w="128" w:type="dxa"/>
              <w:left w:w="43" w:type="dxa"/>
              <w:bottom w:w="43" w:type="dxa"/>
              <w:right w:w="43" w:type="dxa"/>
            </w:tcMar>
            <w:vAlign w:val="bottom"/>
          </w:tcPr>
          <w:p w14:paraId="5DBDD1FC" w14:textId="77777777" w:rsidR="00575AC3" w:rsidRPr="006D40F0" w:rsidRDefault="00575AC3" w:rsidP="006D40F0"/>
        </w:tc>
      </w:tr>
      <w:tr w:rsidR="00DD49A7" w:rsidRPr="006D40F0" w14:paraId="0069058E" w14:textId="77777777">
        <w:trPr>
          <w:trHeight w:val="380"/>
        </w:trPr>
        <w:tc>
          <w:tcPr>
            <w:tcW w:w="680" w:type="dxa"/>
            <w:tcBorders>
              <w:top w:val="nil"/>
              <w:left w:val="nil"/>
              <w:bottom w:val="nil"/>
              <w:right w:val="nil"/>
            </w:tcBorders>
            <w:tcMar>
              <w:top w:w="128" w:type="dxa"/>
              <w:left w:w="43" w:type="dxa"/>
              <w:bottom w:w="43" w:type="dxa"/>
              <w:right w:w="43" w:type="dxa"/>
            </w:tcMar>
          </w:tcPr>
          <w:p w14:paraId="30D4539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C9731E6" w14:textId="77777777" w:rsidR="00575AC3" w:rsidRPr="006D40F0" w:rsidRDefault="00575AC3" w:rsidP="006D40F0">
            <w:r w:rsidRPr="006D40F0">
              <w:t>76</w:t>
            </w:r>
          </w:p>
        </w:tc>
        <w:tc>
          <w:tcPr>
            <w:tcW w:w="6800" w:type="dxa"/>
            <w:tcBorders>
              <w:top w:val="nil"/>
              <w:left w:val="nil"/>
              <w:bottom w:val="nil"/>
              <w:right w:val="nil"/>
            </w:tcBorders>
            <w:tcMar>
              <w:top w:w="128" w:type="dxa"/>
              <w:left w:w="43" w:type="dxa"/>
              <w:bottom w:w="43" w:type="dxa"/>
              <w:right w:w="43" w:type="dxa"/>
            </w:tcMar>
          </w:tcPr>
          <w:p w14:paraId="2F623C4B" w14:textId="77777777" w:rsidR="00575AC3" w:rsidRPr="006D40F0" w:rsidRDefault="00575AC3" w:rsidP="006D40F0">
            <w:r w:rsidRPr="006D40F0">
              <w:t>Kontrollavgift fiskeflåten, nedsettes med</w:t>
            </w:r>
          </w:p>
        </w:tc>
        <w:tc>
          <w:tcPr>
            <w:tcW w:w="1400" w:type="dxa"/>
            <w:tcBorders>
              <w:top w:val="nil"/>
              <w:left w:val="nil"/>
              <w:bottom w:val="nil"/>
              <w:right w:val="nil"/>
            </w:tcBorders>
            <w:tcMar>
              <w:top w:w="128" w:type="dxa"/>
              <w:left w:w="43" w:type="dxa"/>
              <w:bottom w:w="43" w:type="dxa"/>
              <w:right w:w="43" w:type="dxa"/>
            </w:tcMar>
            <w:vAlign w:val="bottom"/>
          </w:tcPr>
          <w:p w14:paraId="66AFC6C3" w14:textId="77777777" w:rsidR="00575AC3" w:rsidRPr="006D40F0" w:rsidRDefault="00575AC3" w:rsidP="006D40F0">
            <w:r w:rsidRPr="006D40F0">
              <w:t>4 300 000</w:t>
            </w:r>
          </w:p>
        </w:tc>
      </w:tr>
      <w:tr w:rsidR="00DD49A7" w:rsidRPr="006D40F0" w14:paraId="161BC605" w14:textId="77777777">
        <w:trPr>
          <w:trHeight w:val="380"/>
        </w:trPr>
        <w:tc>
          <w:tcPr>
            <w:tcW w:w="680" w:type="dxa"/>
            <w:tcBorders>
              <w:top w:val="nil"/>
              <w:left w:val="nil"/>
              <w:bottom w:val="nil"/>
              <w:right w:val="nil"/>
            </w:tcBorders>
            <w:tcMar>
              <w:top w:w="128" w:type="dxa"/>
              <w:left w:w="43" w:type="dxa"/>
              <w:bottom w:w="43" w:type="dxa"/>
              <w:right w:w="43" w:type="dxa"/>
            </w:tcMar>
          </w:tcPr>
          <w:p w14:paraId="5806BC7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796E6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8C9A90" w14:textId="77777777" w:rsidR="00575AC3" w:rsidRPr="006D40F0" w:rsidRDefault="00575AC3" w:rsidP="006D40F0">
            <w:r w:rsidRPr="006D40F0">
              <w:t>fra kr 54 500 000 til kr 50 200 000</w:t>
            </w:r>
          </w:p>
        </w:tc>
        <w:tc>
          <w:tcPr>
            <w:tcW w:w="1400" w:type="dxa"/>
            <w:tcBorders>
              <w:top w:val="nil"/>
              <w:left w:val="nil"/>
              <w:bottom w:val="nil"/>
              <w:right w:val="nil"/>
            </w:tcBorders>
            <w:tcMar>
              <w:top w:w="128" w:type="dxa"/>
              <w:left w:w="43" w:type="dxa"/>
              <w:bottom w:w="43" w:type="dxa"/>
              <w:right w:w="43" w:type="dxa"/>
            </w:tcMar>
            <w:vAlign w:val="bottom"/>
          </w:tcPr>
          <w:p w14:paraId="231274E9" w14:textId="77777777" w:rsidR="00575AC3" w:rsidRPr="006D40F0" w:rsidRDefault="00575AC3" w:rsidP="006D40F0"/>
        </w:tc>
      </w:tr>
      <w:tr w:rsidR="00DD49A7" w:rsidRPr="006D40F0" w14:paraId="3C7506D7" w14:textId="77777777">
        <w:trPr>
          <w:trHeight w:val="380"/>
        </w:trPr>
        <w:tc>
          <w:tcPr>
            <w:tcW w:w="680" w:type="dxa"/>
            <w:tcBorders>
              <w:top w:val="nil"/>
              <w:left w:val="nil"/>
              <w:bottom w:val="nil"/>
              <w:right w:val="nil"/>
            </w:tcBorders>
            <w:tcMar>
              <w:top w:w="128" w:type="dxa"/>
              <w:left w:w="43" w:type="dxa"/>
              <w:bottom w:w="43" w:type="dxa"/>
              <w:right w:w="43" w:type="dxa"/>
            </w:tcMar>
          </w:tcPr>
          <w:p w14:paraId="42886A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65F5C88" w14:textId="77777777" w:rsidR="00575AC3" w:rsidRPr="006D40F0" w:rsidRDefault="00575AC3" w:rsidP="006D40F0">
            <w:r w:rsidRPr="006D40F0">
              <w:t>77</w:t>
            </w:r>
          </w:p>
        </w:tc>
        <w:tc>
          <w:tcPr>
            <w:tcW w:w="6800" w:type="dxa"/>
            <w:tcBorders>
              <w:top w:val="nil"/>
              <w:left w:val="nil"/>
              <w:bottom w:val="nil"/>
              <w:right w:val="nil"/>
            </w:tcBorders>
            <w:tcMar>
              <w:top w:w="128" w:type="dxa"/>
              <w:left w:w="43" w:type="dxa"/>
              <w:bottom w:w="43" w:type="dxa"/>
              <w:right w:w="43" w:type="dxa"/>
            </w:tcMar>
          </w:tcPr>
          <w:p w14:paraId="136D88C1" w14:textId="77777777" w:rsidR="00575AC3" w:rsidRPr="006D40F0" w:rsidRDefault="00575AC3" w:rsidP="006D40F0">
            <w:r w:rsidRPr="006D40F0">
              <w:t>Sektoravgifter Kystverket, forhøyes med</w:t>
            </w:r>
          </w:p>
        </w:tc>
        <w:tc>
          <w:tcPr>
            <w:tcW w:w="1400" w:type="dxa"/>
            <w:tcBorders>
              <w:top w:val="nil"/>
              <w:left w:val="nil"/>
              <w:bottom w:val="nil"/>
              <w:right w:val="nil"/>
            </w:tcBorders>
            <w:tcMar>
              <w:top w:w="128" w:type="dxa"/>
              <w:left w:w="43" w:type="dxa"/>
              <w:bottom w:w="43" w:type="dxa"/>
              <w:right w:w="43" w:type="dxa"/>
            </w:tcMar>
            <w:vAlign w:val="bottom"/>
          </w:tcPr>
          <w:p w14:paraId="6C240231" w14:textId="77777777" w:rsidR="00575AC3" w:rsidRPr="006D40F0" w:rsidRDefault="00575AC3" w:rsidP="006D40F0">
            <w:r w:rsidRPr="006D40F0">
              <w:t>159 600 000</w:t>
            </w:r>
          </w:p>
        </w:tc>
      </w:tr>
      <w:tr w:rsidR="00DD49A7" w:rsidRPr="006D40F0" w14:paraId="12EDF8DB" w14:textId="77777777">
        <w:trPr>
          <w:trHeight w:val="380"/>
        </w:trPr>
        <w:tc>
          <w:tcPr>
            <w:tcW w:w="680" w:type="dxa"/>
            <w:tcBorders>
              <w:top w:val="nil"/>
              <w:left w:val="nil"/>
              <w:bottom w:val="nil"/>
              <w:right w:val="nil"/>
            </w:tcBorders>
            <w:tcMar>
              <w:top w:w="128" w:type="dxa"/>
              <w:left w:w="43" w:type="dxa"/>
              <w:bottom w:w="43" w:type="dxa"/>
              <w:right w:w="43" w:type="dxa"/>
            </w:tcMar>
          </w:tcPr>
          <w:p w14:paraId="7094357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D38AB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E7C8357" w14:textId="77777777" w:rsidR="00575AC3" w:rsidRPr="006D40F0" w:rsidRDefault="00575AC3" w:rsidP="006D40F0">
            <w:r w:rsidRPr="006D40F0">
              <w:t>fra kr 1 017 371 000 til kr 1 176 971 000</w:t>
            </w:r>
          </w:p>
        </w:tc>
        <w:tc>
          <w:tcPr>
            <w:tcW w:w="1400" w:type="dxa"/>
            <w:tcBorders>
              <w:top w:val="nil"/>
              <w:left w:val="nil"/>
              <w:bottom w:val="nil"/>
              <w:right w:val="nil"/>
            </w:tcBorders>
            <w:tcMar>
              <w:top w:w="128" w:type="dxa"/>
              <w:left w:w="43" w:type="dxa"/>
              <w:bottom w:w="43" w:type="dxa"/>
              <w:right w:w="43" w:type="dxa"/>
            </w:tcMar>
            <w:vAlign w:val="bottom"/>
          </w:tcPr>
          <w:p w14:paraId="19C76EAF" w14:textId="77777777" w:rsidR="00575AC3" w:rsidRPr="006D40F0" w:rsidRDefault="00575AC3" w:rsidP="006D40F0"/>
        </w:tc>
      </w:tr>
      <w:tr w:rsidR="00DD49A7" w:rsidRPr="006D40F0" w14:paraId="0268C1D1" w14:textId="77777777">
        <w:trPr>
          <w:trHeight w:val="380"/>
        </w:trPr>
        <w:tc>
          <w:tcPr>
            <w:tcW w:w="680" w:type="dxa"/>
            <w:tcBorders>
              <w:top w:val="nil"/>
              <w:left w:val="nil"/>
              <w:bottom w:val="nil"/>
              <w:right w:val="nil"/>
            </w:tcBorders>
            <w:tcMar>
              <w:top w:w="128" w:type="dxa"/>
              <w:left w:w="43" w:type="dxa"/>
              <w:bottom w:w="43" w:type="dxa"/>
              <w:right w:w="43" w:type="dxa"/>
            </w:tcMar>
          </w:tcPr>
          <w:p w14:paraId="4E70B5C3" w14:textId="77777777" w:rsidR="00575AC3" w:rsidRPr="006D40F0" w:rsidRDefault="00575AC3" w:rsidP="006D40F0">
            <w:r w:rsidRPr="006D40F0">
              <w:t>5576</w:t>
            </w:r>
          </w:p>
        </w:tc>
        <w:tc>
          <w:tcPr>
            <w:tcW w:w="680" w:type="dxa"/>
            <w:tcBorders>
              <w:top w:val="nil"/>
              <w:left w:val="nil"/>
              <w:bottom w:val="nil"/>
              <w:right w:val="nil"/>
            </w:tcBorders>
            <w:tcMar>
              <w:top w:w="128" w:type="dxa"/>
              <w:left w:w="43" w:type="dxa"/>
              <w:bottom w:w="43" w:type="dxa"/>
              <w:right w:w="43" w:type="dxa"/>
            </w:tcMar>
          </w:tcPr>
          <w:p w14:paraId="54F9C94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DAAFDDD" w14:textId="77777777" w:rsidR="00575AC3" w:rsidRPr="006D40F0" w:rsidRDefault="00575AC3" w:rsidP="006D40F0">
            <w:r w:rsidRPr="006D40F0">
              <w:t>Sektoravgifter under Landbruks- og matdepartementet:</w:t>
            </w:r>
          </w:p>
        </w:tc>
        <w:tc>
          <w:tcPr>
            <w:tcW w:w="1400" w:type="dxa"/>
            <w:tcBorders>
              <w:top w:val="nil"/>
              <w:left w:val="nil"/>
              <w:bottom w:val="nil"/>
              <w:right w:val="nil"/>
            </w:tcBorders>
            <w:tcMar>
              <w:top w:w="128" w:type="dxa"/>
              <w:left w:w="43" w:type="dxa"/>
              <w:bottom w:w="43" w:type="dxa"/>
              <w:right w:w="43" w:type="dxa"/>
            </w:tcMar>
            <w:vAlign w:val="bottom"/>
          </w:tcPr>
          <w:p w14:paraId="73D9B7B0" w14:textId="77777777" w:rsidR="00575AC3" w:rsidRPr="006D40F0" w:rsidRDefault="00575AC3" w:rsidP="006D40F0"/>
        </w:tc>
      </w:tr>
      <w:tr w:rsidR="00DD49A7" w:rsidRPr="006D40F0" w14:paraId="5018E192" w14:textId="77777777">
        <w:trPr>
          <w:trHeight w:val="380"/>
        </w:trPr>
        <w:tc>
          <w:tcPr>
            <w:tcW w:w="680" w:type="dxa"/>
            <w:tcBorders>
              <w:top w:val="nil"/>
              <w:left w:val="nil"/>
              <w:bottom w:val="nil"/>
              <w:right w:val="nil"/>
            </w:tcBorders>
            <w:tcMar>
              <w:top w:w="128" w:type="dxa"/>
              <w:left w:w="43" w:type="dxa"/>
              <w:bottom w:w="43" w:type="dxa"/>
              <w:right w:w="43" w:type="dxa"/>
            </w:tcMar>
          </w:tcPr>
          <w:p w14:paraId="07E0318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ED940F8"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2F9E3FA7" w14:textId="77777777" w:rsidR="00575AC3" w:rsidRPr="006D40F0" w:rsidRDefault="00575AC3" w:rsidP="006D40F0">
            <w:r w:rsidRPr="006D40F0">
              <w:t>Jeger- og fellingsavgifter, nedsettes med</w:t>
            </w:r>
          </w:p>
        </w:tc>
        <w:tc>
          <w:tcPr>
            <w:tcW w:w="1400" w:type="dxa"/>
            <w:tcBorders>
              <w:top w:val="nil"/>
              <w:left w:val="nil"/>
              <w:bottom w:val="nil"/>
              <w:right w:val="nil"/>
            </w:tcBorders>
            <w:tcMar>
              <w:top w:w="128" w:type="dxa"/>
              <w:left w:w="43" w:type="dxa"/>
              <w:bottom w:w="43" w:type="dxa"/>
              <w:right w:w="43" w:type="dxa"/>
            </w:tcMar>
            <w:vAlign w:val="bottom"/>
          </w:tcPr>
          <w:p w14:paraId="64FCC4DB" w14:textId="77777777" w:rsidR="00575AC3" w:rsidRPr="006D40F0" w:rsidRDefault="00575AC3" w:rsidP="006D40F0">
            <w:r w:rsidRPr="006D40F0">
              <w:t>6 000 000</w:t>
            </w:r>
          </w:p>
        </w:tc>
      </w:tr>
      <w:tr w:rsidR="00DD49A7" w:rsidRPr="006D40F0" w14:paraId="395B42B9" w14:textId="77777777">
        <w:trPr>
          <w:trHeight w:val="380"/>
        </w:trPr>
        <w:tc>
          <w:tcPr>
            <w:tcW w:w="680" w:type="dxa"/>
            <w:tcBorders>
              <w:top w:val="nil"/>
              <w:left w:val="nil"/>
              <w:bottom w:val="nil"/>
              <w:right w:val="nil"/>
            </w:tcBorders>
            <w:tcMar>
              <w:top w:w="128" w:type="dxa"/>
              <w:left w:w="43" w:type="dxa"/>
              <w:bottom w:w="43" w:type="dxa"/>
              <w:right w:w="43" w:type="dxa"/>
            </w:tcMar>
          </w:tcPr>
          <w:p w14:paraId="659279F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F5E40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DE85E7A" w14:textId="77777777" w:rsidR="00575AC3" w:rsidRPr="006D40F0" w:rsidRDefault="00575AC3" w:rsidP="006D40F0">
            <w:r w:rsidRPr="006D40F0">
              <w:t>fra kr 96 000 000 til kr 90 000 000</w:t>
            </w:r>
          </w:p>
        </w:tc>
        <w:tc>
          <w:tcPr>
            <w:tcW w:w="1400" w:type="dxa"/>
            <w:tcBorders>
              <w:top w:val="nil"/>
              <w:left w:val="nil"/>
              <w:bottom w:val="nil"/>
              <w:right w:val="nil"/>
            </w:tcBorders>
            <w:tcMar>
              <w:top w:w="128" w:type="dxa"/>
              <w:left w:w="43" w:type="dxa"/>
              <w:bottom w:w="43" w:type="dxa"/>
              <w:right w:w="43" w:type="dxa"/>
            </w:tcMar>
            <w:vAlign w:val="bottom"/>
          </w:tcPr>
          <w:p w14:paraId="767D20AB" w14:textId="77777777" w:rsidR="00575AC3" w:rsidRPr="006D40F0" w:rsidRDefault="00575AC3" w:rsidP="006D40F0"/>
        </w:tc>
      </w:tr>
      <w:tr w:rsidR="00DD49A7" w:rsidRPr="006D40F0" w14:paraId="35737E27" w14:textId="77777777">
        <w:trPr>
          <w:trHeight w:val="380"/>
        </w:trPr>
        <w:tc>
          <w:tcPr>
            <w:tcW w:w="680" w:type="dxa"/>
            <w:tcBorders>
              <w:top w:val="nil"/>
              <w:left w:val="nil"/>
              <w:bottom w:val="nil"/>
              <w:right w:val="nil"/>
            </w:tcBorders>
            <w:tcMar>
              <w:top w:w="128" w:type="dxa"/>
              <w:left w:w="43" w:type="dxa"/>
              <w:bottom w:w="43" w:type="dxa"/>
              <w:right w:w="43" w:type="dxa"/>
            </w:tcMar>
          </w:tcPr>
          <w:p w14:paraId="7D1B7DC2" w14:textId="77777777" w:rsidR="00575AC3" w:rsidRPr="006D40F0" w:rsidRDefault="00575AC3" w:rsidP="006D40F0">
            <w:r w:rsidRPr="006D40F0">
              <w:t>5579</w:t>
            </w:r>
          </w:p>
        </w:tc>
        <w:tc>
          <w:tcPr>
            <w:tcW w:w="680" w:type="dxa"/>
            <w:tcBorders>
              <w:top w:val="nil"/>
              <w:left w:val="nil"/>
              <w:bottom w:val="nil"/>
              <w:right w:val="nil"/>
            </w:tcBorders>
            <w:tcMar>
              <w:top w:w="128" w:type="dxa"/>
              <w:left w:w="43" w:type="dxa"/>
              <w:bottom w:w="43" w:type="dxa"/>
              <w:right w:w="43" w:type="dxa"/>
            </w:tcMar>
          </w:tcPr>
          <w:p w14:paraId="22B4716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6FC5BF" w14:textId="77777777" w:rsidR="00575AC3" w:rsidRPr="006D40F0" w:rsidRDefault="00575AC3" w:rsidP="006D40F0">
            <w:r w:rsidRPr="006D40F0">
              <w:t>Sektoravgifter under Digitaliserings- og forvaltningsdepartementet:</w:t>
            </w:r>
          </w:p>
        </w:tc>
        <w:tc>
          <w:tcPr>
            <w:tcW w:w="1400" w:type="dxa"/>
            <w:tcBorders>
              <w:top w:val="nil"/>
              <w:left w:val="nil"/>
              <w:bottom w:val="nil"/>
              <w:right w:val="nil"/>
            </w:tcBorders>
            <w:tcMar>
              <w:top w:w="128" w:type="dxa"/>
              <w:left w:w="43" w:type="dxa"/>
              <w:bottom w:w="43" w:type="dxa"/>
              <w:right w:w="43" w:type="dxa"/>
            </w:tcMar>
            <w:vAlign w:val="bottom"/>
          </w:tcPr>
          <w:p w14:paraId="7E023335" w14:textId="77777777" w:rsidR="00575AC3" w:rsidRPr="006D40F0" w:rsidRDefault="00575AC3" w:rsidP="006D40F0"/>
        </w:tc>
      </w:tr>
      <w:tr w:rsidR="00DD49A7" w:rsidRPr="006D40F0" w14:paraId="3F3DF973" w14:textId="77777777">
        <w:trPr>
          <w:trHeight w:val="380"/>
        </w:trPr>
        <w:tc>
          <w:tcPr>
            <w:tcW w:w="680" w:type="dxa"/>
            <w:tcBorders>
              <w:top w:val="nil"/>
              <w:left w:val="nil"/>
              <w:bottom w:val="nil"/>
              <w:right w:val="nil"/>
            </w:tcBorders>
            <w:tcMar>
              <w:top w:w="128" w:type="dxa"/>
              <w:left w:w="43" w:type="dxa"/>
              <w:bottom w:w="43" w:type="dxa"/>
              <w:right w:w="43" w:type="dxa"/>
            </w:tcMar>
          </w:tcPr>
          <w:p w14:paraId="2ABB686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2A1D14C"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44E73730" w14:textId="77777777" w:rsidR="00575AC3" w:rsidRPr="006D40F0" w:rsidRDefault="00575AC3" w:rsidP="006D40F0">
            <w:r w:rsidRPr="006D40F0">
              <w:t>Sektoravgifter Nasjonal kommunikasjonsmyndighet, nedsettes med</w:t>
            </w:r>
          </w:p>
        </w:tc>
        <w:tc>
          <w:tcPr>
            <w:tcW w:w="1400" w:type="dxa"/>
            <w:tcBorders>
              <w:top w:val="nil"/>
              <w:left w:val="nil"/>
              <w:bottom w:val="nil"/>
              <w:right w:val="nil"/>
            </w:tcBorders>
            <w:tcMar>
              <w:top w:w="128" w:type="dxa"/>
              <w:left w:w="43" w:type="dxa"/>
              <w:bottom w:w="43" w:type="dxa"/>
              <w:right w:w="43" w:type="dxa"/>
            </w:tcMar>
            <w:vAlign w:val="bottom"/>
          </w:tcPr>
          <w:p w14:paraId="753CF989" w14:textId="77777777" w:rsidR="00575AC3" w:rsidRPr="006D40F0" w:rsidRDefault="00575AC3" w:rsidP="006D40F0">
            <w:r w:rsidRPr="006D40F0">
              <w:t>1 979 000</w:t>
            </w:r>
          </w:p>
        </w:tc>
      </w:tr>
      <w:tr w:rsidR="00DD49A7" w:rsidRPr="006D40F0" w14:paraId="4EFDBAEC" w14:textId="77777777">
        <w:trPr>
          <w:trHeight w:val="380"/>
        </w:trPr>
        <w:tc>
          <w:tcPr>
            <w:tcW w:w="680" w:type="dxa"/>
            <w:tcBorders>
              <w:top w:val="nil"/>
              <w:left w:val="nil"/>
              <w:bottom w:val="nil"/>
              <w:right w:val="nil"/>
            </w:tcBorders>
            <w:tcMar>
              <w:top w:w="128" w:type="dxa"/>
              <w:left w:w="43" w:type="dxa"/>
              <w:bottom w:w="43" w:type="dxa"/>
              <w:right w:w="43" w:type="dxa"/>
            </w:tcMar>
          </w:tcPr>
          <w:p w14:paraId="4797943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1D908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23DFAF0" w14:textId="77777777" w:rsidR="00575AC3" w:rsidRPr="006D40F0" w:rsidRDefault="00575AC3" w:rsidP="006D40F0">
            <w:r w:rsidRPr="006D40F0">
              <w:t>fra kr 281 165 000 til kr 279 186 000</w:t>
            </w:r>
          </w:p>
        </w:tc>
        <w:tc>
          <w:tcPr>
            <w:tcW w:w="1400" w:type="dxa"/>
            <w:tcBorders>
              <w:top w:val="nil"/>
              <w:left w:val="nil"/>
              <w:bottom w:val="nil"/>
              <w:right w:val="nil"/>
            </w:tcBorders>
            <w:tcMar>
              <w:top w:w="128" w:type="dxa"/>
              <w:left w:w="43" w:type="dxa"/>
              <w:bottom w:w="43" w:type="dxa"/>
              <w:right w:w="43" w:type="dxa"/>
            </w:tcMar>
            <w:vAlign w:val="bottom"/>
          </w:tcPr>
          <w:p w14:paraId="6ED07AA3" w14:textId="77777777" w:rsidR="00575AC3" w:rsidRPr="006D40F0" w:rsidRDefault="00575AC3" w:rsidP="006D40F0"/>
        </w:tc>
      </w:tr>
      <w:tr w:rsidR="00DD49A7" w:rsidRPr="006D40F0" w14:paraId="07C8BBD5" w14:textId="77777777">
        <w:trPr>
          <w:trHeight w:val="380"/>
        </w:trPr>
        <w:tc>
          <w:tcPr>
            <w:tcW w:w="680" w:type="dxa"/>
            <w:tcBorders>
              <w:top w:val="nil"/>
              <w:left w:val="nil"/>
              <w:bottom w:val="nil"/>
              <w:right w:val="nil"/>
            </w:tcBorders>
            <w:tcMar>
              <w:top w:w="128" w:type="dxa"/>
              <w:left w:w="43" w:type="dxa"/>
              <w:bottom w:w="43" w:type="dxa"/>
              <w:right w:w="43" w:type="dxa"/>
            </w:tcMar>
          </w:tcPr>
          <w:p w14:paraId="76F8C560" w14:textId="77777777" w:rsidR="00575AC3" w:rsidRPr="006D40F0" w:rsidRDefault="00575AC3" w:rsidP="006D40F0">
            <w:r w:rsidRPr="006D40F0">
              <w:t>5582</w:t>
            </w:r>
          </w:p>
        </w:tc>
        <w:tc>
          <w:tcPr>
            <w:tcW w:w="680" w:type="dxa"/>
            <w:tcBorders>
              <w:top w:val="nil"/>
              <w:left w:val="nil"/>
              <w:bottom w:val="nil"/>
              <w:right w:val="nil"/>
            </w:tcBorders>
            <w:tcMar>
              <w:top w:w="128" w:type="dxa"/>
              <w:left w:w="43" w:type="dxa"/>
              <w:bottom w:w="43" w:type="dxa"/>
              <w:right w:w="43" w:type="dxa"/>
            </w:tcMar>
          </w:tcPr>
          <w:p w14:paraId="40B8E55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0422E91" w14:textId="77777777" w:rsidR="00575AC3" w:rsidRPr="006D40F0" w:rsidRDefault="00575AC3" w:rsidP="006D40F0">
            <w:r w:rsidRPr="006D40F0">
              <w:t>Sektoravgifter under Energidepartementet:</w:t>
            </w:r>
          </w:p>
        </w:tc>
        <w:tc>
          <w:tcPr>
            <w:tcW w:w="1400" w:type="dxa"/>
            <w:tcBorders>
              <w:top w:val="nil"/>
              <w:left w:val="nil"/>
              <w:bottom w:val="nil"/>
              <w:right w:val="nil"/>
            </w:tcBorders>
            <w:tcMar>
              <w:top w:w="128" w:type="dxa"/>
              <w:left w:w="43" w:type="dxa"/>
              <w:bottom w:w="43" w:type="dxa"/>
              <w:right w:w="43" w:type="dxa"/>
            </w:tcMar>
            <w:vAlign w:val="bottom"/>
          </w:tcPr>
          <w:p w14:paraId="560137DB" w14:textId="77777777" w:rsidR="00575AC3" w:rsidRPr="006D40F0" w:rsidRDefault="00575AC3" w:rsidP="006D40F0"/>
        </w:tc>
      </w:tr>
      <w:tr w:rsidR="00DD49A7" w:rsidRPr="006D40F0" w14:paraId="4DE9686B" w14:textId="77777777">
        <w:trPr>
          <w:trHeight w:val="380"/>
        </w:trPr>
        <w:tc>
          <w:tcPr>
            <w:tcW w:w="680" w:type="dxa"/>
            <w:tcBorders>
              <w:top w:val="nil"/>
              <w:left w:val="nil"/>
              <w:bottom w:val="nil"/>
              <w:right w:val="nil"/>
            </w:tcBorders>
            <w:tcMar>
              <w:top w:w="128" w:type="dxa"/>
              <w:left w:w="43" w:type="dxa"/>
              <w:bottom w:w="43" w:type="dxa"/>
              <w:right w:w="43" w:type="dxa"/>
            </w:tcMar>
          </w:tcPr>
          <w:p w14:paraId="3ADA83B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BFCCDB0"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5C6BC595" w14:textId="77777777" w:rsidR="00575AC3" w:rsidRPr="006D40F0" w:rsidRDefault="00575AC3" w:rsidP="006D40F0">
            <w:r w:rsidRPr="006D40F0">
              <w:t>Bidrag til kulturminnevern i regulerte vassdrag, forhøyes med</w:t>
            </w:r>
          </w:p>
        </w:tc>
        <w:tc>
          <w:tcPr>
            <w:tcW w:w="1400" w:type="dxa"/>
            <w:tcBorders>
              <w:top w:val="nil"/>
              <w:left w:val="nil"/>
              <w:bottom w:val="nil"/>
              <w:right w:val="nil"/>
            </w:tcBorders>
            <w:tcMar>
              <w:top w:w="128" w:type="dxa"/>
              <w:left w:w="43" w:type="dxa"/>
              <w:bottom w:w="43" w:type="dxa"/>
              <w:right w:w="43" w:type="dxa"/>
            </w:tcMar>
            <w:vAlign w:val="bottom"/>
          </w:tcPr>
          <w:p w14:paraId="2D87CDA8" w14:textId="77777777" w:rsidR="00575AC3" w:rsidRPr="006D40F0" w:rsidRDefault="00575AC3" w:rsidP="006D40F0">
            <w:r w:rsidRPr="006D40F0">
              <w:t>4 000 000</w:t>
            </w:r>
          </w:p>
        </w:tc>
      </w:tr>
      <w:tr w:rsidR="00DD49A7" w:rsidRPr="006D40F0" w14:paraId="7BF94CBC" w14:textId="77777777">
        <w:trPr>
          <w:trHeight w:val="380"/>
        </w:trPr>
        <w:tc>
          <w:tcPr>
            <w:tcW w:w="680" w:type="dxa"/>
            <w:tcBorders>
              <w:top w:val="nil"/>
              <w:left w:val="nil"/>
              <w:bottom w:val="nil"/>
              <w:right w:val="nil"/>
            </w:tcBorders>
            <w:tcMar>
              <w:top w:w="128" w:type="dxa"/>
              <w:left w:w="43" w:type="dxa"/>
              <w:bottom w:w="43" w:type="dxa"/>
              <w:right w:w="43" w:type="dxa"/>
            </w:tcMar>
          </w:tcPr>
          <w:p w14:paraId="0E57A82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DB1E2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821E37E" w14:textId="77777777" w:rsidR="00575AC3" w:rsidRPr="006D40F0" w:rsidRDefault="00575AC3" w:rsidP="006D40F0">
            <w:r w:rsidRPr="006D40F0">
              <w:t>fra kr 2 000 000 til kr 6 000 000</w:t>
            </w:r>
          </w:p>
        </w:tc>
        <w:tc>
          <w:tcPr>
            <w:tcW w:w="1400" w:type="dxa"/>
            <w:tcBorders>
              <w:top w:val="nil"/>
              <w:left w:val="nil"/>
              <w:bottom w:val="nil"/>
              <w:right w:val="nil"/>
            </w:tcBorders>
            <w:tcMar>
              <w:top w:w="128" w:type="dxa"/>
              <w:left w:w="43" w:type="dxa"/>
              <w:bottom w:w="43" w:type="dxa"/>
              <w:right w:w="43" w:type="dxa"/>
            </w:tcMar>
            <w:vAlign w:val="bottom"/>
          </w:tcPr>
          <w:p w14:paraId="67211A42" w14:textId="77777777" w:rsidR="00575AC3" w:rsidRPr="006D40F0" w:rsidRDefault="00575AC3" w:rsidP="006D40F0"/>
        </w:tc>
      </w:tr>
      <w:tr w:rsidR="00DD49A7" w:rsidRPr="006D40F0" w14:paraId="5D699761" w14:textId="77777777">
        <w:trPr>
          <w:trHeight w:val="380"/>
        </w:trPr>
        <w:tc>
          <w:tcPr>
            <w:tcW w:w="680" w:type="dxa"/>
            <w:tcBorders>
              <w:top w:val="nil"/>
              <w:left w:val="nil"/>
              <w:bottom w:val="nil"/>
              <w:right w:val="nil"/>
            </w:tcBorders>
            <w:tcMar>
              <w:top w:w="128" w:type="dxa"/>
              <w:left w:w="43" w:type="dxa"/>
              <w:bottom w:w="43" w:type="dxa"/>
              <w:right w:w="43" w:type="dxa"/>
            </w:tcMar>
          </w:tcPr>
          <w:p w14:paraId="2601C4A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E30EC5"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DBA60F4" w14:textId="77777777" w:rsidR="00575AC3" w:rsidRPr="006D40F0" w:rsidRDefault="00575AC3" w:rsidP="006D40F0">
            <w:r w:rsidRPr="006D40F0">
              <w:t>Konsesjonsavgifter fra vannkraftutbygging, forhøyes med</w:t>
            </w:r>
          </w:p>
        </w:tc>
        <w:tc>
          <w:tcPr>
            <w:tcW w:w="1400" w:type="dxa"/>
            <w:tcBorders>
              <w:top w:val="nil"/>
              <w:left w:val="nil"/>
              <w:bottom w:val="nil"/>
              <w:right w:val="nil"/>
            </w:tcBorders>
            <w:tcMar>
              <w:top w:w="128" w:type="dxa"/>
              <w:left w:w="43" w:type="dxa"/>
              <w:bottom w:w="43" w:type="dxa"/>
              <w:right w:w="43" w:type="dxa"/>
            </w:tcMar>
            <w:vAlign w:val="bottom"/>
          </w:tcPr>
          <w:p w14:paraId="12262BC3" w14:textId="77777777" w:rsidR="00575AC3" w:rsidRPr="006D40F0" w:rsidRDefault="00575AC3" w:rsidP="006D40F0">
            <w:r w:rsidRPr="006D40F0">
              <w:t>9 400 000</w:t>
            </w:r>
          </w:p>
        </w:tc>
      </w:tr>
      <w:tr w:rsidR="00DD49A7" w:rsidRPr="006D40F0" w14:paraId="24C25ECD" w14:textId="77777777">
        <w:trPr>
          <w:trHeight w:val="380"/>
        </w:trPr>
        <w:tc>
          <w:tcPr>
            <w:tcW w:w="680" w:type="dxa"/>
            <w:tcBorders>
              <w:top w:val="nil"/>
              <w:left w:val="nil"/>
              <w:bottom w:val="nil"/>
              <w:right w:val="nil"/>
            </w:tcBorders>
            <w:tcMar>
              <w:top w:w="128" w:type="dxa"/>
              <w:left w:w="43" w:type="dxa"/>
              <w:bottom w:w="43" w:type="dxa"/>
              <w:right w:w="43" w:type="dxa"/>
            </w:tcMar>
          </w:tcPr>
          <w:p w14:paraId="36E13F47"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A4554D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0D5ACD4" w14:textId="77777777" w:rsidR="00575AC3" w:rsidRPr="006D40F0" w:rsidRDefault="00575AC3" w:rsidP="006D40F0">
            <w:r w:rsidRPr="006D40F0">
              <w:t>fra kr 186 600 000 til kr 196 000 000</w:t>
            </w:r>
          </w:p>
        </w:tc>
        <w:tc>
          <w:tcPr>
            <w:tcW w:w="1400" w:type="dxa"/>
            <w:tcBorders>
              <w:top w:val="nil"/>
              <w:left w:val="nil"/>
              <w:bottom w:val="nil"/>
              <w:right w:val="nil"/>
            </w:tcBorders>
            <w:tcMar>
              <w:top w:w="128" w:type="dxa"/>
              <w:left w:w="43" w:type="dxa"/>
              <w:bottom w:w="43" w:type="dxa"/>
              <w:right w:w="43" w:type="dxa"/>
            </w:tcMar>
            <w:vAlign w:val="bottom"/>
          </w:tcPr>
          <w:p w14:paraId="30541550" w14:textId="77777777" w:rsidR="00575AC3" w:rsidRPr="006D40F0" w:rsidRDefault="00575AC3" w:rsidP="006D40F0"/>
        </w:tc>
      </w:tr>
      <w:tr w:rsidR="00DD49A7" w:rsidRPr="006D40F0" w14:paraId="1DA5EC13" w14:textId="77777777">
        <w:trPr>
          <w:trHeight w:val="640"/>
        </w:trPr>
        <w:tc>
          <w:tcPr>
            <w:tcW w:w="680" w:type="dxa"/>
            <w:tcBorders>
              <w:top w:val="nil"/>
              <w:left w:val="nil"/>
              <w:bottom w:val="nil"/>
              <w:right w:val="nil"/>
            </w:tcBorders>
            <w:tcMar>
              <w:top w:w="128" w:type="dxa"/>
              <w:left w:w="43" w:type="dxa"/>
              <w:bottom w:w="43" w:type="dxa"/>
              <w:right w:w="43" w:type="dxa"/>
            </w:tcMar>
          </w:tcPr>
          <w:p w14:paraId="4FBBB5E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3EAADF"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522E172F" w14:textId="77777777" w:rsidR="00575AC3" w:rsidRPr="006D40F0" w:rsidRDefault="00575AC3" w:rsidP="006D40F0">
            <w:r w:rsidRPr="006D40F0">
              <w:t>Sektoravgifter under Norges vassdrags- og energidirektorat, forhøyes med</w:t>
            </w:r>
          </w:p>
        </w:tc>
        <w:tc>
          <w:tcPr>
            <w:tcW w:w="1400" w:type="dxa"/>
            <w:tcBorders>
              <w:top w:val="nil"/>
              <w:left w:val="nil"/>
              <w:bottom w:val="nil"/>
              <w:right w:val="nil"/>
            </w:tcBorders>
            <w:tcMar>
              <w:top w:w="128" w:type="dxa"/>
              <w:left w:w="43" w:type="dxa"/>
              <w:bottom w:w="43" w:type="dxa"/>
              <w:right w:w="43" w:type="dxa"/>
            </w:tcMar>
            <w:vAlign w:val="bottom"/>
          </w:tcPr>
          <w:p w14:paraId="4D3C4EC0" w14:textId="77777777" w:rsidR="00575AC3" w:rsidRPr="006D40F0" w:rsidRDefault="00575AC3" w:rsidP="006D40F0">
            <w:r w:rsidRPr="006D40F0">
              <w:t>1 500 000</w:t>
            </w:r>
          </w:p>
        </w:tc>
      </w:tr>
      <w:tr w:rsidR="00DD49A7" w:rsidRPr="006D40F0" w14:paraId="0AFB40DF" w14:textId="77777777">
        <w:trPr>
          <w:trHeight w:val="380"/>
        </w:trPr>
        <w:tc>
          <w:tcPr>
            <w:tcW w:w="680" w:type="dxa"/>
            <w:tcBorders>
              <w:top w:val="nil"/>
              <w:left w:val="nil"/>
              <w:bottom w:val="nil"/>
              <w:right w:val="nil"/>
            </w:tcBorders>
            <w:tcMar>
              <w:top w:w="128" w:type="dxa"/>
              <w:left w:w="43" w:type="dxa"/>
              <w:bottom w:w="43" w:type="dxa"/>
              <w:right w:w="43" w:type="dxa"/>
            </w:tcMar>
          </w:tcPr>
          <w:p w14:paraId="015E63F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D2D535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EE235CC" w14:textId="77777777" w:rsidR="00575AC3" w:rsidRPr="006D40F0" w:rsidRDefault="00575AC3" w:rsidP="006D40F0">
            <w:r w:rsidRPr="006D40F0">
              <w:t>fra kr 140 000 000 til kr 141 500 000</w:t>
            </w:r>
          </w:p>
        </w:tc>
        <w:tc>
          <w:tcPr>
            <w:tcW w:w="1400" w:type="dxa"/>
            <w:tcBorders>
              <w:top w:val="nil"/>
              <w:left w:val="nil"/>
              <w:bottom w:val="nil"/>
              <w:right w:val="nil"/>
            </w:tcBorders>
            <w:tcMar>
              <w:top w:w="128" w:type="dxa"/>
              <w:left w:w="43" w:type="dxa"/>
              <w:bottom w:w="43" w:type="dxa"/>
              <w:right w:w="43" w:type="dxa"/>
            </w:tcMar>
            <w:vAlign w:val="bottom"/>
          </w:tcPr>
          <w:p w14:paraId="7736C39C" w14:textId="77777777" w:rsidR="00575AC3" w:rsidRPr="006D40F0" w:rsidRDefault="00575AC3" w:rsidP="006D40F0"/>
        </w:tc>
      </w:tr>
      <w:tr w:rsidR="00DD49A7" w:rsidRPr="006D40F0" w14:paraId="55C76385" w14:textId="77777777">
        <w:trPr>
          <w:trHeight w:val="380"/>
        </w:trPr>
        <w:tc>
          <w:tcPr>
            <w:tcW w:w="680" w:type="dxa"/>
            <w:tcBorders>
              <w:top w:val="nil"/>
              <w:left w:val="nil"/>
              <w:bottom w:val="nil"/>
              <w:right w:val="nil"/>
            </w:tcBorders>
            <w:tcMar>
              <w:top w:w="128" w:type="dxa"/>
              <w:left w:w="43" w:type="dxa"/>
              <w:bottom w:w="43" w:type="dxa"/>
              <w:right w:w="43" w:type="dxa"/>
            </w:tcMar>
          </w:tcPr>
          <w:p w14:paraId="63F44E9A" w14:textId="77777777" w:rsidR="00575AC3" w:rsidRPr="006D40F0" w:rsidRDefault="00575AC3" w:rsidP="006D40F0">
            <w:r w:rsidRPr="006D40F0">
              <w:t>5605</w:t>
            </w:r>
          </w:p>
        </w:tc>
        <w:tc>
          <w:tcPr>
            <w:tcW w:w="680" w:type="dxa"/>
            <w:tcBorders>
              <w:top w:val="nil"/>
              <w:left w:val="nil"/>
              <w:bottom w:val="nil"/>
              <w:right w:val="nil"/>
            </w:tcBorders>
            <w:tcMar>
              <w:top w:w="128" w:type="dxa"/>
              <w:left w:w="43" w:type="dxa"/>
              <w:bottom w:w="43" w:type="dxa"/>
              <w:right w:w="43" w:type="dxa"/>
            </w:tcMar>
          </w:tcPr>
          <w:p w14:paraId="2E784E8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8685532" w14:textId="77777777" w:rsidR="00575AC3" w:rsidRPr="006D40F0" w:rsidRDefault="00575AC3" w:rsidP="006D40F0">
            <w:r w:rsidRPr="006D40F0">
              <w:t>Renter av statskassens kontantbeholdning og andre fordringer:</w:t>
            </w:r>
          </w:p>
        </w:tc>
        <w:tc>
          <w:tcPr>
            <w:tcW w:w="1400" w:type="dxa"/>
            <w:tcBorders>
              <w:top w:val="nil"/>
              <w:left w:val="nil"/>
              <w:bottom w:val="nil"/>
              <w:right w:val="nil"/>
            </w:tcBorders>
            <w:tcMar>
              <w:top w:w="128" w:type="dxa"/>
              <w:left w:w="43" w:type="dxa"/>
              <w:bottom w:w="43" w:type="dxa"/>
              <w:right w:w="43" w:type="dxa"/>
            </w:tcMar>
            <w:vAlign w:val="bottom"/>
          </w:tcPr>
          <w:p w14:paraId="3599510E" w14:textId="77777777" w:rsidR="00575AC3" w:rsidRPr="006D40F0" w:rsidRDefault="00575AC3" w:rsidP="006D40F0"/>
        </w:tc>
      </w:tr>
      <w:tr w:rsidR="00DD49A7" w:rsidRPr="006D40F0" w14:paraId="24A45AED" w14:textId="77777777">
        <w:trPr>
          <w:trHeight w:val="380"/>
        </w:trPr>
        <w:tc>
          <w:tcPr>
            <w:tcW w:w="680" w:type="dxa"/>
            <w:tcBorders>
              <w:top w:val="nil"/>
              <w:left w:val="nil"/>
              <w:bottom w:val="nil"/>
              <w:right w:val="nil"/>
            </w:tcBorders>
            <w:tcMar>
              <w:top w:w="128" w:type="dxa"/>
              <w:left w:w="43" w:type="dxa"/>
              <w:bottom w:w="43" w:type="dxa"/>
              <w:right w:w="43" w:type="dxa"/>
            </w:tcMar>
          </w:tcPr>
          <w:p w14:paraId="5D41D28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137B1B5"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10A94CF7" w14:textId="77777777" w:rsidR="00575AC3" w:rsidRPr="006D40F0" w:rsidRDefault="00575AC3" w:rsidP="006D40F0">
            <w:r w:rsidRPr="006D40F0">
              <w:t>Av statskassens foliokonto i Norges Bank, forhøyes med</w:t>
            </w:r>
          </w:p>
        </w:tc>
        <w:tc>
          <w:tcPr>
            <w:tcW w:w="1400" w:type="dxa"/>
            <w:tcBorders>
              <w:top w:val="nil"/>
              <w:left w:val="nil"/>
              <w:bottom w:val="nil"/>
              <w:right w:val="nil"/>
            </w:tcBorders>
            <w:tcMar>
              <w:top w:w="128" w:type="dxa"/>
              <w:left w:w="43" w:type="dxa"/>
              <w:bottom w:w="43" w:type="dxa"/>
              <w:right w:w="43" w:type="dxa"/>
            </w:tcMar>
            <w:vAlign w:val="bottom"/>
          </w:tcPr>
          <w:p w14:paraId="49FA5BE6" w14:textId="77777777" w:rsidR="00575AC3" w:rsidRPr="006D40F0" w:rsidRDefault="00575AC3" w:rsidP="006D40F0">
            <w:r w:rsidRPr="006D40F0">
              <w:t>4 172 600 000</w:t>
            </w:r>
          </w:p>
        </w:tc>
      </w:tr>
      <w:tr w:rsidR="00DD49A7" w:rsidRPr="006D40F0" w14:paraId="04D04A58" w14:textId="77777777">
        <w:trPr>
          <w:trHeight w:val="380"/>
        </w:trPr>
        <w:tc>
          <w:tcPr>
            <w:tcW w:w="680" w:type="dxa"/>
            <w:tcBorders>
              <w:top w:val="nil"/>
              <w:left w:val="nil"/>
              <w:bottom w:val="nil"/>
              <w:right w:val="nil"/>
            </w:tcBorders>
            <w:tcMar>
              <w:top w:w="128" w:type="dxa"/>
              <w:left w:w="43" w:type="dxa"/>
              <w:bottom w:w="43" w:type="dxa"/>
              <w:right w:w="43" w:type="dxa"/>
            </w:tcMar>
          </w:tcPr>
          <w:p w14:paraId="5040FDC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559B2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72E26C6" w14:textId="77777777" w:rsidR="00575AC3" w:rsidRPr="006D40F0" w:rsidRDefault="00575AC3" w:rsidP="006D40F0">
            <w:r w:rsidRPr="006D40F0">
              <w:t>fra kr 9 043 800 000 til kr 13 216 400 000</w:t>
            </w:r>
          </w:p>
        </w:tc>
        <w:tc>
          <w:tcPr>
            <w:tcW w:w="1400" w:type="dxa"/>
            <w:tcBorders>
              <w:top w:val="nil"/>
              <w:left w:val="nil"/>
              <w:bottom w:val="nil"/>
              <w:right w:val="nil"/>
            </w:tcBorders>
            <w:tcMar>
              <w:top w:w="128" w:type="dxa"/>
              <w:left w:w="43" w:type="dxa"/>
              <w:bottom w:w="43" w:type="dxa"/>
              <w:right w:w="43" w:type="dxa"/>
            </w:tcMar>
            <w:vAlign w:val="bottom"/>
          </w:tcPr>
          <w:p w14:paraId="00923A39" w14:textId="77777777" w:rsidR="00575AC3" w:rsidRPr="006D40F0" w:rsidRDefault="00575AC3" w:rsidP="006D40F0"/>
        </w:tc>
      </w:tr>
      <w:tr w:rsidR="00DD49A7" w:rsidRPr="006D40F0" w14:paraId="2165A518" w14:textId="77777777">
        <w:trPr>
          <w:trHeight w:val="380"/>
        </w:trPr>
        <w:tc>
          <w:tcPr>
            <w:tcW w:w="680" w:type="dxa"/>
            <w:tcBorders>
              <w:top w:val="nil"/>
              <w:left w:val="nil"/>
              <w:bottom w:val="nil"/>
              <w:right w:val="nil"/>
            </w:tcBorders>
            <w:tcMar>
              <w:top w:w="128" w:type="dxa"/>
              <w:left w:w="43" w:type="dxa"/>
              <w:bottom w:w="43" w:type="dxa"/>
              <w:right w:w="43" w:type="dxa"/>
            </w:tcMar>
          </w:tcPr>
          <w:p w14:paraId="45C0B6D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D32FCCE" w14:textId="77777777" w:rsidR="00575AC3" w:rsidRPr="006D40F0" w:rsidRDefault="00575AC3" w:rsidP="006D40F0">
            <w:r w:rsidRPr="006D40F0">
              <w:t>82</w:t>
            </w:r>
          </w:p>
        </w:tc>
        <w:tc>
          <w:tcPr>
            <w:tcW w:w="6800" w:type="dxa"/>
            <w:tcBorders>
              <w:top w:val="nil"/>
              <w:left w:val="nil"/>
              <w:bottom w:val="nil"/>
              <w:right w:val="nil"/>
            </w:tcBorders>
            <w:tcMar>
              <w:top w:w="128" w:type="dxa"/>
              <w:left w:w="43" w:type="dxa"/>
              <w:bottom w:w="43" w:type="dxa"/>
              <w:right w:w="43" w:type="dxa"/>
            </w:tcMar>
          </w:tcPr>
          <w:p w14:paraId="781922E1" w14:textId="77777777" w:rsidR="00575AC3" w:rsidRPr="006D40F0" w:rsidRDefault="00575AC3" w:rsidP="006D40F0">
            <w:r w:rsidRPr="006D40F0">
              <w:t>Av innenlandske verdipapirer, forhøyes med</w:t>
            </w:r>
          </w:p>
        </w:tc>
        <w:tc>
          <w:tcPr>
            <w:tcW w:w="1400" w:type="dxa"/>
            <w:tcBorders>
              <w:top w:val="nil"/>
              <w:left w:val="nil"/>
              <w:bottom w:val="nil"/>
              <w:right w:val="nil"/>
            </w:tcBorders>
            <w:tcMar>
              <w:top w:w="128" w:type="dxa"/>
              <w:left w:w="43" w:type="dxa"/>
              <w:bottom w:w="43" w:type="dxa"/>
              <w:right w:w="43" w:type="dxa"/>
            </w:tcMar>
            <w:vAlign w:val="bottom"/>
          </w:tcPr>
          <w:p w14:paraId="775C0CD8" w14:textId="77777777" w:rsidR="00575AC3" w:rsidRPr="006D40F0" w:rsidRDefault="00575AC3" w:rsidP="006D40F0">
            <w:r w:rsidRPr="006D40F0">
              <w:t>20 700 000</w:t>
            </w:r>
          </w:p>
        </w:tc>
      </w:tr>
      <w:tr w:rsidR="00DD49A7" w:rsidRPr="006D40F0" w14:paraId="1E1DA88E" w14:textId="77777777">
        <w:trPr>
          <w:trHeight w:val="380"/>
        </w:trPr>
        <w:tc>
          <w:tcPr>
            <w:tcW w:w="680" w:type="dxa"/>
            <w:tcBorders>
              <w:top w:val="nil"/>
              <w:left w:val="nil"/>
              <w:bottom w:val="nil"/>
              <w:right w:val="nil"/>
            </w:tcBorders>
            <w:tcMar>
              <w:top w:w="128" w:type="dxa"/>
              <w:left w:w="43" w:type="dxa"/>
              <w:bottom w:w="43" w:type="dxa"/>
              <w:right w:w="43" w:type="dxa"/>
            </w:tcMar>
          </w:tcPr>
          <w:p w14:paraId="537B4F7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CA4D94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307075" w14:textId="77777777" w:rsidR="00575AC3" w:rsidRPr="006D40F0" w:rsidRDefault="00575AC3" w:rsidP="006D40F0">
            <w:r w:rsidRPr="006D40F0">
              <w:t>fra kr 1 375 300 000 til kr 1 396 000 000</w:t>
            </w:r>
          </w:p>
        </w:tc>
        <w:tc>
          <w:tcPr>
            <w:tcW w:w="1400" w:type="dxa"/>
            <w:tcBorders>
              <w:top w:val="nil"/>
              <w:left w:val="nil"/>
              <w:bottom w:val="nil"/>
              <w:right w:val="nil"/>
            </w:tcBorders>
            <w:tcMar>
              <w:top w:w="128" w:type="dxa"/>
              <w:left w:w="43" w:type="dxa"/>
              <w:bottom w:w="43" w:type="dxa"/>
              <w:right w:w="43" w:type="dxa"/>
            </w:tcMar>
            <w:vAlign w:val="bottom"/>
          </w:tcPr>
          <w:p w14:paraId="2C56EF0E" w14:textId="77777777" w:rsidR="00575AC3" w:rsidRPr="006D40F0" w:rsidRDefault="00575AC3" w:rsidP="006D40F0"/>
        </w:tc>
      </w:tr>
      <w:tr w:rsidR="00DD49A7" w:rsidRPr="006D40F0" w14:paraId="620C33FB" w14:textId="77777777">
        <w:trPr>
          <w:trHeight w:val="380"/>
        </w:trPr>
        <w:tc>
          <w:tcPr>
            <w:tcW w:w="680" w:type="dxa"/>
            <w:tcBorders>
              <w:top w:val="nil"/>
              <w:left w:val="nil"/>
              <w:bottom w:val="nil"/>
              <w:right w:val="nil"/>
            </w:tcBorders>
            <w:tcMar>
              <w:top w:w="128" w:type="dxa"/>
              <w:left w:w="43" w:type="dxa"/>
              <w:bottom w:w="43" w:type="dxa"/>
              <w:right w:w="43" w:type="dxa"/>
            </w:tcMar>
          </w:tcPr>
          <w:p w14:paraId="72D8197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55C7D0" w14:textId="77777777" w:rsidR="00575AC3" w:rsidRPr="006D40F0" w:rsidRDefault="00575AC3" w:rsidP="006D40F0">
            <w:r w:rsidRPr="006D40F0">
              <w:t>84</w:t>
            </w:r>
          </w:p>
        </w:tc>
        <w:tc>
          <w:tcPr>
            <w:tcW w:w="6800" w:type="dxa"/>
            <w:tcBorders>
              <w:top w:val="nil"/>
              <w:left w:val="nil"/>
              <w:bottom w:val="nil"/>
              <w:right w:val="nil"/>
            </w:tcBorders>
            <w:tcMar>
              <w:top w:w="128" w:type="dxa"/>
              <w:left w:w="43" w:type="dxa"/>
              <w:bottom w:w="43" w:type="dxa"/>
              <w:right w:w="43" w:type="dxa"/>
            </w:tcMar>
          </w:tcPr>
          <w:p w14:paraId="60DF71D1" w14:textId="77777777" w:rsidR="00575AC3" w:rsidRPr="006D40F0" w:rsidRDefault="00575AC3" w:rsidP="006D40F0">
            <w:r w:rsidRPr="006D40F0">
              <w:t>Av driftskreditt til statsbedrifter, forhøyes med</w:t>
            </w:r>
          </w:p>
        </w:tc>
        <w:tc>
          <w:tcPr>
            <w:tcW w:w="1400" w:type="dxa"/>
            <w:tcBorders>
              <w:top w:val="nil"/>
              <w:left w:val="nil"/>
              <w:bottom w:val="nil"/>
              <w:right w:val="nil"/>
            </w:tcBorders>
            <w:tcMar>
              <w:top w:w="128" w:type="dxa"/>
              <w:left w:w="43" w:type="dxa"/>
              <w:bottom w:w="43" w:type="dxa"/>
              <w:right w:w="43" w:type="dxa"/>
            </w:tcMar>
            <w:vAlign w:val="bottom"/>
          </w:tcPr>
          <w:p w14:paraId="771E5768" w14:textId="77777777" w:rsidR="00575AC3" w:rsidRPr="006D40F0" w:rsidRDefault="00575AC3" w:rsidP="006D40F0">
            <w:r w:rsidRPr="006D40F0">
              <w:t>1 129 170 000</w:t>
            </w:r>
          </w:p>
        </w:tc>
      </w:tr>
      <w:tr w:rsidR="00DD49A7" w:rsidRPr="006D40F0" w14:paraId="3481A9EE" w14:textId="77777777">
        <w:trPr>
          <w:trHeight w:val="380"/>
        </w:trPr>
        <w:tc>
          <w:tcPr>
            <w:tcW w:w="680" w:type="dxa"/>
            <w:tcBorders>
              <w:top w:val="nil"/>
              <w:left w:val="nil"/>
              <w:bottom w:val="nil"/>
              <w:right w:val="nil"/>
            </w:tcBorders>
            <w:tcMar>
              <w:top w:w="128" w:type="dxa"/>
              <w:left w:w="43" w:type="dxa"/>
              <w:bottom w:w="43" w:type="dxa"/>
              <w:right w:w="43" w:type="dxa"/>
            </w:tcMar>
          </w:tcPr>
          <w:p w14:paraId="0933002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987A3C"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8960285" w14:textId="77777777" w:rsidR="00575AC3" w:rsidRPr="006D40F0" w:rsidRDefault="00575AC3" w:rsidP="006D40F0">
            <w:r w:rsidRPr="006D40F0">
              <w:t>fra kr 1 293 400 000 til kr 2 422 570 000</w:t>
            </w:r>
          </w:p>
        </w:tc>
        <w:tc>
          <w:tcPr>
            <w:tcW w:w="1400" w:type="dxa"/>
            <w:tcBorders>
              <w:top w:val="nil"/>
              <w:left w:val="nil"/>
              <w:bottom w:val="nil"/>
              <w:right w:val="nil"/>
            </w:tcBorders>
            <w:tcMar>
              <w:top w:w="128" w:type="dxa"/>
              <w:left w:w="43" w:type="dxa"/>
              <w:bottom w:w="43" w:type="dxa"/>
              <w:right w:w="43" w:type="dxa"/>
            </w:tcMar>
            <w:vAlign w:val="bottom"/>
          </w:tcPr>
          <w:p w14:paraId="5DEBA765" w14:textId="77777777" w:rsidR="00575AC3" w:rsidRPr="006D40F0" w:rsidRDefault="00575AC3" w:rsidP="006D40F0"/>
        </w:tc>
      </w:tr>
      <w:tr w:rsidR="00DD49A7" w:rsidRPr="006D40F0" w14:paraId="11EAB4D0" w14:textId="77777777">
        <w:trPr>
          <w:trHeight w:val="380"/>
        </w:trPr>
        <w:tc>
          <w:tcPr>
            <w:tcW w:w="680" w:type="dxa"/>
            <w:tcBorders>
              <w:top w:val="nil"/>
              <w:left w:val="nil"/>
              <w:bottom w:val="nil"/>
              <w:right w:val="nil"/>
            </w:tcBorders>
            <w:tcMar>
              <w:top w:w="128" w:type="dxa"/>
              <w:left w:w="43" w:type="dxa"/>
              <w:bottom w:w="43" w:type="dxa"/>
              <w:right w:w="43" w:type="dxa"/>
            </w:tcMar>
          </w:tcPr>
          <w:p w14:paraId="6D60D9F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95BB28" w14:textId="77777777" w:rsidR="00575AC3" w:rsidRPr="006D40F0" w:rsidRDefault="00575AC3" w:rsidP="006D40F0">
            <w:r w:rsidRPr="006D40F0">
              <w:t>89</w:t>
            </w:r>
          </w:p>
        </w:tc>
        <w:tc>
          <w:tcPr>
            <w:tcW w:w="6800" w:type="dxa"/>
            <w:tcBorders>
              <w:top w:val="nil"/>
              <w:left w:val="nil"/>
              <w:bottom w:val="nil"/>
              <w:right w:val="nil"/>
            </w:tcBorders>
            <w:tcMar>
              <w:top w:w="128" w:type="dxa"/>
              <w:left w:w="43" w:type="dxa"/>
              <w:bottom w:w="43" w:type="dxa"/>
              <w:right w:w="43" w:type="dxa"/>
            </w:tcMar>
          </w:tcPr>
          <w:p w14:paraId="0639C7D3" w14:textId="77777777" w:rsidR="00575AC3" w:rsidRPr="006D40F0" w:rsidRDefault="00575AC3" w:rsidP="006D40F0">
            <w:r w:rsidRPr="006D40F0">
              <w:t>Garantiprovisjon, nedsettes med</w:t>
            </w:r>
          </w:p>
        </w:tc>
        <w:tc>
          <w:tcPr>
            <w:tcW w:w="1400" w:type="dxa"/>
            <w:tcBorders>
              <w:top w:val="nil"/>
              <w:left w:val="nil"/>
              <w:bottom w:val="nil"/>
              <w:right w:val="nil"/>
            </w:tcBorders>
            <w:tcMar>
              <w:top w:w="128" w:type="dxa"/>
              <w:left w:w="43" w:type="dxa"/>
              <w:bottom w:w="43" w:type="dxa"/>
              <w:right w:w="43" w:type="dxa"/>
            </w:tcMar>
            <w:vAlign w:val="bottom"/>
          </w:tcPr>
          <w:p w14:paraId="71B39868" w14:textId="77777777" w:rsidR="00575AC3" w:rsidRPr="006D40F0" w:rsidRDefault="00575AC3" w:rsidP="006D40F0">
            <w:r w:rsidRPr="006D40F0">
              <w:t>40 000 000</w:t>
            </w:r>
          </w:p>
        </w:tc>
      </w:tr>
      <w:tr w:rsidR="00DD49A7" w:rsidRPr="006D40F0" w14:paraId="3D3F91E3" w14:textId="77777777">
        <w:trPr>
          <w:trHeight w:val="380"/>
        </w:trPr>
        <w:tc>
          <w:tcPr>
            <w:tcW w:w="680" w:type="dxa"/>
            <w:tcBorders>
              <w:top w:val="nil"/>
              <w:left w:val="nil"/>
              <w:bottom w:val="nil"/>
              <w:right w:val="nil"/>
            </w:tcBorders>
            <w:tcMar>
              <w:top w:w="128" w:type="dxa"/>
              <w:left w:w="43" w:type="dxa"/>
              <w:bottom w:w="43" w:type="dxa"/>
              <w:right w:w="43" w:type="dxa"/>
            </w:tcMar>
          </w:tcPr>
          <w:p w14:paraId="742739B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FDF385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181476F" w14:textId="77777777" w:rsidR="00575AC3" w:rsidRPr="006D40F0" w:rsidRDefault="00575AC3" w:rsidP="006D40F0">
            <w:r w:rsidRPr="006D40F0">
              <w:t>fra kr 40 000 000 til kr 0</w:t>
            </w:r>
          </w:p>
        </w:tc>
        <w:tc>
          <w:tcPr>
            <w:tcW w:w="1400" w:type="dxa"/>
            <w:tcBorders>
              <w:top w:val="nil"/>
              <w:left w:val="nil"/>
              <w:bottom w:val="nil"/>
              <w:right w:val="nil"/>
            </w:tcBorders>
            <w:tcMar>
              <w:top w:w="128" w:type="dxa"/>
              <w:left w:w="43" w:type="dxa"/>
              <w:bottom w:w="43" w:type="dxa"/>
              <w:right w:w="43" w:type="dxa"/>
            </w:tcMar>
            <w:vAlign w:val="bottom"/>
          </w:tcPr>
          <w:p w14:paraId="679E4164" w14:textId="77777777" w:rsidR="00575AC3" w:rsidRPr="006D40F0" w:rsidRDefault="00575AC3" w:rsidP="006D40F0"/>
        </w:tc>
      </w:tr>
      <w:tr w:rsidR="00DD49A7" w:rsidRPr="006D40F0" w14:paraId="4FAE4F74" w14:textId="77777777">
        <w:trPr>
          <w:trHeight w:val="380"/>
        </w:trPr>
        <w:tc>
          <w:tcPr>
            <w:tcW w:w="680" w:type="dxa"/>
            <w:tcBorders>
              <w:top w:val="nil"/>
              <w:left w:val="nil"/>
              <w:bottom w:val="nil"/>
              <w:right w:val="nil"/>
            </w:tcBorders>
            <w:tcMar>
              <w:top w:w="128" w:type="dxa"/>
              <w:left w:w="43" w:type="dxa"/>
              <w:bottom w:w="43" w:type="dxa"/>
              <w:right w:w="43" w:type="dxa"/>
            </w:tcMar>
          </w:tcPr>
          <w:p w14:paraId="4ACC9545" w14:textId="77777777" w:rsidR="00575AC3" w:rsidRPr="006D40F0" w:rsidRDefault="00575AC3" w:rsidP="006D40F0">
            <w:r w:rsidRPr="006D40F0">
              <w:t>5607</w:t>
            </w:r>
          </w:p>
        </w:tc>
        <w:tc>
          <w:tcPr>
            <w:tcW w:w="680" w:type="dxa"/>
            <w:tcBorders>
              <w:top w:val="nil"/>
              <w:left w:val="nil"/>
              <w:bottom w:val="nil"/>
              <w:right w:val="nil"/>
            </w:tcBorders>
            <w:tcMar>
              <w:top w:w="128" w:type="dxa"/>
              <w:left w:w="43" w:type="dxa"/>
              <w:bottom w:w="43" w:type="dxa"/>
              <w:right w:w="43" w:type="dxa"/>
            </w:tcMar>
          </w:tcPr>
          <w:p w14:paraId="25874FC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30D8693" w14:textId="77777777" w:rsidR="00575AC3" w:rsidRPr="006D40F0" w:rsidRDefault="00575AC3" w:rsidP="006D40F0">
            <w:r w:rsidRPr="006D40F0">
              <w:t>Renter av boliglånsordningen i Statens pensjonskasse:</w:t>
            </w:r>
          </w:p>
        </w:tc>
        <w:tc>
          <w:tcPr>
            <w:tcW w:w="1400" w:type="dxa"/>
            <w:tcBorders>
              <w:top w:val="nil"/>
              <w:left w:val="nil"/>
              <w:bottom w:val="nil"/>
              <w:right w:val="nil"/>
            </w:tcBorders>
            <w:tcMar>
              <w:top w:w="128" w:type="dxa"/>
              <w:left w:w="43" w:type="dxa"/>
              <w:bottom w:w="43" w:type="dxa"/>
              <w:right w:w="43" w:type="dxa"/>
            </w:tcMar>
            <w:vAlign w:val="bottom"/>
          </w:tcPr>
          <w:p w14:paraId="48F08F17" w14:textId="77777777" w:rsidR="00575AC3" w:rsidRPr="006D40F0" w:rsidRDefault="00575AC3" w:rsidP="006D40F0"/>
        </w:tc>
      </w:tr>
      <w:tr w:rsidR="00DD49A7" w:rsidRPr="006D40F0" w14:paraId="794CB8C5" w14:textId="77777777">
        <w:trPr>
          <w:trHeight w:val="380"/>
        </w:trPr>
        <w:tc>
          <w:tcPr>
            <w:tcW w:w="680" w:type="dxa"/>
            <w:tcBorders>
              <w:top w:val="nil"/>
              <w:left w:val="nil"/>
              <w:bottom w:val="nil"/>
              <w:right w:val="nil"/>
            </w:tcBorders>
            <w:tcMar>
              <w:top w:w="128" w:type="dxa"/>
              <w:left w:w="43" w:type="dxa"/>
              <w:bottom w:w="43" w:type="dxa"/>
              <w:right w:w="43" w:type="dxa"/>
            </w:tcMar>
          </w:tcPr>
          <w:p w14:paraId="6D2AF6C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449D768"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3FD983BA" w14:textId="77777777" w:rsidR="00575AC3" w:rsidRPr="006D40F0" w:rsidRDefault="00575AC3" w:rsidP="006D40F0">
            <w:r w:rsidRPr="006D40F0">
              <w:t>Renter, forhøyes med</w:t>
            </w:r>
          </w:p>
        </w:tc>
        <w:tc>
          <w:tcPr>
            <w:tcW w:w="1400" w:type="dxa"/>
            <w:tcBorders>
              <w:top w:val="nil"/>
              <w:left w:val="nil"/>
              <w:bottom w:val="nil"/>
              <w:right w:val="nil"/>
            </w:tcBorders>
            <w:tcMar>
              <w:top w:w="128" w:type="dxa"/>
              <w:left w:w="43" w:type="dxa"/>
              <w:bottom w:w="43" w:type="dxa"/>
              <w:right w:w="43" w:type="dxa"/>
            </w:tcMar>
            <w:vAlign w:val="bottom"/>
          </w:tcPr>
          <w:p w14:paraId="169F5356" w14:textId="77777777" w:rsidR="00575AC3" w:rsidRPr="006D40F0" w:rsidRDefault="00575AC3" w:rsidP="006D40F0">
            <w:r w:rsidRPr="006D40F0">
              <w:t>871 000 000</w:t>
            </w:r>
          </w:p>
        </w:tc>
      </w:tr>
      <w:tr w:rsidR="00DD49A7" w:rsidRPr="006D40F0" w14:paraId="05733845" w14:textId="77777777">
        <w:trPr>
          <w:trHeight w:val="380"/>
        </w:trPr>
        <w:tc>
          <w:tcPr>
            <w:tcW w:w="680" w:type="dxa"/>
            <w:tcBorders>
              <w:top w:val="nil"/>
              <w:left w:val="nil"/>
              <w:bottom w:val="nil"/>
              <w:right w:val="nil"/>
            </w:tcBorders>
            <w:tcMar>
              <w:top w:w="128" w:type="dxa"/>
              <w:left w:w="43" w:type="dxa"/>
              <w:bottom w:w="43" w:type="dxa"/>
              <w:right w:w="43" w:type="dxa"/>
            </w:tcMar>
          </w:tcPr>
          <w:p w14:paraId="0F5956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1470D8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DE002D0" w14:textId="77777777" w:rsidR="00575AC3" w:rsidRPr="006D40F0" w:rsidRDefault="00575AC3" w:rsidP="006D40F0">
            <w:r w:rsidRPr="006D40F0">
              <w:t>fra kr 2 716 000 000 til kr 3 587 000 000</w:t>
            </w:r>
          </w:p>
        </w:tc>
        <w:tc>
          <w:tcPr>
            <w:tcW w:w="1400" w:type="dxa"/>
            <w:tcBorders>
              <w:top w:val="nil"/>
              <w:left w:val="nil"/>
              <w:bottom w:val="nil"/>
              <w:right w:val="nil"/>
            </w:tcBorders>
            <w:tcMar>
              <w:top w:w="128" w:type="dxa"/>
              <w:left w:w="43" w:type="dxa"/>
              <w:bottom w:w="43" w:type="dxa"/>
              <w:right w:w="43" w:type="dxa"/>
            </w:tcMar>
            <w:vAlign w:val="bottom"/>
          </w:tcPr>
          <w:p w14:paraId="25D8B3B7" w14:textId="77777777" w:rsidR="00575AC3" w:rsidRPr="006D40F0" w:rsidRDefault="00575AC3" w:rsidP="006D40F0"/>
        </w:tc>
      </w:tr>
      <w:tr w:rsidR="00DD49A7" w:rsidRPr="006D40F0" w14:paraId="7D623127" w14:textId="77777777">
        <w:trPr>
          <w:trHeight w:val="380"/>
        </w:trPr>
        <w:tc>
          <w:tcPr>
            <w:tcW w:w="680" w:type="dxa"/>
            <w:tcBorders>
              <w:top w:val="nil"/>
              <w:left w:val="nil"/>
              <w:bottom w:val="nil"/>
              <w:right w:val="nil"/>
            </w:tcBorders>
            <w:tcMar>
              <w:top w:w="128" w:type="dxa"/>
              <w:left w:w="43" w:type="dxa"/>
              <w:bottom w:w="43" w:type="dxa"/>
              <w:right w:w="43" w:type="dxa"/>
            </w:tcMar>
          </w:tcPr>
          <w:p w14:paraId="304258CE" w14:textId="77777777" w:rsidR="00575AC3" w:rsidRPr="006D40F0" w:rsidRDefault="00575AC3" w:rsidP="006D40F0">
            <w:r w:rsidRPr="006D40F0">
              <w:t>5611</w:t>
            </w:r>
          </w:p>
        </w:tc>
        <w:tc>
          <w:tcPr>
            <w:tcW w:w="680" w:type="dxa"/>
            <w:tcBorders>
              <w:top w:val="nil"/>
              <w:left w:val="nil"/>
              <w:bottom w:val="nil"/>
              <w:right w:val="nil"/>
            </w:tcBorders>
            <w:tcMar>
              <w:top w:w="128" w:type="dxa"/>
              <w:left w:w="43" w:type="dxa"/>
              <w:bottom w:w="43" w:type="dxa"/>
              <w:right w:w="43" w:type="dxa"/>
            </w:tcMar>
          </w:tcPr>
          <w:p w14:paraId="7C5590F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A7C539" w14:textId="77777777" w:rsidR="00575AC3" w:rsidRPr="006D40F0" w:rsidRDefault="00575AC3" w:rsidP="006D40F0">
            <w:r w:rsidRPr="006D40F0">
              <w:t xml:space="preserve">Aksjer i </w:t>
            </w:r>
            <w:proofErr w:type="spellStart"/>
            <w:r w:rsidRPr="006D40F0">
              <w:t>Vygruppen</w:t>
            </w:r>
            <w:proofErr w:type="spellEnd"/>
            <w:r w:rsidRPr="006D40F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34460608" w14:textId="77777777" w:rsidR="00575AC3" w:rsidRPr="006D40F0" w:rsidRDefault="00575AC3" w:rsidP="006D40F0"/>
        </w:tc>
      </w:tr>
      <w:tr w:rsidR="00DD49A7" w:rsidRPr="006D40F0" w14:paraId="54B9C836" w14:textId="77777777">
        <w:trPr>
          <w:trHeight w:val="380"/>
        </w:trPr>
        <w:tc>
          <w:tcPr>
            <w:tcW w:w="680" w:type="dxa"/>
            <w:tcBorders>
              <w:top w:val="nil"/>
              <w:left w:val="nil"/>
              <w:bottom w:val="nil"/>
              <w:right w:val="nil"/>
            </w:tcBorders>
            <w:tcMar>
              <w:top w:w="128" w:type="dxa"/>
              <w:left w:w="43" w:type="dxa"/>
              <w:bottom w:w="43" w:type="dxa"/>
              <w:right w:w="43" w:type="dxa"/>
            </w:tcMar>
          </w:tcPr>
          <w:p w14:paraId="3B04939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9FBDFC"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40483F1E" w14:textId="77777777" w:rsidR="00575AC3" w:rsidRPr="006D40F0" w:rsidRDefault="00575AC3" w:rsidP="006D40F0">
            <w:r w:rsidRPr="006D40F0">
              <w:t>Utbytte, forhøyes med</w:t>
            </w:r>
          </w:p>
        </w:tc>
        <w:tc>
          <w:tcPr>
            <w:tcW w:w="1400" w:type="dxa"/>
            <w:tcBorders>
              <w:top w:val="nil"/>
              <w:left w:val="nil"/>
              <w:bottom w:val="nil"/>
              <w:right w:val="nil"/>
            </w:tcBorders>
            <w:tcMar>
              <w:top w:w="128" w:type="dxa"/>
              <w:left w:w="43" w:type="dxa"/>
              <w:bottom w:w="43" w:type="dxa"/>
              <w:right w:w="43" w:type="dxa"/>
            </w:tcMar>
            <w:vAlign w:val="bottom"/>
          </w:tcPr>
          <w:p w14:paraId="2EAA422F" w14:textId="77777777" w:rsidR="00575AC3" w:rsidRPr="006D40F0" w:rsidRDefault="00575AC3" w:rsidP="006D40F0">
            <w:r w:rsidRPr="006D40F0">
              <w:t>1 500 000</w:t>
            </w:r>
          </w:p>
        </w:tc>
      </w:tr>
      <w:tr w:rsidR="00DD49A7" w:rsidRPr="006D40F0" w14:paraId="65B5AEB6" w14:textId="77777777">
        <w:trPr>
          <w:trHeight w:val="380"/>
        </w:trPr>
        <w:tc>
          <w:tcPr>
            <w:tcW w:w="680" w:type="dxa"/>
            <w:tcBorders>
              <w:top w:val="nil"/>
              <w:left w:val="nil"/>
              <w:bottom w:val="nil"/>
              <w:right w:val="nil"/>
            </w:tcBorders>
            <w:tcMar>
              <w:top w:w="128" w:type="dxa"/>
              <w:left w:w="43" w:type="dxa"/>
              <w:bottom w:w="43" w:type="dxa"/>
              <w:right w:w="43" w:type="dxa"/>
            </w:tcMar>
          </w:tcPr>
          <w:p w14:paraId="76428FD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295FFB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F8078E1" w14:textId="77777777" w:rsidR="00575AC3" w:rsidRPr="006D40F0" w:rsidRDefault="00575AC3" w:rsidP="006D40F0">
            <w:r w:rsidRPr="006D40F0">
              <w:t>fra kr 25 000 000 til kr 26 500 000</w:t>
            </w:r>
          </w:p>
        </w:tc>
        <w:tc>
          <w:tcPr>
            <w:tcW w:w="1400" w:type="dxa"/>
            <w:tcBorders>
              <w:top w:val="nil"/>
              <w:left w:val="nil"/>
              <w:bottom w:val="nil"/>
              <w:right w:val="nil"/>
            </w:tcBorders>
            <w:tcMar>
              <w:top w:w="128" w:type="dxa"/>
              <w:left w:w="43" w:type="dxa"/>
              <w:bottom w:w="43" w:type="dxa"/>
              <w:right w:w="43" w:type="dxa"/>
            </w:tcMar>
            <w:vAlign w:val="bottom"/>
          </w:tcPr>
          <w:p w14:paraId="7EAA48BE" w14:textId="77777777" w:rsidR="00575AC3" w:rsidRPr="006D40F0" w:rsidRDefault="00575AC3" w:rsidP="006D40F0"/>
        </w:tc>
      </w:tr>
      <w:tr w:rsidR="00DD49A7" w:rsidRPr="006D40F0" w14:paraId="26DCB23B" w14:textId="77777777">
        <w:trPr>
          <w:trHeight w:val="380"/>
        </w:trPr>
        <w:tc>
          <w:tcPr>
            <w:tcW w:w="680" w:type="dxa"/>
            <w:tcBorders>
              <w:top w:val="nil"/>
              <w:left w:val="nil"/>
              <w:bottom w:val="nil"/>
              <w:right w:val="nil"/>
            </w:tcBorders>
            <w:tcMar>
              <w:top w:w="128" w:type="dxa"/>
              <w:left w:w="43" w:type="dxa"/>
              <w:bottom w:w="43" w:type="dxa"/>
              <w:right w:w="43" w:type="dxa"/>
            </w:tcMar>
          </w:tcPr>
          <w:p w14:paraId="05FC688B" w14:textId="77777777" w:rsidR="00575AC3" w:rsidRPr="006D40F0" w:rsidRDefault="00575AC3" w:rsidP="006D40F0">
            <w:r w:rsidRPr="006D40F0">
              <w:t>5614</w:t>
            </w:r>
          </w:p>
        </w:tc>
        <w:tc>
          <w:tcPr>
            <w:tcW w:w="680" w:type="dxa"/>
            <w:tcBorders>
              <w:top w:val="nil"/>
              <w:left w:val="nil"/>
              <w:bottom w:val="nil"/>
              <w:right w:val="nil"/>
            </w:tcBorders>
            <w:tcMar>
              <w:top w:w="128" w:type="dxa"/>
              <w:left w:w="43" w:type="dxa"/>
              <w:bottom w:w="43" w:type="dxa"/>
              <w:right w:w="43" w:type="dxa"/>
            </w:tcMar>
          </w:tcPr>
          <w:p w14:paraId="3F43499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36B8020" w14:textId="77777777" w:rsidR="00575AC3" w:rsidRPr="006D40F0" w:rsidRDefault="00575AC3" w:rsidP="006D40F0">
            <w:r w:rsidRPr="006D40F0">
              <w:t>Renter under Eksportfinansiering Norge:</w:t>
            </w:r>
          </w:p>
        </w:tc>
        <w:tc>
          <w:tcPr>
            <w:tcW w:w="1400" w:type="dxa"/>
            <w:tcBorders>
              <w:top w:val="nil"/>
              <w:left w:val="nil"/>
              <w:bottom w:val="nil"/>
              <w:right w:val="nil"/>
            </w:tcBorders>
            <w:tcMar>
              <w:top w:w="128" w:type="dxa"/>
              <w:left w:w="43" w:type="dxa"/>
              <w:bottom w:w="43" w:type="dxa"/>
              <w:right w:w="43" w:type="dxa"/>
            </w:tcMar>
            <w:vAlign w:val="bottom"/>
          </w:tcPr>
          <w:p w14:paraId="1E1F03AC" w14:textId="77777777" w:rsidR="00575AC3" w:rsidRPr="006D40F0" w:rsidRDefault="00575AC3" w:rsidP="006D40F0"/>
        </w:tc>
      </w:tr>
      <w:tr w:rsidR="00DD49A7" w:rsidRPr="006D40F0" w14:paraId="4ED94519" w14:textId="77777777">
        <w:trPr>
          <w:trHeight w:val="380"/>
        </w:trPr>
        <w:tc>
          <w:tcPr>
            <w:tcW w:w="680" w:type="dxa"/>
            <w:tcBorders>
              <w:top w:val="nil"/>
              <w:left w:val="nil"/>
              <w:bottom w:val="nil"/>
              <w:right w:val="nil"/>
            </w:tcBorders>
            <w:tcMar>
              <w:top w:w="128" w:type="dxa"/>
              <w:left w:w="43" w:type="dxa"/>
              <w:bottom w:w="43" w:type="dxa"/>
              <w:right w:w="43" w:type="dxa"/>
            </w:tcMar>
          </w:tcPr>
          <w:p w14:paraId="7BAE459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7B1A37A"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24D95A83" w14:textId="77777777" w:rsidR="00575AC3" w:rsidRPr="006D40F0" w:rsidRDefault="00575AC3" w:rsidP="006D40F0">
            <w:r w:rsidRPr="006D40F0">
              <w:t>Renter fra lån til Alminnelig garantiordning, nedsettes med</w:t>
            </w:r>
          </w:p>
        </w:tc>
        <w:tc>
          <w:tcPr>
            <w:tcW w:w="1400" w:type="dxa"/>
            <w:tcBorders>
              <w:top w:val="nil"/>
              <w:left w:val="nil"/>
              <w:bottom w:val="nil"/>
              <w:right w:val="nil"/>
            </w:tcBorders>
            <w:tcMar>
              <w:top w:w="128" w:type="dxa"/>
              <w:left w:w="43" w:type="dxa"/>
              <w:bottom w:w="43" w:type="dxa"/>
              <w:right w:w="43" w:type="dxa"/>
            </w:tcMar>
            <w:vAlign w:val="bottom"/>
          </w:tcPr>
          <w:p w14:paraId="4172093D" w14:textId="77777777" w:rsidR="00575AC3" w:rsidRPr="006D40F0" w:rsidRDefault="00575AC3" w:rsidP="006D40F0">
            <w:r w:rsidRPr="006D40F0">
              <w:t>108 000 000</w:t>
            </w:r>
          </w:p>
        </w:tc>
      </w:tr>
      <w:tr w:rsidR="00DD49A7" w:rsidRPr="006D40F0" w14:paraId="610A348D" w14:textId="77777777">
        <w:trPr>
          <w:trHeight w:val="380"/>
        </w:trPr>
        <w:tc>
          <w:tcPr>
            <w:tcW w:w="680" w:type="dxa"/>
            <w:tcBorders>
              <w:top w:val="nil"/>
              <w:left w:val="nil"/>
              <w:bottom w:val="nil"/>
              <w:right w:val="nil"/>
            </w:tcBorders>
            <w:tcMar>
              <w:top w:w="128" w:type="dxa"/>
              <w:left w:w="43" w:type="dxa"/>
              <w:bottom w:w="43" w:type="dxa"/>
              <w:right w:w="43" w:type="dxa"/>
            </w:tcMar>
          </w:tcPr>
          <w:p w14:paraId="003CA50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94BCD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1C5048" w14:textId="77777777" w:rsidR="00575AC3" w:rsidRPr="006D40F0" w:rsidRDefault="00575AC3" w:rsidP="006D40F0">
            <w:r w:rsidRPr="006D40F0">
              <w:t>fra kr 180 000 000 til kr 72 000 000</w:t>
            </w:r>
          </w:p>
        </w:tc>
        <w:tc>
          <w:tcPr>
            <w:tcW w:w="1400" w:type="dxa"/>
            <w:tcBorders>
              <w:top w:val="nil"/>
              <w:left w:val="nil"/>
              <w:bottom w:val="nil"/>
              <w:right w:val="nil"/>
            </w:tcBorders>
            <w:tcMar>
              <w:top w:w="128" w:type="dxa"/>
              <w:left w:w="43" w:type="dxa"/>
              <w:bottom w:w="43" w:type="dxa"/>
              <w:right w:w="43" w:type="dxa"/>
            </w:tcMar>
            <w:vAlign w:val="bottom"/>
          </w:tcPr>
          <w:p w14:paraId="03409E6C" w14:textId="77777777" w:rsidR="00575AC3" w:rsidRPr="006D40F0" w:rsidRDefault="00575AC3" w:rsidP="006D40F0"/>
        </w:tc>
      </w:tr>
      <w:tr w:rsidR="00DD49A7" w:rsidRPr="006D40F0" w14:paraId="440ACDEA" w14:textId="77777777">
        <w:trPr>
          <w:trHeight w:val="380"/>
        </w:trPr>
        <w:tc>
          <w:tcPr>
            <w:tcW w:w="680" w:type="dxa"/>
            <w:tcBorders>
              <w:top w:val="nil"/>
              <w:left w:val="nil"/>
              <w:bottom w:val="nil"/>
              <w:right w:val="nil"/>
            </w:tcBorders>
            <w:tcMar>
              <w:top w:w="128" w:type="dxa"/>
              <w:left w:w="43" w:type="dxa"/>
              <w:bottom w:w="43" w:type="dxa"/>
              <w:right w:w="43" w:type="dxa"/>
            </w:tcMar>
          </w:tcPr>
          <w:p w14:paraId="5F8F0294" w14:textId="77777777" w:rsidR="00575AC3" w:rsidRPr="006D40F0" w:rsidRDefault="00575AC3" w:rsidP="006D40F0">
            <w:r w:rsidRPr="006D40F0">
              <w:t>5615</w:t>
            </w:r>
          </w:p>
        </w:tc>
        <w:tc>
          <w:tcPr>
            <w:tcW w:w="680" w:type="dxa"/>
            <w:tcBorders>
              <w:top w:val="nil"/>
              <w:left w:val="nil"/>
              <w:bottom w:val="nil"/>
              <w:right w:val="nil"/>
            </w:tcBorders>
            <w:tcMar>
              <w:top w:w="128" w:type="dxa"/>
              <w:left w:w="43" w:type="dxa"/>
              <w:bottom w:w="43" w:type="dxa"/>
              <w:right w:w="43" w:type="dxa"/>
            </w:tcMar>
          </w:tcPr>
          <w:p w14:paraId="0C62D43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7308E8" w14:textId="77777777" w:rsidR="00575AC3" w:rsidRPr="006D40F0" w:rsidRDefault="00575AC3" w:rsidP="006D40F0">
            <w:r w:rsidRPr="006D40F0">
              <w:t>Husbanken:</w:t>
            </w:r>
          </w:p>
        </w:tc>
        <w:tc>
          <w:tcPr>
            <w:tcW w:w="1400" w:type="dxa"/>
            <w:tcBorders>
              <w:top w:val="nil"/>
              <w:left w:val="nil"/>
              <w:bottom w:val="nil"/>
              <w:right w:val="nil"/>
            </w:tcBorders>
            <w:tcMar>
              <w:top w:w="128" w:type="dxa"/>
              <w:left w:w="43" w:type="dxa"/>
              <w:bottom w:w="43" w:type="dxa"/>
              <w:right w:w="43" w:type="dxa"/>
            </w:tcMar>
            <w:vAlign w:val="bottom"/>
          </w:tcPr>
          <w:p w14:paraId="46299375" w14:textId="77777777" w:rsidR="00575AC3" w:rsidRPr="006D40F0" w:rsidRDefault="00575AC3" w:rsidP="006D40F0"/>
        </w:tc>
      </w:tr>
      <w:tr w:rsidR="00DD49A7" w:rsidRPr="006D40F0" w14:paraId="15F2A07F" w14:textId="77777777">
        <w:trPr>
          <w:trHeight w:val="380"/>
        </w:trPr>
        <w:tc>
          <w:tcPr>
            <w:tcW w:w="680" w:type="dxa"/>
            <w:tcBorders>
              <w:top w:val="nil"/>
              <w:left w:val="nil"/>
              <w:bottom w:val="nil"/>
              <w:right w:val="nil"/>
            </w:tcBorders>
            <w:tcMar>
              <w:top w:w="128" w:type="dxa"/>
              <w:left w:w="43" w:type="dxa"/>
              <w:bottom w:w="43" w:type="dxa"/>
              <w:right w:w="43" w:type="dxa"/>
            </w:tcMar>
          </w:tcPr>
          <w:p w14:paraId="6D8A5EC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61D64C"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746706D6" w14:textId="77777777" w:rsidR="00575AC3" w:rsidRPr="006D40F0" w:rsidRDefault="00575AC3" w:rsidP="006D40F0">
            <w:r w:rsidRPr="006D40F0">
              <w:t>Renter, forhøyes med</w:t>
            </w:r>
          </w:p>
        </w:tc>
        <w:tc>
          <w:tcPr>
            <w:tcW w:w="1400" w:type="dxa"/>
            <w:tcBorders>
              <w:top w:val="nil"/>
              <w:left w:val="nil"/>
              <w:bottom w:val="nil"/>
              <w:right w:val="nil"/>
            </w:tcBorders>
            <w:tcMar>
              <w:top w:w="128" w:type="dxa"/>
              <w:left w:w="43" w:type="dxa"/>
              <w:bottom w:w="43" w:type="dxa"/>
              <w:right w:w="43" w:type="dxa"/>
            </w:tcMar>
            <w:vAlign w:val="bottom"/>
          </w:tcPr>
          <w:p w14:paraId="2F7E28DE" w14:textId="77777777" w:rsidR="00575AC3" w:rsidRPr="006D40F0" w:rsidRDefault="00575AC3" w:rsidP="006D40F0">
            <w:r w:rsidRPr="006D40F0">
              <w:t>1 392 000 000</w:t>
            </w:r>
          </w:p>
        </w:tc>
      </w:tr>
      <w:tr w:rsidR="00DD49A7" w:rsidRPr="006D40F0" w14:paraId="2744FA37" w14:textId="77777777">
        <w:trPr>
          <w:trHeight w:val="380"/>
        </w:trPr>
        <w:tc>
          <w:tcPr>
            <w:tcW w:w="680" w:type="dxa"/>
            <w:tcBorders>
              <w:top w:val="nil"/>
              <w:left w:val="nil"/>
              <w:bottom w:val="nil"/>
              <w:right w:val="nil"/>
            </w:tcBorders>
            <w:tcMar>
              <w:top w:w="128" w:type="dxa"/>
              <w:left w:w="43" w:type="dxa"/>
              <w:bottom w:w="43" w:type="dxa"/>
              <w:right w:w="43" w:type="dxa"/>
            </w:tcMar>
          </w:tcPr>
          <w:p w14:paraId="1803E56E"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88576C3"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2A13D2" w14:textId="77777777" w:rsidR="00575AC3" w:rsidRPr="006D40F0" w:rsidRDefault="00575AC3" w:rsidP="006D40F0">
            <w:r w:rsidRPr="006D40F0">
              <w:t>fra kr 5 602 000 000 til kr 6 994 000 000</w:t>
            </w:r>
          </w:p>
        </w:tc>
        <w:tc>
          <w:tcPr>
            <w:tcW w:w="1400" w:type="dxa"/>
            <w:tcBorders>
              <w:top w:val="nil"/>
              <w:left w:val="nil"/>
              <w:bottom w:val="nil"/>
              <w:right w:val="nil"/>
            </w:tcBorders>
            <w:tcMar>
              <w:top w:w="128" w:type="dxa"/>
              <w:left w:w="43" w:type="dxa"/>
              <w:bottom w:w="43" w:type="dxa"/>
              <w:right w:w="43" w:type="dxa"/>
            </w:tcMar>
            <w:vAlign w:val="bottom"/>
          </w:tcPr>
          <w:p w14:paraId="6047383A" w14:textId="77777777" w:rsidR="00575AC3" w:rsidRPr="006D40F0" w:rsidRDefault="00575AC3" w:rsidP="006D40F0"/>
        </w:tc>
      </w:tr>
      <w:tr w:rsidR="00DD49A7" w:rsidRPr="006D40F0" w14:paraId="265E6A9E" w14:textId="77777777">
        <w:trPr>
          <w:trHeight w:val="380"/>
        </w:trPr>
        <w:tc>
          <w:tcPr>
            <w:tcW w:w="680" w:type="dxa"/>
            <w:tcBorders>
              <w:top w:val="nil"/>
              <w:left w:val="nil"/>
              <w:bottom w:val="nil"/>
              <w:right w:val="nil"/>
            </w:tcBorders>
            <w:tcMar>
              <w:top w:w="128" w:type="dxa"/>
              <w:left w:w="43" w:type="dxa"/>
              <w:bottom w:w="43" w:type="dxa"/>
              <w:right w:w="43" w:type="dxa"/>
            </w:tcMar>
          </w:tcPr>
          <w:p w14:paraId="1C3FCE19" w14:textId="77777777" w:rsidR="00575AC3" w:rsidRPr="006D40F0" w:rsidRDefault="00575AC3" w:rsidP="006D40F0">
            <w:r w:rsidRPr="006D40F0">
              <w:t>5616</w:t>
            </w:r>
          </w:p>
        </w:tc>
        <w:tc>
          <w:tcPr>
            <w:tcW w:w="680" w:type="dxa"/>
            <w:tcBorders>
              <w:top w:val="nil"/>
              <w:left w:val="nil"/>
              <w:bottom w:val="nil"/>
              <w:right w:val="nil"/>
            </w:tcBorders>
            <w:tcMar>
              <w:top w:w="128" w:type="dxa"/>
              <w:left w:w="43" w:type="dxa"/>
              <w:bottom w:w="43" w:type="dxa"/>
              <w:right w:w="43" w:type="dxa"/>
            </w:tcMar>
          </w:tcPr>
          <w:p w14:paraId="56D25ECF"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F8C2136" w14:textId="77777777" w:rsidR="00575AC3" w:rsidRPr="006D40F0" w:rsidRDefault="00575AC3" w:rsidP="006D40F0">
            <w:r w:rsidRPr="006D40F0">
              <w:t>Kommunalbanken AS:</w:t>
            </w:r>
          </w:p>
        </w:tc>
        <w:tc>
          <w:tcPr>
            <w:tcW w:w="1400" w:type="dxa"/>
            <w:tcBorders>
              <w:top w:val="nil"/>
              <w:left w:val="nil"/>
              <w:bottom w:val="nil"/>
              <w:right w:val="nil"/>
            </w:tcBorders>
            <w:tcMar>
              <w:top w:w="128" w:type="dxa"/>
              <w:left w:w="43" w:type="dxa"/>
              <w:bottom w:w="43" w:type="dxa"/>
              <w:right w:w="43" w:type="dxa"/>
            </w:tcMar>
            <w:vAlign w:val="bottom"/>
          </w:tcPr>
          <w:p w14:paraId="1DE2F1AE" w14:textId="77777777" w:rsidR="00575AC3" w:rsidRPr="006D40F0" w:rsidRDefault="00575AC3" w:rsidP="006D40F0"/>
        </w:tc>
      </w:tr>
      <w:tr w:rsidR="00DD49A7" w:rsidRPr="006D40F0" w14:paraId="4400A863" w14:textId="77777777">
        <w:trPr>
          <w:trHeight w:val="380"/>
        </w:trPr>
        <w:tc>
          <w:tcPr>
            <w:tcW w:w="680" w:type="dxa"/>
            <w:tcBorders>
              <w:top w:val="nil"/>
              <w:left w:val="nil"/>
              <w:bottom w:val="nil"/>
              <w:right w:val="nil"/>
            </w:tcBorders>
            <w:tcMar>
              <w:top w:w="128" w:type="dxa"/>
              <w:left w:w="43" w:type="dxa"/>
              <w:bottom w:w="43" w:type="dxa"/>
              <w:right w:w="43" w:type="dxa"/>
            </w:tcMar>
          </w:tcPr>
          <w:p w14:paraId="0F2CF10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A27C49B"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72AE3C15" w14:textId="77777777" w:rsidR="00575AC3" w:rsidRPr="006D40F0" w:rsidRDefault="00575AC3" w:rsidP="006D40F0">
            <w:r w:rsidRPr="006D40F0">
              <w:t>Aksjeutbytte, forhøyes med</w:t>
            </w:r>
          </w:p>
        </w:tc>
        <w:tc>
          <w:tcPr>
            <w:tcW w:w="1400" w:type="dxa"/>
            <w:tcBorders>
              <w:top w:val="nil"/>
              <w:left w:val="nil"/>
              <w:bottom w:val="nil"/>
              <w:right w:val="nil"/>
            </w:tcBorders>
            <w:tcMar>
              <w:top w:w="128" w:type="dxa"/>
              <w:left w:w="43" w:type="dxa"/>
              <w:bottom w:w="43" w:type="dxa"/>
              <w:right w:w="43" w:type="dxa"/>
            </w:tcMar>
            <w:vAlign w:val="bottom"/>
          </w:tcPr>
          <w:p w14:paraId="2143E04D" w14:textId="77777777" w:rsidR="00575AC3" w:rsidRPr="006D40F0" w:rsidRDefault="00575AC3" w:rsidP="006D40F0">
            <w:r w:rsidRPr="006D40F0">
              <w:t>40 000 000</w:t>
            </w:r>
          </w:p>
        </w:tc>
      </w:tr>
      <w:tr w:rsidR="00DD49A7" w:rsidRPr="006D40F0" w14:paraId="470A54CF" w14:textId="77777777">
        <w:trPr>
          <w:trHeight w:val="380"/>
        </w:trPr>
        <w:tc>
          <w:tcPr>
            <w:tcW w:w="680" w:type="dxa"/>
            <w:tcBorders>
              <w:top w:val="nil"/>
              <w:left w:val="nil"/>
              <w:bottom w:val="nil"/>
              <w:right w:val="nil"/>
            </w:tcBorders>
            <w:tcMar>
              <w:top w:w="128" w:type="dxa"/>
              <w:left w:w="43" w:type="dxa"/>
              <w:bottom w:w="43" w:type="dxa"/>
              <w:right w:w="43" w:type="dxa"/>
            </w:tcMar>
          </w:tcPr>
          <w:p w14:paraId="6848C39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A83773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80E474" w14:textId="77777777" w:rsidR="00575AC3" w:rsidRPr="006D40F0" w:rsidRDefault="00575AC3" w:rsidP="006D40F0">
            <w:r w:rsidRPr="006D40F0">
              <w:t>fra kr 660 000 000 til kr 700 000 000</w:t>
            </w:r>
          </w:p>
        </w:tc>
        <w:tc>
          <w:tcPr>
            <w:tcW w:w="1400" w:type="dxa"/>
            <w:tcBorders>
              <w:top w:val="nil"/>
              <w:left w:val="nil"/>
              <w:bottom w:val="nil"/>
              <w:right w:val="nil"/>
            </w:tcBorders>
            <w:tcMar>
              <w:top w:w="128" w:type="dxa"/>
              <w:left w:w="43" w:type="dxa"/>
              <w:bottom w:w="43" w:type="dxa"/>
              <w:right w:w="43" w:type="dxa"/>
            </w:tcMar>
            <w:vAlign w:val="bottom"/>
          </w:tcPr>
          <w:p w14:paraId="5BC8F275" w14:textId="77777777" w:rsidR="00575AC3" w:rsidRPr="006D40F0" w:rsidRDefault="00575AC3" w:rsidP="006D40F0"/>
        </w:tc>
      </w:tr>
      <w:tr w:rsidR="00DD49A7" w:rsidRPr="006D40F0" w14:paraId="3F759EAF" w14:textId="77777777">
        <w:trPr>
          <w:trHeight w:val="380"/>
        </w:trPr>
        <w:tc>
          <w:tcPr>
            <w:tcW w:w="680" w:type="dxa"/>
            <w:tcBorders>
              <w:top w:val="nil"/>
              <w:left w:val="nil"/>
              <w:bottom w:val="nil"/>
              <w:right w:val="nil"/>
            </w:tcBorders>
            <w:tcMar>
              <w:top w:w="128" w:type="dxa"/>
              <w:left w:w="43" w:type="dxa"/>
              <w:bottom w:w="43" w:type="dxa"/>
              <w:right w:w="43" w:type="dxa"/>
            </w:tcMar>
          </w:tcPr>
          <w:p w14:paraId="72646F06" w14:textId="77777777" w:rsidR="00575AC3" w:rsidRPr="006D40F0" w:rsidRDefault="00575AC3" w:rsidP="006D40F0">
            <w:r w:rsidRPr="006D40F0">
              <w:t>5617</w:t>
            </w:r>
          </w:p>
        </w:tc>
        <w:tc>
          <w:tcPr>
            <w:tcW w:w="680" w:type="dxa"/>
            <w:tcBorders>
              <w:top w:val="nil"/>
              <w:left w:val="nil"/>
              <w:bottom w:val="nil"/>
              <w:right w:val="nil"/>
            </w:tcBorders>
            <w:tcMar>
              <w:top w:w="128" w:type="dxa"/>
              <w:left w:w="43" w:type="dxa"/>
              <w:bottom w:w="43" w:type="dxa"/>
              <w:right w:w="43" w:type="dxa"/>
            </w:tcMar>
          </w:tcPr>
          <w:p w14:paraId="1204339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63CE062" w14:textId="77777777" w:rsidR="00575AC3" w:rsidRPr="006D40F0" w:rsidRDefault="00575AC3" w:rsidP="006D40F0">
            <w:r w:rsidRPr="006D40F0">
              <w:t>Renter fra Statens lånekasse for utdanning:</w:t>
            </w:r>
          </w:p>
        </w:tc>
        <w:tc>
          <w:tcPr>
            <w:tcW w:w="1400" w:type="dxa"/>
            <w:tcBorders>
              <w:top w:val="nil"/>
              <w:left w:val="nil"/>
              <w:bottom w:val="nil"/>
              <w:right w:val="nil"/>
            </w:tcBorders>
            <w:tcMar>
              <w:top w:w="128" w:type="dxa"/>
              <w:left w:w="43" w:type="dxa"/>
              <w:bottom w:w="43" w:type="dxa"/>
              <w:right w:w="43" w:type="dxa"/>
            </w:tcMar>
            <w:vAlign w:val="bottom"/>
          </w:tcPr>
          <w:p w14:paraId="2878DAFB" w14:textId="77777777" w:rsidR="00575AC3" w:rsidRPr="006D40F0" w:rsidRDefault="00575AC3" w:rsidP="006D40F0"/>
        </w:tc>
      </w:tr>
      <w:tr w:rsidR="00DD49A7" w:rsidRPr="006D40F0" w14:paraId="665DC678" w14:textId="77777777">
        <w:trPr>
          <w:trHeight w:val="380"/>
        </w:trPr>
        <w:tc>
          <w:tcPr>
            <w:tcW w:w="680" w:type="dxa"/>
            <w:tcBorders>
              <w:top w:val="nil"/>
              <w:left w:val="nil"/>
              <w:bottom w:val="nil"/>
              <w:right w:val="nil"/>
            </w:tcBorders>
            <w:tcMar>
              <w:top w:w="128" w:type="dxa"/>
              <w:left w:w="43" w:type="dxa"/>
              <w:bottom w:w="43" w:type="dxa"/>
              <w:right w:w="43" w:type="dxa"/>
            </w:tcMar>
          </w:tcPr>
          <w:p w14:paraId="1E556EB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E849BAC"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5054FCBC" w14:textId="77777777" w:rsidR="00575AC3" w:rsidRPr="006D40F0" w:rsidRDefault="00575AC3" w:rsidP="006D40F0">
            <w:r w:rsidRPr="006D40F0">
              <w:t>Renter, forhøyes med</w:t>
            </w:r>
          </w:p>
        </w:tc>
        <w:tc>
          <w:tcPr>
            <w:tcW w:w="1400" w:type="dxa"/>
            <w:tcBorders>
              <w:top w:val="nil"/>
              <w:left w:val="nil"/>
              <w:bottom w:val="nil"/>
              <w:right w:val="nil"/>
            </w:tcBorders>
            <w:tcMar>
              <w:top w:w="128" w:type="dxa"/>
              <w:left w:w="43" w:type="dxa"/>
              <w:bottom w:w="43" w:type="dxa"/>
              <w:right w:w="43" w:type="dxa"/>
            </w:tcMar>
            <w:vAlign w:val="bottom"/>
          </w:tcPr>
          <w:p w14:paraId="67709DAC" w14:textId="77777777" w:rsidR="00575AC3" w:rsidRPr="006D40F0" w:rsidRDefault="00575AC3" w:rsidP="006D40F0">
            <w:r w:rsidRPr="006D40F0">
              <w:t>2 745 940 000</w:t>
            </w:r>
          </w:p>
        </w:tc>
      </w:tr>
      <w:tr w:rsidR="00DD49A7" w:rsidRPr="006D40F0" w14:paraId="17385574" w14:textId="77777777">
        <w:trPr>
          <w:trHeight w:val="380"/>
        </w:trPr>
        <w:tc>
          <w:tcPr>
            <w:tcW w:w="680" w:type="dxa"/>
            <w:tcBorders>
              <w:top w:val="nil"/>
              <w:left w:val="nil"/>
              <w:bottom w:val="nil"/>
              <w:right w:val="nil"/>
            </w:tcBorders>
            <w:tcMar>
              <w:top w:w="128" w:type="dxa"/>
              <w:left w:w="43" w:type="dxa"/>
              <w:bottom w:w="43" w:type="dxa"/>
              <w:right w:w="43" w:type="dxa"/>
            </w:tcMar>
          </w:tcPr>
          <w:p w14:paraId="3693D48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04CAD8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8A94118" w14:textId="77777777" w:rsidR="00575AC3" w:rsidRPr="006D40F0" w:rsidRDefault="00575AC3" w:rsidP="006D40F0">
            <w:r w:rsidRPr="006D40F0">
              <w:t>fra kr 10 363 860 000 til kr 13 109 800 000</w:t>
            </w:r>
          </w:p>
        </w:tc>
        <w:tc>
          <w:tcPr>
            <w:tcW w:w="1400" w:type="dxa"/>
            <w:tcBorders>
              <w:top w:val="nil"/>
              <w:left w:val="nil"/>
              <w:bottom w:val="nil"/>
              <w:right w:val="nil"/>
            </w:tcBorders>
            <w:tcMar>
              <w:top w:w="128" w:type="dxa"/>
              <w:left w:w="43" w:type="dxa"/>
              <w:bottom w:w="43" w:type="dxa"/>
              <w:right w:w="43" w:type="dxa"/>
            </w:tcMar>
            <w:vAlign w:val="bottom"/>
          </w:tcPr>
          <w:p w14:paraId="10333301" w14:textId="77777777" w:rsidR="00575AC3" w:rsidRPr="006D40F0" w:rsidRDefault="00575AC3" w:rsidP="006D40F0"/>
        </w:tc>
      </w:tr>
      <w:tr w:rsidR="00DD49A7" w:rsidRPr="006D40F0" w14:paraId="3015C645" w14:textId="77777777">
        <w:trPr>
          <w:trHeight w:val="380"/>
        </w:trPr>
        <w:tc>
          <w:tcPr>
            <w:tcW w:w="680" w:type="dxa"/>
            <w:tcBorders>
              <w:top w:val="nil"/>
              <w:left w:val="nil"/>
              <w:bottom w:val="nil"/>
              <w:right w:val="nil"/>
            </w:tcBorders>
            <w:tcMar>
              <w:top w:w="128" w:type="dxa"/>
              <w:left w:w="43" w:type="dxa"/>
              <w:bottom w:w="43" w:type="dxa"/>
              <w:right w:w="43" w:type="dxa"/>
            </w:tcMar>
          </w:tcPr>
          <w:p w14:paraId="6732FD6F" w14:textId="77777777" w:rsidR="00575AC3" w:rsidRPr="006D40F0" w:rsidRDefault="00575AC3" w:rsidP="006D40F0">
            <w:r w:rsidRPr="006D40F0">
              <w:t>5625</w:t>
            </w:r>
          </w:p>
        </w:tc>
        <w:tc>
          <w:tcPr>
            <w:tcW w:w="680" w:type="dxa"/>
            <w:tcBorders>
              <w:top w:val="nil"/>
              <w:left w:val="nil"/>
              <w:bottom w:val="nil"/>
              <w:right w:val="nil"/>
            </w:tcBorders>
            <w:tcMar>
              <w:top w:w="128" w:type="dxa"/>
              <w:left w:w="43" w:type="dxa"/>
              <w:bottom w:w="43" w:type="dxa"/>
              <w:right w:w="43" w:type="dxa"/>
            </w:tcMar>
          </w:tcPr>
          <w:p w14:paraId="2A31714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5D478FB" w14:textId="77777777" w:rsidR="00575AC3" w:rsidRPr="006D40F0" w:rsidRDefault="00575AC3" w:rsidP="006D40F0">
            <w:r w:rsidRPr="006D40F0">
              <w:t>Renter og utbytte fra Innovasjon Norge:</w:t>
            </w:r>
          </w:p>
        </w:tc>
        <w:tc>
          <w:tcPr>
            <w:tcW w:w="1400" w:type="dxa"/>
            <w:tcBorders>
              <w:top w:val="nil"/>
              <w:left w:val="nil"/>
              <w:bottom w:val="nil"/>
              <w:right w:val="nil"/>
            </w:tcBorders>
            <w:tcMar>
              <w:top w:w="128" w:type="dxa"/>
              <w:left w:w="43" w:type="dxa"/>
              <w:bottom w:w="43" w:type="dxa"/>
              <w:right w:w="43" w:type="dxa"/>
            </w:tcMar>
            <w:vAlign w:val="bottom"/>
          </w:tcPr>
          <w:p w14:paraId="0331FF24" w14:textId="77777777" w:rsidR="00575AC3" w:rsidRPr="006D40F0" w:rsidRDefault="00575AC3" w:rsidP="006D40F0"/>
        </w:tc>
      </w:tr>
      <w:tr w:rsidR="00DD49A7" w:rsidRPr="006D40F0" w14:paraId="45642D14" w14:textId="77777777">
        <w:trPr>
          <w:trHeight w:val="380"/>
        </w:trPr>
        <w:tc>
          <w:tcPr>
            <w:tcW w:w="680" w:type="dxa"/>
            <w:tcBorders>
              <w:top w:val="nil"/>
              <w:left w:val="nil"/>
              <w:bottom w:val="nil"/>
              <w:right w:val="nil"/>
            </w:tcBorders>
            <w:tcMar>
              <w:top w:w="128" w:type="dxa"/>
              <w:left w:w="43" w:type="dxa"/>
              <w:bottom w:w="43" w:type="dxa"/>
              <w:right w:w="43" w:type="dxa"/>
            </w:tcMar>
          </w:tcPr>
          <w:p w14:paraId="4E6415C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0A3E2BB"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5A3E1AAA" w14:textId="77777777" w:rsidR="00575AC3" w:rsidRPr="006D40F0" w:rsidRDefault="00575AC3" w:rsidP="006D40F0">
            <w:r w:rsidRPr="006D40F0">
              <w:t>Renter på lån fra statskassen, forhøyes med</w:t>
            </w:r>
          </w:p>
        </w:tc>
        <w:tc>
          <w:tcPr>
            <w:tcW w:w="1400" w:type="dxa"/>
            <w:tcBorders>
              <w:top w:val="nil"/>
              <w:left w:val="nil"/>
              <w:bottom w:val="nil"/>
              <w:right w:val="nil"/>
            </w:tcBorders>
            <w:tcMar>
              <w:top w:w="128" w:type="dxa"/>
              <w:left w:w="43" w:type="dxa"/>
              <w:bottom w:w="43" w:type="dxa"/>
              <w:right w:w="43" w:type="dxa"/>
            </w:tcMar>
            <w:vAlign w:val="bottom"/>
          </w:tcPr>
          <w:p w14:paraId="1B91D9FB" w14:textId="77777777" w:rsidR="00575AC3" w:rsidRPr="006D40F0" w:rsidRDefault="00575AC3" w:rsidP="006D40F0">
            <w:r w:rsidRPr="006D40F0">
              <w:t>135 000 000</w:t>
            </w:r>
          </w:p>
        </w:tc>
      </w:tr>
      <w:tr w:rsidR="00DD49A7" w:rsidRPr="006D40F0" w14:paraId="2824CE33" w14:textId="77777777">
        <w:trPr>
          <w:trHeight w:val="380"/>
        </w:trPr>
        <w:tc>
          <w:tcPr>
            <w:tcW w:w="680" w:type="dxa"/>
            <w:tcBorders>
              <w:top w:val="nil"/>
              <w:left w:val="nil"/>
              <w:bottom w:val="nil"/>
              <w:right w:val="nil"/>
            </w:tcBorders>
            <w:tcMar>
              <w:top w:w="128" w:type="dxa"/>
              <w:left w:w="43" w:type="dxa"/>
              <w:bottom w:w="43" w:type="dxa"/>
              <w:right w:w="43" w:type="dxa"/>
            </w:tcMar>
          </w:tcPr>
          <w:p w14:paraId="2F22294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95D6B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5C03FA" w14:textId="77777777" w:rsidR="00575AC3" w:rsidRPr="006D40F0" w:rsidRDefault="00575AC3" w:rsidP="006D40F0">
            <w:r w:rsidRPr="006D40F0">
              <w:t>fra kr 605 000 000 til kr 740 000 000</w:t>
            </w:r>
          </w:p>
        </w:tc>
        <w:tc>
          <w:tcPr>
            <w:tcW w:w="1400" w:type="dxa"/>
            <w:tcBorders>
              <w:top w:val="nil"/>
              <w:left w:val="nil"/>
              <w:bottom w:val="nil"/>
              <w:right w:val="nil"/>
            </w:tcBorders>
            <w:tcMar>
              <w:top w:w="128" w:type="dxa"/>
              <w:left w:w="43" w:type="dxa"/>
              <w:bottom w:w="43" w:type="dxa"/>
              <w:right w:w="43" w:type="dxa"/>
            </w:tcMar>
            <w:vAlign w:val="bottom"/>
          </w:tcPr>
          <w:p w14:paraId="04115634" w14:textId="77777777" w:rsidR="00575AC3" w:rsidRPr="006D40F0" w:rsidRDefault="00575AC3" w:rsidP="006D40F0"/>
        </w:tc>
      </w:tr>
      <w:tr w:rsidR="00DD49A7" w:rsidRPr="006D40F0" w14:paraId="36A993C3" w14:textId="77777777">
        <w:trPr>
          <w:trHeight w:val="380"/>
        </w:trPr>
        <w:tc>
          <w:tcPr>
            <w:tcW w:w="680" w:type="dxa"/>
            <w:tcBorders>
              <w:top w:val="nil"/>
              <w:left w:val="nil"/>
              <w:bottom w:val="nil"/>
              <w:right w:val="nil"/>
            </w:tcBorders>
            <w:tcMar>
              <w:top w:w="128" w:type="dxa"/>
              <w:left w:w="43" w:type="dxa"/>
              <w:bottom w:w="43" w:type="dxa"/>
              <w:right w:w="43" w:type="dxa"/>
            </w:tcMar>
          </w:tcPr>
          <w:p w14:paraId="2707550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F564AA8" w14:textId="77777777" w:rsidR="00575AC3" w:rsidRPr="006D40F0" w:rsidRDefault="00575AC3" w:rsidP="006D40F0">
            <w:r w:rsidRPr="006D40F0">
              <w:t>81</w:t>
            </w:r>
          </w:p>
        </w:tc>
        <w:tc>
          <w:tcPr>
            <w:tcW w:w="6800" w:type="dxa"/>
            <w:tcBorders>
              <w:top w:val="nil"/>
              <w:left w:val="nil"/>
              <w:bottom w:val="nil"/>
              <w:right w:val="nil"/>
            </w:tcBorders>
            <w:tcMar>
              <w:top w:w="128" w:type="dxa"/>
              <w:left w:w="43" w:type="dxa"/>
              <w:bottom w:w="43" w:type="dxa"/>
              <w:right w:w="43" w:type="dxa"/>
            </w:tcMar>
          </w:tcPr>
          <w:p w14:paraId="0C7AE9B3" w14:textId="77777777" w:rsidR="00575AC3" w:rsidRPr="006D40F0" w:rsidRDefault="00575AC3" w:rsidP="006D40F0">
            <w:r w:rsidRPr="006D40F0">
              <w:t>Rentemargin, innovasjonslåneordningen, forhøyes med</w:t>
            </w:r>
          </w:p>
        </w:tc>
        <w:tc>
          <w:tcPr>
            <w:tcW w:w="1400" w:type="dxa"/>
            <w:tcBorders>
              <w:top w:val="nil"/>
              <w:left w:val="nil"/>
              <w:bottom w:val="nil"/>
              <w:right w:val="nil"/>
            </w:tcBorders>
            <w:tcMar>
              <w:top w:w="128" w:type="dxa"/>
              <w:left w:w="43" w:type="dxa"/>
              <w:bottom w:w="43" w:type="dxa"/>
              <w:right w:w="43" w:type="dxa"/>
            </w:tcMar>
            <w:vAlign w:val="bottom"/>
          </w:tcPr>
          <w:p w14:paraId="62642342" w14:textId="77777777" w:rsidR="00575AC3" w:rsidRPr="006D40F0" w:rsidRDefault="00575AC3" w:rsidP="006D40F0">
            <w:r w:rsidRPr="006D40F0">
              <w:t>6 900 000</w:t>
            </w:r>
          </w:p>
        </w:tc>
      </w:tr>
      <w:tr w:rsidR="00DD49A7" w:rsidRPr="006D40F0" w14:paraId="2E0E925B" w14:textId="77777777">
        <w:trPr>
          <w:trHeight w:val="380"/>
        </w:trPr>
        <w:tc>
          <w:tcPr>
            <w:tcW w:w="680" w:type="dxa"/>
            <w:tcBorders>
              <w:top w:val="nil"/>
              <w:left w:val="nil"/>
              <w:bottom w:val="nil"/>
              <w:right w:val="nil"/>
            </w:tcBorders>
            <w:tcMar>
              <w:top w:w="128" w:type="dxa"/>
              <w:left w:w="43" w:type="dxa"/>
              <w:bottom w:w="43" w:type="dxa"/>
              <w:right w:w="43" w:type="dxa"/>
            </w:tcMar>
          </w:tcPr>
          <w:p w14:paraId="2296723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0A766D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1202F6D" w14:textId="77777777" w:rsidR="00575AC3" w:rsidRPr="006D40F0" w:rsidRDefault="00575AC3" w:rsidP="006D40F0">
            <w:r w:rsidRPr="006D40F0">
              <w:t>fra kr 22 000 000 til kr 28 900 000</w:t>
            </w:r>
          </w:p>
        </w:tc>
        <w:tc>
          <w:tcPr>
            <w:tcW w:w="1400" w:type="dxa"/>
            <w:tcBorders>
              <w:top w:val="nil"/>
              <w:left w:val="nil"/>
              <w:bottom w:val="nil"/>
              <w:right w:val="nil"/>
            </w:tcBorders>
            <w:tcMar>
              <w:top w:w="128" w:type="dxa"/>
              <w:left w:w="43" w:type="dxa"/>
              <w:bottom w:w="43" w:type="dxa"/>
              <w:right w:w="43" w:type="dxa"/>
            </w:tcMar>
            <w:vAlign w:val="bottom"/>
          </w:tcPr>
          <w:p w14:paraId="3AC837B9" w14:textId="77777777" w:rsidR="00575AC3" w:rsidRPr="006D40F0" w:rsidRDefault="00575AC3" w:rsidP="006D40F0"/>
        </w:tc>
      </w:tr>
      <w:tr w:rsidR="00DD49A7" w:rsidRPr="006D40F0" w14:paraId="11A1E176" w14:textId="77777777">
        <w:trPr>
          <w:trHeight w:val="380"/>
        </w:trPr>
        <w:tc>
          <w:tcPr>
            <w:tcW w:w="680" w:type="dxa"/>
            <w:tcBorders>
              <w:top w:val="nil"/>
              <w:left w:val="nil"/>
              <w:bottom w:val="nil"/>
              <w:right w:val="nil"/>
            </w:tcBorders>
            <w:tcMar>
              <w:top w:w="128" w:type="dxa"/>
              <w:left w:w="43" w:type="dxa"/>
              <w:bottom w:w="43" w:type="dxa"/>
              <w:right w:w="43" w:type="dxa"/>
            </w:tcMar>
          </w:tcPr>
          <w:p w14:paraId="00117CA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9E728F2"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741A9A70" w14:textId="77777777" w:rsidR="00575AC3" w:rsidRPr="006D40F0" w:rsidRDefault="00575AC3" w:rsidP="006D40F0">
            <w:r w:rsidRPr="006D40F0">
              <w:t>Utbytte, lavrisikolåneordningen, forhøyes med</w:t>
            </w:r>
          </w:p>
        </w:tc>
        <w:tc>
          <w:tcPr>
            <w:tcW w:w="1400" w:type="dxa"/>
            <w:tcBorders>
              <w:top w:val="nil"/>
              <w:left w:val="nil"/>
              <w:bottom w:val="nil"/>
              <w:right w:val="nil"/>
            </w:tcBorders>
            <w:tcMar>
              <w:top w:w="128" w:type="dxa"/>
              <w:left w:w="43" w:type="dxa"/>
              <w:bottom w:w="43" w:type="dxa"/>
              <w:right w:w="43" w:type="dxa"/>
            </w:tcMar>
            <w:vAlign w:val="bottom"/>
          </w:tcPr>
          <w:p w14:paraId="3BA3AFF3" w14:textId="77777777" w:rsidR="00575AC3" w:rsidRPr="006D40F0" w:rsidRDefault="00575AC3" w:rsidP="006D40F0">
            <w:r w:rsidRPr="006D40F0">
              <w:t>112 200 000</w:t>
            </w:r>
          </w:p>
        </w:tc>
      </w:tr>
      <w:tr w:rsidR="00DD49A7" w:rsidRPr="006D40F0" w14:paraId="65AE34DD" w14:textId="77777777">
        <w:trPr>
          <w:trHeight w:val="380"/>
        </w:trPr>
        <w:tc>
          <w:tcPr>
            <w:tcW w:w="680" w:type="dxa"/>
            <w:tcBorders>
              <w:top w:val="nil"/>
              <w:left w:val="nil"/>
              <w:bottom w:val="nil"/>
              <w:right w:val="nil"/>
            </w:tcBorders>
            <w:tcMar>
              <w:top w:w="128" w:type="dxa"/>
              <w:left w:w="43" w:type="dxa"/>
              <w:bottom w:w="43" w:type="dxa"/>
              <w:right w:w="43" w:type="dxa"/>
            </w:tcMar>
          </w:tcPr>
          <w:p w14:paraId="0A5319B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0EAE5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431B2C" w14:textId="77777777" w:rsidR="00575AC3" w:rsidRPr="006D40F0" w:rsidRDefault="00575AC3" w:rsidP="006D40F0">
            <w:r w:rsidRPr="006D40F0">
              <w:t>fra kr 440 000 000 til kr 552 200 000</w:t>
            </w:r>
          </w:p>
        </w:tc>
        <w:tc>
          <w:tcPr>
            <w:tcW w:w="1400" w:type="dxa"/>
            <w:tcBorders>
              <w:top w:val="nil"/>
              <w:left w:val="nil"/>
              <w:bottom w:val="nil"/>
              <w:right w:val="nil"/>
            </w:tcBorders>
            <w:tcMar>
              <w:top w:w="128" w:type="dxa"/>
              <w:left w:w="43" w:type="dxa"/>
              <w:bottom w:w="43" w:type="dxa"/>
              <w:right w:w="43" w:type="dxa"/>
            </w:tcMar>
            <w:vAlign w:val="bottom"/>
          </w:tcPr>
          <w:p w14:paraId="7876191C" w14:textId="77777777" w:rsidR="00575AC3" w:rsidRPr="006D40F0" w:rsidRDefault="00575AC3" w:rsidP="006D40F0"/>
        </w:tc>
      </w:tr>
      <w:tr w:rsidR="00DD49A7" w:rsidRPr="006D40F0" w14:paraId="04B3FAFE" w14:textId="77777777">
        <w:trPr>
          <w:trHeight w:val="380"/>
        </w:trPr>
        <w:tc>
          <w:tcPr>
            <w:tcW w:w="680" w:type="dxa"/>
            <w:tcBorders>
              <w:top w:val="nil"/>
              <w:left w:val="nil"/>
              <w:bottom w:val="nil"/>
              <w:right w:val="nil"/>
            </w:tcBorders>
            <w:tcMar>
              <w:top w:w="128" w:type="dxa"/>
              <w:left w:w="43" w:type="dxa"/>
              <w:bottom w:w="43" w:type="dxa"/>
              <w:right w:w="43" w:type="dxa"/>
            </w:tcMar>
          </w:tcPr>
          <w:p w14:paraId="672EFF7D" w14:textId="77777777" w:rsidR="00575AC3" w:rsidRPr="006D40F0" w:rsidRDefault="00575AC3" w:rsidP="006D40F0">
            <w:r w:rsidRPr="006D40F0">
              <w:t>5628</w:t>
            </w:r>
          </w:p>
        </w:tc>
        <w:tc>
          <w:tcPr>
            <w:tcW w:w="680" w:type="dxa"/>
            <w:tcBorders>
              <w:top w:val="nil"/>
              <w:left w:val="nil"/>
              <w:bottom w:val="nil"/>
              <w:right w:val="nil"/>
            </w:tcBorders>
            <w:tcMar>
              <w:top w:w="128" w:type="dxa"/>
              <w:left w:w="43" w:type="dxa"/>
              <w:bottom w:w="43" w:type="dxa"/>
              <w:right w:w="43" w:type="dxa"/>
            </w:tcMar>
          </w:tcPr>
          <w:p w14:paraId="110C4C42"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FD63E65" w14:textId="77777777" w:rsidR="00575AC3" w:rsidRPr="006D40F0" w:rsidRDefault="00575AC3" w:rsidP="006D40F0">
            <w:r w:rsidRPr="006D40F0">
              <w:t xml:space="preserve">Renter fra </w:t>
            </w:r>
            <w:proofErr w:type="spellStart"/>
            <w:r w:rsidRPr="006D40F0">
              <w:t>Investinor</w:t>
            </w:r>
            <w:proofErr w:type="spellEnd"/>
            <w:r w:rsidRPr="006D40F0">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792467ED" w14:textId="77777777" w:rsidR="00575AC3" w:rsidRPr="006D40F0" w:rsidRDefault="00575AC3" w:rsidP="006D40F0"/>
        </w:tc>
      </w:tr>
      <w:tr w:rsidR="00DD49A7" w:rsidRPr="006D40F0" w14:paraId="33F4A811" w14:textId="77777777">
        <w:trPr>
          <w:trHeight w:val="380"/>
        </w:trPr>
        <w:tc>
          <w:tcPr>
            <w:tcW w:w="680" w:type="dxa"/>
            <w:tcBorders>
              <w:top w:val="nil"/>
              <w:left w:val="nil"/>
              <w:bottom w:val="nil"/>
              <w:right w:val="nil"/>
            </w:tcBorders>
            <w:tcMar>
              <w:top w:w="128" w:type="dxa"/>
              <w:left w:w="43" w:type="dxa"/>
              <w:bottom w:w="43" w:type="dxa"/>
              <w:right w:w="43" w:type="dxa"/>
            </w:tcMar>
          </w:tcPr>
          <w:p w14:paraId="07B09A8C" w14:textId="77777777" w:rsidR="00575AC3" w:rsidRPr="006D40F0" w:rsidRDefault="00575AC3" w:rsidP="006D40F0">
            <w:r w:rsidRPr="006D40F0">
              <w:t>(NY)</w:t>
            </w:r>
          </w:p>
        </w:tc>
        <w:tc>
          <w:tcPr>
            <w:tcW w:w="680" w:type="dxa"/>
            <w:tcBorders>
              <w:top w:val="nil"/>
              <w:left w:val="nil"/>
              <w:bottom w:val="nil"/>
              <w:right w:val="nil"/>
            </w:tcBorders>
            <w:tcMar>
              <w:top w:w="128" w:type="dxa"/>
              <w:left w:w="43" w:type="dxa"/>
              <w:bottom w:w="43" w:type="dxa"/>
              <w:right w:w="43" w:type="dxa"/>
            </w:tcMar>
          </w:tcPr>
          <w:p w14:paraId="1D25B026" w14:textId="77777777" w:rsidR="00575AC3" w:rsidRPr="006D40F0" w:rsidRDefault="00575AC3" w:rsidP="006D40F0">
            <w:r w:rsidRPr="006D40F0">
              <w:t>80</w:t>
            </w:r>
          </w:p>
        </w:tc>
        <w:tc>
          <w:tcPr>
            <w:tcW w:w="6800" w:type="dxa"/>
            <w:tcBorders>
              <w:top w:val="nil"/>
              <w:left w:val="nil"/>
              <w:bottom w:val="nil"/>
              <w:right w:val="nil"/>
            </w:tcBorders>
            <w:tcMar>
              <w:top w:w="128" w:type="dxa"/>
              <w:left w:w="43" w:type="dxa"/>
              <w:bottom w:w="43" w:type="dxa"/>
              <w:right w:w="43" w:type="dxa"/>
            </w:tcMar>
          </w:tcPr>
          <w:p w14:paraId="49E359A0" w14:textId="77777777" w:rsidR="00575AC3" w:rsidRPr="006D40F0" w:rsidRDefault="00575AC3" w:rsidP="006D40F0">
            <w:r w:rsidRPr="006D40F0">
              <w:t>Renter fra såkornfond, bevilges med</w:t>
            </w:r>
          </w:p>
        </w:tc>
        <w:tc>
          <w:tcPr>
            <w:tcW w:w="1400" w:type="dxa"/>
            <w:tcBorders>
              <w:top w:val="nil"/>
              <w:left w:val="nil"/>
              <w:bottom w:val="nil"/>
              <w:right w:val="nil"/>
            </w:tcBorders>
            <w:tcMar>
              <w:top w:w="128" w:type="dxa"/>
              <w:left w:w="43" w:type="dxa"/>
              <w:bottom w:w="43" w:type="dxa"/>
              <w:right w:w="43" w:type="dxa"/>
            </w:tcMar>
            <w:vAlign w:val="bottom"/>
          </w:tcPr>
          <w:p w14:paraId="31F23554" w14:textId="77777777" w:rsidR="00575AC3" w:rsidRPr="006D40F0" w:rsidRDefault="00575AC3" w:rsidP="006D40F0">
            <w:r w:rsidRPr="006D40F0">
              <w:t>132 200 000</w:t>
            </w:r>
          </w:p>
        </w:tc>
      </w:tr>
      <w:tr w:rsidR="00DD49A7" w:rsidRPr="006D40F0" w14:paraId="3E7491DA" w14:textId="77777777">
        <w:trPr>
          <w:trHeight w:val="380"/>
        </w:trPr>
        <w:tc>
          <w:tcPr>
            <w:tcW w:w="680" w:type="dxa"/>
            <w:tcBorders>
              <w:top w:val="nil"/>
              <w:left w:val="nil"/>
              <w:bottom w:val="nil"/>
              <w:right w:val="nil"/>
            </w:tcBorders>
            <w:tcMar>
              <w:top w:w="128" w:type="dxa"/>
              <w:left w:w="43" w:type="dxa"/>
              <w:bottom w:w="43" w:type="dxa"/>
              <w:right w:w="43" w:type="dxa"/>
            </w:tcMar>
          </w:tcPr>
          <w:p w14:paraId="4BE051C4" w14:textId="77777777" w:rsidR="00575AC3" w:rsidRPr="006D40F0" w:rsidRDefault="00575AC3" w:rsidP="006D40F0">
            <w:r w:rsidRPr="006D40F0">
              <w:t>5631</w:t>
            </w:r>
          </w:p>
        </w:tc>
        <w:tc>
          <w:tcPr>
            <w:tcW w:w="680" w:type="dxa"/>
            <w:tcBorders>
              <w:top w:val="nil"/>
              <w:left w:val="nil"/>
              <w:bottom w:val="nil"/>
              <w:right w:val="nil"/>
            </w:tcBorders>
            <w:tcMar>
              <w:top w:w="128" w:type="dxa"/>
              <w:left w:w="43" w:type="dxa"/>
              <w:bottom w:w="43" w:type="dxa"/>
              <w:right w:w="43" w:type="dxa"/>
            </w:tcMar>
          </w:tcPr>
          <w:p w14:paraId="77ADB1E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D8DF13C" w14:textId="77777777" w:rsidR="00575AC3" w:rsidRPr="006D40F0" w:rsidRDefault="00575AC3" w:rsidP="006D40F0">
            <w:r w:rsidRPr="006D40F0">
              <w:t>Aksjer i AS Vinmonopolet:</w:t>
            </w:r>
          </w:p>
        </w:tc>
        <w:tc>
          <w:tcPr>
            <w:tcW w:w="1400" w:type="dxa"/>
            <w:tcBorders>
              <w:top w:val="nil"/>
              <w:left w:val="nil"/>
              <w:bottom w:val="nil"/>
              <w:right w:val="nil"/>
            </w:tcBorders>
            <w:tcMar>
              <w:top w:w="128" w:type="dxa"/>
              <w:left w:w="43" w:type="dxa"/>
              <w:bottom w:w="43" w:type="dxa"/>
              <w:right w:w="43" w:type="dxa"/>
            </w:tcMar>
            <w:vAlign w:val="bottom"/>
          </w:tcPr>
          <w:p w14:paraId="296C653D" w14:textId="77777777" w:rsidR="00575AC3" w:rsidRPr="006D40F0" w:rsidRDefault="00575AC3" w:rsidP="006D40F0"/>
        </w:tc>
      </w:tr>
      <w:tr w:rsidR="00DD49A7" w:rsidRPr="006D40F0" w14:paraId="4E824D8C" w14:textId="77777777">
        <w:trPr>
          <w:trHeight w:val="380"/>
        </w:trPr>
        <w:tc>
          <w:tcPr>
            <w:tcW w:w="680" w:type="dxa"/>
            <w:tcBorders>
              <w:top w:val="nil"/>
              <w:left w:val="nil"/>
              <w:bottom w:val="nil"/>
              <w:right w:val="nil"/>
            </w:tcBorders>
            <w:tcMar>
              <w:top w:w="128" w:type="dxa"/>
              <w:left w:w="43" w:type="dxa"/>
              <w:bottom w:w="43" w:type="dxa"/>
              <w:right w:w="43" w:type="dxa"/>
            </w:tcMar>
          </w:tcPr>
          <w:p w14:paraId="190C36F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4A60C69"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7136C7B9" w14:textId="77777777" w:rsidR="00575AC3" w:rsidRPr="006D40F0" w:rsidRDefault="00575AC3" w:rsidP="006D40F0">
            <w:r w:rsidRPr="006D40F0">
              <w:t>Statens overskuddsandel, forhøyes med</w:t>
            </w:r>
          </w:p>
        </w:tc>
        <w:tc>
          <w:tcPr>
            <w:tcW w:w="1400" w:type="dxa"/>
            <w:tcBorders>
              <w:top w:val="nil"/>
              <w:left w:val="nil"/>
              <w:bottom w:val="nil"/>
              <w:right w:val="nil"/>
            </w:tcBorders>
            <w:tcMar>
              <w:top w:w="128" w:type="dxa"/>
              <w:left w:w="43" w:type="dxa"/>
              <w:bottom w:w="43" w:type="dxa"/>
              <w:right w:w="43" w:type="dxa"/>
            </w:tcMar>
            <w:vAlign w:val="bottom"/>
          </w:tcPr>
          <w:p w14:paraId="5D98EB28" w14:textId="77777777" w:rsidR="00575AC3" w:rsidRPr="006D40F0" w:rsidRDefault="00575AC3" w:rsidP="006D40F0">
            <w:r w:rsidRPr="006D40F0">
              <w:t>72 500 000</w:t>
            </w:r>
          </w:p>
        </w:tc>
      </w:tr>
      <w:tr w:rsidR="00DD49A7" w:rsidRPr="006D40F0" w14:paraId="12A8C228" w14:textId="77777777">
        <w:trPr>
          <w:trHeight w:val="380"/>
        </w:trPr>
        <w:tc>
          <w:tcPr>
            <w:tcW w:w="680" w:type="dxa"/>
            <w:tcBorders>
              <w:top w:val="nil"/>
              <w:left w:val="nil"/>
              <w:bottom w:val="nil"/>
              <w:right w:val="nil"/>
            </w:tcBorders>
            <w:tcMar>
              <w:top w:w="128" w:type="dxa"/>
              <w:left w:w="43" w:type="dxa"/>
              <w:bottom w:w="43" w:type="dxa"/>
              <w:right w:w="43" w:type="dxa"/>
            </w:tcMar>
          </w:tcPr>
          <w:p w14:paraId="77E5E2E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3E991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184448E" w14:textId="77777777" w:rsidR="00575AC3" w:rsidRPr="006D40F0" w:rsidRDefault="00575AC3" w:rsidP="006D40F0">
            <w:r w:rsidRPr="006D40F0">
              <w:t>fra kr 79 500 000 til kr 152 000 000</w:t>
            </w:r>
          </w:p>
        </w:tc>
        <w:tc>
          <w:tcPr>
            <w:tcW w:w="1400" w:type="dxa"/>
            <w:tcBorders>
              <w:top w:val="nil"/>
              <w:left w:val="nil"/>
              <w:bottom w:val="nil"/>
              <w:right w:val="nil"/>
            </w:tcBorders>
            <w:tcMar>
              <w:top w:w="128" w:type="dxa"/>
              <w:left w:w="43" w:type="dxa"/>
              <w:bottom w:w="43" w:type="dxa"/>
              <w:right w:w="43" w:type="dxa"/>
            </w:tcMar>
            <w:vAlign w:val="bottom"/>
          </w:tcPr>
          <w:p w14:paraId="4A46A159" w14:textId="77777777" w:rsidR="00575AC3" w:rsidRPr="006D40F0" w:rsidRDefault="00575AC3" w:rsidP="006D40F0"/>
        </w:tc>
      </w:tr>
      <w:tr w:rsidR="00DD49A7" w:rsidRPr="006D40F0" w14:paraId="651F4FC7" w14:textId="77777777">
        <w:trPr>
          <w:trHeight w:val="380"/>
        </w:trPr>
        <w:tc>
          <w:tcPr>
            <w:tcW w:w="680" w:type="dxa"/>
            <w:tcBorders>
              <w:top w:val="nil"/>
              <w:left w:val="nil"/>
              <w:bottom w:val="nil"/>
              <w:right w:val="nil"/>
            </w:tcBorders>
            <w:tcMar>
              <w:top w:w="128" w:type="dxa"/>
              <w:left w:w="43" w:type="dxa"/>
              <w:bottom w:w="43" w:type="dxa"/>
              <w:right w:w="43" w:type="dxa"/>
            </w:tcMar>
          </w:tcPr>
          <w:p w14:paraId="6F2D29E8" w14:textId="77777777" w:rsidR="00575AC3" w:rsidRPr="006D40F0" w:rsidRDefault="00575AC3" w:rsidP="006D40F0">
            <w:r w:rsidRPr="006D40F0">
              <w:t>5652</w:t>
            </w:r>
          </w:p>
        </w:tc>
        <w:tc>
          <w:tcPr>
            <w:tcW w:w="680" w:type="dxa"/>
            <w:tcBorders>
              <w:top w:val="nil"/>
              <w:left w:val="nil"/>
              <w:bottom w:val="nil"/>
              <w:right w:val="nil"/>
            </w:tcBorders>
            <w:tcMar>
              <w:top w:w="128" w:type="dxa"/>
              <w:left w:w="43" w:type="dxa"/>
              <w:bottom w:w="43" w:type="dxa"/>
              <w:right w:w="43" w:type="dxa"/>
            </w:tcMar>
          </w:tcPr>
          <w:p w14:paraId="32AD9E05"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4993FFA8" w14:textId="77777777" w:rsidR="00575AC3" w:rsidRPr="006D40F0" w:rsidRDefault="00575AC3" w:rsidP="006D40F0">
            <w:r w:rsidRPr="006D40F0">
              <w:t>Statskog SF – renter og utbytte:</w:t>
            </w:r>
          </w:p>
        </w:tc>
        <w:tc>
          <w:tcPr>
            <w:tcW w:w="1400" w:type="dxa"/>
            <w:tcBorders>
              <w:top w:val="nil"/>
              <w:left w:val="nil"/>
              <w:bottom w:val="nil"/>
              <w:right w:val="nil"/>
            </w:tcBorders>
            <w:tcMar>
              <w:top w:w="128" w:type="dxa"/>
              <w:left w:w="43" w:type="dxa"/>
              <w:bottom w:w="43" w:type="dxa"/>
              <w:right w:w="43" w:type="dxa"/>
            </w:tcMar>
            <w:vAlign w:val="bottom"/>
          </w:tcPr>
          <w:p w14:paraId="4DC3A1B4" w14:textId="77777777" w:rsidR="00575AC3" w:rsidRPr="006D40F0" w:rsidRDefault="00575AC3" w:rsidP="006D40F0"/>
        </w:tc>
      </w:tr>
      <w:tr w:rsidR="00DD49A7" w:rsidRPr="006D40F0" w14:paraId="393F6814" w14:textId="77777777">
        <w:trPr>
          <w:trHeight w:val="380"/>
        </w:trPr>
        <w:tc>
          <w:tcPr>
            <w:tcW w:w="680" w:type="dxa"/>
            <w:tcBorders>
              <w:top w:val="nil"/>
              <w:left w:val="nil"/>
              <w:bottom w:val="nil"/>
              <w:right w:val="nil"/>
            </w:tcBorders>
            <w:tcMar>
              <w:top w:w="128" w:type="dxa"/>
              <w:left w:w="43" w:type="dxa"/>
              <w:bottom w:w="43" w:type="dxa"/>
              <w:right w:w="43" w:type="dxa"/>
            </w:tcMar>
          </w:tcPr>
          <w:p w14:paraId="7D4479E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7049EDB"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174F039D" w14:textId="77777777" w:rsidR="00575AC3" w:rsidRPr="006D40F0" w:rsidRDefault="00575AC3" w:rsidP="006D40F0">
            <w:r w:rsidRPr="006D40F0">
              <w:t>Utbytte, forhøyes med</w:t>
            </w:r>
          </w:p>
        </w:tc>
        <w:tc>
          <w:tcPr>
            <w:tcW w:w="1400" w:type="dxa"/>
            <w:tcBorders>
              <w:top w:val="nil"/>
              <w:left w:val="nil"/>
              <w:bottom w:val="nil"/>
              <w:right w:val="nil"/>
            </w:tcBorders>
            <w:tcMar>
              <w:top w:w="128" w:type="dxa"/>
              <w:left w:w="43" w:type="dxa"/>
              <w:bottom w:w="43" w:type="dxa"/>
              <w:right w:w="43" w:type="dxa"/>
            </w:tcMar>
            <w:vAlign w:val="bottom"/>
          </w:tcPr>
          <w:p w14:paraId="4D4A5F86" w14:textId="77777777" w:rsidR="00575AC3" w:rsidRPr="006D40F0" w:rsidRDefault="00575AC3" w:rsidP="006D40F0">
            <w:r w:rsidRPr="006D40F0">
              <w:t>160 100 000</w:t>
            </w:r>
          </w:p>
        </w:tc>
      </w:tr>
      <w:tr w:rsidR="00DD49A7" w:rsidRPr="006D40F0" w14:paraId="3F86CAEC" w14:textId="77777777">
        <w:trPr>
          <w:trHeight w:val="380"/>
        </w:trPr>
        <w:tc>
          <w:tcPr>
            <w:tcW w:w="680" w:type="dxa"/>
            <w:tcBorders>
              <w:top w:val="nil"/>
              <w:left w:val="nil"/>
              <w:bottom w:val="nil"/>
              <w:right w:val="nil"/>
            </w:tcBorders>
            <w:tcMar>
              <w:top w:w="128" w:type="dxa"/>
              <w:left w:w="43" w:type="dxa"/>
              <w:bottom w:w="43" w:type="dxa"/>
              <w:right w:w="43" w:type="dxa"/>
            </w:tcMar>
          </w:tcPr>
          <w:p w14:paraId="50889D4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406C11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29E1A7" w14:textId="77777777" w:rsidR="00575AC3" w:rsidRPr="006D40F0" w:rsidRDefault="00575AC3" w:rsidP="006D40F0">
            <w:r w:rsidRPr="006D40F0">
              <w:t>fra kr 23 000 000 til kr 183 100 000</w:t>
            </w:r>
          </w:p>
        </w:tc>
        <w:tc>
          <w:tcPr>
            <w:tcW w:w="1400" w:type="dxa"/>
            <w:tcBorders>
              <w:top w:val="nil"/>
              <w:left w:val="nil"/>
              <w:bottom w:val="nil"/>
              <w:right w:val="nil"/>
            </w:tcBorders>
            <w:tcMar>
              <w:top w:w="128" w:type="dxa"/>
              <w:left w:w="43" w:type="dxa"/>
              <w:bottom w:w="43" w:type="dxa"/>
              <w:right w:w="43" w:type="dxa"/>
            </w:tcMar>
            <w:vAlign w:val="bottom"/>
          </w:tcPr>
          <w:p w14:paraId="0BC27ECA" w14:textId="77777777" w:rsidR="00575AC3" w:rsidRPr="006D40F0" w:rsidRDefault="00575AC3" w:rsidP="006D40F0"/>
        </w:tc>
      </w:tr>
      <w:tr w:rsidR="00DD49A7" w:rsidRPr="006D40F0" w14:paraId="3F1C4A9D" w14:textId="77777777">
        <w:trPr>
          <w:trHeight w:val="380"/>
        </w:trPr>
        <w:tc>
          <w:tcPr>
            <w:tcW w:w="680" w:type="dxa"/>
            <w:tcBorders>
              <w:top w:val="nil"/>
              <w:left w:val="nil"/>
              <w:bottom w:val="nil"/>
              <w:right w:val="nil"/>
            </w:tcBorders>
            <w:tcMar>
              <w:top w:w="128" w:type="dxa"/>
              <w:left w:w="43" w:type="dxa"/>
              <w:bottom w:w="43" w:type="dxa"/>
              <w:right w:w="43" w:type="dxa"/>
            </w:tcMar>
          </w:tcPr>
          <w:p w14:paraId="31239AC6" w14:textId="77777777" w:rsidR="00575AC3" w:rsidRPr="006D40F0" w:rsidRDefault="00575AC3" w:rsidP="006D40F0">
            <w:r w:rsidRPr="006D40F0">
              <w:t>5656</w:t>
            </w:r>
          </w:p>
        </w:tc>
        <w:tc>
          <w:tcPr>
            <w:tcW w:w="680" w:type="dxa"/>
            <w:tcBorders>
              <w:top w:val="nil"/>
              <w:left w:val="nil"/>
              <w:bottom w:val="nil"/>
              <w:right w:val="nil"/>
            </w:tcBorders>
            <w:tcMar>
              <w:top w:w="128" w:type="dxa"/>
              <w:left w:w="43" w:type="dxa"/>
              <w:bottom w:w="43" w:type="dxa"/>
              <w:right w:w="43" w:type="dxa"/>
            </w:tcMar>
          </w:tcPr>
          <w:p w14:paraId="3DF56C0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B3D468C" w14:textId="77777777" w:rsidR="00575AC3" w:rsidRPr="006D40F0" w:rsidRDefault="00575AC3" w:rsidP="006D40F0">
            <w:r w:rsidRPr="006D40F0">
              <w:t>Aksjer under Nærings- og fiskeridepartementets forvaltning:</w:t>
            </w:r>
          </w:p>
        </w:tc>
        <w:tc>
          <w:tcPr>
            <w:tcW w:w="1400" w:type="dxa"/>
            <w:tcBorders>
              <w:top w:val="nil"/>
              <w:left w:val="nil"/>
              <w:bottom w:val="nil"/>
              <w:right w:val="nil"/>
            </w:tcBorders>
            <w:tcMar>
              <w:top w:w="128" w:type="dxa"/>
              <w:left w:w="43" w:type="dxa"/>
              <w:bottom w:w="43" w:type="dxa"/>
              <w:right w:w="43" w:type="dxa"/>
            </w:tcMar>
            <w:vAlign w:val="bottom"/>
          </w:tcPr>
          <w:p w14:paraId="48C816B7" w14:textId="77777777" w:rsidR="00575AC3" w:rsidRPr="006D40F0" w:rsidRDefault="00575AC3" w:rsidP="006D40F0"/>
        </w:tc>
      </w:tr>
      <w:tr w:rsidR="00DD49A7" w:rsidRPr="006D40F0" w14:paraId="0FFD6110" w14:textId="77777777">
        <w:trPr>
          <w:trHeight w:val="380"/>
        </w:trPr>
        <w:tc>
          <w:tcPr>
            <w:tcW w:w="680" w:type="dxa"/>
            <w:tcBorders>
              <w:top w:val="nil"/>
              <w:left w:val="nil"/>
              <w:bottom w:val="nil"/>
              <w:right w:val="nil"/>
            </w:tcBorders>
            <w:tcMar>
              <w:top w:w="128" w:type="dxa"/>
              <w:left w:w="43" w:type="dxa"/>
              <w:bottom w:w="43" w:type="dxa"/>
              <w:right w:w="43" w:type="dxa"/>
            </w:tcMar>
          </w:tcPr>
          <w:p w14:paraId="3B67449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3BF7A14"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63BAF23B" w14:textId="77777777" w:rsidR="00575AC3" w:rsidRPr="006D40F0" w:rsidRDefault="00575AC3" w:rsidP="006D40F0">
            <w:r w:rsidRPr="006D40F0">
              <w:t>Utbytte, nedsettes med</w:t>
            </w:r>
          </w:p>
        </w:tc>
        <w:tc>
          <w:tcPr>
            <w:tcW w:w="1400" w:type="dxa"/>
            <w:tcBorders>
              <w:top w:val="nil"/>
              <w:left w:val="nil"/>
              <w:bottom w:val="nil"/>
              <w:right w:val="nil"/>
            </w:tcBorders>
            <w:tcMar>
              <w:top w:w="128" w:type="dxa"/>
              <w:left w:w="43" w:type="dxa"/>
              <w:bottom w:w="43" w:type="dxa"/>
              <w:right w:w="43" w:type="dxa"/>
            </w:tcMar>
            <w:vAlign w:val="bottom"/>
          </w:tcPr>
          <w:p w14:paraId="15EBBEA4" w14:textId="77777777" w:rsidR="00575AC3" w:rsidRPr="006D40F0" w:rsidRDefault="00575AC3" w:rsidP="006D40F0">
            <w:r w:rsidRPr="006D40F0">
              <w:t>4 979 400 000</w:t>
            </w:r>
          </w:p>
        </w:tc>
      </w:tr>
      <w:tr w:rsidR="00DD49A7" w:rsidRPr="006D40F0" w14:paraId="1F9E5AFD" w14:textId="77777777">
        <w:trPr>
          <w:trHeight w:val="380"/>
        </w:trPr>
        <w:tc>
          <w:tcPr>
            <w:tcW w:w="680" w:type="dxa"/>
            <w:tcBorders>
              <w:top w:val="nil"/>
              <w:left w:val="nil"/>
              <w:bottom w:val="nil"/>
              <w:right w:val="nil"/>
            </w:tcBorders>
            <w:tcMar>
              <w:top w:w="128" w:type="dxa"/>
              <w:left w:w="43" w:type="dxa"/>
              <w:bottom w:w="43" w:type="dxa"/>
              <w:right w:w="43" w:type="dxa"/>
            </w:tcMar>
          </w:tcPr>
          <w:p w14:paraId="0681613B"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2C7BD3A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5745304" w14:textId="77777777" w:rsidR="00575AC3" w:rsidRPr="006D40F0" w:rsidRDefault="00575AC3" w:rsidP="006D40F0">
            <w:r w:rsidRPr="006D40F0">
              <w:t>fra kr 37 673 800 000 til kr 32 694 400 000</w:t>
            </w:r>
          </w:p>
        </w:tc>
        <w:tc>
          <w:tcPr>
            <w:tcW w:w="1400" w:type="dxa"/>
            <w:tcBorders>
              <w:top w:val="nil"/>
              <w:left w:val="nil"/>
              <w:bottom w:val="nil"/>
              <w:right w:val="nil"/>
            </w:tcBorders>
            <w:tcMar>
              <w:top w:w="128" w:type="dxa"/>
              <w:left w:w="43" w:type="dxa"/>
              <w:bottom w:w="43" w:type="dxa"/>
              <w:right w:w="43" w:type="dxa"/>
            </w:tcMar>
            <w:vAlign w:val="bottom"/>
          </w:tcPr>
          <w:p w14:paraId="7AA178A5" w14:textId="77777777" w:rsidR="00575AC3" w:rsidRPr="006D40F0" w:rsidRDefault="00575AC3" w:rsidP="006D40F0"/>
        </w:tc>
      </w:tr>
      <w:tr w:rsidR="00DD49A7" w:rsidRPr="006D40F0" w14:paraId="072ADB97" w14:textId="77777777">
        <w:trPr>
          <w:trHeight w:val="380"/>
        </w:trPr>
        <w:tc>
          <w:tcPr>
            <w:tcW w:w="680" w:type="dxa"/>
            <w:tcBorders>
              <w:top w:val="nil"/>
              <w:left w:val="nil"/>
              <w:bottom w:val="nil"/>
              <w:right w:val="nil"/>
            </w:tcBorders>
            <w:tcMar>
              <w:top w:w="128" w:type="dxa"/>
              <w:left w:w="43" w:type="dxa"/>
              <w:bottom w:w="43" w:type="dxa"/>
              <w:right w:w="43" w:type="dxa"/>
            </w:tcMar>
          </w:tcPr>
          <w:p w14:paraId="191557EE" w14:textId="77777777" w:rsidR="00575AC3" w:rsidRPr="006D40F0" w:rsidRDefault="00575AC3" w:rsidP="006D40F0">
            <w:r w:rsidRPr="006D40F0">
              <w:t>5672</w:t>
            </w:r>
          </w:p>
        </w:tc>
        <w:tc>
          <w:tcPr>
            <w:tcW w:w="680" w:type="dxa"/>
            <w:tcBorders>
              <w:top w:val="nil"/>
              <w:left w:val="nil"/>
              <w:bottom w:val="nil"/>
              <w:right w:val="nil"/>
            </w:tcBorders>
            <w:tcMar>
              <w:top w:w="128" w:type="dxa"/>
              <w:left w:w="43" w:type="dxa"/>
              <w:bottom w:w="43" w:type="dxa"/>
              <w:right w:w="43" w:type="dxa"/>
            </w:tcMar>
          </w:tcPr>
          <w:p w14:paraId="62DB0BE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08642025" w14:textId="77777777" w:rsidR="00575AC3" w:rsidRPr="006D40F0" w:rsidRDefault="00575AC3" w:rsidP="006D40F0">
            <w:r w:rsidRPr="006D40F0">
              <w:t>Bane NOR SF – utbytte:</w:t>
            </w:r>
          </w:p>
        </w:tc>
        <w:tc>
          <w:tcPr>
            <w:tcW w:w="1400" w:type="dxa"/>
            <w:tcBorders>
              <w:top w:val="nil"/>
              <w:left w:val="nil"/>
              <w:bottom w:val="nil"/>
              <w:right w:val="nil"/>
            </w:tcBorders>
            <w:tcMar>
              <w:top w:w="128" w:type="dxa"/>
              <w:left w:w="43" w:type="dxa"/>
              <w:bottom w:w="43" w:type="dxa"/>
              <w:right w:w="43" w:type="dxa"/>
            </w:tcMar>
            <w:vAlign w:val="bottom"/>
          </w:tcPr>
          <w:p w14:paraId="0431D7A7" w14:textId="77777777" w:rsidR="00575AC3" w:rsidRPr="006D40F0" w:rsidRDefault="00575AC3" w:rsidP="006D40F0"/>
        </w:tc>
      </w:tr>
      <w:tr w:rsidR="00DD49A7" w:rsidRPr="006D40F0" w14:paraId="0B0AEE4A" w14:textId="77777777">
        <w:trPr>
          <w:trHeight w:val="380"/>
        </w:trPr>
        <w:tc>
          <w:tcPr>
            <w:tcW w:w="680" w:type="dxa"/>
            <w:tcBorders>
              <w:top w:val="nil"/>
              <w:left w:val="nil"/>
              <w:bottom w:val="nil"/>
              <w:right w:val="nil"/>
            </w:tcBorders>
            <w:tcMar>
              <w:top w:w="128" w:type="dxa"/>
              <w:left w:w="43" w:type="dxa"/>
              <w:bottom w:w="43" w:type="dxa"/>
              <w:right w:w="43" w:type="dxa"/>
            </w:tcMar>
          </w:tcPr>
          <w:p w14:paraId="1236F2FF"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14CA85"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75AA3EC2" w14:textId="77777777" w:rsidR="00575AC3" w:rsidRPr="006D40F0" w:rsidRDefault="00575AC3" w:rsidP="006D40F0">
            <w:r w:rsidRPr="006D40F0">
              <w:t>Utbytte, nedsettes med</w:t>
            </w:r>
          </w:p>
        </w:tc>
        <w:tc>
          <w:tcPr>
            <w:tcW w:w="1400" w:type="dxa"/>
            <w:tcBorders>
              <w:top w:val="nil"/>
              <w:left w:val="nil"/>
              <w:bottom w:val="nil"/>
              <w:right w:val="nil"/>
            </w:tcBorders>
            <w:tcMar>
              <w:top w:w="128" w:type="dxa"/>
              <w:left w:w="43" w:type="dxa"/>
              <w:bottom w:w="43" w:type="dxa"/>
              <w:right w:w="43" w:type="dxa"/>
            </w:tcMar>
            <w:vAlign w:val="bottom"/>
          </w:tcPr>
          <w:p w14:paraId="1F368EA4" w14:textId="77777777" w:rsidR="00575AC3" w:rsidRPr="006D40F0" w:rsidRDefault="00575AC3" w:rsidP="006D40F0">
            <w:r w:rsidRPr="006D40F0">
              <w:t>53 000 000</w:t>
            </w:r>
          </w:p>
        </w:tc>
      </w:tr>
      <w:tr w:rsidR="00DD49A7" w:rsidRPr="006D40F0" w14:paraId="6A24FF72" w14:textId="77777777">
        <w:trPr>
          <w:trHeight w:val="380"/>
        </w:trPr>
        <w:tc>
          <w:tcPr>
            <w:tcW w:w="680" w:type="dxa"/>
            <w:tcBorders>
              <w:top w:val="nil"/>
              <w:left w:val="nil"/>
              <w:bottom w:val="nil"/>
              <w:right w:val="nil"/>
            </w:tcBorders>
            <w:tcMar>
              <w:top w:w="128" w:type="dxa"/>
              <w:left w:w="43" w:type="dxa"/>
              <w:bottom w:w="43" w:type="dxa"/>
              <w:right w:w="43" w:type="dxa"/>
            </w:tcMar>
          </w:tcPr>
          <w:p w14:paraId="3D64560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D4495B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308B82" w14:textId="77777777" w:rsidR="00575AC3" w:rsidRPr="006D40F0" w:rsidRDefault="00575AC3" w:rsidP="006D40F0">
            <w:r w:rsidRPr="006D40F0">
              <w:t>fra kr 53 000 000 til kr 0</w:t>
            </w:r>
          </w:p>
        </w:tc>
        <w:tc>
          <w:tcPr>
            <w:tcW w:w="1400" w:type="dxa"/>
            <w:tcBorders>
              <w:top w:val="nil"/>
              <w:left w:val="nil"/>
              <w:bottom w:val="nil"/>
              <w:right w:val="nil"/>
            </w:tcBorders>
            <w:tcMar>
              <w:top w:w="128" w:type="dxa"/>
              <w:left w:w="43" w:type="dxa"/>
              <w:bottom w:w="43" w:type="dxa"/>
              <w:right w:w="43" w:type="dxa"/>
            </w:tcMar>
            <w:vAlign w:val="bottom"/>
          </w:tcPr>
          <w:p w14:paraId="7064E7FE" w14:textId="77777777" w:rsidR="00575AC3" w:rsidRPr="006D40F0" w:rsidRDefault="00575AC3" w:rsidP="006D40F0"/>
        </w:tc>
      </w:tr>
      <w:tr w:rsidR="00DD49A7" w:rsidRPr="006D40F0" w14:paraId="2E5E36FE" w14:textId="77777777">
        <w:trPr>
          <w:trHeight w:val="380"/>
        </w:trPr>
        <w:tc>
          <w:tcPr>
            <w:tcW w:w="680" w:type="dxa"/>
            <w:tcBorders>
              <w:top w:val="nil"/>
              <w:left w:val="nil"/>
              <w:bottom w:val="nil"/>
              <w:right w:val="nil"/>
            </w:tcBorders>
            <w:tcMar>
              <w:top w:w="128" w:type="dxa"/>
              <w:left w:w="43" w:type="dxa"/>
              <w:bottom w:w="43" w:type="dxa"/>
              <w:right w:w="43" w:type="dxa"/>
            </w:tcMar>
          </w:tcPr>
          <w:p w14:paraId="2868A224" w14:textId="77777777" w:rsidR="00575AC3" w:rsidRPr="006D40F0" w:rsidRDefault="00575AC3" w:rsidP="006D40F0">
            <w:r w:rsidRPr="006D40F0">
              <w:lastRenderedPageBreak/>
              <w:t>5680</w:t>
            </w:r>
          </w:p>
        </w:tc>
        <w:tc>
          <w:tcPr>
            <w:tcW w:w="680" w:type="dxa"/>
            <w:tcBorders>
              <w:top w:val="nil"/>
              <w:left w:val="nil"/>
              <w:bottom w:val="nil"/>
              <w:right w:val="nil"/>
            </w:tcBorders>
            <w:tcMar>
              <w:top w:w="128" w:type="dxa"/>
              <w:left w:w="43" w:type="dxa"/>
              <w:bottom w:w="43" w:type="dxa"/>
              <w:right w:w="43" w:type="dxa"/>
            </w:tcMar>
          </w:tcPr>
          <w:p w14:paraId="5120FDD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9B80FBA" w14:textId="77777777" w:rsidR="00575AC3" w:rsidRPr="006D40F0" w:rsidRDefault="00575AC3" w:rsidP="006D40F0">
            <w:r w:rsidRPr="006D40F0">
              <w:t>Statnett SF:</w:t>
            </w:r>
          </w:p>
        </w:tc>
        <w:tc>
          <w:tcPr>
            <w:tcW w:w="1400" w:type="dxa"/>
            <w:tcBorders>
              <w:top w:val="nil"/>
              <w:left w:val="nil"/>
              <w:bottom w:val="nil"/>
              <w:right w:val="nil"/>
            </w:tcBorders>
            <w:tcMar>
              <w:top w:w="128" w:type="dxa"/>
              <w:left w:w="43" w:type="dxa"/>
              <w:bottom w:w="43" w:type="dxa"/>
              <w:right w:w="43" w:type="dxa"/>
            </w:tcMar>
            <w:vAlign w:val="bottom"/>
          </w:tcPr>
          <w:p w14:paraId="254049DC" w14:textId="77777777" w:rsidR="00575AC3" w:rsidRPr="006D40F0" w:rsidRDefault="00575AC3" w:rsidP="006D40F0"/>
        </w:tc>
      </w:tr>
      <w:tr w:rsidR="00DD49A7" w:rsidRPr="006D40F0" w14:paraId="12DB1518" w14:textId="77777777">
        <w:trPr>
          <w:trHeight w:val="380"/>
        </w:trPr>
        <w:tc>
          <w:tcPr>
            <w:tcW w:w="680" w:type="dxa"/>
            <w:tcBorders>
              <w:top w:val="nil"/>
              <w:left w:val="nil"/>
              <w:bottom w:val="nil"/>
              <w:right w:val="nil"/>
            </w:tcBorders>
            <w:tcMar>
              <w:top w:w="128" w:type="dxa"/>
              <w:left w:w="43" w:type="dxa"/>
              <w:bottom w:w="43" w:type="dxa"/>
              <w:right w:w="43" w:type="dxa"/>
            </w:tcMar>
          </w:tcPr>
          <w:p w14:paraId="6F707F58"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D24156"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22216F83" w14:textId="77777777" w:rsidR="00575AC3" w:rsidRPr="006D40F0" w:rsidRDefault="00575AC3" w:rsidP="006D40F0">
            <w:r w:rsidRPr="006D40F0">
              <w:t>Utbytte, forhøyes med</w:t>
            </w:r>
          </w:p>
        </w:tc>
        <w:tc>
          <w:tcPr>
            <w:tcW w:w="1400" w:type="dxa"/>
            <w:tcBorders>
              <w:top w:val="nil"/>
              <w:left w:val="nil"/>
              <w:bottom w:val="nil"/>
              <w:right w:val="nil"/>
            </w:tcBorders>
            <w:tcMar>
              <w:top w:w="128" w:type="dxa"/>
              <w:left w:w="43" w:type="dxa"/>
              <w:bottom w:w="43" w:type="dxa"/>
              <w:right w:w="43" w:type="dxa"/>
            </w:tcMar>
            <w:vAlign w:val="bottom"/>
          </w:tcPr>
          <w:p w14:paraId="77BFC44F" w14:textId="77777777" w:rsidR="00575AC3" w:rsidRPr="006D40F0" w:rsidRDefault="00575AC3" w:rsidP="006D40F0">
            <w:r w:rsidRPr="006D40F0">
              <w:t>49 000 000</w:t>
            </w:r>
          </w:p>
        </w:tc>
      </w:tr>
      <w:tr w:rsidR="00DD49A7" w:rsidRPr="006D40F0" w14:paraId="17A9E74A" w14:textId="77777777">
        <w:trPr>
          <w:trHeight w:val="380"/>
        </w:trPr>
        <w:tc>
          <w:tcPr>
            <w:tcW w:w="680" w:type="dxa"/>
            <w:tcBorders>
              <w:top w:val="nil"/>
              <w:left w:val="nil"/>
              <w:bottom w:val="nil"/>
              <w:right w:val="nil"/>
            </w:tcBorders>
            <w:tcMar>
              <w:top w:w="128" w:type="dxa"/>
              <w:left w:w="43" w:type="dxa"/>
              <w:bottom w:w="43" w:type="dxa"/>
              <w:right w:w="43" w:type="dxa"/>
            </w:tcMar>
          </w:tcPr>
          <w:p w14:paraId="79C50013"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5A0C84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42EEFBA" w14:textId="77777777" w:rsidR="00575AC3" w:rsidRPr="006D40F0" w:rsidRDefault="00575AC3" w:rsidP="006D40F0">
            <w:r w:rsidRPr="006D40F0">
              <w:t>fra kr 744 000 000 til kr 793 000 000</w:t>
            </w:r>
          </w:p>
        </w:tc>
        <w:tc>
          <w:tcPr>
            <w:tcW w:w="1400" w:type="dxa"/>
            <w:tcBorders>
              <w:top w:val="nil"/>
              <w:left w:val="nil"/>
              <w:bottom w:val="nil"/>
              <w:right w:val="nil"/>
            </w:tcBorders>
            <w:tcMar>
              <w:top w:w="128" w:type="dxa"/>
              <w:left w:w="43" w:type="dxa"/>
              <w:bottom w:w="43" w:type="dxa"/>
              <w:right w:w="43" w:type="dxa"/>
            </w:tcMar>
            <w:vAlign w:val="bottom"/>
          </w:tcPr>
          <w:p w14:paraId="27AFA06B" w14:textId="77777777" w:rsidR="00575AC3" w:rsidRPr="006D40F0" w:rsidRDefault="00575AC3" w:rsidP="006D40F0"/>
        </w:tc>
      </w:tr>
      <w:tr w:rsidR="00DD49A7" w:rsidRPr="006D40F0" w14:paraId="1984E1A2" w14:textId="77777777">
        <w:trPr>
          <w:trHeight w:val="380"/>
        </w:trPr>
        <w:tc>
          <w:tcPr>
            <w:tcW w:w="680" w:type="dxa"/>
            <w:tcBorders>
              <w:top w:val="nil"/>
              <w:left w:val="nil"/>
              <w:bottom w:val="nil"/>
              <w:right w:val="nil"/>
            </w:tcBorders>
            <w:tcMar>
              <w:top w:w="128" w:type="dxa"/>
              <w:left w:w="43" w:type="dxa"/>
              <w:bottom w:w="43" w:type="dxa"/>
              <w:right w:w="43" w:type="dxa"/>
            </w:tcMar>
          </w:tcPr>
          <w:p w14:paraId="6C1AC11F" w14:textId="77777777" w:rsidR="00575AC3" w:rsidRPr="006D40F0" w:rsidRDefault="00575AC3" w:rsidP="006D40F0">
            <w:r w:rsidRPr="006D40F0">
              <w:t>5685</w:t>
            </w:r>
          </w:p>
        </w:tc>
        <w:tc>
          <w:tcPr>
            <w:tcW w:w="680" w:type="dxa"/>
            <w:tcBorders>
              <w:top w:val="nil"/>
              <w:left w:val="nil"/>
              <w:bottom w:val="nil"/>
              <w:right w:val="nil"/>
            </w:tcBorders>
            <w:tcMar>
              <w:top w:w="128" w:type="dxa"/>
              <w:left w:w="43" w:type="dxa"/>
              <w:bottom w:w="43" w:type="dxa"/>
              <w:right w:w="43" w:type="dxa"/>
            </w:tcMar>
          </w:tcPr>
          <w:p w14:paraId="596FA7C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2B84CF05" w14:textId="77777777" w:rsidR="00575AC3" w:rsidRPr="006D40F0" w:rsidRDefault="00575AC3" w:rsidP="006D40F0">
            <w:r w:rsidRPr="006D40F0">
              <w:t xml:space="preserve">Aksjer i </w:t>
            </w:r>
            <w:proofErr w:type="spellStart"/>
            <w:r w:rsidRPr="006D40F0">
              <w:t>Equinor</w:t>
            </w:r>
            <w:proofErr w:type="spellEnd"/>
            <w:r w:rsidRPr="006D40F0">
              <w:t xml:space="preserve"> ASA:</w:t>
            </w:r>
          </w:p>
        </w:tc>
        <w:tc>
          <w:tcPr>
            <w:tcW w:w="1400" w:type="dxa"/>
            <w:tcBorders>
              <w:top w:val="nil"/>
              <w:left w:val="nil"/>
              <w:bottom w:val="nil"/>
              <w:right w:val="nil"/>
            </w:tcBorders>
            <w:tcMar>
              <w:top w:w="128" w:type="dxa"/>
              <w:left w:w="43" w:type="dxa"/>
              <w:bottom w:w="43" w:type="dxa"/>
              <w:right w:w="43" w:type="dxa"/>
            </w:tcMar>
            <w:vAlign w:val="bottom"/>
          </w:tcPr>
          <w:p w14:paraId="2106B61B" w14:textId="77777777" w:rsidR="00575AC3" w:rsidRPr="006D40F0" w:rsidRDefault="00575AC3" w:rsidP="006D40F0"/>
        </w:tc>
      </w:tr>
      <w:tr w:rsidR="00DD49A7" w:rsidRPr="006D40F0" w14:paraId="67AD55E6" w14:textId="77777777">
        <w:trPr>
          <w:trHeight w:val="640"/>
        </w:trPr>
        <w:tc>
          <w:tcPr>
            <w:tcW w:w="680" w:type="dxa"/>
            <w:tcBorders>
              <w:top w:val="nil"/>
              <w:left w:val="nil"/>
              <w:bottom w:val="nil"/>
              <w:right w:val="nil"/>
            </w:tcBorders>
            <w:tcMar>
              <w:top w:w="128" w:type="dxa"/>
              <w:left w:w="43" w:type="dxa"/>
              <w:bottom w:w="43" w:type="dxa"/>
              <w:right w:w="43" w:type="dxa"/>
            </w:tcMar>
          </w:tcPr>
          <w:p w14:paraId="19D0C3B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8F02DD8"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311BC1CA" w14:textId="77777777" w:rsidR="00575AC3" w:rsidRPr="006D40F0" w:rsidRDefault="00575AC3" w:rsidP="006D40F0">
            <w:r w:rsidRPr="006D40F0">
              <w:t>Utbytte, forhøyes med</w:t>
            </w:r>
          </w:p>
        </w:tc>
        <w:tc>
          <w:tcPr>
            <w:tcW w:w="1400" w:type="dxa"/>
            <w:tcBorders>
              <w:top w:val="nil"/>
              <w:left w:val="nil"/>
              <w:bottom w:val="nil"/>
              <w:right w:val="nil"/>
            </w:tcBorders>
            <w:tcMar>
              <w:top w:w="128" w:type="dxa"/>
              <w:left w:w="43" w:type="dxa"/>
              <w:bottom w:w="43" w:type="dxa"/>
              <w:right w:w="43" w:type="dxa"/>
            </w:tcMar>
            <w:vAlign w:val="bottom"/>
          </w:tcPr>
          <w:p w14:paraId="10E621DA" w14:textId="77777777" w:rsidR="00575AC3" w:rsidRPr="006D40F0" w:rsidRDefault="00575AC3" w:rsidP="006D40F0">
            <w:r w:rsidRPr="006D40F0">
              <w:t>25 115 100 000</w:t>
            </w:r>
          </w:p>
        </w:tc>
      </w:tr>
      <w:tr w:rsidR="00DD49A7" w:rsidRPr="006D40F0" w14:paraId="5C520397" w14:textId="77777777">
        <w:trPr>
          <w:trHeight w:val="380"/>
        </w:trPr>
        <w:tc>
          <w:tcPr>
            <w:tcW w:w="680" w:type="dxa"/>
            <w:tcBorders>
              <w:top w:val="nil"/>
              <w:left w:val="nil"/>
              <w:bottom w:val="nil"/>
              <w:right w:val="nil"/>
            </w:tcBorders>
            <w:tcMar>
              <w:top w:w="128" w:type="dxa"/>
              <w:left w:w="43" w:type="dxa"/>
              <w:bottom w:w="43" w:type="dxa"/>
              <w:right w:w="43" w:type="dxa"/>
            </w:tcMar>
          </w:tcPr>
          <w:p w14:paraId="7FC5511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C5A95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CFE4658" w14:textId="77777777" w:rsidR="00575AC3" w:rsidRPr="006D40F0" w:rsidRDefault="00575AC3" w:rsidP="006D40F0">
            <w:r w:rsidRPr="006D40F0">
              <w:t>fra kr 38 265 400 000 til kr 63 380 500 000</w:t>
            </w:r>
          </w:p>
        </w:tc>
        <w:tc>
          <w:tcPr>
            <w:tcW w:w="1400" w:type="dxa"/>
            <w:tcBorders>
              <w:top w:val="nil"/>
              <w:left w:val="nil"/>
              <w:bottom w:val="nil"/>
              <w:right w:val="nil"/>
            </w:tcBorders>
            <w:tcMar>
              <w:top w:w="128" w:type="dxa"/>
              <w:left w:w="43" w:type="dxa"/>
              <w:bottom w:w="43" w:type="dxa"/>
              <w:right w:w="43" w:type="dxa"/>
            </w:tcMar>
            <w:vAlign w:val="bottom"/>
          </w:tcPr>
          <w:p w14:paraId="71DD92B4" w14:textId="77777777" w:rsidR="00575AC3" w:rsidRPr="006D40F0" w:rsidRDefault="00575AC3" w:rsidP="006D40F0"/>
        </w:tc>
      </w:tr>
      <w:tr w:rsidR="00DD49A7" w:rsidRPr="006D40F0" w14:paraId="1FDDC018" w14:textId="77777777">
        <w:trPr>
          <w:trHeight w:val="380"/>
        </w:trPr>
        <w:tc>
          <w:tcPr>
            <w:tcW w:w="680" w:type="dxa"/>
            <w:tcBorders>
              <w:top w:val="nil"/>
              <w:left w:val="nil"/>
              <w:bottom w:val="nil"/>
              <w:right w:val="nil"/>
            </w:tcBorders>
            <w:tcMar>
              <w:top w:w="128" w:type="dxa"/>
              <w:left w:w="43" w:type="dxa"/>
              <w:bottom w:w="43" w:type="dxa"/>
              <w:right w:w="43" w:type="dxa"/>
            </w:tcMar>
          </w:tcPr>
          <w:p w14:paraId="5160AFF7" w14:textId="77777777" w:rsidR="00575AC3" w:rsidRPr="006D40F0" w:rsidRDefault="00575AC3" w:rsidP="006D40F0">
            <w:r w:rsidRPr="006D40F0">
              <w:t>5692</w:t>
            </w:r>
          </w:p>
        </w:tc>
        <w:tc>
          <w:tcPr>
            <w:tcW w:w="680" w:type="dxa"/>
            <w:tcBorders>
              <w:top w:val="nil"/>
              <w:left w:val="nil"/>
              <w:bottom w:val="nil"/>
              <w:right w:val="nil"/>
            </w:tcBorders>
            <w:tcMar>
              <w:top w:w="128" w:type="dxa"/>
              <w:left w:w="43" w:type="dxa"/>
              <w:bottom w:w="43" w:type="dxa"/>
              <w:right w:w="43" w:type="dxa"/>
            </w:tcMar>
          </w:tcPr>
          <w:p w14:paraId="054B771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B247776" w14:textId="77777777" w:rsidR="00575AC3" w:rsidRPr="006D40F0" w:rsidRDefault="00575AC3" w:rsidP="006D40F0">
            <w:r w:rsidRPr="006D40F0">
              <w:t>Utbytte av statens kapital i Den nordiske investeringsbank:</w:t>
            </w:r>
          </w:p>
        </w:tc>
        <w:tc>
          <w:tcPr>
            <w:tcW w:w="1400" w:type="dxa"/>
            <w:tcBorders>
              <w:top w:val="nil"/>
              <w:left w:val="nil"/>
              <w:bottom w:val="nil"/>
              <w:right w:val="nil"/>
            </w:tcBorders>
            <w:tcMar>
              <w:top w:w="128" w:type="dxa"/>
              <w:left w:w="43" w:type="dxa"/>
              <w:bottom w:w="43" w:type="dxa"/>
              <w:right w:w="43" w:type="dxa"/>
            </w:tcMar>
            <w:vAlign w:val="bottom"/>
          </w:tcPr>
          <w:p w14:paraId="0107B600" w14:textId="77777777" w:rsidR="00575AC3" w:rsidRPr="006D40F0" w:rsidRDefault="00575AC3" w:rsidP="006D40F0"/>
        </w:tc>
      </w:tr>
      <w:tr w:rsidR="00DD49A7" w:rsidRPr="006D40F0" w14:paraId="3C0C7FD8" w14:textId="77777777">
        <w:trPr>
          <w:trHeight w:val="380"/>
        </w:trPr>
        <w:tc>
          <w:tcPr>
            <w:tcW w:w="680" w:type="dxa"/>
            <w:tcBorders>
              <w:top w:val="nil"/>
              <w:left w:val="nil"/>
              <w:bottom w:val="nil"/>
              <w:right w:val="nil"/>
            </w:tcBorders>
            <w:tcMar>
              <w:top w:w="128" w:type="dxa"/>
              <w:left w:w="43" w:type="dxa"/>
              <w:bottom w:w="43" w:type="dxa"/>
              <w:right w:w="43" w:type="dxa"/>
            </w:tcMar>
          </w:tcPr>
          <w:p w14:paraId="191F2500"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ADB2C87" w14:textId="77777777" w:rsidR="00575AC3" w:rsidRPr="006D40F0" w:rsidRDefault="00575AC3" w:rsidP="006D40F0">
            <w:r w:rsidRPr="006D40F0">
              <w:t>85</w:t>
            </w:r>
          </w:p>
        </w:tc>
        <w:tc>
          <w:tcPr>
            <w:tcW w:w="6800" w:type="dxa"/>
            <w:tcBorders>
              <w:top w:val="nil"/>
              <w:left w:val="nil"/>
              <w:bottom w:val="nil"/>
              <w:right w:val="nil"/>
            </w:tcBorders>
            <w:tcMar>
              <w:top w:w="128" w:type="dxa"/>
              <w:left w:w="43" w:type="dxa"/>
              <w:bottom w:w="43" w:type="dxa"/>
              <w:right w:w="43" w:type="dxa"/>
            </w:tcMar>
          </w:tcPr>
          <w:p w14:paraId="25483017" w14:textId="77777777" w:rsidR="00575AC3" w:rsidRPr="006D40F0" w:rsidRDefault="00575AC3" w:rsidP="006D40F0">
            <w:r w:rsidRPr="006D40F0">
              <w:t>Utbytte, forhøyes med</w:t>
            </w:r>
          </w:p>
        </w:tc>
        <w:tc>
          <w:tcPr>
            <w:tcW w:w="1400" w:type="dxa"/>
            <w:tcBorders>
              <w:top w:val="nil"/>
              <w:left w:val="nil"/>
              <w:bottom w:val="nil"/>
              <w:right w:val="nil"/>
            </w:tcBorders>
            <w:tcMar>
              <w:top w:w="128" w:type="dxa"/>
              <w:left w:w="43" w:type="dxa"/>
              <w:bottom w:w="43" w:type="dxa"/>
              <w:right w:w="43" w:type="dxa"/>
            </w:tcMar>
            <w:vAlign w:val="bottom"/>
          </w:tcPr>
          <w:p w14:paraId="5D69B9DF" w14:textId="77777777" w:rsidR="00575AC3" w:rsidRPr="006D40F0" w:rsidRDefault="00575AC3" w:rsidP="006D40F0">
            <w:r w:rsidRPr="006D40F0">
              <w:t>90 600 000</w:t>
            </w:r>
          </w:p>
        </w:tc>
      </w:tr>
      <w:tr w:rsidR="00DD49A7" w:rsidRPr="006D40F0" w14:paraId="6A85C46A" w14:textId="77777777">
        <w:trPr>
          <w:trHeight w:val="380"/>
        </w:trPr>
        <w:tc>
          <w:tcPr>
            <w:tcW w:w="680" w:type="dxa"/>
            <w:tcBorders>
              <w:top w:val="nil"/>
              <w:left w:val="nil"/>
              <w:bottom w:val="nil"/>
              <w:right w:val="nil"/>
            </w:tcBorders>
            <w:tcMar>
              <w:top w:w="128" w:type="dxa"/>
              <w:left w:w="43" w:type="dxa"/>
              <w:bottom w:w="43" w:type="dxa"/>
              <w:right w:w="43" w:type="dxa"/>
            </w:tcMar>
          </w:tcPr>
          <w:p w14:paraId="4691678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33D424A"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024FD14" w14:textId="77777777" w:rsidR="00575AC3" w:rsidRPr="006D40F0" w:rsidRDefault="00575AC3" w:rsidP="006D40F0">
            <w:r w:rsidRPr="006D40F0">
              <w:t>fra kr 64 400 000 til kr 155 000 000</w:t>
            </w:r>
          </w:p>
        </w:tc>
        <w:tc>
          <w:tcPr>
            <w:tcW w:w="1400" w:type="dxa"/>
            <w:tcBorders>
              <w:top w:val="nil"/>
              <w:left w:val="nil"/>
              <w:bottom w:val="nil"/>
              <w:right w:val="nil"/>
            </w:tcBorders>
            <w:tcMar>
              <w:top w:w="128" w:type="dxa"/>
              <w:left w:w="43" w:type="dxa"/>
              <w:bottom w:w="43" w:type="dxa"/>
              <w:right w:w="43" w:type="dxa"/>
            </w:tcMar>
            <w:vAlign w:val="bottom"/>
          </w:tcPr>
          <w:p w14:paraId="560DCD31" w14:textId="77777777" w:rsidR="00575AC3" w:rsidRPr="006D40F0" w:rsidRDefault="00575AC3" w:rsidP="006D40F0"/>
        </w:tc>
      </w:tr>
      <w:tr w:rsidR="00DD49A7" w:rsidRPr="006D40F0" w14:paraId="0D4D46A7" w14:textId="77777777">
        <w:trPr>
          <w:trHeight w:val="380"/>
        </w:trPr>
        <w:tc>
          <w:tcPr>
            <w:tcW w:w="680" w:type="dxa"/>
            <w:tcBorders>
              <w:top w:val="nil"/>
              <w:left w:val="nil"/>
              <w:bottom w:val="nil"/>
              <w:right w:val="nil"/>
            </w:tcBorders>
            <w:tcMar>
              <w:top w:w="128" w:type="dxa"/>
              <w:left w:w="43" w:type="dxa"/>
              <w:bottom w:w="43" w:type="dxa"/>
              <w:right w:w="43" w:type="dxa"/>
            </w:tcMar>
          </w:tcPr>
          <w:p w14:paraId="28CCFAC3" w14:textId="77777777" w:rsidR="00575AC3" w:rsidRPr="006D40F0" w:rsidRDefault="00575AC3" w:rsidP="006D40F0">
            <w:r w:rsidRPr="006D40F0">
              <w:t>5701</w:t>
            </w:r>
          </w:p>
        </w:tc>
        <w:tc>
          <w:tcPr>
            <w:tcW w:w="680" w:type="dxa"/>
            <w:tcBorders>
              <w:top w:val="nil"/>
              <w:left w:val="nil"/>
              <w:bottom w:val="nil"/>
              <w:right w:val="nil"/>
            </w:tcBorders>
            <w:tcMar>
              <w:top w:w="128" w:type="dxa"/>
              <w:left w:w="43" w:type="dxa"/>
              <w:bottom w:w="43" w:type="dxa"/>
              <w:right w:w="43" w:type="dxa"/>
            </w:tcMar>
          </w:tcPr>
          <w:p w14:paraId="5ABCE607"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1BD1768F" w14:textId="77777777" w:rsidR="00575AC3" w:rsidRPr="006D40F0" w:rsidRDefault="00575AC3" w:rsidP="006D40F0">
            <w:r w:rsidRPr="006D40F0">
              <w:t>Diverse inntekter:</w:t>
            </w:r>
          </w:p>
        </w:tc>
        <w:tc>
          <w:tcPr>
            <w:tcW w:w="1400" w:type="dxa"/>
            <w:tcBorders>
              <w:top w:val="nil"/>
              <w:left w:val="nil"/>
              <w:bottom w:val="nil"/>
              <w:right w:val="nil"/>
            </w:tcBorders>
            <w:tcMar>
              <w:top w:w="128" w:type="dxa"/>
              <w:left w:w="43" w:type="dxa"/>
              <w:bottom w:w="43" w:type="dxa"/>
              <w:right w:w="43" w:type="dxa"/>
            </w:tcMar>
            <w:vAlign w:val="bottom"/>
          </w:tcPr>
          <w:p w14:paraId="4DBE0186" w14:textId="77777777" w:rsidR="00575AC3" w:rsidRPr="006D40F0" w:rsidRDefault="00575AC3" w:rsidP="006D40F0"/>
        </w:tc>
      </w:tr>
      <w:tr w:rsidR="00DD49A7" w:rsidRPr="006D40F0" w14:paraId="28CF8E37" w14:textId="77777777">
        <w:trPr>
          <w:trHeight w:val="380"/>
        </w:trPr>
        <w:tc>
          <w:tcPr>
            <w:tcW w:w="680" w:type="dxa"/>
            <w:tcBorders>
              <w:top w:val="nil"/>
              <w:left w:val="nil"/>
              <w:bottom w:val="nil"/>
              <w:right w:val="nil"/>
            </w:tcBorders>
            <w:tcMar>
              <w:top w:w="128" w:type="dxa"/>
              <w:left w:w="43" w:type="dxa"/>
              <w:bottom w:w="43" w:type="dxa"/>
              <w:right w:w="43" w:type="dxa"/>
            </w:tcMar>
          </w:tcPr>
          <w:p w14:paraId="689C276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9A02668"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1FEE4005" w14:textId="77777777" w:rsidR="00575AC3" w:rsidRPr="006D40F0" w:rsidRDefault="00575AC3" w:rsidP="006D40F0">
            <w:r w:rsidRPr="006D40F0">
              <w:t>Refusjon ved yrkesskade, forhøyes med</w:t>
            </w:r>
          </w:p>
        </w:tc>
        <w:tc>
          <w:tcPr>
            <w:tcW w:w="1400" w:type="dxa"/>
            <w:tcBorders>
              <w:top w:val="nil"/>
              <w:left w:val="nil"/>
              <w:bottom w:val="nil"/>
              <w:right w:val="nil"/>
            </w:tcBorders>
            <w:tcMar>
              <w:top w:w="128" w:type="dxa"/>
              <w:left w:w="43" w:type="dxa"/>
              <w:bottom w:w="43" w:type="dxa"/>
              <w:right w:w="43" w:type="dxa"/>
            </w:tcMar>
            <w:vAlign w:val="bottom"/>
          </w:tcPr>
          <w:p w14:paraId="121ACA4C" w14:textId="77777777" w:rsidR="00575AC3" w:rsidRPr="006D40F0" w:rsidRDefault="00575AC3" w:rsidP="006D40F0">
            <w:r w:rsidRPr="006D40F0">
              <w:t>82 000 000</w:t>
            </w:r>
          </w:p>
        </w:tc>
      </w:tr>
      <w:tr w:rsidR="00DD49A7" w:rsidRPr="006D40F0" w14:paraId="25F4E9FD" w14:textId="77777777">
        <w:trPr>
          <w:trHeight w:val="380"/>
        </w:trPr>
        <w:tc>
          <w:tcPr>
            <w:tcW w:w="680" w:type="dxa"/>
            <w:tcBorders>
              <w:top w:val="nil"/>
              <w:left w:val="nil"/>
              <w:bottom w:val="nil"/>
              <w:right w:val="nil"/>
            </w:tcBorders>
            <w:tcMar>
              <w:top w:w="128" w:type="dxa"/>
              <w:left w:w="43" w:type="dxa"/>
              <w:bottom w:w="43" w:type="dxa"/>
              <w:right w:w="43" w:type="dxa"/>
            </w:tcMar>
          </w:tcPr>
          <w:p w14:paraId="3D8FAE3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C1A8250"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0062236" w14:textId="77777777" w:rsidR="00575AC3" w:rsidRPr="006D40F0" w:rsidRDefault="00575AC3" w:rsidP="006D40F0">
            <w:r w:rsidRPr="006D40F0">
              <w:t>fra kr 764 000 000 til kr 846 000 000</w:t>
            </w:r>
          </w:p>
        </w:tc>
        <w:tc>
          <w:tcPr>
            <w:tcW w:w="1400" w:type="dxa"/>
            <w:tcBorders>
              <w:top w:val="nil"/>
              <w:left w:val="nil"/>
              <w:bottom w:val="nil"/>
              <w:right w:val="nil"/>
            </w:tcBorders>
            <w:tcMar>
              <w:top w:w="128" w:type="dxa"/>
              <w:left w:w="43" w:type="dxa"/>
              <w:bottom w:w="43" w:type="dxa"/>
              <w:right w:w="43" w:type="dxa"/>
            </w:tcMar>
            <w:vAlign w:val="bottom"/>
          </w:tcPr>
          <w:p w14:paraId="765B41B6" w14:textId="77777777" w:rsidR="00575AC3" w:rsidRPr="006D40F0" w:rsidRDefault="00575AC3" w:rsidP="006D40F0"/>
        </w:tc>
      </w:tr>
      <w:tr w:rsidR="00DD49A7" w:rsidRPr="006D40F0" w14:paraId="574EC276" w14:textId="77777777">
        <w:trPr>
          <w:trHeight w:val="380"/>
        </w:trPr>
        <w:tc>
          <w:tcPr>
            <w:tcW w:w="680" w:type="dxa"/>
            <w:tcBorders>
              <w:top w:val="nil"/>
              <w:left w:val="nil"/>
              <w:bottom w:val="nil"/>
              <w:right w:val="nil"/>
            </w:tcBorders>
            <w:tcMar>
              <w:top w:w="128" w:type="dxa"/>
              <w:left w:w="43" w:type="dxa"/>
              <w:bottom w:w="43" w:type="dxa"/>
              <w:right w:w="43" w:type="dxa"/>
            </w:tcMar>
          </w:tcPr>
          <w:p w14:paraId="3FC166F4"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9976286" w14:textId="77777777" w:rsidR="00575AC3" w:rsidRPr="006D40F0" w:rsidRDefault="00575AC3" w:rsidP="006D40F0">
            <w:r w:rsidRPr="006D40F0">
              <w:t>86</w:t>
            </w:r>
          </w:p>
        </w:tc>
        <w:tc>
          <w:tcPr>
            <w:tcW w:w="6800" w:type="dxa"/>
            <w:tcBorders>
              <w:top w:val="nil"/>
              <w:left w:val="nil"/>
              <w:bottom w:val="nil"/>
              <w:right w:val="nil"/>
            </w:tcBorders>
            <w:tcMar>
              <w:top w:w="128" w:type="dxa"/>
              <w:left w:w="43" w:type="dxa"/>
              <w:bottom w:w="43" w:type="dxa"/>
              <w:right w:w="43" w:type="dxa"/>
            </w:tcMar>
          </w:tcPr>
          <w:p w14:paraId="3FAB9E40" w14:textId="77777777" w:rsidR="00575AC3" w:rsidRPr="006D40F0" w:rsidRDefault="00575AC3" w:rsidP="006D40F0">
            <w:r w:rsidRPr="006D40F0">
              <w:t>Innkreving feilutbetalinger, forhøyes med</w:t>
            </w:r>
          </w:p>
        </w:tc>
        <w:tc>
          <w:tcPr>
            <w:tcW w:w="1400" w:type="dxa"/>
            <w:tcBorders>
              <w:top w:val="nil"/>
              <w:left w:val="nil"/>
              <w:bottom w:val="nil"/>
              <w:right w:val="nil"/>
            </w:tcBorders>
            <w:tcMar>
              <w:top w:w="128" w:type="dxa"/>
              <w:left w:w="43" w:type="dxa"/>
              <w:bottom w:w="43" w:type="dxa"/>
              <w:right w:w="43" w:type="dxa"/>
            </w:tcMar>
            <w:vAlign w:val="bottom"/>
          </w:tcPr>
          <w:p w14:paraId="35E2C28F" w14:textId="77777777" w:rsidR="00575AC3" w:rsidRPr="006D40F0" w:rsidRDefault="00575AC3" w:rsidP="006D40F0">
            <w:r w:rsidRPr="006D40F0">
              <w:t>75 000 000</w:t>
            </w:r>
          </w:p>
        </w:tc>
      </w:tr>
      <w:tr w:rsidR="00DD49A7" w:rsidRPr="006D40F0" w14:paraId="147CEF0B" w14:textId="77777777">
        <w:trPr>
          <w:trHeight w:val="380"/>
        </w:trPr>
        <w:tc>
          <w:tcPr>
            <w:tcW w:w="680" w:type="dxa"/>
            <w:tcBorders>
              <w:top w:val="nil"/>
              <w:left w:val="nil"/>
              <w:bottom w:val="nil"/>
              <w:right w:val="nil"/>
            </w:tcBorders>
            <w:tcMar>
              <w:top w:w="128" w:type="dxa"/>
              <w:left w:w="43" w:type="dxa"/>
              <w:bottom w:w="43" w:type="dxa"/>
              <w:right w:w="43" w:type="dxa"/>
            </w:tcMar>
          </w:tcPr>
          <w:p w14:paraId="038712E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FEC8F7D"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149A65E" w14:textId="77777777" w:rsidR="00575AC3" w:rsidRPr="006D40F0" w:rsidRDefault="00575AC3" w:rsidP="006D40F0">
            <w:r w:rsidRPr="006D40F0">
              <w:t>fra kr 1 432 000 000 til kr 1 507 000 000</w:t>
            </w:r>
          </w:p>
        </w:tc>
        <w:tc>
          <w:tcPr>
            <w:tcW w:w="1400" w:type="dxa"/>
            <w:tcBorders>
              <w:top w:val="nil"/>
              <w:left w:val="nil"/>
              <w:bottom w:val="nil"/>
              <w:right w:val="nil"/>
            </w:tcBorders>
            <w:tcMar>
              <w:top w:w="128" w:type="dxa"/>
              <w:left w:w="43" w:type="dxa"/>
              <w:bottom w:w="43" w:type="dxa"/>
              <w:right w:w="43" w:type="dxa"/>
            </w:tcMar>
            <w:vAlign w:val="bottom"/>
          </w:tcPr>
          <w:p w14:paraId="61805D02" w14:textId="77777777" w:rsidR="00575AC3" w:rsidRPr="006D40F0" w:rsidRDefault="00575AC3" w:rsidP="006D40F0"/>
        </w:tc>
      </w:tr>
      <w:tr w:rsidR="00DD49A7" w:rsidRPr="006D40F0" w14:paraId="3FB665E6" w14:textId="77777777">
        <w:trPr>
          <w:trHeight w:val="380"/>
        </w:trPr>
        <w:tc>
          <w:tcPr>
            <w:tcW w:w="680" w:type="dxa"/>
            <w:tcBorders>
              <w:top w:val="nil"/>
              <w:left w:val="nil"/>
              <w:bottom w:val="nil"/>
              <w:right w:val="nil"/>
            </w:tcBorders>
            <w:tcMar>
              <w:top w:w="128" w:type="dxa"/>
              <w:left w:w="43" w:type="dxa"/>
              <w:bottom w:w="43" w:type="dxa"/>
              <w:right w:w="43" w:type="dxa"/>
            </w:tcMar>
          </w:tcPr>
          <w:p w14:paraId="17EB404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70CCD7D" w14:textId="77777777" w:rsidR="00575AC3" w:rsidRPr="006D40F0" w:rsidRDefault="00575AC3" w:rsidP="006D40F0">
            <w:r w:rsidRPr="006D40F0">
              <w:t>88</w:t>
            </w:r>
          </w:p>
        </w:tc>
        <w:tc>
          <w:tcPr>
            <w:tcW w:w="6800" w:type="dxa"/>
            <w:tcBorders>
              <w:top w:val="nil"/>
              <w:left w:val="nil"/>
              <w:bottom w:val="nil"/>
              <w:right w:val="nil"/>
            </w:tcBorders>
            <w:tcMar>
              <w:top w:w="128" w:type="dxa"/>
              <w:left w:w="43" w:type="dxa"/>
              <w:bottom w:w="43" w:type="dxa"/>
              <w:right w:w="43" w:type="dxa"/>
            </w:tcMar>
          </w:tcPr>
          <w:p w14:paraId="01340004" w14:textId="77777777" w:rsidR="00575AC3" w:rsidRPr="006D40F0" w:rsidRDefault="00575AC3" w:rsidP="006D40F0">
            <w:r w:rsidRPr="006D40F0">
              <w:t>Hjelpemiddelsentraler mv., forhøyes med</w:t>
            </w:r>
          </w:p>
        </w:tc>
        <w:tc>
          <w:tcPr>
            <w:tcW w:w="1400" w:type="dxa"/>
            <w:tcBorders>
              <w:top w:val="nil"/>
              <w:left w:val="nil"/>
              <w:bottom w:val="nil"/>
              <w:right w:val="nil"/>
            </w:tcBorders>
            <w:tcMar>
              <w:top w:w="128" w:type="dxa"/>
              <w:left w:w="43" w:type="dxa"/>
              <w:bottom w:w="43" w:type="dxa"/>
              <w:right w:w="43" w:type="dxa"/>
            </w:tcMar>
            <w:vAlign w:val="bottom"/>
          </w:tcPr>
          <w:p w14:paraId="42F1577E" w14:textId="77777777" w:rsidR="00575AC3" w:rsidRPr="006D40F0" w:rsidRDefault="00575AC3" w:rsidP="006D40F0">
            <w:r w:rsidRPr="006D40F0">
              <w:t>20 000 000</w:t>
            </w:r>
          </w:p>
        </w:tc>
      </w:tr>
      <w:tr w:rsidR="00DD49A7" w:rsidRPr="006D40F0" w14:paraId="241978B9" w14:textId="77777777">
        <w:trPr>
          <w:trHeight w:val="380"/>
        </w:trPr>
        <w:tc>
          <w:tcPr>
            <w:tcW w:w="680" w:type="dxa"/>
            <w:tcBorders>
              <w:top w:val="nil"/>
              <w:left w:val="nil"/>
              <w:bottom w:val="nil"/>
              <w:right w:val="nil"/>
            </w:tcBorders>
            <w:tcMar>
              <w:top w:w="128" w:type="dxa"/>
              <w:left w:w="43" w:type="dxa"/>
              <w:bottom w:w="43" w:type="dxa"/>
              <w:right w:w="43" w:type="dxa"/>
            </w:tcMar>
          </w:tcPr>
          <w:p w14:paraId="537007CA"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E7A50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0B3C74D" w14:textId="77777777" w:rsidR="00575AC3" w:rsidRPr="006D40F0" w:rsidRDefault="00575AC3" w:rsidP="006D40F0">
            <w:r w:rsidRPr="006D40F0">
              <w:t>fra kr 75 000 000 til kr 95 000 000</w:t>
            </w:r>
          </w:p>
        </w:tc>
        <w:tc>
          <w:tcPr>
            <w:tcW w:w="1400" w:type="dxa"/>
            <w:tcBorders>
              <w:top w:val="nil"/>
              <w:left w:val="nil"/>
              <w:bottom w:val="nil"/>
              <w:right w:val="nil"/>
            </w:tcBorders>
            <w:tcMar>
              <w:top w:w="128" w:type="dxa"/>
              <w:left w:w="43" w:type="dxa"/>
              <w:bottom w:w="43" w:type="dxa"/>
              <w:right w:w="43" w:type="dxa"/>
            </w:tcMar>
            <w:vAlign w:val="bottom"/>
          </w:tcPr>
          <w:p w14:paraId="1BF1BE2D" w14:textId="77777777" w:rsidR="00575AC3" w:rsidRPr="006D40F0" w:rsidRDefault="00575AC3" w:rsidP="006D40F0"/>
        </w:tc>
      </w:tr>
      <w:tr w:rsidR="00DD49A7" w:rsidRPr="006D40F0" w14:paraId="684BE164" w14:textId="77777777">
        <w:trPr>
          <w:trHeight w:val="380"/>
        </w:trPr>
        <w:tc>
          <w:tcPr>
            <w:tcW w:w="680" w:type="dxa"/>
            <w:tcBorders>
              <w:top w:val="nil"/>
              <w:left w:val="nil"/>
              <w:bottom w:val="nil"/>
              <w:right w:val="nil"/>
            </w:tcBorders>
            <w:tcMar>
              <w:top w:w="128" w:type="dxa"/>
              <w:left w:w="43" w:type="dxa"/>
              <w:bottom w:w="43" w:type="dxa"/>
              <w:right w:w="43" w:type="dxa"/>
            </w:tcMar>
          </w:tcPr>
          <w:p w14:paraId="003929C7" w14:textId="77777777" w:rsidR="00575AC3" w:rsidRPr="006D40F0" w:rsidRDefault="00575AC3" w:rsidP="006D40F0">
            <w:r w:rsidRPr="006D40F0">
              <w:t>5704</w:t>
            </w:r>
          </w:p>
        </w:tc>
        <w:tc>
          <w:tcPr>
            <w:tcW w:w="680" w:type="dxa"/>
            <w:tcBorders>
              <w:top w:val="nil"/>
              <w:left w:val="nil"/>
              <w:bottom w:val="nil"/>
              <w:right w:val="nil"/>
            </w:tcBorders>
            <w:tcMar>
              <w:top w:w="128" w:type="dxa"/>
              <w:left w:w="43" w:type="dxa"/>
              <w:bottom w:w="43" w:type="dxa"/>
              <w:right w:w="43" w:type="dxa"/>
            </w:tcMar>
          </w:tcPr>
          <w:p w14:paraId="2C045F3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EC62D28" w14:textId="77777777" w:rsidR="00575AC3" w:rsidRPr="006D40F0" w:rsidRDefault="00575AC3" w:rsidP="006D40F0">
            <w:r w:rsidRPr="006D40F0">
              <w:t>Statsgaranti for lønnskrav ved konkurs:</w:t>
            </w:r>
          </w:p>
        </w:tc>
        <w:tc>
          <w:tcPr>
            <w:tcW w:w="1400" w:type="dxa"/>
            <w:tcBorders>
              <w:top w:val="nil"/>
              <w:left w:val="nil"/>
              <w:bottom w:val="nil"/>
              <w:right w:val="nil"/>
            </w:tcBorders>
            <w:tcMar>
              <w:top w:w="128" w:type="dxa"/>
              <w:left w:w="43" w:type="dxa"/>
              <w:bottom w:w="43" w:type="dxa"/>
              <w:right w:w="43" w:type="dxa"/>
            </w:tcMar>
            <w:vAlign w:val="bottom"/>
          </w:tcPr>
          <w:p w14:paraId="53BF2DC6" w14:textId="77777777" w:rsidR="00575AC3" w:rsidRPr="006D40F0" w:rsidRDefault="00575AC3" w:rsidP="006D40F0"/>
        </w:tc>
      </w:tr>
      <w:tr w:rsidR="00DD49A7" w:rsidRPr="006D40F0" w14:paraId="78130341" w14:textId="77777777">
        <w:trPr>
          <w:trHeight w:val="380"/>
        </w:trPr>
        <w:tc>
          <w:tcPr>
            <w:tcW w:w="680" w:type="dxa"/>
            <w:tcBorders>
              <w:top w:val="nil"/>
              <w:left w:val="nil"/>
              <w:bottom w:val="nil"/>
              <w:right w:val="nil"/>
            </w:tcBorders>
            <w:tcMar>
              <w:top w:w="128" w:type="dxa"/>
              <w:left w:w="43" w:type="dxa"/>
              <w:bottom w:w="43" w:type="dxa"/>
              <w:right w:w="43" w:type="dxa"/>
            </w:tcMar>
          </w:tcPr>
          <w:p w14:paraId="421298B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E7960B9"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7180748B" w14:textId="77777777" w:rsidR="00575AC3" w:rsidRPr="006D40F0" w:rsidRDefault="00575AC3" w:rsidP="006D40F0">
            <w:r w:rsidRPr="006D40F0">
              <w:t>Dividende, nedsettes med</w:t>
            </w:r>
          </w:p>
        </w:tc>
        <w:tc>
          <w:tcPr>
            <w:tcW w:w="1400" w:type="dxa"/>
            <w:tcBorders>
              <w:top w:val="nil"/>
              <w:left w:val="nil"/>
              <w:bottom w:val="nil"/>
              <w:right w:val="nil"/>
            </w:tcBorders>
            <w:tcMar>
              <w:top w:w="128" w:type="dxa"/>
              <w:left w:w="43" w:type="dxa"/>
              <w:bottom w:w="43" w:type="dxa"/>
              <w:right w:w="43" w:type="dxa"/>
            </w:tcMar>
            <w:vAlign w:val="bottom"/>
          </w:tcPr>
          <w:p w14:paraId="6803E271" w14:textId="77777777" w:rsidR="00575AC3" w:rsidRPr="006D40F0" w:rsidRDefault="00575AC3" w:rsidP="006D40F0">
            <w:r w:rsidRPr="006D40F0">
              <w:t>10 000 000</w:t>
            </w:r>
          </w:p>
        </w:tc>
      </w:tr>
      <w:tr w:rsidR="00DD49A7" w:rsidRPr="006D40F0" w14:paraId="3398FA12" w14:textId="77777777">
        <w:trPr>
          <w:trHeight w:val="380"/>
        </w:trPr>
        <w:tc>
          <w:tcPr>
            <w:tcW w:w="680" w:type="dxa"/>
            <w:tcBorders>
              <w:top w:val="nil"/>
              <w:left w:val="nil"/>
              <w:bottom w:val="nil"/>
              <w:right w:val="nil"/>
            </w:tcBorders>
            <w:tcMar>
              <w:top w:w="128" w:type="dxa"/>
              <w:left w:w="43" w:type="dxa"/>
              <w:bottom w:w="43" w:type="dxa"/>
              <w:right w:w="43" w:type="dxa"/>
            </w:tcMar>
          </w:tcPr>
          <w:p w14:paraId="0C70DEA2"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6119B6CE"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86E164" w14:textId="77777777" w:rsidR="00575AC3" w:rsidRPr="006D40F0" w:rsidRDefault="00575AC3" w:rsidP="006D40F0">
            <w:r w:rsidRPr="006D40F0">
              <w:t>fra kr 225 000 000 til kr 215 000 000</w:t>
            </w:r>
          </w:p>
        </w:tc>
        <w:tc>
          <w:tcPr>
            <w:tcW w:w="1400" w:type="dxa"/>
            <w:tcBorders>
              <w:top w:val="nil"/>
              <w:left w:val="nil"/>
              <w:bottom w:val="nil"/>
              <w:right w:val="nil"/>
            </w:tcBorders>
            <w:tcMar>
              <w:top w:w="128" w:type="dxa"/>
              <w:left w:w="43" w:type="dxa"/>
              <w:bottom w:w="43" w:type="dxa"/>
              <w:right w:w="43" w:type="dxa"/>
            </w:tcMar>
            <w:vAlign w:val="bottom"/>
          </w:tcPr>
          <w:p w14:paraId="7B818A06" w14:textId="77777777" w:rsidR="00575AC3" w:rsidRPr="006D40F0" w:rsidRDefault="00575AC3" w:rsidP="006D40F0"/>
        </w:tc>
      </w:tr>
      <w:tr w:rsidR="00DD49A7" w:rsidRPr="006D40F0" w14:paraId="1480C49B" w14:textId="77777777">
        <w:trPr>
          <w:trHeight w:val="380"/>
        </w:trPr>
        <w:tc>
          <w:tcPr>
            <w:tcW w:w="680" w:type="dxa"/>
            <w:tcBorders>
              <w:top w:val="nil"/>
              <w:left w:val="nil"/>
              <w:bottom w:val="nil"/>
              <w:right w:val="nil"/>
            </w:tcBorders>
            <w:tcMar>
              <w:top w:w="128" w:type="dxa"/>
              <w:left w:w="43" w:type="dxa"/>
              <w:bottom w:w="43" w:type="dxa"/>
              <w:right w:w="43" w:type="dxa"/>
            </w:tcMar>
          </w:tcPr>
          <w:p w14:paraId="0EBE61FA" w14:textId="77777777" w:rsidR="00575AC3" w:rsidRPr="006D40F0" w:rsidRDefault="00575AC3" w:rsidP="006D40F0">
            <w:r w:rsidRPr="006D40F0">
              <w:t>5705</w:t>
            </w:r>
          </w:p>
        </w:tc>
        <w:tc>
          <w:tcPr>
            <w:tcW w:w="680" w:type="dxa"/>
            <w:tcBorders>
              <w:top w:val="nil"/>
              <w:left w:val="nil"/>
              <w:bottom w:val="nil"/>
              <w:right w:val="nil"/>
            </w:tcBorders>
            <w:tcMar>
              <w:top w:w="128" w:type="dxa"/>
              <w:left w:w="43" w:type="dxa"/>
              <w:bottom w:w="43" w:type="dxa"/>
              <w:right w:w="43" w:type="dxa"/>
            </w:tcMar>
          </w:tcPr>
          <w:p w14:paraId="38C17AB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718D1EC8" w14:textId="77777777" w:rsidR="00575AC3" w:rsidRPr="006D40F0" w:rsidRDefault="00575AC3" w:rsidP="006D40F0">
            <w:r w:rsidRPr="006D40F0">
              <w:t>Refusjon av dagpenger:</w:t>
            </w:r>
          </w:p>
        </w:tc>
        <w:tc>
          <w:tcPr>
            <w:tcW w:w="1400" w:type="dxa"/>
            <w:tcBorders>
              <w:top w:val="nil"/>
              <w:left w:val="nil"/>
              <w:bottom w:val="nil"/>
              <w:right w:val="nil"/>
            </w:tcBorders>
            <w:tcMar>
              <w:top w:w="128" w:type="dxa"/>
              <w:left w:w="43" w:type="dxa"/>
              <w:bottom w:w="43" w:type="dxa"/>
              <w:right w:w="43" w:type="dxa"/>
            </w:tcMar>
            <w:vAlign w:val="bottom"/>
          </w:tcPr>
          <w:p w14:paraId="4DE2E53A" w14:textId="77777777" w:rsidR="00575AC3" w:rsidRPr="006D40F0" w:rsidRDefault="00575AC3" w:rsidP="006D40F0"/>
        </w:tc>
      </w:tr>
      <w:tr w:rsidR="00DD49A7" w:rsidRPr="006D40F0" w14:paraId="123D58DD" w14:textId="77777777">
        <w:trPr>
          <w:trHeight w:val="380"/>
        </w:trPr>
        <w:tc>
          <w:tcPr>
            <w:tcW w:w="680" w:type="dxa"/>
            <w:tcBorders>
              <w:top w:val="nil"/>
              <w:left w:val="nil"/>
              <w:bottom w:val="nil"/>
              <w:right w:val="nil"/>
            </w:tcBorders>
            <w:tcMar>
              <w:top w:w="128" w:type="dxa"/>
              <w:left w:w="43" w:type="dxa"/>
              <w:bottom w:w="43" w:type="dxa"/>
              <w:right w:w="43" w:type="dxa"/>
            </w:tcMar>
          </w:tcPr>
          <w:p w14:paraId="2B031C5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31621722"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1B1E46AD" w14:textId="77777777" w:rsidR="00575AC3" w:rsidRPr="006D40F0" w:rsidRDefault="00575AC3" w:rsidP="006D40F0">
            <w:r w:rsidRPr="006D40F0">
              <w:t>Refusjon av dagpenger, statsgaranti ved konkurs, forhøyes med</w:t>
            </w:r>
          </w:p>
        </w:tc>
        <w:tc>
          <w:tcPr>
            <w:tcW w:w="1400" w:type="dxa"/>
            <w:tcBorders>
              <w:top w:val="nil"/>
              <w:left w:val="nil"/>
              <w:bottom w:val="nil"/>
              <w:right w:val="nil"/>
            </w:tcBorders>
            <w:tcMar>
              <w:top w:w="128" w:type="dxa"/>
              <w:left w:w="43" w:type="dxa"/>
              <w:bottom w:w="43" w:type="dxa"/>
              <w:right w:w="43" w:type="dxa"/>
            </w:tcMar>
            <w:vAlign w:val="bottom"/>
          </w:tcPr>
          <w:p w14:paraId="738A0DB9" w14:textId="77777777" w:rsidR="00575AC3" w:rsidRPr="006D40F0" w:rsidRDefault="00575AC3" w:rsidP="006D40F0">
            <w:r w:rsidRPr="006D40F0">
              <w:t>9 000 000</w:t>
            </w:r>
          </w:p>
        </w:tc>
      </w:tr>
      <w:tr w:rsidR="00DD49A7" w:rsidRPr="006D40F0" w14:paraId="69AC8BDA" w14:textId="77777777">
        <w:trPr>
          <w:trHeight w:val="380"/>
        </w:trPr>
        <w:tc>
          <w:tcPr>
            <w:tcW w:w="680" w:type="dxa"/>
            <w:tcBorders>
              <w:top w:val="nil"/>
              <w:left w:val="nil"/>
              <w:bottom w:val="nil"/>
              <w:right w:val="nil"/>
            </w:tcBorders>
            <w:tcMar>
              <w:top w:w="128" w:type="dxa"/>
              <w:left w:w="43" w:type="dxa"/>
              <w:bottom w:w="43" w:type="dxa"/>
              <w:right w:w="43" w:type="dxa"/>
            </w:tcMar>
          </w:tcPr>
          <w:p w14:paraId="5686C411"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0B1C9958"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337E49" w14:textId="77777777" w:rsidR="00575AC3" w:rsidRPr="006D40F0" w:rsidRDefault="00575AC3" w:rsidP="006D40F0">
            <w:r w:rsidRPr="006D40F0">
              <w:t>fra kr 18 000 000 til kr 27 000 000</w:t>
            </w:r>
          </w:p>
        </w:tc>
        <w:tc>
          <w:tcPr>
            <w:tcW w:w="1400" w:type="dxa"/>
            <w:tcBorders>
              <w:top w:val="nil"/>
              <w:left w:val="nil"/>
              <w:bottom w:val="nil"/>
              <w:right w:val="nil"/>
            </w:tcBorders>
            <w:tcMar>
              <w:top w:w="128" w:type="dxa"/>
              <w:left w:w="43" w:type="dxa"/>
              <w:bottom w:w="43" w:type="dxa"/>
              <w:right w:w="43" w:type="dxa"/>
            </w:tcMar>
            <w:vAlign w:val="bottom"/>
          </w:tcPr>
          <w:p w14:paraId="4980B500" w14:textId="77777777" w:rsidR="00575AC3" w:rsidRPr="006D40F0" w:rsidRDefault="00575AC3" w:rsidP="006D40F0"/>
        </w:tc>
      </w:tr>
      <w:tr w:rsidR="00DD49A7" w:rsidRPr="006D40F0" w14:paraId="391AECC3" w14:textId="77777777">
        <w:trPr>
          <w:trHeight w:val="640"/>
        </w:trPr>
        <w:tc>
          <w:tcPr>
            <w:tcW w:w="680" w:type="dxa"/>
            <w:tcBorders>
              <w:top w:val="nil"/>
              <w:left w:val="nil"/>
              <w:bottom w:val="nil"/>
              <w:right w:val="nil"/>
            </w:tcBorders>
            <w:tcMar>
              <w:top w:w="128" w:type="dxa"/>
              <w:left w:w="43" w:type="dxa"/>
              <w:bottom w:w="43" w:type="dxa"/>
              <w:right w:w="43" w:type="dxa"/>
            </w:tcMar>
          </w:tcPr>
          <w:p w14:paraId="1B7E15A5"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4F11208D" w14:textId="77777777" w:rsidR="00575AC3" w:rsidRPr="006D40F0" w:rsidRDefault="00575AC3" w:rsidP="006D40F0">
            <w:r w:rsidRPr="006D40F0">
              <w:t>71</w:t>
            </w:r>
          </w:p>
        </w:tc>
        <w:tc>
          <w:tcPr>
            <w:tcW w:w="6800" w:type="dxa"/>
            <w:tcBorders>
              <w:top w:val="nil"/>
              <w:left w:val="nil"/>
              <w:bottom w:val="nil"/>
              <w:right w:val="nil"/>
            </w:tcBorders>
            <w:tcMar>
              <w:top w:w="128" w:type="dxa"/>
              <w:left w:w="43" w:type="dxa"/>
              <w:bottom w:w="43" w:type="dxa"/>
              <w:right w:w="43" w:type="dxa"/>
            </w:tcMar>
          </w:tcPr>
          <w:p w14:paraId="5F1A913F" w14:textId="77777777" w:rsidR="00575AC3" w:rsidRPr="006D40F0" w:rsidRDefault="00575AC3" w:rsidP="006D40F0">
            <w:r w:rsidRPr="006D40F0">
              <w:t>Refusjon av dagpenger for grensearbeidere mv. bosatt i Norge, forhøyes med</w:t>
            </w:r>
          </w:p>
        </w:tc>
        <w:tc>
          <w:tcPr>
            <w:tcW w:w="1400" w:type="dxa"/>
            <w:tcBorders>
              <w:top w:val="nil"/>
              <w:left w:val="nil"/>
              <w:bottom w:val="nil"/>
              <w:right w:val="nil"/>
            </w:tcBorders>
            <w:tcMar>
              <w:top w:w="128" w:type="dxa"/>
              <w:left w:w="43" w:type="dxa"/>
              <w:bottom w:w="43" w:type="dxa"/>
              <w:right w:w="43" w:type="dxa"/>
            </w:tcMar>
            <w:vAlign w:val="bottom"/>
          </w:tcPr>
          <w:p w14:paraId="1942F76E" w14:textId="77777777" w:rsidR="00575AC3" w:rsidRPr="006D40F0" w:rsidRDefault="00575AC3" w:rsidP="006D40F0">
            <w:r w:rsidRPr="006D40F0">
              <w:t>400 000</w:t>
            </w:r>
          </w:p>
        </w:tc>
      </w:tr>
      <w:tr w:rsidR="00DD49A7" w:rsidRPr="006D40F0" w14:paraId="0BF638AA" w14:textId="77777777">
        <w:trPr>
          <w:trHeight w:val="380"/>
        </w:trPr>
        <w:tc>
          <w:tcPr>
            <w:tcW w:w="680" w:type="dxa"/>
            <w:tcBorders>
              <w:top w:val="nil"/>
              <w:left w:val="nil"/>
              <w:bottom w:val="nil"/>
              <w:right w:val="nil"/>
            </w:tcBorders>
            <w:tcMar>
              <w:top w:w="128" w:type="dxa"/>
              <w:left w:w="43" w:type="dxa"/>
              <w:bottom w:w="43" w:type="dxa"/>
              <w:right w:w="43" w:type="dxa"/>
            </w:tcMar>
          </w:tcPr>
          <w:p w14:paraId="58F9B859"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7F22216B"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5B690612" w14:textId="77777777" w:rsidR="00575AC3" w:rsidRPr="006D40F0" w:rsidRDefault="00575AC3" w:rsidP="006D40F0">
            <w:r w:rsidRPr="006D40F0">
              <w:t>fra kr 300 000 til kr 700 000</w:t>
            </w:r>
          </w:p>
        </w:tc>
        <w:tc>
          <w:tcPr>
            <w:tcW w:w="1400" w:type="dxa"/>
            <w:tcBorders>
              <w:top w:val="nil"/>
              <w:left w:val="nil"/>
              <w:bottom w:val="nil"/>
              <w:right w:val="nil"/>
            </w:tcBorders>
            <w:tcMar>
              <w:top w:w="128" w:type="dxa"/>
              <w:left w:w="43" w:type="dxa"/>
              <w:bottom w:w="43" w:type="dxa"/>
              <w:right w:w="43" w:type="dxa"/>
            </w:tcMar>
            <w:vAlign w:val="bottom"/>
          </w:tcPr>
          <w:p w14:paraId="671AD8A6" w14:textId="77777777" w:rsidR="00575AC3" w:rsidRPr="006D40F0" w:rsidRDefault="00575AC3" w:rsidP="006D40F0"/>
        </w:tc>
      </w:tr>
      <w:tr w:rsidR="00DD49A7" w:rsidRPr="006D40F0" w14:paraId="52024A1E" w14:textId="77777777">
        <w:trPr>
          <w:trHeight w:val="380"/>
        </w:trPr>
        <w:tc>
          <w:tcPr>
            <w:tcW w:w="680" w:type="dxa"/>
            <w:tcBorders>
              <w:top w:val="nil"/>
              <w:left w:val="nil"/>
              <w:bottom w:val="nil"/>
              <w:right w:val="nil"/>
            </w:tcBorders>
            <w:tcMar>
              <w:top w:w="128" w:type="dxa"/>
              <w:left w:w="43" w:type="dxa"/>
              <w:bottom w:w="43" w:type="dxa"/>
              <w:right w:w="43" w:type="dxa"/>
            </w:tcMar>
          </w:tcPr>
          <w:p w14:paraId="7FE89BDC"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19B0396A" w14:textId="77777777" w:rsidR="00575AC3" w:rsidRPr="006D40F0" w:rsidRDefault="00575AC3" w:rsidP="006D40F0">
            <w:r w:rsidRPr="006D40F0">
              <w:t>72</w:t>
            </w:r>
          </w:p>
        </w:tc>
        <w:tc>
          <w:tcPr>
            <w:tcW w:w="6800" w:type="dxa"/>
            <w:tcBorders>
              <w:top w:val="nil"/>
              <w:left w:val="nil"/>
              <w:bottom w:val="nil"/>
              <w:right w:val="nil"/>
            </w:tcBorders>
            <w:tcMar>
              <w:top w:w="128" w:type="dxa"/>
              <w:left w:w="43" w:type="dxa"/>
              <w:bottom w:w="43" w:type="dxa"/>
              <w:right w:w="43" w:type="dxa"/>
            </w:tcMar>
          </w:tcPr>
          <w:p w14:paraId="18975FF7" w14:textId="77777777" w:rsidR="00575AC3" w:rsidRPr="006D40F0" w:rsidRDefault="00575AC3" w:rsidP="006D40F0">
            <w:r w:rsidRPr="006D40F0">
              <w:t>Innkreving av forskutterte dagpenger, nedsettes med</w:t>
            </w:r>
          </w:p>
        </w:tc>
        <w:tc>
          <w:tcPr>
            <w:tcW w:w="1400" w:type="dxa"/>
            <w:tcBorders>
              <w:top w:val="nil"/>
              <w:left w:val="nil"/>
              <w:bottom w:val="nil"/>
              <w:right w:val="nil"/>
            </w:tcBorders>
            <w:tcMar>
              <w:top w:w="128" w:type="dxa"/>
              <w:left w:w="43" w:type="dxa"/>
              <w:bottom w:w="43" w:type="dxa"/>
              <w:right w:w="43" w:type="dxa"/>
            </w:tcMar>
            <w:vAlign w:val="bottom"/>
          </w:tcPr>
          <w:p w14:paraId="02495303" w14:textId="77777777" w:rsidR="00575AC3" w:rsidRPr="006D40F0" w:rsidRDefault="00575AC3" w:rsidP="006D40F0">
            <w:r w:rsidRPr="006D40F0">
              <w:t>10 000 000</w:t>
            </w:r>
          </w:p>
        </w:tc>
      </w:tr>
      <w:tr w:rsidR="00DD49A7" w:rsidRPr="006D40F0" w14:paraId="762668CB" w14:textId="77777777">
        <w:trPr>
          <w:trHeight w:val="380"/>
        </w:trPr>
        <w:tc>
          <w:tcPr>
            <w:tcW w:w="680" w:type="dxa"/>
            <w:tcBorders>
              <w:top w:val="nil"/>
              <w:left w:val="nil"/>
              <w:bottom w:val="nil"/>
              <w:right w:val="nil"/>
            </w:tcBorders>
            <w:tcMar>
              <w:top w:w="128" w:type="dxa"/>
              <w:left w:w="43" w:type="dxa"/>
              <w:bottom w:w="43" w:type="dxa"/>
              <w:right w:w="43" w:type="dxa"/>
            </w:tcMar>
          </w:tcPr>
          <w:p w14:paraId="3CE24B4D"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06F90C1"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63111666" w14:textId="77777777" w:rsidR="00575AC3" w:rsidRPr="006D40F0" w:rsidRDefault="00575AC3" w:rsidP="006D40F0">
            <w:r w:rsidRPr="006D40F0">
              <w:t>fra kr 150 000 000 til kr 140 000 000</w:t>
            </w:r>
          </w:p>
        </w:tc>
        <w:tc>
          <w:tcPr>
            <w:tcW w:w="1400" w:type="dxa"/>
            <w:tcBorders>
              <w:top w:val="nil"/>
              <w:left w:val="nil"/>
              <w:bottom w:val="nil"/>
              <w:right w:val="nil"/>
            </w:tcBorders>
            <w:tcMar>
              <w:top w:w="128" w:type="dxa"/>
              <w:left w:w="43" w:type="dxa"/>
              <w:bottom w:w="43" w:type="dxa"/>
              <w:right w:w="43" w:type="dxa"/>
            </w:tcMar>
            <w:vAlign w:val="bottom"/>
          </w:tcPr>
          <w:p w14:paraId="2195428A" w14:textId="77777777" w:rsidR="00575AC3" w:rsidRPr="006D40F0" w:rsidRDefault="00575AC3" w:rsidP="006D40F0"/>
        </w:tc>
      </w:tr>
      <w:tr w:rsidR="00DD49A7" w:rsidRPr="006D40F0" w14:paraId="1713F45E" w14:textId="77777777">
        <w:trPr>
          <w:trHeight w:val="380"/>
        </w:trPr>
        <w:tc>
          <w:tcPr>
            <w:tcW w:w="680" w:type="dxa"/>
            <w:tcBorders>
              <w:top w:val="nil"/>
              <w:left w:val="nil"/>
              <w:bottom w:val="nil"/>
              <w:right w:val="nil"/>
            </w:tcBorders>
            <w:tcMar>
              <w:top w:w="128" w:type="dxa"/>
              <w:left w:w="43" w:type="dxa"/>
              <w:bottom w:w="43" w:type="dxa"/>
              <w:right w:w="43" w:type="dxa"/>
            </w:tcMar>
          </w:tcPr>
          <w:p w14:paraId="3A8F2A95" w14:textId="77777777" w:rsidR="00575AC3" w:rsidRPr="006D40F0" w:rsidRDefault="00575AC3" w:rsidP="006D40F0">
            <w:r w:rsidRPr="006D40F0">
              <w:t>5706</w:t>
            </w:r>
          </w:p>
        </w:tc>
        <w:tc>
          <w:tcPr>
            <w:tcW w:w="680" w:type="dxa"/>
            <w:tcBorders>
              <w:top w:val="nil"/>
              <w:left w:val="nil"/>
              <w:bottom w:val="nil"/>
              <w:right w:val="nil"/>
            </w:tcBorders>
            <w:tcMar>
              <w:top w:w="128" w:type="dxa"/>
              <w:left w:w="43" w:type="dxa"/>
              <w:bottom w:w="43" w:type="dxa"/>
              <w:right w:w="43" w:type="dxa"/>
            </w:tcMar>
          </w:tcPr>
          <w:p w14:paraId="21617344" w14:textId="77777777" w:rsidR="00575AC3" w:rsidRPr="006D40F0" w:rsidRDefault="00575AC3" w:rsidP="006D40F0"/>
        </w:tc>
        <w:tc>
          <w:tcPr>
            <w:tcW w:w="6800" w:type="dxa"/>
            <w:tcBorders>
              <w:top w:val="nil"/>
              <w:left w:val="nil"/>
              <w:bottom w:val="nil"/>
              <w:right w:val="nil"/>
            </w:tcBorders>
            <w:tcMar>
              <w:top w:w="128" w:type="dxa"/>
              <w:left w:w="43" w:type="dxa"/>
              <w:bottom w:w="43" w:type="dxa"/>
              <w:right w:w="43" w:type="dxa"/>
            </w:tcMar>
          </w:tcPr>
          <w:p w14:paraId="328FC914" w14:textId="77777777" w:rsidR="00575AC3" w:rsidRPr="006D40F0" w:rsidRDefault="00575AC3" w:rsidP="006D40F0">
            <w:r w:rsidRPr="006D40F0">
              <w:t>Bidragsforskott:</w:t>
            </w:r>
          </w:p>
        </w:tc>
        <w:tc>
          <w:tcPr>
            <w:tcW w:w="1400" w:type="dxa"/>
            <w:tcBorders>
              <w:top w:val="nil"/>
              <w:left w:val="nil"/>
              <w:bottom w:val="nil"/>
              <w:right w:val="nil"/>
            </w:tcBorders>
            <w:tcMar>
              <w:top w:w="128" w:type="dxa"/>
              <w:left w:w="43" w:type="dxa"/>
              <w:bottom w:w="43" w:type="dxa"/>
              <w:right w:w="43" w:type="dxa"/>
            </w:tcMar>
            <w:vAlign w:val="bottom"/>
          </w:tcPr>
          <w:p w14:paraId="5121C1C8" w14:textId="77777777" w:rsidR="00575AC3" w:rsidRPr="006D40F0" w:rsidRDefault="00575AC3" w:rsidP="006D40F0"/>
        </w:tc>
      </w:tr>
      <w:tr w:rsidR="00DD49A7" w:rsidRPr="006D40F0" w14:paraId="2487C248" w14:textId="77777777">
        <w:trPr>
          <w:trHeight w:val="380"/>
        </w:trPr>
        <w:tc>
          <w:tcPr>
            <w:tcW w:w="680" w:type="dxa"/>
            <w:tcBorders>
              <w:top w:val="nil"/>
              <w:left w:val="nil"/>
              <w:bottom w:val="nil"/>
              <w:right w:val="nil"/>
            </w:tcBorders>
            <w:tcMar>
              <w:top w:w="128" w:type="dxa"/>
              <w:left w:w="43" w:type="dxa"/>
              <w:bottom w:w="43" w:type="dxa"/>
              <w:right w:w="43" w:type="dxa"/>
            </w:tcMar>
          </w:tcPr>
          <w:p w14:paraId="73928466" w14:textId="77777777" w:rsidR="00575AC3" w:rsidRPr="006D40F0" w:rsidRDefault="00575AC3" w:rsidP="006D40F0"/>
        </w:tc>
        <w:tc>
          <w:tcPr>
            <w:tcW w:w="680" w:type="dxa"/>
            <w:tcBorders>
              <w:top w:val="nil"/>
              <w:left w:val="nil"/>
              <w:bottom w:val="nil"/>
              <w:right w:val="nil"/>
            </w:tcBorders>
            <w:tcMar>
              <w:top w:w="128" w:type="dxa"/>
              <w:left w:w="43" w:type="dxa"/>
              <w:bottom w:w="43" w:type="dxa"/>
              <w:right w:w="43" w:type="dxa"/>
            </w:tcMar>
          </w:tcPr>
          <w:p w14:paraId="56EE3D7B" w14:textId="77777777" w:rsidR="00575AC3" w:rsidRPr="006D40F0" w:rsidRDefault="00575AC3" w:rsidP="006D40F0">
            <w:r w:rsidRPr="006D40F0">
              <w:t>70</w:t>
            </w:r>
          </w:p>
        </w:tc>
        <w:tc>
          <w:tcPr>
            <w:tcW w:w="6800" w:type="dxa"/>
            <w:tcBorders>
              <w:top w:val="nil"/>
              <w:left w:val="nil"/>
              <w:bottom w:val="nil"/>
              <w:right w:val="nil"/>
            </w:tcBorders>
            <w:tcMar>
              <w:top w:w="128" w:type="dxa"/>
              <w:left w:w="43" w:type="dxa"/>
              <w:bottom w:w="43" w:type="dxa"/>
              <w:right w:w="43" w:type="dxa"/>
            </w:tcMar>
          </w:tcPr>
          <w:p w14:paraId="0CB97E6A" w14:textId="77777777" w:rsidR="00575AC3" w:rsidRPr="006D40F0" w:rsidRDefault="00575AC3" w:rsidP="006D40F0">
            <w:r w:rsidRPr="006D40F0">
              <w:t>Refusjon fra bidragspliktige, nedsettes med</w:t>
            </w:r>
          </w:p>
        </w:tc>
        <w:tc>
          <w:tcPr>
            <w:tcW w:w="1400" w:type="dxa"/>
            <w:tcBorders>
              <w:top w:val="nil"/>
              <w:left w:val="nil"/>
              <w:bottom w:val="nil"/>
              <w:right w:val="nil"/>
            </w:tcBorders>
            <w:tcMar>
              <w:top w:w="128" w:type="dxa"/>
              <w:left w:w="43" w:type="dxa"/>
              <w:bottom w:w="43" w:type="dxa"/>
              <w:right w:w="43" w:type="dxa"/>
            </w:tcMar>
            <w:vAlign w:val="bottom"/>
          </w:tcPr>
          <w:p w14:paraId="43335D1C" w14:textId="77777777" w:rsidR="00575AC3" w:rsidRPr="006D40F0" w:rsidRDefault="00575AC3" w:rsidP="006D40F0">
            <w:r w:rsidRPr="006D40F0">
              <w:t>24 000 000</w:t>
            </w:r>
          </w:p>
        </w:tc>
      </w:tr>
      <w:tr w:rsidR="00DD49A7" w:rsidRPr="006D40F0" w14:paraId="46B7062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7350619" w14:textId="77777777" w:rsidR="00575AC3" w:rsidRPr="006D40F0" w:rsidRDefault="00575AC3" w:rsidP="006D40F0"/>
        </w:tc>
        <w:tc>
          <w:tcPr>
            <w:tcW w:w="680" w:type="dxa"/>
            <w:tcBorders>
              <w:top w:val="nil"/>
              <w:left w:val="nil"/>
              <w:bottom w:val="single" w:sz="4" w:space="0" w:color="000000"/>
              <w:right w:val="nil"/>
            </w:tcBorders>
            <w:tcMar>
              <w:top w:w="128" w:type="dxa"/>
              <w:left w:w="43" w:type="dxa"/>
              <w:bottom w:w="43" w:type="dxa"/>
              <w:right w:w="43" w:type="dxa"/>
            </w:tcMar>
          </w:tcPr>
          <w:p w14:paraId="18379A91" w14:textId="77777777" w:rsidR="00575AC3" w:rsidRPr="006D40F0" w:rsidRDefault="00575AC3" w:rsidP="006D40F0"/>
        </w:tc>
        <w:tc>
          <w:tcPr>
            <w:tcW w:w="6800" w:type="dxa"/>
            <w:tcBorders>
              <w:top w:val="nil"/>
              <w:left w:val="nil"/>
              <w:bottom w:val="single" w:sz="4" w:space="0" w:color="000000"/>
              <w:right w:val="nil"/>
            </w:tcBorders>
            <w:tcMar>
              <w:top w:w="128" w:type="dxa"/>
              <w:left w:w="43" w:type="dxa"/>
              <w:bottom w:w="43" w:type="dxa"/>
              <w:right w:w="43" w:type="dxa"/>
            </w:tcMar>
          </w:tcPr>
          <w:p w14:paraId="283169F8" w14:textId="77777777" w:rsidR="00575AC3" w:rsidRPr="006D40F0" w:rsidRDefault="00575AC3" w:rsidP="006D40F0">
            <w:r w:rsidRPr="006D40F0">
              <w:t>fra kr 195 000 000 til kr 171 000 000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BB18E7" w14:textId="77777777" w:rsidR="00575AC3" w:rsidRPr="006D40F0" w:rsidRDefault="00575AC3" w:rsidP="006D40F0"/>
        </w:tc>
      </w:tr>
    </w:tbl>
    <w:p w14:paraId="7301B4E0" w14:textId="77777777" w:rsidR="00575AC3" w:rsidRPr="006D40F0" w:rsidRDefault="00575AC3" w:rsidP="006D40F0">
      <w:pPr>
        <w:pStyle w:val="Fullmakttit"/>
      </w:pPr>
      <w:r w:rsidRPr="006D40F0">
        <w:t>Fullmakter til å overskride gitte bevilgninger</w:t>
      </w:r>
    </w:p>
    <w:p w14:paraId="2384DA01" w14:textId="77777777" w:rsidR="00575AC3" w:rsidRPr="006D40F0" w:rsidRDefault="00575AC3" w:rsidP="006D40F0">
      <w:pPr>
        <w:pStyle w:val="a-vedtak-del"/>
      </w:pPr>
      <w:r w:rsidRPr="006D40F0">
        <w:t>II</w:t>
      </w:r>
    </w:p>
    <w:p w14:paraId="3AAC301B" w14:textId="77777777" w:rsidR="00575AC3" w:rsidRPr="006D40F0" w:rsidRDefault="00575AC3" w:rsidP="006D40F0">
      <w:pPr>
        <w:pStyle w:val="a-vedtak-tekst"/>
      </w:pPr>
      <w:r w:rsidRPr="006D40F0">
        <w:t>Fullmakt til overskridelse</w:t>
      </w:r>
    </w:p>
    <w:p w14:paraId="7ABE4A2E" w14:textId="77777777" w:rsidR="00575AC3" w:rsidRPr="006D40F0" w:rsidRDefault="00575AC3" w:rsidP="006D40F0">
      <w:r w:rsidRPr="006D40F0">
        <w:t>Stortinget samtykker i at Utenriksdepartementet i 2024 kan:</w:t>
      </w:r>
    </w:p>
    <w:p w14:paraId="7130C6C3" w14:textId="77777777" w:rsidR="00575AC3" w:rsidRPr="006D40F0" w:rsidRDefault="00575AC3" w:rsidP="006D40F0">
      <w:r w:rsidRPr="006D40F0">
        <w:t>Overskride bevilgningene under kap. 117 EØS-finansieringsordningene, post 77 EØS-finansieringsordningen 2014-2021 og post 78 Den norske EØS-finansieringsordningen 2014-2021, med en samlet øvre ramme på 272 mill. kroner som følge av usikkerhet i utbetaling og valutakursjusteringer, dersom dette er nødvendig for å oppfylle norske forpliktelser gjennom avtale inngått med EU.</w:t>
      </w:r>
    </w:p>
    <w:p w14:paraId="77461103" w14:textId="77777777" w:rsidR="00575AC3" w:rsidRPr="006D40F0" w:rsidRDefault="00575AC3" w:rsidP="006D40F0">
      <w:pPr>
        <w:pStyle w:val="a-vedtak-del"/>
      </w:pPr>
      <w:r w:rsidRPr="006D40F0">
        <w:t>III</w:t>
      </w:r>
    </w:p>
    <w:p w14:paraId="560788C3" w14:textId="77777777" w:rsidR="00575AC3" w:rsidRPr="006D40F0" w:rsidRDefault="00575AC3" w:rsidP="006D40F0">
      <w:pPr>
        <w:pStyle w:val="a-vedtak-tekst"/>
      </w:pPr>
      <w:r w:rsidRPr="006D40F0">
        <w:t>Merinntektsfullmakt</w:t>
      </w:r>
    </w:p>
    <w:p w14:paraId="7A169799" w14:textId="77777777" w:rsidR="00575AC3" w:rsidRPr="006D40F0" w:rsidRDefault="00575AC3" w:rsidP="006D40F0">
      <w:r w:rsidRPr="006D40F0">
        <w:t>Stortinget samtykker i at Justis- og beredskapsdepartementet i 2024 kan overskride bevilgningen under kap. 432 Kriminalomsorgens høgskole og utdanningssenter, post 01 Driftsutgifter mot tilsvarende merinntekter på kap. 3430 Kriminalomsorgen, post 04 Tilskudd.</w:t>
      </w:r>
    </w:p>
    <w:p w14:paraId="4FC2C4F6" w14:textId="77777777" w:rsidR="00575AC3" w:rsidRPr="006D40F0" w:rsidRDefault="00575AC3" w:rsidP="006D40F0">
      <w:pPr>
        <w:pStyle w:val="a-vedtak-del"/>
      </w:pPr>
      <w:r w:rsidRPr="006D40F0">
        <w:t>IV</w:t>
      </w:r>
    </w:p>
    <w:p w14:paraId="7E0AFF49" w14:textId="77777777" w:rsidR="00575AC3" w:rsidRPr="006D40F0" w:rsidRDefault="00575AC3" w:rsidP="006D40F0">
      <w:pPr>
        <w:pStyle w:val="a-vedtak-tekst"/>
      </w:pPr>
      <w:r w:rsidRPr="006D40F0">
        <w:t>Merinntektsfullmakt</w:t>
      </w:r>
    </w:p>
    <w:p w14:paraId="06F07F45" w14:textId="77777777" w:rsidR="00575AC3" w:rsidRPr="006D40F0" w:rsidRDefault="00575AC3" w:rsidP="006D40F0">
      <w:r w:rsidRPr="006D40F0">
        <w:t>Stortinget samtykker i at Nærings- og fiskeridepartementet i 2024 kan overskride bevilgningen under kap. 919 Diverse fiskeriformål, post 60 Tilskudd til kommuner og fylkeskommuner mot 55 pst. av merinntekter under kap. 3917 Fiskeridirektoratet, post 13 Inntekter fra salg av oppdrettstillatelser ifm. tildeling av oppdrettstillatelser. Tilsvarende skal ev. mindreinntekter under kap. 3917, post 13 innebære at utbetalinger under kap. 919, post 60 reduseres forholdsmessig med 55 pst.</w:t>
      </w:r>
    </w:p>
    <w:p w14:paraId="534F3555" w14:textId="77777777" w:rsidR="00575AC3" w:rsidRPr="006D40F0" w:rsidRDefault="00575AC3" w:rsidP="006D40F0">
      <w:pPr>
        <w:pStyle w:val="a-vedtak-del"/>
      </w:pPr>
      <w:r w:rsidRPr="006D40F0">
        <w:lastRenderedPageBreak/>
        <w:t>V</w:t>
      </w:r>
    </w:p>
    <w:p w14:paraId="20BDF1B8" w14:textId="77777777" w:rsidR="00575AC3" w:rsidRPr="006D40F0" w:rsidRDefault="00575AC3" w:rsidP="006D40F0">
      <w:pPr>
        <w:pStyle w:val="a-vedtak-tekst"/>
      </w:pPr>
      <w:r w:rsidRPr="006D40F0">
        <w:t>Overskridelsesfullmakt</w:t>
      </w:r>
    </w:p>
    <w:p w14:paraId="31EEF2A4" w14:textId="77777777" w:rsidR="00575AC3" w:rsidRPr="006D40F0" w:rsidRDefault="00575AC3" w:rsidP="006D40F0">
      <w:r w:rsidRPr="006D40F0">
        <w:t>Stortinget samtykker i at Samferdselsdepartementet i 2024 kan overskride bevilgningen på kap. 1314 Statens havarikommisjon, post 01 Driftsutgifter, med inntil 3 mill. kroner.</w:t>
      </w:r>
    </w:p>
    <w:p w14:paraId="36DF4C67" w14:textId="77777777" w:rsidR="00575AC3" w:rsidRPr="006D40F0" w:rsidRDefault="00575AC3" w:rsidP="006D40F0">
      <w:pPr>
        <w:pStyle w:val="Fullmakttit"/>
      </w:pPr>
      <w:r w:rsidRPr="006D40F0">
        <w:t>Fullmakter til å pådra staten forpliktelser utover gitte bevilgninger</w:t>
      </w:r>
    </w:p>
    <w:p w14:paraId="2F82E88E" w14:textId="77777777" w:rsidR="00575AC3" w:rsidRPr="006D40F0" w:rsidRDefault="00575AC3" w:rsidP="006D40F0">
      <w:pPr>
        <w:pStyle w:val="a-vedtak-del"/>
      </w:pPr>
      <w:r w:rsidRPr="006D40F0">
        <w:t>VI</w:t>
      </w:r>
    </w:p>
    <w:p w14:paraId="4C2060F5" w14:textId="77777777" w:rsidR="00575AC3" w:rsidRPr="006D40F0" w:rsidRDefault="00575AC3" w:rsidP="006D40F0">
      <w:pPr>
        <w:pStyle w:val="a-vedtak-tekst"/>
      </w:pPr>
      <w:r w:rsidRPr="006D40F0">
        <w:t>Tilsagnsfullmakter</w:t>
      </w:r>
    </w:p>
    <w:p w14:paraId="11347AE3" w14:textId="77777777" w:rsidR="00575AC3" w:rsidRPr="006D40F0" w:rsidRDefault="00575AC3" w:rsidP="006D40F0">
      <w:r w:rsidRPr="006D40F0">
        <w:t>Stortinget samtykker i at Kunnskapsdepartementet kan gi tilsagn om tilskudd utover gitte bevilgninger, men slik at samlet ramme for nye tilsagn og gammelt ansvar ikke overstiger følgende beløp:</w:t>
      </w:r>
    </w:p>
    <w:p w14:paraId="255B0ED0"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22B63069"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540BD1"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562AFE"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BC127E"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E1270" w14:textId="77777777" w:rsidR="00575AC3" w:rsidRPr="006D40F0" w:rsidRDefault="00575AC3" w:rsidP="006D40F0">
            <w:r w:rsidRPr="006D40F0">
              <w:t>Samlet ramme</w:t>
            </w:r>
          </w:p>
        </w:tc>
      </w:tr>
      <w:tr w:rsidR="00DD49A7" w:rsidRPr="006D40F0" w14:paraId="5D911ACC"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426BF80C" w14:textId="77777777" w:rsidR="00575AC3" w:rsidRPr="006D40F0" w:rsidRDefault="00575AC3" w:rsidP="006D40F0">
            <w:r w:rsidRPr="006D40F0">
              <w:t>220</w:t>
            </w:r>
          </w:p>
        </w:tc>
        <w:tc>
          <w:tcPr>
            <w:tcW w:w="620" w:type="dxa"/>
            <w:tcBorders>
              <w:top w:val="single" w:sz="4" w:space="0" w:color="000000"/>
              <w:left w:val="nil"/>
              <w:bottom w:val="nil"/>
              <w:right w:val="nil"/>
            </w:tcBorders>
            <w:tcMar>
              <w:top w:w="128" w:type="dxa"/>
              <w:left w:w="43" w:type="dxa"/>
              <w:bottom w:w="43" w:type="dxa"/>
              <w:right w:w="43" w:type="dxa"/>
            </w:tcMar>
          </w:tcPr>
          <w:p w14:paraId="4317BE46"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00EB5C13" w14:textId="77777777" w:rsidR="00575AC3" w:rsidRPr="006D40F0" w:rsidRDefault="00575AC3" w:rsidP="006D40F0">
            <w:r w:rsidRPr="006D40F0">
              <w:t>Utdanningsdirektoratet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037F3CE" w14:textId="77777777" w:rsidR="00575AC3" w:rsidRPr="006D40F0" w:rsidRDefault="00575AC3" w:rsidP="006D40F0"/>
        </w:tc>
      </w:tr>
      <w:tr w:rsidR="00DD49A7" w:rsidRPr="006D40F0" w14:paraId="03AFE7A1"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2BDFE2B"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6DCC8D56" w14:textId="77777777" w:rsidR="00575AC3" w:rsidRPr="006D40F0" w:rsidRDefault="00575AC3" w:rsidP="006D40F0">
            <w:r w:rsidRPr="006D40F0">
              <w:t>70</w:t>
            </w:r>
          </w:p>
        </w:tc>
        <w:tc>
          <w:tcPr>
            <w:tcW w:w="6060" w:type="dxa"/>
            <w:tcBorders>
              <w:top w:val="nil"/>
              <w:left w:val="nil"/>
              <w:bottom w:val="single" w:sz="4" w:space="0" w:color="000000"/>
              <w:right w:val="nil"/>
            </w:tcBorders>
            <w:tcMar>
              <w:top w:w="128" w:type="dxa"/>
              <w:left w:w="43" w:type="dxa"/>
              <w:bottom w:w="43" w:type="dxa"/>
              <w:right w:w="43" w:type="dxa"/>
            </w:tcMar>
          </w:tcPr>
          <w:p w14:paraId="5B5714A7" w14:textId="77777777" w:rsidR="00575AC3" w:rsidRPr="006D40F0" w:rsidRDefault="00575AC3" w:rsidP="006D40F0">
            <w:r w:rsidRPr="006D40F0">
              <w:t>Tilskudd til læremidler mv.</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36C0209D" w14:textId="77777777" w:rsidR="00575AC3" w:rsidRPr="006D40F0" w:rsidRDefault="00575AC3" w:rsidP="006D40F0">
            <w:r w:rsidRPr="006D40F0">
              <w:t>87 mill. kroner</w:t>
            </w:r>
          </w:p>
        </w:tc>
      </w:tr>
    </w:tbl>
    <w:p w14:paraId="08193799" w14:textId="77777777" w:rsidR="00575AC3" w:rsidRPr="006D40F0" w:rsidRDefault="00575AC3" w:rsidP="006D40F0">
      <w:pPr>
        <w:pStyle w:val="a-vedtak-del"/>
      </w:pPr>
      <w:r w:rsidRPr="006D40F0">
        <w:t>VII</w:t>
      </w:r>
    </w:p>
    <w:p w14:paraId="4A76ABA4" w14:textId="77777777" w:rsidR="00575AC3" w:rsidRPr="006D40F0" w:rsidRDefault="00575AC3" w:rsidP="006D40F0">
      <w:pPr>
        <w:pStyle w:val="a-vedtak-tekst"/>
      </w:pPr>
      <w:r w:rsidRPr="006D40F0">
        <w:t>Tilsagnsfullmakt</w:t>
      </w:r>
    </w:p>
    <w:p w14:paraId="45A3A239" w14:textId="77777777" w:rsidR="00575AC3" w:rsidRPr="006D40F0" w:rsidRDefault="00575AC3" w:rsidP="006D40F0">
      <w:r w:rsidRPr="006D40F0">
        <w:t xml:space="preserve">Stortinget samtykker i at Kunnskapsdepartementet i 2024 kan pådra staten forpliktelser utover budsjettåret ved å gi Rafto-stiftelsen tilsagn om tilskudd for å gjennomføre prosjektet om oppgradering og utvidelse av </w:t>
      </w:r>
      <w:proofErr w:type="spellStart"/>
      <w:r w:rsidRPr="006D40F0">
        <w:t>Raftohuset</w:t>
      </w:r>
      <w:proofErr w:type="spellEnd"/>
      <w:r w:rsidRPr="006D40F0">
        <w:t>, men slik at samlet ramme for nye og gamle tilsagn ikke overstiger følgende beløp:</w:t>
      </w:r>
    </w:p>
    <w:p w14:paraId="319330E9"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69596567"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C82A11"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02BCB1"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0DCF82"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E75C8" w14:textId="77777777" w:rsidR="00575AC3" w:rsidRPr="006D40F0" w:rsidRDefault="00575AC3" w:rsidP="006D40F0">
            <w:r w:rsidRPr="006D40F0">
              <w:t>Samlet ramme</w:t>
            </w:r>
          </w:p>
        </w:tc>
      </w:tr>
      <w:tr w:rsidR="00DD49A7" w:rsidRPr="006D40F0" w14:paraId="1529FC39"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259401E7" w14:textId="77777777" w:rsidR="00575AC3" w:rsidRPr="006D40F0" w:rsidRDefault="00575AC3" w:rsidP="006D40F0">
            <w:r w:rsidRPr="006D40F0">
              <w:t>224</w:t>
            </w:r>
          </w:p>
        </w:tc>
        <w:tc>
          <w:tcPr>
            <w:tcW w:w="620" w:type="dxa"/>
            <w:tcBorders>
              <w:top w:val="single" w:sz="4" w:space="0" w:color="000000"/>
              <w:left w:val="nil"/>
              <w:bottom w:val="nil"/>
              <w:right w:val="nil"/>
            </w:tcBorders>
            <w:tcMar>
              <w:top w:w="128" w:type="dxa"/>
              <w:left w:w="43" w:type="dxa"/>
              <w:bottom w:w="43" w:type="dxa"/>
              <w:right w:w="43" w:type="dxa"/>
            </w:tcMar>
          </w:tcPr>
          <w:p w14:paraId="3A19BA75"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0812F58C" w14:textId="77777777" w:rsidR="00575AC3" w:rsidRPr="006D40F0" w:rsidRDefault="00575AC3" w:rsidP="006D40F0">
            <w:r w:rsidRPr="006D40F0">
              <w:t>Tilskudd til freds- og menneskerettighetssentre</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A62A392" w14:textId="77777777" w:rsidR="00575AC3" w:rsidRPr="006D40F0" w:rsidRDefault="00575AC3" w:rsidP="006D40F0"/>
        </w:tc>
      </w:tr>
      <w:tr w:rsidR="00DD49A7" w:rsidRPr="006D40F0" w14:paraId="51E02F65"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6BDC491"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392AA872" w14:textId="77777777" w:rsidR="00575AC3" w:rsidRPr="006D40F0" w:rsidRDefault="00575AC3" w:rsidP="006D40F0">
            <w:r w:rsidRPr="006D40F0">
              <w:t>70</w:t>
            </w:r>
          </w:p>
        </w:tc>
        <w:tc>
          <w:tcPr>
            <w:tcW w:w="6060" w:type="dxa"/>
            <w:tcBorders>
              <w:top w:val="nil"/>
              <w:left w:val="nil"/>
              <w:bottom w:val="single" w:sz="4" w:space="0" w:color="000000"/>
              <w:right w:val="nil"/>
            </w:tcBorders>
            <w:tcMar>
              <w:top w:w="128" w:type="dxa"/>
              <w:left w:w="43" w:type="dxa"/>
              <w:bottom w:w="43" w:type="dxa"/>
              <w:right w:w="43" w:type="dxa"/>
            </w:tcMar>
          </w:tcPr>
          <w:p w14:paraId="348CF8FA" w14:textId="77777777" w:rsidR="00575AC3" w:rsidRPr="006D40F0" w:rsidRDefault="00575AC3" w:rsidP="006D40F0">
            <w:r w:rsidRPr="006D40F0">
              <w:t>Freds- og menneskerettighetssentre</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F386750" w14:textId="77777777" w:rsidR="00575AC3" w:rsidRPr="006D40F0" w:rsidRDefault="00575AC3" w:rsidP="006D40F0">
            <w:r w:rsidRPr="006D40F0">
              <w:t>85,0 mill. kroner</w:t>
            </w:r>
          </w:p>
        </w:tc>
      </w:tr>
    </w:tbl>
    <w:p w14:paraId="77F8AB3F" w14:textId="77777777" w:rsidR="00575AC3" w:rsidRPr="006D40F0" w:rsidRDefault="00575AC3" w:rsidP="006D40F0">
      <w:pPr>
        <w:pStyle w:val="a-vedtak-del"/>
      </w:pPr>
      <w:r w:rsidRPr="006D40F0">
        <w:t>VIII</w:t>
      </w:r>
    </w:p>
    <w:p w14:paraId="19CE9B08" w14:textId="77777777" w:rsidR="00575AC3" w:rsidRPr="006D40F0" w:rsidRDefault="00575AC3" w:rsidP="006D40F0">
      <w:pPr>
        <w:pStyle w:val="a-vedtak-tekst"/>
      </w:pPr>
      <w:r w:rsidRPr="006D40F0">
        <w:t>Tilsagnsfullmakt</w:t>
      </w:r>
    </w:p>
    <w:p w14:paraId="261E4139" w14:textId="77777777" w:rsidR="00575AC3" w:rsidRPr="006D40F0" w:rsidRDefault="00575AC3" w:rsidP="006D40F0">
      <w:r w:rsidRPr="006D40F0">
        <w:t>Stortinget samtykker i at Kunnskapsdepartementet kan gi tilsagn om tilskudd utover gitte bevilgninger, men slik at samlet ramme for nye tilsagn og gammelt ansvar ikke overstiger følgende beløp:</w:t>
      </w:r>
    </w:p>
    <w:p w14:paraId="71B8EDD6"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3E2AC76C"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892B8B" w14:textId="77777777" w:rsidR="00575AC3" w:rsidRPr="006D40F0" w:rsidRDefault="00575AC3" w:rsidP="006D40F0">
            <w:r w:rsidRPr="006D40F0">
              <w:lastRenderedPageBreak/>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5856A0" w14:textId="77777777" w:rsidR="00575AC3" w:rsidRPr="006D40F0" w:rsidRDefault="00575AC3" w:rsidP="006D40F0">
            <w:r w:rsidRPr="006D40F0">
              <w:t xml:space="preserve">Post </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01DE2"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870DD8" w14:textId="77777777" w:rsidR="00575AC3" w:rsidRPr="006D40F0" w:rsidRDefault="00575AC3" w:rsidP="006D40F0">
            <w:r w:rsidRPr="006D40F0">
              <w:t>Samlet ramme</w:t>
            </w:r>
          </w:p>
        </w:tc>
      </w:tr>
      <w:tr w:rsidR="00DD49A7" w:rsidRPr="006D40F0" w14:paraId="6FB9467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A315DAB" w14:textId="77777777" w:rsidR="00575AC3" w:rsidRPr="006D40F0" w:rsidRDefault="00575AC3" w:rsidP="006D40F0">
            <w:r w:rsidRPr="006D40F0">
              <w:t>270</w:t>
            </w:r>
          </w:p>
        </w:tc>
        <w:tc>
          <w:tcPr>
            <w:tcW w:w="620" w:type="dxa"/>
            <w:tcBorders>
              <w:top w:val="single" w:sz="4" w:space="0" w:color="000000"/>
              <w:left w:val="nil"/>
              <w:bottom w:val="nil"/>
              <w:right w:val="nil"/>
            </w:tcBorders>
            <w:tcMar>
              <w:top w:w="128" w:type="dxa"/>
              <w:left w:w="43" w:type="dxa"/>
              <w:bottom w:w="43" w:type="dxa"/>
              <w:right w:w="43" w:type="dxa"/>
            </w:tcMar>
          </w:tcPr>
          <w:p w14:paraId="22E31E06"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7E0388CB" w14:textId="77777777" w:rsidR="00575AC3" w:rsidRPr="006D40F0" w:rsidRDefault="00575AC3" w:rsidP="006D40F0">
            <w:r w:rsidRPr="006D40F0">
              <w:t>Studentvelferd</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8A3D1EC" w14:textId="77777777" w:rsidR="00575AC3" w:rsidRPr="006D40F0" w:rsidRDefault="00575AC3" w:rsidP="006D40F0"/>
        </w:tc>
      </w:tr>
      <w:tr w:rsidR="00DD49A7" w:rsidRPr="006D40F0" w14:paraId="4CAF8736"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31D0329F"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1B32C206" w14:textId="77777777" w:rsidR="00575AC3" w:rsidRPr="006D40F0" w:rsidRDefault="00575AC3" w:rsidP="006D40F0">
            <w:r w:rsidRPr="006D40F0">
              <w:t>75</w:t>
            </w:r>
          </w:p>
        </w:tc>
        <w:tc>
          <w:tcPr>
            <w:tcW w:w="6060" w:type="dxa"/>
            <w:tcBorders>
              <w:top w:val="nil"/>
              <w:left w:val="nil"/>
              <w:bottom w:val="single" w:sz="4" w:space="0" w:color="000000"/>
              <w:right w:val="nil"/>
            </w:tcBorders>
            <w:tcMar>
              <w:top w:w="128" w:type="dxa"/>
              <w:left w:w="43" w:type="dxa"/>
              <w:bottom w:w="43" w:type="dxa"/>
              <w:right w:w="43" w:type="dxa"/>
            </w:tcMar>
          </w:tcPr>
          <w:p w14:paraId="054A25DE" w14:textId="77777777" w:rsidR="00575AC3" w:rsidRPr="006D40F0" w:rsidRDefault="00575AC3" w:rsidP="006D40F0">
            <w:r w:rsidRPr="006D40F0">
              <w:t>Tilskudd til bygging av studentboliger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89B6648" w14:textId="77777777" w:rsidR="00575AC3" w:rsidRPr="006D40F0" w:rsidRDefault="00575AC3" w:rsidP="006D40F0">
            <w:r w:rsidRPr="006D40F0">
              <w:t>649,8 mill. kroner</w:t>
            </w:r>
          </w:p>
        </w:tc>
      </w:tr>
    </w:tbl>
    <w:p w14:paraId="13636186" w14:textId="77777777" w:rsidR="00575AC3" w:rsidRPr="006D40F0" w:rsidRDefault="00575AC3" w:rsidP="006D40F0">
      <w:pPr>
        <w:pStyle w:val="a-vedtak-del"/>
      </w:pPr>
      <w:r w:rsidRPr="006D40F0">
        <w:t>IX</w:t>
      </w:r>
    </w:p>
    <w:p w14:paraId="66A109CD" w14:textId="77777777" w:rsidR="00575AC3" w:rsidRPr="006D40F0" w:rsidRDefault="00575AC3" w:rsidP="006D40F0">
      <w:pPr>
        <w:pStyle w:val="a-vedtak-tekst"/>
      </w:pPr>
      <w:r w:rsidRPr="006D40F0">
        <w:t>Tilsagnsfullmakt</w:t>
      </w:r>
    </w:p>
    <w:p w14:paraId="4B01D92F" w14:textId="77777777" w:rsidR="00575AC3" w:rsidRPr="006D40F0" w:rsidRDefault="00575AC3" w:rsidP="006D40F0">
      <w:r w:rsidRPr="006D40F0">
        <w:t>Stortinget samtykker i at Kommunal- og distriktsdepartementet i 2024 kan gi tilsagn om tilskudd utover gitte bevilgninger, men slik at samlet ramme for nye tilsagn og gammelt ansvar ikke overstiger følgende beløp:</w:t>
      </w:r>
    </w:p>
    <w:p w14:paraId="20F5C681"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1F88D2EC"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CD01F5"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0C53B"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B4F3C"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8B92BA" w14:textId="77777777" w:rsidR="00575AC3" w:rsidRPr="006D40F0" w:rsidRDefault="00575AC3" w:rsidP="006D40F0">
            <w:r w:rsidRPr="006D40F0">
              <w:t>Samlet ramme</w:t>
            </w:r>
          </w:p>
        </w:tc>
      </w:tr>
      <w:tr w:rsidR="00DD49A7" w:rsidRPr="006D40F0" w14:paraId="0388130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F106A0B" w14:textId="77777777" w:rsidR="00575AC3" w:rsidRPr="006D40F0" w:rsidRDefault="00575AC3" w:rsidP="006D40F0">
            <w:r w:rsidRPr="006D40F0">
              <w:t>581</w:t>
            </w:r>
          </w:p>
        </w:tc>
        <w:tc>
          <w:tcPr>
            <w:tcW w:w="620" w:type="dxa"/>
            <w:tcBorders>
              <w:top w:val="single" w:sz="4" w:space="0" w:color="000000"/>
              <w:left w:val="nil"/>
              <w:bottom w:val="nil"/>
              <w:right w:val="nil"/>
            </w:tcBorders>
            <w:tcMar>
              <w:top w:w="128" w:type="dxa"/>
              <w:left w:w="43" w:type="dxa"/>
              <w:bottom w:w="43" w:type="dxa"/>
              <w:right w:w="43" w:type="dxa"/>
            </w:tcMar>
          </w:tcPr>
          <w:p w14:paraId="13C11EAF"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72C2EE9F" w14:textId="77777777" w:rsidR="00575AC3" w:rsidRPr="006D40F0" w:rsidRDefault="00575AC3" w:rsidP="006D40F0">
            <w:r w:rsidRPr="006D40F0">
              <w:t>Bolig- og bomiljøtiltak</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3B493BCE" w14:textId="77777777" w:rsidR="00575AC3" w:rsidRPr="006D40F0" w:rsidRDefault="00575AC3" w:rsidP="006D40F0"/>
        </w:tc>
      </w:tr>
      <w:tr w:rsidR="00DD49A7" w:rsidRPr="006D40F0" w14:paraId="75E199FC"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164D8D37"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382F42E2" w14:textId="77777777" w:rsidR="00575AC3" w:rsidRPr="006D40F0" w:rsidRDefault="00575AC3" w:rsidP="006D40F0">
            <w:r w:rsidRPr="006D40F0">
              <w:t>76</w:t>
            </w:r>
          </w:p>
        </w:tc>
        <w:tc>
          <w:tcPr>
            <w:tcW w:w="6060" w:type="dxa"/>
            <w:tcBorders>
              <w:top w:val="nil"/>
              <w:left w:val="nil"/>
              <w:bottom w:val="single" w:sz="4" w:space="0" w:color="000000"/>
              <w:right w:val="nil"/>
            </w:tcBorders>
            <w:tcMar>
              <w:top w:w="128" w:type="dxa"/>
              <w:left w:w="43" w:type="dxa"/>
              <w:bottom w:w="43" w:type="dxa"/>
              <w:right w:w="43" w:type="dxa"/>
            </w:tcMar>
          </w:tcPr>
          <w:p w14:paraId="0825B205" w14:textId="77777777" w:rsidR="00575AC3" w:rsidRPr="006D40F0" w:rsidRDefault="00575AC3" w:rsidP="006D40F0">
            <w:r w:rsidRPr="006D40F0">
              <w:t>Utleieboliger og forsøk med nye boligmodeller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92B1C18" w14:textId="77777777" w:rsidR="00575AC3" w:rsidRPr="006D40F0" w:rsidRDefault="00575AC3" w:rsidP="006D40F0">
            <w:r w:rsidRPr="006D40F0">
              <w:t>84,8 mill. kroner</w:t>
            </w:r>
          </w:p>
        </w:tc>
      </w:tr>
    </w:tbl>
    <w:p w14:paraId="46F362E5" w14:textId="77777777" w:rsidR="00575AC3" w:rsidRPr="006D40F0" w:rsidRDefault="00575AC3" w:rsidP="006D40F0">
      <w:pPr>
        <w:pStyle w:val="a-vedtak-del"/>
      </w:pPr>
      <w:proofErr w:type="spellStart"/>
      <w:r w:rsidRPr="006D40F0">
        <w:t>X</w:t>
      </w:r>
      <w:proofErr w:type="spellEnd"/>
    </w:p>
    <w:p w14:paraId="0225CFF9" w14:textId="77777777" w:rsidR="00575AC3" w:rsidRPr="006D40F0" w:rsidRDefault="00575AC3" w:rsidP="006D40F0">
      <w:pPr>
        <w:pStyle w:val="a-vedtak-tekst"/>
      </w:pPr>
      <w:r w:rsidRPr="006D40F0">
        <w:t>Tilsagnsfullmakter</w:t>
      </w:r>
    </w:p>
    <w:p w14:paraId="7FA842B1" w14:textId="77777777" w:rsidR="00575AC3" w:rsidRPr="006D40F0" w:rsidRDefault="00575AC3" w:rsidP="006D40F0">
      <w:r w:rsidRPr="006D40F0">
        <w:t>Stortinget samtykker i at Arbeids- og inkluderingsdepartementet i 2024 kan gi tilsagn om tilskudd utover gitte bevilgninger, men slik at samlet ramme for nye tilsagn og gammelt ansvar ikke overstiger følgende beløp:</w:t>
      </w:r>
    </w:p>
    <w:p w14:paraId="75138C31"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3FF60452"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6295E"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9DAE79"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B420F"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61F4B7" w14:textId="77777777" w:rsidR="00575AC3" w:rsidRPr="006D40F0" w:rsidRDefault="00575AC3" w:rsidP="006D40F0">
            <w:r w:rsidRPr="006D40F0">
              <w:t>Samlet ramme</w:t>
            </w:r>
          </w:p>
        </w:tc>
      </w:tr>
      <w:tr w:rsidR="00DD49A7" w:rsidRPr="006D40F0" w14:paraId="6472E274"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C109095" w14:textId="77777777" w:rsidR="00575AC3" w:rsidRPr="006D40F0" w:rsidRDefault="00575AC3" w:rsidP="006D40F0">
            <w:r w:rsidRPr="006D40F0">
              <w:t>634</w:t>
            </w:r>
          </w:p>
        </w:tc>
        <w:tc>
          <w:tcPr>
            <w:tcW w:w="620" w:type="dxa"/>
            <w:tcBorders>
              <w:top w:val="single" w:sz="4" w:space="0" w:color="000000"/>
              <w:left w:val="nil"/>
              <w:bottom w:val="nil"/>
              <w:right w:val="nil"/>
            </w:tcBorders>
            <w:tcMar>
              <w:top w:w="128" w:type="dxa"/>
              <w:left w:w="43" w:type="dxa"/>
              <w:bottom w:w="43" w:type="dxa"/>
              <w:right w:w="43" w:type="dxa"/>
            </w:tcMar>
          </w:tcPr>
          <w:p w14:paraId="02879952"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27119590" w14:textId="77777777" w:rsidR="00575AC3" w:rsidRPr="006D40F0" w:rsidRDefault="00575AC3" w:rsidP="006D40F0">
            <w:r w:rsidRPr="006D40F0">
              <w:t>Arbeidsmarkedstiltak</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8A386AF" w14:textId="77777777" w:rsidR="00575AC3" w:rsidRPr="006D40F0" w:rsidRDefault="00575AC3" w:rsidP="006D40F0"/>
        </w:tc>
      </w:tr>
      <w:tr w:rsidR="00DD49A7" w:rsidRPr="006D40F0" w14:paraId="39D81DE1" w14:textId="77777777">
        <w:trPr>
          <w:trHeight w:val="380"/>
        </w:trPr>
        <w:tc>
          <w:tcPr>
            <w:tcW w:w="620" w:type="dxa"/>
            <w:tcBorders>
              <w:top w:val="nil"/>
              <w:left w:val="nil"/>
              <w:bottom w:val="nil"/>
              <w:right w:val="nil"/>
            </w:tcBorders>
            <w:tcMar>
              <w:top w:w="128" w:type="dxa"/>
              <w:left w:w="43" w:type="dxa"/>
              <w:bottom w:w="43" w:type="dxa"/>
              <w:right w:w="43" w:type="dxa"/>
            </w:tcMar>
          </w:tcPr>
          <w:p w14:paraId="26667826"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441C14E2" w14:textId="77777777" w:rsidR="00575AC3" w:rsidRPr="006D40F0" w:rsidRDefault="00575AC3" w:rsidP="006D40F0">
            <w:r w:rsidRPr="006D40F0">
              <w:t>76</w:t>
            </w:r>
          </w:p>
        </w:tc>
        <w:tc>
          <w:tcPr>
            <w:tcW w:w="6060" w:type="dxa"/>
            <w:tcBorders>
              <w:top w:val="nil"/>
              <w:left w:val="nil"/>
              <w:bottom w:val="nil"/>
              <w:right w:val="nil"/>
            </w:tcBorders>
            <w:tcMar>
              <w:top w:w="128" w:type="dxa"/>
              <w:left w:w="43" w:type="dxa"/>
              <w:bottom w:w="43" w:type="dxa"/>
              <w:right w:w="43" w:type="dxa"/>
            </w:tcMar>
          </w:tcPr>
          <w:p w14:paraId="0459FC18" w14:textId="77777777" w:rsidR="00575AC3" w:rsidRPr="006D40F0" w:rsidRDefault="00575AC3" w:rsidP="006D40F0">
            <w:r w:rsidRPr="006D40F0">
              <w:t>Tiltak for arbeidssøkere</w:t>
            </w:r>
          </w:p>
        </w:tc>
        <w:tc>
          <w:tcPr>
            <w:tcW w:w="2260" w:type="dxa"/>
            <w:tcBorders>
              <w:top w:val="nil"/>
              <w:left w:val="nil"/>
              <w:bottom w:val="nil"/>
              <w:right w:val="nil"/>
            </w:tcBorders>
            <w:tcMar>
              <w:top w:w="128" w:type="dxa"/>
              <w:left w:w="43" w:type="dxa"/>
              <w:bottom w:w="43" w:type="dxa"/>
              <w:right w:w="43" w:type="dxa"/>
            </w:tcMar>
            <w:vAlign w:val="bottom"/>
          </w:tcPr>
          <w:p w14:paraId="0B28DDF8" w14:textId="77777777" w:rsidR="00575AC3" w:rsidRPr="006D40F0" w:rsidRDefault="00575AC3" w:rsidP="006D40F0">
            <w:r w:rsidRPr="006D40F0">
              <w:t>3 050,6 mill. kroner</w:t>
            </w:r>
          </w:p>
        </w:tc>
      </w:tr>
      <w:tr w:rsidR="00DD49A7" w:rsidRPr="006D40F0" w14:paraId="21B09119" w14:textId="77777777">
        <w:trPr>
          <w:trHeight w:val="380"/>
        </w:trPr>
        <w:tc>
          <w:tcPr>
            <w:tcW w:w="620" w:type="dxa"/>
            <w:tcBorders>
              <w:top w:val="nil"/>
              <w:left w:val="nil"/>
              <w:bottom w:val="nil"/>
              <w:right w:val="nil"/>
            </w:tcBorders>
            <w:tcMar>
              <w:top w:w="128" w:type="dxa"/>
              <w:left w:w="43" w:type="dxa"/>
              <w:bottom w:w="43" w:type="dxa"/>
              <w:right w:w="43" w:type="dxa"/>
            </w:tcMar>
          </w:tcPr>
          <w:p w14:paraId="32FF0FB7"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7E0AA430" w14:textId="77777777" w:rsidR="00575AC3" w:rsidRPr="006D40F0" w:rsidRDefault="00575AC3" w:rsidP="006D40F0">
            <w:r w:rsidRPr="006D40F0">
              <w:t>77</w:t>
            </w:r>
          </w:p>
        </w:tc>
        <w:tc>
          <w:tcPr>
            <w:tcW w:w="6060" w:type="dxa"/>
            <w:tcBorders>
              <w:top w:val="nil"/>
              <w:left w:val="nil"/>
              <w:bottom w:val="nil"/>
              <w:right w:val="nil"/>
            </w:tcBorders>
            <w:tcMar>
              <w:top w:w="128" w:type="dxa"/>
              <w:left w:w="43" w:type="dxa"/>
              <w:bottom w:w="43" w:type="dxa"/>
              <w:right w:w="43" w:type="dxa"/>
            </w:tcMar>
          </w:tcPr>
          <w:p w14:paraId="7949B4ED" w14:textId="77777777" w:rsidR="00575AC3" w:rsidRPr="006D40F0" w:rsidRDefault="00575AC3" w:rsidP="006D40F0">
            <w:r w:rsidRPr="006D40F0">
              <w:t>Varig tilrettelagt arbeid</w:t>
            </w:r>
          </w:p>
        </w:tc>
        <w:tc>
          <w:tcPr>
            <w:tcW w:w="2260" w:type="dxa"/>
            <w:tcBorders>
              <w:top w:val="nil"/>
              <w:left w:val="nil"/>
              <w:bottom w:val="nil"/>
              <w:right w:val="nil"/>
            </w:tcBorders>
            <w:tcMar>
              <w:top w:w="128" w:type="dxa"/>
              <w:left w:w="43" w:type="dxa"/>
              <w:bottom w:w="43" w:type="dxa"/>
              <w:right w:w="43" w:type="dxa"/>
            </w:tcMar>
            <w:vAlign w:val="bottom"/>
          </w:tcPr>
          <w:p w14:paraId="1BAEF318" w14:textId="77777777" w:rsidR="00575AC3" w:rsidRPr="006D40F0" w:rsidRDefault="00575AC3" w:rsidP="006D40F0">
            <w:r w:rsidRPr="006D40F0">
              <w:t>1 206,0 mill. kroner</w:t>
            </w:r>
          </w:p>
        </w:tc>
      </w:tr>
      <w:tr w:rsidR="00DD49A7" w:rsidRPr="006D40F0" w14:paraId="0CB9A0EB"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DBB3A76"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62BE7431" w14:textId="77777777" w:rsidR="00575AC3" w:rsidRPr="006D40F0" w:rsidRDefault="00575AC3" w:rsidP="006D40F0">
            <w:r w:rsidRPr="006D40F0">
              <w:t>79</w:t>
            </w:r>
          </w:p>
        </w:tc>
        <w:tc>
          <w:tcPr>
            <w:tcW w:w="6060" w:type="dxa"/>
            <w:tcBorders>
              <w:top w:val="nil"/>
              <w:left w:val="nil"/>
              <w:bottom w:val="single" w:sz="4" w:space="0" w:color="000000"/>
              <w:right w:val="nil"/>
            </w:tcBorders>
            <w:tcMar>
              <w:top w:w="128" w:type="dxa"/>
              <w:left w:w="43" w:type="dxa"/>
              <w:bottom w:w="43" w:type="dxa"/>
              <w:right w:w="43" w:type="dxa"/>
            </w:tcMar>
          </w:tcPr>
          <w:p w14:paraId="3F7C65E6" w14:textId="77777777" w:rsidR="00575AC3" w:rsidRPr="006D40F0" w:rsidRDefault="00575AC3" w:rsidP="006D40F0">
            <w:r w:rsidRPr="006D40F0">
              <w:t>Funksjonsassistanse i arbeidslivet</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25E0A30" w14:textId="77777777" w:rsidR="00575AC3" w:rsidRPr="006D40F0" w:rsidRDefault="00575AC3" w:rsidP="006D40F0">
            <w:r w:rsidRPr="006D40F0">
              <w:t>65,6 mill. kroner</w:t>
            </w:r>
          </w:p>
        </w:tc>
      </w:tr>
    </w:tbl>
    <w:p w14:paraId="0021C4AA" w14:textId="77777777" w:rsidR="00575AC3" w:rsidRPr="006D40F0" w:rsidRDefault="00575AC3" w:rsidP="006D40F0">
      <w:pPr>
        <w:pStyle w:val="a-vedtak-del"/>
      </w:pPr>
      <w:r w:rsidRPr="006D40F0">
        <w:t>XI</w:t>
      </w:r>
    </w:p>
    <w:p w14:paraId="2A826488" w14:textId="77777777" w:rsidR="00575AC3" w:rsidRPr="006D40F0" w:rsidRDefault="00575AC3" w:rsidP="006D40F0">
      <w:pPr>
        <w:pStyle w:val="a-vedtak-tekst"/>
      </w:pPr>
      <w:r w:rsidRPr="006D40F0">
        <w:lastRenderedPageBreak/>
        <w:t>Fullmakt til å pådra staten forpliktelser til bevaringsstrategi for kulturhistoriske verdifulle kirkebygg</w:t>
      </w:r>
    </w:p>
    <w:p w14:paraId="675786C7" w14:textId="77777777" w:rsidR="00575AC3" w:rsidRPr="006D40F0" w:rsidRDefault="00575AC3" w:rsidP="006D40F0">
      <w:r w:rsidRPr="006D40F0">
        <w:t>Stortinget samtykker i at Barne- og familiedepartementet kan pådra forpliktelser om tilskudd til bevaringsstrategi for kulturhistorisk verdifulle kirkebygg innenfor en samlet ramme på 10 mrd. kroner (i 2024-kroner) med årlige utbetalinger på inntil 500 mill. kroner i perioden 2024 til 2054.</w:t>
      </w:r>
    </w:p>
    <w:p w14:paraId="23DA7290" w14:textId="77777777" w:rsidR="00575AC3" w:rsidRPr="006D40F0" w:rsidRDefault="00575AC3" w:rsidP="006D40F0">
      <w:pPr>
        <w:pStyle w:val="a-vedtak-del"/>
      </w:pPr>
      <w:r w:rsidRPr="006D40F0">
        <w:t>XII</w:t>
      </w:r>
    </w:p>
    <w:p w14:paraId="0E69B1DE" w14:textId="77777777" w:rsidR="00575AC3" w:rsidRPr="006D40F0" w:rsidRDefault="00575AC3" w:rsidP="006D40F0">
      <w:pPr>
        <w:pStyle w:val="a-vedtak-tekst"/>
      </w:pPr>
      <w:r w:rsidRPr="006D40F0">
        <w:t>Tilsagnsfullmakter</w:t>
      </w:r>
    </w:p>
    <w:p w14:paraId="07D943EE" w14:textId="77777777" w:rsidR="00575AC3" w:rsidRPr="006D40F0" w:rsidRDefault="00575AC3" w:rsidP="006D40F0">
      <w:r w:rsidRPr="006D40F0">
        <w:t>Stortinget samtykker i at Nærings- og fiskeridepartementet i 2024 kan gi tilsagn om tilskudd utover gitte bevilgninger, men slik at samlet ramme for nye tilsagn og gammelt ansvar ikke overstiger følgende beløp:</w:t>
      </w:r>
    </w:p>
    <w:p w14:paraId="350FB05E"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3088D38A"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DD4C0"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0791FC"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7827EB"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A04521" w14:textId="77777777" w:rsidR="00575AC3" w:rsidRPr="006D40F0" w:rsidRDefault="00575AC3" w:rsidP="006D40F0">
            <w:r w:rsidRPr="006D40F0">
              <w:t>Samlet ramme</w:t>
            </w:r>
          </w:p>
        </w:tc>
      </w:tr>
      <w:tr w:rsidR="00DD49A7" w:rsidRPr="006D40F0" w14:paraId="28CBACE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C2812BA" w14:textId="77777777" w:rsidR="00575AC3" w:rsidRPr="006D40F0" w:rsidRDefault="00575AC3" w:rsidP="006D40F0">
            <w:r w:rsidRPr="006D40F0">
              <w:t>2421</w:t>
            </w:r>
          </w:p>
        </w:tc>
        <w:tc>
          <w:tcPr>
            <w:tcW w:w="620" w:type="dxa"/>
            <w:tcBorders>
              <w:top w:val="single" w:sz="4" w:space="0" w:color="000000"/>
              <w:left w:val="nil"/>
              <w:bottom w:val="nil"/>
              <w:right w:val="nil"/>
            </w:tcBorders>
            <w:tcMar>
              <w:top w:w="128" w:type="dxa"/>
              <w:left w:w="43" w:type="dxa"/>
              <w:bottom w:w="43" w:type="dxa"/>
              <w:right w:w="43" w:type="dxa"/>
            </w:tcMar>
          </w:tcPr>
          <w:p w14:paraId="786328E2"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0F24529A" w14:textId="77777777" w:rsidR="00575AC3" w:rsidRPr="006D40F0" w:rsidRDefault="00575AC3" w:rsidP="006D40F0">
            <w:r w:rsidRPr="006D40F0">
              <w:t>Innovasjon Norge</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F819204" w14:textId="77777777" w:rsidR="00575AC3" w:rsidRPr="006D40F0" w:rsidRDefault="00575AC3" w:rsidP="006D40F0"/>
        </w:tc>
      </w:tr>
      <w:tr w:rsidR="00DD49A7" w:rsidRPr="006D40F0" w14:paraId="68A5ABC4" w14:textId="77777777">
        <w:trPr>
          <w:trHeight w:val="380"/>
        </w:trPr>
        <w:tc>
          <w:tcPr>
            <w:tcW w:w="620" w:type="dxa"/>
            <w:tcBorders>
              <w:top w:val="nil"/>
              <w:left w:val="nil"/>
              <w:bottom w:val="nil"/>
              <w:right w:val="nil"/>
            </w:tcBorders>
            <w:tcMar>
              <w:top w:w="128" w:type="dxa"/>
              <w:left w:w="43" w:type="dxa"/>
              <w:bottom w:w="43" w:type="dxa"/>
              <w:right w:w="43" w:type="dxa"/>
            </w:tcMar>
          </w:tcPr>
          <w:p w14:paraId="28B3C5F3"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13BDB413" w14:textId="77777777" w:rsidR="00575AC3" w:rsidRPr="006D40F0" w:rsidRDefault="00575AC3" w:rsidP="006D40F0">
            <w:r w:rsidRPr="006D40F0">
              <w:t>71</w:t>
            </w:r>
          </w:p>
        </w:tc>
        <w:tc>
          <w:tcPr>
            <w:tcW w:w="6060" w:type="dxa"/>
            <w:tcBorders>
              <w:top w:val="nil"/>
              <w:left w:val="nil"/>
              <w:bottom w:val="nil"/>
              <w:right w:val="nil"/>
            </w:tcBorders>
            <w:tcMar>
              <w:top w:w="128" w:type="dxa"/>
              <w:left w:w="43" w:type="dxa"/>
              <w:bottom w:w="43" w:type="dxa"/>
              <w:right w:w="43" w:type="dxa"/>
            </w:tcMar>
          </w:tcPr>
          <w:p w14:paraId="6FB20A9A" w14:textId="77777777" w:rsidR="00575AC3" w:rsidRPr="006D40F0" w:rsidRDefault="00575AC3" w:rsidP="006D40F0">
            <w:r w:rsidRPr="006D40F0">
              <w:t>Innovative næringsmiljøer</w:t>
            </w:r>
          </w:p>
        </w:tc>
        <w:tc>
          <w:tcPr>
            <w:tcW w:w="2260" w:type="dxa"/>
            <w:tcBorders>
              <w:top w:val="nil"/>
              <w:left w:val="nil"/>
              <w:bottom w:val="nil"/>
              <w:right w:val="nil"/>
            </w:tcBorders>
            <w:tcMar>
              <w:top w:w="128" w:type="dxa"/>
              <w:left w:w="43" w:type="dxa"/>
              <w:bottom w:w="43" w:type="dxa"/>
              <w:right w:w="43" w:type="dxa"/>
            </w:tcMar>
            <w:vAlign w:val="bottom"/>
          </w:tcPr>
          <w:p w14:paraId="1C4D9DA6" w14:textId="77777777" w:rsidR="00575AC3" w:rsidRPr="006D40F0" w:rsidRDefault="00575AC3" w:rsidP="006D40F0">
            <w:r w:rsidRPr="006D40F0">
              <w:t>120 mill. kroner</w:t>
            </w:r>
          </w:p>
        </w:tc>
      </w:tr>
      <w:tr w:rsidR="00DD49A7" w:rsidRPr="006D40F0" w14:paraId="45A53F86" w14:textId="77777777">
        <w:trPr>
          <w:trHeight w:val="380"/>
        </w:trPr>
        <w:tc>
          <w:tcPr>
            <w:tcW w:w="620" w:type="dxa"/>
            <w:tcBorders>
              <w:top w:val="nil"/>
              <w:left w:val="nil"/>
              <w:bottom w:val="nil"/>
              <w:right w:val="nil"/>
            </w:tcBorders>
            <w:tcMar>
              <w:top w:w="128" w:type="dxa"/>
              <w:left w:w="43" w:type="dxa"/>
              <w:bottom w:w="43" w:type="dxa"/>
              <w:right w:w="43" w:type="dxa"/>
            </w:tcMar>
          </w:tcPr>
          <w:p w14:paraId="36BB5C77"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4CD7080A" w14:textId="77777777" w:rsidR="00575AC3" w:rsidRPr="006D40F0" w:rsidRDefault="00575AC3" w:rsidP="006D40F0">
            <w:r w:rsidRPr="006D40F0">
              <w:t>75</w:t>
            </w:r>
          </w:p>
        </w:tc>
        <w:tc>
          <w:tcPr>
            <w:tcW w:w="6060" w:type="dxa"/>
            <w:tcBorders>
              <w:top w:val="nil"/>
              <w:left w:val="nil"/>
              <w:bottom w:val="nil"/>
              <w:right w:val="nil"/>
            </w:tcBorders>
            <w:tcMar>
              <w:top w:w="128" w:type="dxa"/>
              <w:left w:w="43" w:type="dxa"/>
              <w:bottom w:w="43" w:type="dxa"/>
              <w:right w:w="43" w:type="dxa"/>
            </w:tcMar>
          </w:tcPr>
          <w:p w14:paraId="705C340F" w14:textId="77777777" w:rsidR="00575AC3" w:rsidRPr="006D40F0" w:rsidRDefault="00575AC3" w:rsidP="006D40F0">
            <w:r w:rsidRPr="006D40F0">
              <w:t>Grønn plattform</w:t>
            </w:r>
          </w:p>
        </w:tc>
        <w:tc>
          <w:tcPr>
            <w:tcW w:w="2260" w:type="dxa"/>
            <w:tcBorders>
              <w:top w:val="nil"/>
              <w:left w:val="nil"/>
              <w:bottom w:val="nil"/>
              <w:right w:val="nil"/>
            </w:tcBorders>
            <w:tcMar>
              <w:top w:w="128" w:type="dxa"/>
              <w:left w:w="43" w:type="dxa"/>
              <w:bottom w:w="43" w:type="dxa"/>
              <w:right w:w="43" w:type="dxa"/>
            </w:tcMar>
            <w:vAlign w:val="bottom"/>
          </w:tcPr>
          <w:p w14:paraId="1C4607C8" w14:textId="77777777" w:rsidR="00575AC3" w:rsidRPr="006D40F0" w:rsidRDefault="00575AC3" w:rsidP="006D40F0">
            <w:r w:rsidRPr="006D40F0">
              <w:t>443,1 mill. kroner</w:t>
            </w:r>
          </w:p>
        </w:tc>
      </w:tr>
      <w:tr w:rsidR="00DD49A7" w:rsidRPr="006D40F0" w14:paraId="61ECA6E4" w14:textId="77777777">
        <w:trPr>
          <w:trHeight w:val="380"/>
        </w:trPr>
        <w:tc>
          <w:tcPr>
            <w:tcW w:w="620" w:type="dxa"/>
            <w:tcBorders>
              <w:top w:val="nil"/>
              <w:left w:val="nil"/>
              <w:bottom w:val="nil"/>
              <w:right w:val="nil"/>
            </w:tcBorders>
            <w:tcMar>
              <w:top w:w="128" w:type="dxa"/>
              <w:left w:w="43" w:type="dxa"/>
              <w:bottom w:w="43" w:type="dxa"/>
              <w:right w:w="43" w:type="dxa"/>
            </w:tcMar>
          </w:tcPr>
          <w:p w14:paraId="6F82D689" w14:textId="77777777" w:rsidR="00575AC3" w:rsidRPr="006D40F0" w:rsidRDefault="00575AC3" w:rsidP="006D40F0">
            <w:r w:rsidRPr="006D40F0">
              <w:t>954</w:t>
            </w:r>
          </w:p>
        </w:tc>
        <w:tc>
          <w:tcPr>
            <w:tcW w:w="620" w:type="dxa"/>
            <w:tcBorders>
              <w:top w:val="nil"/>
              <w:left w:val="nil"/>
              <w:bottom w:val="nil"/>
              <w:right w:val="nil"/>
            </w:tcBorders>
            <w:tcMar>
              <w:top w:w="128" w:type="dxa"/>
              <w:left w:w="43" w:type="dxa"/>
              <w:bottom w:w="43" w:type="dxa"/>
              <w:right w:w="43" w:type="dxa"/>
            </w:tcMar>
          </w:tcPr>
          <w:p w14:paraId="096D4454" w14:textId="77777777" w:rsidR="00575AC3" w:rsidRPr="006D40F0" w:rsidRDefault="00575AC3" w:rsidP="006D40F0"/>
        </w:tc>
        <w:tc>
          <w:tcPr>
            <w:tcW w:w="6060" w:type="dxa"/>
            <w:tcBorders>
              <w:top w:val="nil"/>
              <w:left w:val="nil"/>
              <w:bottom w:val="nil"/>
              <w:right w:val="nil"/>
            </w:tcBorders>
            <w:tcMar>
              <w:top w:w="128" w:type="dxa"/>
              <w:left w:w="43" w:type="dxa"/>
              <w:bottom w:w="43" w:type="dxa"/>
              <w:right w:w="43" w:type="dxa"/>
            </w:tcMar>
          </w:tcPr>
          <w:p w14:paraId="3FE2F60D" w14:textId="77777777" w:rsidR="00575AC3" w:rsidRPr="006D40F0" w:rsidRDefault="00575AC3" w:rsidP="006D40F0">
            <w:proofErr w:type="spellStart"/>
            <w:r w:rsidRPr="006D40F0">
              <w:t>Petoro</w:t>
            </w:r>
            <w:proofErr w:type="spellEnd"/>
            <w:r w:rsidRPr="006D40F0">
              <w:t xml:space="preserve"> AS</w:t>
            </w:r>
          </w:p>
        </w:tc>
        <w:tc>
          <w:tcPr>
            <w:tcW w:w="2260" w:type="dxa"/>
            <w:tcBorders>
              <w:top w:val="nil"/>
              <w:left w:val="nil"/>
              <w:bottom w:val="nil"/>
              <w:right w:val="nil"/>
            </w:tcBorders>
            <w:tcMar>
              <w:top w:w="128" w:type="dxa"/>
              <w:left w:w="43" w:type="dxa"/>
              <w:bottom w:w="43" w:type="dxa"/>
              <w:right w:w="43" w:type="dxa"/>
            </w:tcMar>
            <w:vAlign w:val="bottom"/>
          </w:tcPr>
          <w:p w14:paraId="010618A8" w14:textId="77777777" w:rsidR="00575AC3" w:rsidRPr="006D40F0" w:rsidRDefault="00575AC3" w:rsidP="006D40F0"/>
        </w:tc>
      </w:tr>
      <w:tr w:rsidR="00DD49A7" w:rsidRPr="006D40F0" w14:paraId="35119A4A"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4ECB6C12"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6CFDBB6A" w14:textId="77777777" w:rsidR="00575AC3" w:rsidRPr="006D40F0" w:rsidRDefault="00575AC3" w:rsidP="006D40F0">
            <w:r w:rsidRPr="006D40F0">
              <w:t>70</w:t>
            </w:r>
          </w:p>
        </w:tc>
        <w:tc>
          <w:tcPr>
            <w:tcW w:w="6060" w:type="dxa"/>
            <w:tcBorders>
              <w:top w:val="nil"/>
              <w:left w:val="nil"/>
              <w:bottom w:val="single" w:sz="4" w:space="0" w:color="000000"/>
              <w:right w:val="nil"/>
            </w:tcBorders>
            <w:tcMar>
              <w:top w:w="128" w:type="dxa"/>
              <w:left w:w="43" w:type="dxa"/>
              <w:bottom w:w="43" w:type="dxa"/>
              <w:right w:w="43" w:type="dxa"/>
            </w:tcMar>
          </w:tcPr>
          <w:p w14:paraId="5D0BB948" w14:textId="77777777" w:rsidR="00575AC3" w:rsidRPr="006D40F0" w:rsidRDefault="00575AC3" w:rsidP="006D40F0">
            <w:r w:rsidRPr="006D40F0">
              <w:t>Tilskudd til administrasjon</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25CFEF07" w14:textId="77777777" w:rsidR="00575AC3" w:rsidRPr="006D40F0" w:rsidRDefault="00575AC3" w:rsidP="006D40F0">
            <w:r w:rsidRPr="006D40F0">
              <w:t>35 mill. kroner</w:t>
            </w:r>
          </w:p>
        </w:tc>
      </w:tr>
    </w:tbl>
    <w:p w14:paraId="0C94CC33" w14:textId="77777777" w:rsidR="00575AC3" w:rsidRPr="006D40F0" w:rsidRDefault="00575AC3" w:rsidP="006D40F0">
      <w:pPr>
        <w:pStyle w:val="a-vedtak-del"/>
      </w:pPr>
      <w:r w:rsidRPr="006D40F0">
        <w:t>XIII</w:t>
      </w:r>
    </w:p>
    <w:p w14:paraId="436A6684" w14:textId="77777777" w:rsidR="00575AC3" w:rsidRPr="006D40F0" w:rsidRDefault="00575AC3" w:rsidP="006D40F0">
      <w:pPr>
        <w:pStyle w:val="a-vedtak-tekst"/>
      </w:pPr>
      <w:r w:rsidRPr="006D40F0">
        <w:t>Bestillingsfullmakter</w:t>
      </w:r>
    </w:p>
    <w:p w14:paraId="63EBB350" w14:textId="77777777" w:rsidR="00575AC3" w:rsidRPr="006D40F0" w:rsidRDefault="00575AC3" w:rsidP="006D40F0">
      <w:r w:rsidRPr="006D40F0">
        <w:t>Stortinget samtykker i at Nærings- og fiskeridepartementet i 2024 kan gi:</w:t>
      </w:r>
    </w:p>
    <w:p w14:paraId="644AEA56" w14:textId="77777777" w:rsidR="00575AC3" w:rsidRPr="006D40F0" w:rsidRDefault="00575AC3" w:rsidP="006D40F0">
      <w:pPr>
        <w:pStyle w:val="friliste"/>
      </w:pPr>
      <w:r w:rsidRPr="006D40F0">
        <w:t>1.</w:t>
      </w:r>
      <w:r w:rsidRPr="006D40F0">
        <w:tab/>
        <w:t xml:space="preserve">Norsk nukleær dekommisjonering fullmakt til å inngå kontrakter for inntil 20 mill. kroner til opprydding ved </w:t>
      </w:r>
      <w:proofErr w:type="spellStart"/>
      <w:r w:rsidRPr="006D40F0">
        <w:t>Søve</w:t>
      </w:r>
      <w:proofErr w:type="spellEnd"/>
      <w:r w:rsidRPr="006D40F0">
        <w:t xml:space="preserve"> gruver under kap. 907 Norsk nukleær dekommisjonering, post 30 Opprydding </w:t>
      </w:r>
      <w:proofErr w:type="spellStart"/>
      <w:r w:rsidRPr="006D40F0">
        <w:t>Søve</w:t>
      </w:r>
      <w:proofErr w:type="spellEnd"/>
      <w:r w:rsidRPr="006D40F0">
        <w:t>.</w:t>
      </w:r>
    </w:p>
    <w:p w14:paraId="290CE320" w14:textId="77777777" w:rsidR="00575AC3" w:rsidRPr="006D40F0" w:rsidRDefault="00575AC3" w:rsidP="006D40F0">
      <w:pPr>
        <w:pStyle w:val="friliste"/>
      </w:pPr>
      <w:r w:rsidRPr="006D40F0">
        <w:t>2.</w:t>
      </w:r>
      <w:r w:rsidRPr="006D40F0">
        <w:tab/>
        <w:t xml:space="preserve">Kystverket fullmakt til å inngå forpliktelser for inntil 50 mill. kroner til nødvendig fornying av batteripakken på fartøyet OV </w:t>
      </w:r>
      <w:proofErr w:type="spellStart"/>
      <w:r w:rsidRPr="006D40F0">
        <w:t>Bøkfjord</w:t>
      </w:r>
      <w:proofErr w:type="spellEnd"/>
      <w:r w:rsidRPr="006D40F0">
        <w:t xml:space="preserve"> under kap. 916 Kystverket, post 45 Større utstyrsanskaffelser og vedlikehold.</w:t>
      </w:r>
    </w:p>
    <w:p w14:paraId="6E71FC18" w14:textId="77777777" w:rsidR="00575AC3" w:rsidRPr="006D40F0" w:rsidRDefault="00575AC3" w:rsidP="006D40F0">
      <w:pPr>
        <w:pStyle w:val="a-vedtak-del"/>
      </w:pPr>
      <w:r w:rsidRPr="006D40F0">
        <w:t>XIV</w:t>
      </w:r>
    </w:p>
    <w:p w14:paraId="25E10AC6" w14:textId="77777777" w:rsidR="00575AC3" w:rsidRPr="006D40F0" w:rsidRDefault="00575AC3" w:rsidP="006D40F0">
      <w:pPr>
        <w:pStyle w:val="a-vedtak-tekst"/>
      </w:pPr>
      <w:r w:rsidRPr="006D40F0">
        <w:t>Bestillingsfullmakt</w:t>
      </w:r>
    </w:p>
    <w:p w14:paraId="456710B1" w14:textId="77777777" w:rsidR="00575AC3" w:rsidRPr="006D40F0" w:rsidRDefault="00575AC3" w:rsidP="006D40F0">
      <w:r w:rsidRPr="006D40F0">
        <w:t>Stortinget samtykker i at Landbruks- og matdepartementet i 2024 kan gi Landbruksdirektoratet fullmakt til å forplikte staten for fremtidige budsjettår utover gitt bevilgning under kap. 1142 Landbruksdirektoratet, post 21 Spesielle driftsutgifter – Beredskapslagring av korn, med samlet ramme for nye forpliktelser og gammelt ansvar på inntil 1 mrd. kroner.</w:t>
      </w:r>
    </w:p>
    <w:p w14:paraId="1DF82A13" w14:textId="77777777" w:rsidR="00575AC3" w:rsidRPr="006D40F0" w:rsidRDefault="00575AC3" w:rsidP="006D40F0">
      <w:pPr>
        <w:pStyle w:val="a-vedtak-del"/>
      </w:pPr>
      <w:r w:rsidRPr="006D40F0">
        <w:lastRenderedPageBreak/>
        <w:t>XV</w:t>
      </w:r>
    </w:p>
    <w:p w14:paraId="5472D139" w14:textId="77777777" w:rsidR="00575AC3" w:rsidRPr="006D40F0" w:rsidRDefault="00575AC3" w:rsidP="006D40F0">
      <w:pPr>
        <w:pStyle w:val="a-vedtak-tekst"/>
      </w:pPr>
      <w:r w:rsidRPr="006D40F0">
        <w:t>Tilsagnsfullmakt</w:t>
      </w:r>
    </w:p>
    <w:p w14:paraId="53D16BFF" w14:textId="77777777" w:rsidR="00575AC3" w:rsidRPr="006D40F0" w:rsidRDefault="00575AC3" w:rsidP="006D40F0">
      <w:r w:rsidRPr="006D40F0">
        <w:t>Stortinget samtykker i at Landbruks- og matdepartementet i 2024 kan gi tilsagn om tilskudd utover gitte bevilgninger, men slik at samlet ramme for nye tilsagn og gammelt ansvar ikke overstiger følgende beløp:</w:t>
      </w:r>
    </w:p>
    <w:p w14:paraId="2428EBE2"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12DEB572"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DF333"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7CAE9"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502F41"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18596" w14:textId="77777777" w:rsidR="00575AC3" w:rsidRPr="006D40F0" w:rsidRDefault="00575AC3" w:rsidP="006D40F0">
            <w:r w:rsidRPr="006D40F0">
              <w:t>Samlet ramme</w:t>
            </w:r>
          </w:p>
        </w:tc>
      </w:tr>
      <w:tr w:rsidR="00DD49A7" w:rsidRPr="006D40F0" w14:paraId="164F3069"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4E38F4A" w14:textId="77777777" w:rsidR="00575AC3" w:rsidRPr="006D40F0" w:rsidRDefault="00575AC3" w:rsidP="006D40F0">
            <w:r w:rsidRPr="006D40F0">
              <w:t>1142</w:t>
            </w:r>
          </w:p>
        </w:tc>
        <w:tc>
          <w:tcPr>
            <w:tcW w:w="620" w:type="dxa"/>
            <w:tcBorders>
              <w:top w:val="single" w:sz="4" w:space="0" w:color="000000"/>
              <w:left w:val="nil"/>
              <w:bottom w:val="nil"/>
              <w:right w:val="nil"/>
            </w:tcBorders>
            <w:tcMar>
              <w:top w:w="128" w:type="dxa"/>
              <w:left w:w="43" w:type="dxa"/>
              <w:bottom w:w="43" w:type="dxa"/>
              <w:right w:w="43" w:type="dxa"/>
            </w:tcMar>
          </w:tcPr>
          <w:p w14:paraId="28FCB831"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0232ED05" w14:textId="77777777" w:rsidR="00575AC3" w:rsidRPr="006D40F0" w:rsidRDefault="00575AC3" w:rsidP="006D40F0">
            <w:r w:rsidRPr="006D40F0">
              <w:t>Landbruksdirektoratet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6BB9BA6" w14:textId="77777777" w:rsidR="00575AC3" w:rsidRPr="006D40F0" w:rsidRDefault="00575AC3" w:rsidP="006D40F0"/>
        </w:tc>
      </w:tr>
      <w:tr w:rsidR="00DD49A7" w:rsidRPr="006D40F0" w14:paraId="4F9AB163"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7700F559"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7AD142ED" w14:textId="77777777" w:rsidR="00575AC3" w:rsidRPr="006D40F0" w:rsidRDefault="00575AC3" w:rsidP="006D40F0">
            <w:r w:rsidRPr="006D40F0">
              <w:t>77</w:t>
            </w:r>
          </w:p>
        </w:tc>
        <w:tc>
          <w:tcPr>
            <w:tcW w:w="6060" w:type="dxa"/>
            <w:tcBorders>
              <w:top w:val="nil"/>
              <w:left w:val="nil"/>
              <w:bottom w:val="single" w:sz="4" w:space="0" w:color="000000"/>
              <w:right w:val="nil"/>
            </w:tcBorders>
            <w:tcMar>
              <w:top w:w="128" w:type="dxa"/>
              <w:left w:w="43" w:type="dxa"/>
              <w:bottom w:w="43" w:type="dxa"/>
              <w:right w:w="43" w:type="dxa"/>
            </w:tcMar>
          </w:tcPr>
          <w:p w14:paraId="49017801" w14:textId="77777777" w:rsidR="00575AC3" w:rsidRPr="006D40F0" w:rsidRDefault="00575AC3" w:rsidP="006D40F0">
            <w:r w:rsidRPr="006D40F0">
              <w:t>Tilskudd til kompensasjon ved avvikling av pelsdyrhold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5865AC95" w14:textId="77777777" w:rsidR="00575AC3" w:rsidRPr="006D40F0" w:rsidRDefault="00575AC3" w:rsidP="006D40F0">
            <w:r w:rsidRPr="006D40F0">
              <w:t>305 mill. kroner</w:t>
            </w:r>
          </w:p>
        </w:tc>
      </w:tr>
    </w:tbl>
    <w:p w14:paraId="53030BC4" w14:textId="77777777" w:rsidR="00575AC3" w:rsidRPr="006D40F0" w:rsidRDefault="00575AC3" w:rsidP="006D40F0">
      <w:pPr>
        <w:pStyle w:val="a-vedtak-del"/>
      </w:pPr>
      <w:r w:rsidRPr="006D40F0">
        <w:t>XVI</w:t>
      </w:r>
    </w:p>
    <w:p w14:paraId="36E75185" w14:textId="77777777" w:rsidR="00575AC3" w:rsidRPr="006D40F0" w:rsidRDefault="00575AC3" w:rsidP="006D40F0">
      <w:pPr>
        <w:pStyle w:val="a-vedtak-tekst"/>
      </w:pPr>
      <w:r w:rsidRPr="006D40F0">
        <w:t>Fullmakter til å pådra staten forpliktelser for investeringsprosjekter</w:t>
      </w:r>
    </w:p>
    <w:p w14:paraId="632F23B2" w14:textId="77777777" w:rsidR="00575AC3" w:rsidRPr="006D40F0" w:rsidRDefault="00575AC3" w:rsidP="006D40F0">
      <w:r w:rsidRPr="006D40F0">
        <w:t>Stortinget samtykker i at Samferdselsdepartementet i 2024 under kap. 1352 Jernbanedirektoratet, post 73 Kjøp av infrastrukturtjenester – investeringer kan:</w:t>
      </w:r>
    </w:p>
    <w:p w14:paraId="22794F57" w14:textId="77777777" w:rsidR="00575AC3" w:rsidRPr="006D40F0" w:rsidRDefault="00575AC3" w:rsidP="006D40F0">
      <w:r w:rsidRPr="006D40F0">
        <w:t xml:space="preserve">1. </w:t>
      </w:r>
    </w:p>
    <w:p w14:paraId="22E570C2" w14:textId="77777777" w:rsidR="00575AC3" w:rsidRPr="006D40F0" w:rsidRDefault="00575AC3" w:rsidP="006D40F0">
      <w:pPr>
        <w:pStyle w:val="Tabellnavn"/>
      </w:pPr>
      <w:r w:rsidRPr="006D40F0">
        <w:t>02N1xt2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7260"/>
        <w:gridCol w:w="1980"/>
      </w:tblGrid>
      <w:tr w:rsidR="00DD49A7" w:rsidRPr="006D40F0" w14:paraId="3F36A5D6" w14:textId="77777777">
        <w:trPr>
          <w:trHeight w:val="600"/>
        </w:trPr>
        <w:tc>
          <w:tcPr>
            <w:tcW w:w="7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238623" w14:textId="77777777" w:rsidR="00575AC3" w:rsidRPr="006D40F0" w:rsidRDefault="00575AC3" w:rsidP="006D40F0">
            <w:r w:rsidRPr="006D40F0">
              <w:t xml:space="preserve">starte opp dette investeringsprosjektet, herunder foreta bestillinger og gi tilsagn </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DC762" w14:textId="77777777" w:rsidR="00575AC3" w:rsidRPr="006D40F0" w:rsidRDefault="00575AC3" w:rsidP="006D40F0">
            <w:r w:rsidRPr="006D40F0">
              <w:t>innenfor en kostnadsramme på:</w:t>
            </w:r>
          </w:p>
        </w:tc>
      </w:tr>
      <w:tr w:rsidR="00DD49A7" w:rsidRPr="006D40F0" w14:paraId="49EFCBB0" w14:textId="77777777">
        <w:trPr>
          <w:trHeight w:val="380"/>
        </w:trPr>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2E84D52A" w14:textId="77777777" w:rsidR="00575AC3" w:rsidRPr="006D40F0" w:rsidRDefault="00575AC3" w:rsidP="006D40F0">
            <w:r w:rsidRPr="006D40F0">
              <w:t xml:space="preserve">Kolbotn stasjon </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F27E9B" w14:textId="77777777" w:rsidR="00575AC3" w:rsidRPr="006D40F0" w:rsidRDefault="00575AC3" w:rsidP="006D40F0">
            <w:r w:rsidRPr="006D40F0">
              <w:t>1 310 mill. kroner</w:t>
            </w:r>
          </w:p>
        </w:tc>
      </w:tr>
    </w:tbl>
    <w:p w14:paraId="54790DD0" w14:textId="77777777" w:rsidR="00575AC3" w:rsidRPr="006D40F0" w:rsidRDefault="00575AC3" w:rsidP="006D40F0">
      <w:r w:rsidRPr="006D40F0">
        <w:t xml:space="preserve">2. </w:t>
      </w:r>
    </w:p>
    <w:p w14:paraId="4313B735" w14:textId="77777777" w:rsidR="00575AC3" w:rsidRPr="006D40F0" w:rsidRDefault="00575AC3" w:rsidP="006D40F0">
      <w:pPr>
        <w:pStyle w:val="Tabellnavn"/>
      </w:pPr>
      <w:r w:rsidRPr="006D40F0">
        <w:t>02N1xt2</w:t>
      </w:r>
    </w:p>
    <w:tbl>
      <w:tblPr>
        <w:tblW w:w="0" w:type="auto"/>
        <w:tblInd w:w="320" w:type="dxa"/>
        <w:tblLayout w:type="fixed"/>
        <w:tblCellMar>
          <w:top w:w="128" w:type="dxa"/>
          <w:left w:w="43" w:type="dxa"/>
          <w:bottom w:w="43" w:type="dxa"/>
          <w:right w:w="43" w:type="dxa"/>
        </w:tblCellMar>
        <w:tblLook w:val="0000" w:firstRow="0" w:lastRow="0" w:firstColumn="0" w:lastColumn="0" w:noHBand="0" w:noVBand="0"/>
      </w:tblPr>
      <w:tblGrid>
        <w:gridCol w:w="7260"/>
        <w:gridCol w:w="1980"/>
      </w:tblGrid>
      <w:tr w:rsidR="00DD49A7" w:rsidRPr="006D40F0" w14:paraId="18975826" w14:textId="77777777">
        <w:trPr>
          <w:trHeight w:val="600"/>
        </w:trPr>
        <w:tc>
          <w:tcPr>
            <w:tcW w:w="7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685381" w14:textId="77777777" w:rsidR="00575AC3" w:rsidRPr="006D40F0" w:rsidRDefault="00575AC3" w:rsidP="006D40F0">
            <w:r w:rsidRPr="006D40F0">
              <w:t xml:space="preserve">gjennomføre dette tidligere godkjente investeringsprosjektet, herunder foreta bestillinger og gi tilsagn </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8613E" w14:textId="77777777" w:rsidR="00575AC3" w:rsidRPr="006D40F0" w:rsidRDefault="00575AC3" w:rsidP="006D40F0">
            <w:r w:rsidRPr="006D40F0">
              <w:t>innenfor en endret kostnadsramme på:</w:t>
            </w:r>
          </w:p>
        </w:tc>
      </w:tr>
      <w:tr w:rsidR="00DD49A7" w:rsidRPr="006D40F0" w14:paraId="1B2F417B" w14:textId="77777777">
        <w:trPr>
          <w:trHeight w:val="380"/>
        </w:trPr>
        <w:tc>
          <w:tcPr>
            <w:tcW w:w="7260" w:type="dxa"/>
            <w:tcBorders>
              <w:top w:val="single" w:sz="4" w:space="0" w:color="000000"/>
              <w:left w:val="nil"/>
              <w:bottom w:val="single" w:sz="4" w:space="0" w:color="000000"/>
              <w:right w:val="nil"/>
            </w:tcBorders>
            <w:tcMar>
              <w:top w:w="128" w:type="dxa"/>
              <w:left w:w="43" w:type="dxa"/>
              <w:bottom w:w="43" w:type="dxa"/>
              <w:right w:w="43" w:type="dxa"/>
            </w:tcMar>
          </w:tcPr>
          <w:p w14:paraId="011D6E5E" w14:textId="77777777" w:rsidR="00575AC3" w:rsidRPr="006D40F0" w:rsidRDefault="00575AC3" w:rsidP="006D40F0">
            <w:r w:rsidRPr="006D40F0">
              <w:t>IC Østfoldbanen Sandbukta–Moss–</w:t>
            </w:r>
            <w:proofErr w:type="spellStart"/>
            <w:r w:rsidRPr="006D40F0">
              <w:t>Såstad</w:t>
            </w:r>
            <w:proofErr w:type="spellEnd"/>
            <w:r w:rsidRPr="006D40F0">
              <w:t xml:space="preserve"> </w:t>
            </w:r>
          </w:p>
        </w:tc>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1FC757" w14:textId="77777777" w:rsidR="00575AC3" w:rsidRPr="006D40F0" w:rsidRDefault="00575AC3" w:rsidP="006D40F0">
            <w:r w:rsidRPr="006D40F0">
              <w:t>27 646 mill. kroner</w:t>
            </w:r>
          </w:p>
        </w:tc>
      </w:tr>
    </w:tbl>
    <w:p w14:paraId="4FCD0AD3" w14:textId="77777777" w:rsidR="00575AC3" w:rsidRPr="006D40F0" w:rsidRDefault="00575AC3" w:rsidP="006D40F0">
      <w:r w:rsidRPr="006D40F0">
        <w:t xml:space="preserve">Fullmaktene gjelder også forpliktelser som inngås i senere budsjettår, innenfor kostnadsrammen for prosjektet. Kostnadsrammene er oppgitt i 2024-kroner. Samferdselsdepartementet gis fullmakt til å pris- og </w:t>
      </w:r>
      <w:proofErr w:type="spellStart"/>
      <w:r w:rsidRPr="006D40F0">
        <w:t>valutakursjustere</w:t>
      </w:r>
      <w:proofErr w:type="spellEnd"/>
      <w:r w:rsidRPr="006D40F0">
        <w:t xml:space="preserve"> kostnadsrammene i senere år.</w:t>
      </w:r>
    </w:p>
    <w:p w14:paraId="0825109B" w14:textId="77777777" w:rsidR="00575AC3" w:rsidRPr="006D40F0" w:rsidRDefault="00575AC3" w:rsidP="006D40F0">
      <w:pPr>
        <w:pStyle w:val="a-vedtak-del"/>
      </w:pPr>
      <w:r w:rsidRPr="006D40F0">
        <w:t>XVII</w:t>
      </w:r>
    </w:p>
    <w:p w14:paraId="10FAB685" w14:textId="77777777" w:rsidR="00575AC3" w:rsidRPr="006D40F0" w:rsidRDefault="00575AC3" w:rsidP="006D40F0">
      <w:pPr>
        <w:pStyle w:val="a-vedtak-tekst"/>
      </w:pPr>
      <w:r w:rsidRPr="006D40F0">
        <w:lastRenderedPageBreak/>
        <w:t>Fullmakt til å pådra staten forpliktelser utover budsjettåret for kjøp av transporttjenester</w:t>
      </w:r>
    </w:p>
    <w:p w14:paraId="7D38C63C" w14:textId="77777777" w:rsidR="00575AC3" w:rsidRPr="006D40F0" w:rsidRDefault="00575AC3" w:rsidP="006D40F0">
      <w:r w:rsidRPr="006D40F0">
        <w:t>Stortinget samtykker i at Samferdselsdepartementet i 2024 kan forplikte staten for fremtidige budsjettår utover gitt bevilgning og gi tilsagn om tilskudd inntil følgende beløp:</w:t>
      </w:r>
    </w:p>
    <w:p w14:paraId="0619D54D" w14:textId="77777777" w:rsidR="00575AC3" w:rsidRPr="006D40F0" w:rsidRDefault="00575AC3" w:rsidP="006D40F0">
      <w:pPr>
        <w:pStyle w:val="Tabellnavn"/>
      </w:pPr>
      <w:r w:rsidRPr="006D40F0">
        <w:t>05N1xt2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3780"/>
        <w:gridCol w:w="2260"/>
        <w:gridCol w:w="2260"/>
      </w:tblGrid>
      <w:tr w:rsidR="00DD49A7" w:rsidRPr="006D40F0" w14:paraId="428BA572" w14:textId="77777777">
        <w:trPr>
          <w:trHeight w:val="60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894DC"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138401" w14:textId="77777777" w:rsidR="00575AC3" w:rsidRPr="006D40F0" w:rsidRDefault="00575AC3" w:rsidP="006D40F0">
            <w:r w:rsidRPr="006D40F0">
              <w:t xml:space="preserve">Post </w:t>
            </w:r>
          </w:p>
        </w:tc>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BBEA29"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311E5" w14:textId="77777777" w:rsidR="00575AC3" w:rsidRPr="006D40F0" w:rsidRDefault="00575AC3" w:rsidP="006D40F0">
            <w:r w:rsidRPr="006D40F0">
              <w:t>Samlet ramme for gamle og nye forpliktelser</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A2405A" w14:textId="77777777" w:rsidR="00575AC3" w:rsidRPr="006D40F0" w:rsidRDefault="00575AC3" w:rsidP="006D40F0">
            <w:r w:rsidRPr="006D40F0">
              <w:t>Ramme for forpliktelser som forfaller hvert år</w:t>
            </w:r>
          </w:p>
        </w:tc>
      </w:tr>
      <w:tr w:rsidR="00DD49A7" w:rsidRPr="006D40F0" w14:paraId="628366CB"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0256DDB6" w14:textId="77777777" w:rsidR="00575AC3" w:rsidRPr="006D40F0" w:rsidRDefault="00575AC3" w:rsidP="006D40F0">
            <w:r w:rsidRPr="006D40F0">
              <w:t>1320</w:t>
            </w:r>
          </w:p>
        </w:tc>
        <w:tc>
          <w:tcPr>
            <w:tcW w:w="620" w:type="dxa"/>
            <w:tcBorders>
              <w:top w:val="single" w:sz="4" w:space="0" w:color="000000"/>
              <w:left w:val="nil"/>
              <w:bottom w:val="nil"/>
              <w:right w:val="nil"/>
            </w:tcBorders>
            <w:tcMar>
              <w:top w:w="128" w:type="dxa"/>
              <w:left w:w="43" w:type="dxa"/>
              <w:bottom w:w="43" w:type="dxa"/>
              <w:right w:w="43" w:type="dxa"/>
            </w:tcMar>
          </w:tcPr>
          <w:p w14:paraId="598433AE" w14:textId="77777777" w:rsidR="00575AC3" w:rsidRPr="006D40F0" w:rsidRDefault="00575AC3" w:rsidP="006D40F0"/>
        </w:tc>
        <w:tc>
          <w:tcPr>
            <w:tcW w:w="3780" w:type="dxa"/>
            <w:tcBorders>
              <w:top w:val="single" w:sz="4" w:space="0" w:color="000000"/>
              <w:left w:val="nil"/>
              <w:bottom w:val="nil"/>
              <w:right w:val="nil"/>
            </w:tcBorders>
            <w:tcMar>
              <w:top w:w="128" w:type="dxa"/>
              <w:left w:w="43" w:type="dxa"/>
              <w:bottom w:w="43" w:type="dxa"/>
              <w:right w:w="43" w:type="dxa"/>
            </w:tcMar>
          </w:tcPr>
          <w:p w14:paraId="3FBF8CA1" w14:textId="77777777" w:rsidR="00575AC3" w:rsidRPr="006D40F0" w:rsidRDefault="00575AC3" w:rsidP="006D40F0">
            <w:r w:rsidRPr="006D40F0">
              <w:t>Statens vegvesen</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3282D4FB" w14:textId="77777777" w:rsidR="00575AC3" w:rsidRPr="006D40F0" w:rsidRDefault="00575AC3" w:rsidP="006D40F0"/>
        </w:tc>
        <w:tc>
          <w:tcPr>
            <w:tcW w:w="2260" w:type="dxa"/>
            <w:tcBorders>
              <w:top w:val="single" w:sz="4" w:space="0" w:color="000000"/>
              <w:left w:val="nil"/>
              <w:bottom w:val="nil"/>
              <w:right w:val="nil"/>
            </w:tcBorders>
            <w:tcMar>
              <w:top w:w="128" w:type="dxa"/>
              <w:left w:w="43" w:type="dxa"/>
              <w:bottom w:w="43" w:type="dxa"/>
              <w:right w:w="43" w:type="dxa"/>
            </w:tcMar>
            <w:vAlign w:val="bottom"/>
          </w:tcPr>
          <w:p w14:paraId="60316884" w14:textId="77777777" w:rsidR="00575AC3" w:rsidRPr="006D40F0" w:rsidRDefault="00575AC3" w:rsidP="006D40F0"/>
        </w:tc>
      </w:tr>
      <w:tr w:rsidR="00DD49A7" w:rsidRPr="006D40F0" w14:paraId="0FD646E5"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660B6797"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5E91F0A2" w14:textId="77777777" w:rsidR="00575AC3" w:rsidRPr="006D40F0" w:rsidRDefault="00575AC3" w:rsidP="006D40F0">
            <w:r w:rsidRPr="006D40F0">
              <w:t>72</w:t>
            </w:r>
          </w:p>
        </w:tc>
        <w:tc>
          <w:tcPr>
            <w:tcW w:w="3780" w:type="dxa"/>
            <w:tcBorders>
              <w:top w:val="nil"/>
              <w:left w:val="nil"/>
              <w:bottom w:val="single" w:sz="4" w:space="0" w:color="000000"/>
              <w:right w:val="nil"/>
            </w:tcBorders>
            <w:tcMar>
              <w:top w:w="128" w:type="dxa"/>
              <w:left w:w="43" w:type="dxa"/>
              <w:bottom w:w="43" w:type="dxa"/>
              <w:right w:w="43" w:type="dxa"/>
            </w:tcMar>
          </w:tcPr>
          <w:p w14:paraId="1FC95C75" w14:textId="77777777" w:rsidR="00575AC3" w:rsidRPr="006D40F0" w:rsidRDefault="00575AC3" w:rsidP="006D40F0">
            <w:r w:rsidRPr="006D40F0">
              <w:t>Tilskudd til riksveiferjedriften</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0AECB3AC" w14:textId="77777777" w:rsidR="00575AC3" w:rsidRPr="006D40F0" w:rsidRDefault="00575AC3" w:rsidP="006D40F0">
            <w:r w:rsidRPr="006D40F0">
              <w:t>22 700 mill. kroner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35B585AE" w14:textId="77777777" w:rsidR="00575AC3" w:rsidRPr="006D40F0" w:rsidRDefault="00575AC3" w:rsidP="006D40F0">
            <w:r w:rsidRPr="006D40F0">
              <w:t xml:space="preserve">3 400 mill. kroner </w:t>
            </w:r>
          </w:p>
        </w:tc>
      </w:tr>
    </w:tbl>
    <w:p w14:paraId="5202AD2E" w14:textId="77777777" w:rsidR="00575AC3" w:rsidRPr="006D40F0" w:rsidRDefault="00575AC3" w:rsidP="006D40F0">
      <w:pPr>
        <w:pStyle w:val="a-vedtak-del"/>
      </w:pPr>
      <w:r w:rsidRPr="006D40F0">
        <w:t>XVIII</w:t>
      </w:r>
    </w:p>
    <w:p w14:paraId="4BBA91C8" w14:textId="77777777" w:rsidR="00575AC3" w:rsidRPr="006D40F0" w:rsidRDefault="00575AC3" w:rsidP="006D40F0">
      <w:pPr>
        <w:pStyle w:val="a-vedtak-tekst"/>
      </w:pPr>
      <w:r w:rsidRPr="006D40F0">
        <w:t>Bestillingsfullmakter</w:t>
      </w:r>
    </w:p>
    <w:p w14:paraId="4F7777DA" w14:textId="77777777" w:rsidR="00575AC3" w:rsidRPr="006D40F0" w:rsidRDefault="00575AC3" w:rsidP="006D40F0">
      <w:r w:rsidRPr="006D40F0">
        <w:t xml:space="preserve">Stortinget samtykker i at Klima- og miljødepartementet i 2024 kan gjøre bestillinger av materiell </w:t>
      </w:r>
      <w:proofErr w:type="spellStart"/>
      <w:r w:rsidRPr="006D40F0">
        <w:t>o.l</w:t>
      </w:r>
      <w:proofErr w:type="spellEnd"/>
      <w:r w:rsidRPr="006D40F0">
        <w:t xml:space="preserve"> utover gitte bevilgninger, men slik at samlet ramme for nye forpliktelser og gammelt ansvar ikke overstiger følgende beløp:</w:t>
      </w:r>
    </w:p>
    <w:p w14:paraId="353DCA00"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6CCEFBC3"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7B39BE"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62FC65"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9AEBF"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319932" w14:textId="77777777" w:rsidR="00575AC3" w:rsidRPr="006D40F0" w:rsidRDefault="00575AC3" w:rsidP="006D40F0">
            <w:r w:rsidRPr="006D40F0">
              <w:t>Samlet ramme</w:t>
            </w:r>
          </w:p>
        </w:tc>
      </w:tr>
      <w:tr w:rsidR="00DD49A7" w:rsidRPr="006D40F0" w14:paraId="20A5E7B4"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B9D578E" w14:textId="77777777" w:rsidR="00575AC3" w:rsidRPr="006D40F0" w:rsidRDefault="00575AC3" w:rsidP="006D40F0">
            <w:r w:rsidRPr="006D40F0">
              <w:t>1411</w:t>
            </w:r>
          </w:p>
        </w:tc>
        <w:tc>
          <w:tcPr>
            <w:tcW w:w="620" w:type="dxa"/>
            <w:tcBorders>
              <w:top w:val="single" w:sz="4" w:space="0" w:color="000000"/>
              <w:left w:val="nil"/>
              <w:bottom w:val="nil"/>
              <w:right w:val="nil"/>
            </w:tcBorders>
            <w:tcMar>
              <w:top w:w="128" w:type="dxa"/>
              <w:left w:w="43" w:type="dxa"/>
              <w:bottom w:w="43" w:type="dxa"/>
              <w:right w:w="43" w:type="dxa"/>
            </w:tcMar>
          </w:tcPr>
          <w:p w14:paraId="3E34DC32"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0CF03C70" w14:textId="77777777" w:rsidR="00575AC3" w:rsidRPr="006D40F0" w:rsidRDefault="00575AC3" w:rsidP="006D40F0">
            <w:r w:rsidRPr="006D40F0">
              <w:t>Artsdatabanken</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774B5918" w14:textId="77777777" w:rsidR="00575AC3" w:rsidRPr="006D40F0" w:rsidRDefault="00575AC3" w:rsidP="006D40F0"/>
        </w:tc>
      </w:tr>
      <w:tr w:rsidR="00DD49A7" w:rsidRPr="006D40F0" w14:paraId="1AF2D742" w14:textId="77777777">
        <w:trPr>
          <w:trHeight w:val="380"/>
        </w:trPr>
        <w:tc>
          <w:tcPr>
            <w:tcW w:w="620" w:type="dxa"/>
            <w:tcBorders>
              <w:top w:val="nil"/>
              <w:left w:val="nil"/>
              <w:bottom w:val="nil"/>
              <w:right w:val="nil"/>
            </w:tcBorders>
            <w:tcMar>
              <w:top w:w="128" w:type="dxa"/>
              <w:left w:w="43" w:type="dxa"/>
              <w:bottom w:w="43" w:type="dxa"/>
              <w:right w:w="43" w:type="dxa"/>
            </w:tcMar>
          </w:tcPr>
          <w:p w14:paraId="17B6B325"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5703423F" w14:textId="77777777" w:rsidR="00575AC3" w:rsidRPr="006D40F0" w:rsidRDefault="00575AC3" w:rsidP="006D40F0">
            <w:r w:rsidRPr="006D40F0">
              <w:t>21</w:t>
            </w:r>
          </w:p>
        </w:tc>
        <w:tc>
          <w:tcPr>
            <w:tcW w:w="6060" w:type="dxa"/>
            <w:tcBorders>
              <w:top w:val="nil"/>
              <w:left w:val="nil"/>
              <w:bottom w:val="nil"/>
              <w:right w:val="nil"/>
            </w:tcBorders>
            <w:tcMar>
              <w:top w:w="128" w:type="dxa"/>
              <w:left w:w="43" w:type="dxa"/>
              <w:bottom w:w="43" w:type="dxa"/>
              <w:right w:w="43" w:type="dxa"/>
            </w:tcMar>
          </w:tcPr>
          <w:p w14:paraId="33114062" w14:textId="77777777" w:rsidR="00575AC3" w:rsidRPr="006D40F0" w:rsidRDefault="00575AC3" w:rsidP="006D40F0">
            <w:r w:rsidRPr="006D40F0">
              <w:t>Spesielle driftsutgifter</w:t>
            </w:r>
          </w:p>
        </w:tc>
        <w:tc>
          <w:tcPr>
            <w:tcW w:w="2260" w:type="dxa"/>
            <w:tcBorders>
              <w:top w:val="nil"/>
              <w:left w:val="nil"/>
              <w:bottom w:val="nil"/>
              <w:right w:val="nil"/>
            </w:tcBorders>
            <w:tcMar>
              <w:top w:w="128" w:type="dxa"/>
              <w:left w:w="43" w:type="dxa"/>
              <w:bottom w:w="43" w:type="dxa"/>
              <w:right w:w="43" w:type="dxa"/>
            </w:tcMar>
            <w:vAlign w:val="bottom"/>
          </w:tcPr>
          <w:p w14:paraId="37DFACBE" w14:textId="77777777" w:rsidR="00575AC3" w:rsidRPr="006D40F0" w:rsidRDefault="00575AC3" w:rsidP="006D40F0">
            <w:r w:rsidRPr="006D40F0">
              <w:t>17,5 mill. kroner</w:t>
            </w:r>
          </w:p>
        </w:tc>
      </w:tr>
      <w:tr w:rsidR="00DD49A7" w:rsidRPr="006D40F0" w14:paraId="72497303" w14:textId="77777777">
        <w:trPr>
          <w:trHeight w:val="380"/>
        </w:trPr>
        <w:tc>
          <w:tcPr>
            <w:tcW w:w="620" w:type="dxa"/>
            <w:tcBorders>
              <w:top w:val="nil"/>
              <w:left w:val="nil"/>
              <w:bottom w:val="nil"/>
              <w:right w:val="nil"/>
            </w:tcBorders>
            <w:tcMar>
              <w:top w:w="128" w:type="dxa"/>
              <w:left w:w="43" w:type="dxa"/>
              <w:bottom w:w="43" w:type="dxa"/>
              <w:right w:w="43" w:type="dxa"/>
            </w:tcMar>
          </w:tcPr>
          <w:p w14:paraId="7138B778" w14:textId="77777777" w:rsidR="00575AC3" w:rsidRPr="006D40F0" w:rsidRDefault="00575AC3" w:rsidP="006D40F0">
            <w:r w:rsidRPr="006D40F0">
              <w:t>1420</w:t>
            </w:r>
          </w:p>
        </w:tc>
        <w:tc>
          <w:tcPr>
            <w:tcW w:w="620" w:type="dxa"/>
            <w:tcBorders>
              <w:top w:val="nil"/>
              <w:left w:val="nil"/>
              <w:bottom w:val="nil"/>
              <w:right w:val="nil"/>
            </w:tcBorders>
            <w:tcMar>
              <w:top w:w="128" w:type="dxa"/>
              <w:left w:w="43" w:type="dxa"/>
              <w:bottom w:w="43" w:type="dxa"/>
              <w:right w:w="43" w:type="dxa"/>
            </w:tcMar>
          </w:tcPr>
          <w:p w14:paraId="27E37526" w14:textId="77777777" w:rsidR="00575AC3" w:rsidRPr="006D40F0" w:rsidRDefault="00575AC3" w:rsidP="006D40F0"/>
        </w:tc>
        <w:tc>
          <w:tcPr>
            <w:tcW w:w="6060" w:type="dxa"/>
            <w:tcBorders>
              <w:top w:val="nil"/>
              <w:left w:val="nil"/>
              <w:bottom w:val="nil"/>
              <w:right w:val="nil"/>
            </w:tcBorders>
            <w:tcMar>
              <w:top w:w="128" w:type="dxa"/>
              <w:left w:w="43" w:type="dxa"/>
              <w:bottom w:w="43" w:type="dxa"/>
              <w:right w:w="43" w:type="dxa"/>
            </w:tcMar>
          </w:tcPr>
          <w:p w14:paraId="5C1204B3" w14:textId="77777777" w:rsidR="00575AC3" w:rsidRPr="006D40F0" w:rsidRDefault="00575AC3" w:rsidP="006D40F0">
            <w:r w:rsidRPr="006D40F0">
              <w:t>Miljødirektoratet</w:t>
            </w:r>
          </w:p>
        </w:tc>
        <w:tc>
          <w:tcPr>
            <w:tcW w:w="2260" w:type="dxa"/>
            <w:tcBorders>
              <w:top w:val="nil"/>
              <w:left w:val="nil"/>
              <w:bottom w:val="nil"/>
              <w:right w:val="nil"/>
            </w:tcBorders>
            <w:tcMar>
              <w:top w:w="128" w:type="dxa"/>
              <w:left w:w="43" w:type="dxa"/>
              <w:bottom w:w="43" w:type="dxa"/>
              <w:right w:w="43" w:type="dxa"/>
            </w:tcMar>
            <w:vAlign w:val="bottom"/>
          </w:tcPr>
          <w:p w14:paraId="3A4B3553" w14:textId="77777777" w:rsidR="00575AC3" w:rsidRPr="006D40F0" w:rsidRDefault="00575AC3" w:rsidP="006D40F0"/>
        </w:tc>
      </w:tr>
      <w:tr w:rsidR="00DD49A7" w:rsidRPr="006D40F0" w14:paraId="2AED2880"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6CE2D55"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2EADD771" w14:textId="77777777" w:rsidR="00575AC3" w:rsidRPr="006D40F0" w:rsidRDefault="00575AC3" w:rsidP="006D40F0">
            <w:r w:rsidRPr="006D40F0">
              <w:t>32</w:t>
            </w:r>
          </w:p>
        </w:tc>
        <w:tc>
          <w:tcPr>
            <w:tcW w:w="6060" w:type="dxa"/>
            <w:tcBorders>
              <w:top w:val="nil"/>
              <w:left w:val="nil"/>
              <w:bottom w:val="single" w:sz="4" w:space="0" w:color="000000"/>
              <w:right w:val="nil"/>
            </w:tcBorders>
            <w:tcMar>
              <w:top w:w="128" w:type="dxa"/>
              <w:left w:w="43" w:type="dxa"/>
              <w:bottom w:w="43" w:type="dxa"/>
              <w:right w:w="43" w:type="dxa"/>
            </w:tcMar>
          </w:tcPr>
          <w:p w14:paraId="5E2EE16A" w14:textId="77777777" w:rsidR="00575AC3" w:rsidRPr="006D40F0" w:rsidRDefault="00575AC3" w:rsidP="006D40F0">
            <w:r w:rsidRPr="006D40F0">
              <w:t>Statlige erverv, vern av naturområder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78A97C5" w14:textId="77777777" w:rsidR="00575AC3" w:rsidRPr="006D40F0" w:rsidRDefault="00575AC3" w:rsidP="006D40F0">
            <w:r w:rsidRPr="006D40F0">
              <w:t>390,8 mill. kroner</w:t>
            </w:r>
          </w:p>
        </w:tc>
      </w:tr>
    </w:tbl>
    <w:p w14:paraId="561154A9" w14:textId="77777777" w:rsidR="00575AC3" w:rsidRPr="006D40F0" w:rsidRDefault="00575AC3" w:rsidP="006D40F0">
      <w:pPr>
        <w:pStyle w:val="a-vedtak-del"/>
      </w:pPr>
      <w:r w:rsidRPr="006D40F0">
        <w:t>XIX</w:t>
      </w:r>
    </w:p>
    <w:p w14:paraId="71E9BF2B" w14:textId="77777777" w:rsidR="00575AC3" w:rsidRPr="006D40F0" w:rsidRDefault="00575AC3" w:rsidP="006D40F0">
      <w:pPr>
        <w:pStyle w:val="a-vedtak-tekst"/>
      </w:pPr>
      <w:r w:rsidRPr="006D40F0">
        <w:t>Tilsagnsfullmakter</w:t>
      </w:r>
    </w:p>
    <w:p w14:paraId="2F57C46A" w14:textId="77777777" w:rsidR="00575AC3" w:rsidRPr="006D40F0" w:rsidRDefault="00575AC3" w:rsidP="006D40F0">
      <w:r w:rsidRPr="006D40F0">
        <w:t>Stortinget samtykker i at Klima- og miljødepartementet i 2024 kan gi tilsagn om tilskudd utover gitte bevilgninger, men slik at samlet ramme for nye tilsagn og gammelt ansvar ikke overstiger følgende beløp:</w:t>
      </w:r>
    </w:p>
    <w:p w14:paraId="5516F0A5"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017748EB"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1AD77C"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99F50"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F1B63A"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E893B4" w14:textId="77777777" w:rsidR="00575AC3" w:rsidRPr="006D40F0" w:rsidRDefault="00575AC3" w:rsidP="006D40F0">
            <w:r w:rsidRPr="006D40F0">
              <w:t>Samlet ramme</w:t>
            </w:r>
          </w:p>
        </w:tc>
      </w:tr>
      <w:tr w:rsidR="00DD49A7" w:rsidRPr="006D40F0" w14:paraId="339B8BEE"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583521D5" w14:textId="77777777" w:rsidR="00575AC3" w:rsidRPr="006D40F0" w:rsidRDefault="00575AC3" w:rsidP="006D40F0">
            <w:r w:rsidRPr="006D40F0">
              <w:t>1420</w:t>
            </w:r>
          </w:p>
        </w:tc>
        <w:tc>
          <w:tcPr>
            <w:tcW w:w="620" w:type="dxa"/>
            <w:tcBorders>
              <w:top w:val="single" w:sz="4" w:space="0" w:color="000000"/>
              <w:left w:val="nil"/>
              <w:bottom w:val="nil"/>
              <w:right w:val="nil"/>
            </w:tcBorders>
            <w:tcMar>
              <w:top w:w="128" w:type="dxa"/>
              <w:left w:w="43" w:type="dxa"/>
              <w:bottom w:w="43" w:type="dxa"/>
              <w:right w:w="43" w:type="dxa"/>
            </w:tcMar>
          </w:tcPr>
          <w:p w14:paraId="095FC6A5"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3A5453DA" w14:textId="77777777" w:rsidR="00575AC3" w:rsidRPr="006D40F0" w:rsidRDefault="00575AC3" w:rsidP="006D40F0">
            <w:r w:rsidRPr="006D40F0">
              <w:t>Miljødirektoratet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5021969B" w14:textId="77777777" w:rsidR="00575AC3" w:rsidRPr="006D40F0" w:rsidRDefault="00575AC3" w:rsidP="006D40F0"/>
        </w:tc>
      </w:tr>
      <w:tr w:rsidR="00DD49A7" w:rsidRPr="006D40F0" w14:paraId="42EF4CBB" w14:textId="77777777">
        <w:trPr>
          <w:trHeight w:val="380"/>
        </w:trPr>
        <w:tc>
          <w:tcPr>
            <w:tcW w:w="620" w:type="dxa"/>
            <w:tcBorders>
              <w:top w:val="nil"/>
              <w:left w:val="nil"/>
              <w:bottom w:val="nil"/>
              <w:right w:val="nil"/>
            </w:tcBorders>
            <w:tcMar>
              <w:top w:w="128" w:type="dxa"/>
              <w:left w:w="43" w:type="dxa"/>
              <w:bottom w:w="43" w:type="dxa"/>
              <w:right w:w="43" w:type="dxa"/>
            </w:tcMar>
          </w:tcPr>
          <w:p w14:paraId="7153F835"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3D6605C9" w14:textId="77777777" w:rsidR="00575AC3" w:rsidRPr="006D40F0" w:rsidRDefault="00575AC3" w:rsidP="006D40F0">
            <w:r w:rsidRPr="006D40F0">
              <w:t>62</w:t>
            </w:r>
          </w:p>
        </w:tc>
        <w:tc>
          <w:tcPr>
            <w:tcW w:w="6060" w:type="dxa"/>
            <w:tcBorders>
              <w:top w:val="nil"/>
              <w:left w:val="nil"/>
              <w:bottom w:val="nil"/>
              <w:right w:val="nil"/>
            </w:tcBorders>
            <w:tcMar>
              <w:top w:w="128" w:type="dxa"/>
              <w:left w:w="43" w:type="dxa"/>
              <w:bottom w:w="43" w:type="dxa"/>
              <w:right w:w="43" w:type="dxa"/>
            </w:tcMar>
          </w:tcPr>
          <w:p w14:paraId="0DF8C5AA" w14:textId="77777777" w:rsidR="00575AC3" w:rsidRPr="006D40F0" w:rsidRDefault="00575AC3" w:rsidP="006D40F0">
            <w:r w:rsidRPr="006D40F0">
              <w:t>Tilskudd til grønn skipsfart</w:t>
            </w:r>
          </w:p>
        </w:tc>
        <w:tc>
          <w:tcPr>
            <w:tcW w:w="2260" w:type="dxa"/>
            <w:tcBorders>
              <w:top w:val="nil"/>
              <w:left w:val="nil"/>
              <w:bottom w:val="nil"/>
              <w:right w:val="nil"/>
            </w:tcBorders>
            <w:tcMar>
              <w:top w:w="128" w:type="dxa"/>
              <w:left w:w="43" w:type="dxa"/>
              <w:bottom w:w="43" w:type="dxa"/>
              <w:right w:w="43" w:type="dxa"/>
            </w:tcMar>
            <w:vAlign w:val="bottom"/>
          </w:tcPr>
          <w:p w14:paraId="1BC3D5D7" w14:textId="77777777" w:rsidR="00575AC3" w:rsidRPr="006D40F0" w:rsidRDefault="00575AC3" w:rsidP="006D40F0">
            <w:r w:rsidRPr="006D40F0">
              <w:t>216,3 mill. kroner</w:t>
            </w:r>
          </w:p>
        </w:tc>
      </w:tr>
      <w:tr w:rsidR="00DD49A7" w:rsidRPr="006D40F0" w14:paraId="727F1684" w14:textId="77777777">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715F818A"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77F982A4" w14:textId="77777777" w:rsidR="00575AC3" w:rsidRPr="006D40F0" w:rsidRDefault="00575AC3" w:rsidP="006D40F0">
            <w:r w:rsidRPr="006D40F0">
              <w:t>87</w:t>
            </w:r>
          </w:p>
        </w:tc>
        <w:tc>
          <w:tcPr>
            <w:tcW w:w="6060" w:type="dxa"/>
            <w:tcBorders>
              <w:top w:val="nil"/>
              <w:left w:val="nil"/>
              <w:bottom w:val="single" w:sz="4" w:space="0" w:color="000000"/>
              <w:right w:val="nil"/>
            </w:tcBorders>
            <w:tcMar>
              <w:top w:w="128" w:type="dxa"/>
              <w:left w:w="43" w:type="dxa"/>
              <w:bottom w:w="43" w:type="dxa"/>
              <w:right w:w="43" w:type="dxa"/>
            </w:tcMar>
          </w:tcPr>
          <w:p w14:paraId="3A15C2FE" w14:textId="77777777" w:rsidR="00575AC3" w:rsidRPr="006D40F0" w:rsidRDefault="00575AC3" w:rsidP="006D40F0">
            <w:r w:rsidRPr="006D40F0">
              <w:t>Tilskudd til natur og friluftsliv i områder berørt av landbaserte vindkraftverk</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6FE65606" w14:textId="77777777" w:rsidR="00575AC3" w:rsidRPr="006D40F0" w:rsidRDefault="00575AC3" w:rsidP="006D40F0">
            <w:r w:rsidRPr="006D40F0">
              <w:t>15,0 mill. kroner</w:t>
            </w:r>
          </w:p>
        </w:tc>
      </w:tr>
    </w:tbl>
    <w:p w14:paraId="77C5B1DC" w14:textId="77777777" w:rsidR="00575AC3" w:rsidRPr="006D40F0" w:rsidRDefault="00575AC3" w:rsidP="006D40F0">
      <w:pPr>
        <w:pStyle w:val="a-vedtak-del"/>
      </w:pPr>
      <w:r w:rsidRPr="006D40F0">
        <w:t>XX</w:t>
      </w:r>
    </w:p>
    <w:p w14:paraId="76453FA7" w14:textId="77777777" w:rsidR="00575AC3" w:rsidRPr="006D40F0" w:rsidRDefault="00575AC3" w:rsidP="006D40F0">
      <w:pPr>
        <w:pStyle w:val="a-vedtak-tekst"/>
      </w:pPr>
      <w:r w:rsidRPr="006D40F0">
        <w:t xml:space="preserve">Fullmakt til å pådra staten forpliktelser i investeringsprosjektet Nye </w:t>
      </w:r>
      <w:proofErr w:type="spellStart"/>
      <w:r w:rsidRPr="006D40F0">
        <w:t>Altinn</w:t>
      </w:r>
      <w:proofErr w:type="spellEnd"/>
    </w:p>
    <w:p w14:paraId="59A7D7E3" w14:textId="77777777" w:rsidR="00575AC3" w:rsidRPr="006D40F0" w:rsidRDefault="00575AC3" w:rsidP="006D40F0">
      <w:r w:rsidRPr="006D40F0">
        <w:t xml:space="preserve">Stortinget samtykker i at Digitaliserings- og forvaltningsdepartementet, i samarbeid med Finansdepartementet og Nærings- og fiskeridepartementet, i 2024 kan gjennomføre programmet Nye </w:t>
      </w:r>
      <w:proofErr w:type="spellStart"/>
      <w:r w:rsidRPr="006D40F0">
        <w:t>Altinn</w:t>
      </w:r>
      <w:proofErr w:type="spellEnd"/>
      <w:r w:rsidRPr="006D40F0">
        <w:t xml:space="preserve"> på kap. 904, post 21, kap. 1540, post 23, kap. 1618, post 22 og kap. 1620, post 01 og inngå forpliktelser utover budsjettåret innenfor en samlet kostnadsramme på 1 267 mill. kroner i prisnivå per 1. juli 2024. Fullmakten gjelder også forpliktelser som inngås i senere budsjettår, innenfor kostnadsrammen for programmet. Digitaliserings- og forvaltningsdepartementet gis fullmakt til å prisjustere kostnadsrammen i senere år.</w:t>
      </w:r>
    </w:p>
    <w:p w14:paraId="171200CD" w14:textId="77777777" w:rsidR="00575AC3" w:rsidRPr="006D40F0" w:rsidRDefault="00575AC3" w:rsidP="006D40F0">
      <w:pPr>
        <w:pStyle w:val="a-vedtak-del"/>
      </w:pPr>
      <w:r w:rsidRPr="006D40F0">
        <w:t>XXI</w:t>
      </w:r>
    </w:p>
    <w:p w14:paraId="28B56A14" w14:textId="77777777" w:rsidR="00575AC3" w:rsidRPr="006D40F0" w:rsidRDefault="00575AC3" w:rsidP="006D40F0">
      <w:pPr>
        <w:pStyle w:val="a-vedtak-tekst"/>
      </w:pPr>
      <w:r w:rsidRPr="006D40F0">
        <w:t>Fullmakt til å pådra staten forpliktelser i investeringsprosjekt</w:t>
      </w:r>
    </w:p>
    <w:p w14:paraId="52B33E2E" w14:textId="77777777" w:rsidR="00575AC3" w:rsidRPr="006D40F0" w:rsidRDefault="00575AC3" w:rsidP="006D40F0">
      <w:r w:rsidRPr="006D40F0">
        <w:t xml:space="preserve">Stortinget samtykker i at Finansdepartementet i 2024 kan gjennomføre Treff-prosjektet innenfor kostnadsrammen som vist nedenfor: </w:t>
      </w:r>
    </w:p>
    <w:p w14:paraId="41655E67" w14:textId="77777777" w:rsidR="00575AC3" w:rsidRPr="006D40F0" w:rsidRDefault="00575AC3" w:rsidP="006D40F0">
      <w:pPr>
        <w:pStyle w:val="Tabellnavn"/>
      </w:pPr>
      <w:r w:rsidRPr="006D40F0">
        <w:t>03N1xt2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040"/>
        <w:gridCol w:w="2260"/>
        <w:gridCol w:w="2260"/>
      </w:tblGrid>
      <w:tr w:rsidR="00DD49A7" w:rsidRPr="006D40F0" w14:paraId="41783F31" w14:textId="77777777">
        <w:trPr>
          <w:trHeight w:val="360"/>
        </w:trPr>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E35A46" w14:textId="77777777" w:rsidR="00575AC3" w:rsidRPr="006D40F0" w:rsidRDefault="00575AC3" w:rsidP="006D40F0">
            <w:r w:rsidRPr="006D40F0">
              <w:t>Prosjekt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0B2CDB" w14:textId="77777777" w:rsidR="00575AC3" w:rsidRPr="006D40F0" w:rsidRDefault="00575AC3" w:rsidP="006D40F0">
            <w:r w:rsidRPr="006D40F0">
              <w:t>Etat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4D04F" w14:textId="77777777" w:rsidR="00575AC3" w:rsidRPr="006D40F0" w:rsidRDefault="00575AC3" w:rsidP="006D40F0">
            <w:r w:rsidRPr="006D40F0">
              <w:t>Samlet ramme</w:t>
            </w:r>
          </w:p>
        </w:tc>
      </w:tr>
      <w:tr w:rsidR="00DD49A7" w:rsidRPr="006D40F0" w14:paraId="446960B8" w14:textId="77777777">
        <w:trPr>
          <w:trHeight w:val="380"/>
        </w:trPr>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3D1D0222" w14:textId="77777777" w:rsidR="00575AC3" w:rsidRPr="006D40F0" w:rsidRDefault="00575AC3" w:rsidP="006D40F0">
            <w:r w:rsidRPr="006D40F0">
              <w:t>Treff-prosjektet</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E7A932" w14:textId="77777777" w:rsidR="00575AC3" w:rsidRPr="006D40F0" w:rsidRDefault="00575AC3" w:rsidP="006D40F0">
            <w:r w:rsidRPr="006D40F0">
              <w:t>Tolletaten</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2AAA4" w14:textId="77777777" w:rsidR="00575AC3" w:rsidRPr="006D40F0" w:rsidRDefault="00575AC3" w:rsidP="006D40F0">
            <w:r w:rsidRPr="006D40F0">
              <w:t>863,2 mill. kroner</w:t>
            </w:r>
          </w:p>
        </w:tc>
      </w:tr>
    </w:tbl>
    <w:p w14:paraId="1D40D2D1" w14:textId="77777777" w:rsidR="00575AC3" w:rsidRPr="006D40F0" w:rsidRDefault="00575AC3" w:rsidP="006D40F0">
      <w:r w:rsidRPr="006D40F0">
        <w:t>Fullmakten gjelder også forpliktelser som blir pådratt for senere budsjettår og innenfor kostnadsrammen for prosjektet. Finansdepartementet gis fullmakt til å prisjustere kostnadsrammen for senere år.</w:t>
      </w:r>
    </w:p>
    <w:p w14:paraId="5AE45000" w14:textId="77777777" w:rsidR="00575AC3" w:rsidRPr="006D40F0" w:rsidRDefault="00575AC3" w:rsidP="006D40F0">
      <w:pPr>
        <w:pStyle w:val="a-vedtak-del"/>
      </w:pPr>
      <w:r w:rsidRPr="006D40F0">
        <w:t>XXII</w:t>
      </w:r>
    </w:p>
    <w:p w14:paraId="03DDF30F" w14:textId="77777777" w:rsidR="00575AC3" w:rsidRPr="006D40F0" w:rsidRDefault="00575AC3" w:rsidP="006D40F0">
      <w:pPr>
        <w:pStyle w:val="a-vedtak-tekst"/>
      </w:pPr>
      <w:r w:rsidRPr="006D40F0">
        <w:t>Bestillingsfullmakt</w:t>
      </w:r>
    </w:p>
    <w:p w14:paraId="74C23EDE" w14:textId="77777777" w:rsidR="00575AC3" w:rsidRPr="006D40F0" w:rsidRDefault="00575AC3" w:rsidP="006D40F0">
      <w:r w:rsidRPr="006D40F0">
        <w:t>Stortinget samtykker i at Forsvarsdepartementet i 2024 kan inngå forpliktelser ut over gitte bevilgninger, men slik at samlet ramme for nye bestillinger og gammelt ansvar ikke overstiger følgende beløp:</w:t>
      </w:r>
    </w:p>
    <w:p w14:paraId="5AF2C23C"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1155CA96"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24DBE"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3D329D"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CB7A8A"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28E13D" w14:textId="77777777" w:rsidR="00575AC3" w:rsidRPr="006D40F0" w:rsidRDefault="00575AC3" w:rsidP="006D40F0">
            <w:r w:rsidRPr="006D40F0">
              <w:t>Samlet ramme</w:t>
            </w:r>
          </w:p>
        </w:tc>
      </w:tr>
      <w:tr w:rsidR="00DD49A7" w:rsidRPr="006D40F0" w14:paraId="4C24709E"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2349A5C6" w14:textId="77777777" w:rsidR="00575AC3" w:rsidRPr="006D40F0" w:rsidRDefault="00575AC3" w:rsidP="006D40F0">
            <w:r w:rsidRPr="006D40F0">
              <w:t>1760</w:t>
            </w:r>
          </w:p>
        </w:tc>
        <w:tc>
          <w:tcPr>
            <w:tcW w:w="620" w:type="dxa"/>
            <w:tcBorders>
              <w:top w:val="single" w:sz="4" w:space="0" w:color="000000"/>
              <w:left w:val="nil"/>
              <w:bottom w:val="nil"/>
              <w:right w:val="nil"/>
            </w:tcBorders>
            <w:tcMar>
              <w:top w:w="128" w:type="dxa"/>
              <w:left w:w="43" w:type="dxa"/>
              <w:bottom w:w="43" w:type="dxa"/>
              <w:right w:w="43" w:type="dxa"/>
            </w:tcMar>
          </w:tcPr>
          <w:p w14:paraId="5B696921"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75F30CC6" w14:textId="77777777" w:rsidR="00575AC3" w:rsidRPr="006D40F0" w:rsidRDefault="00575AC3" w:rsidP="006D40F0">
            <w:r w:rsidRPr="006D40F0">
              <w:t>Forsvarsmateriell og større anskaffelser og vedlikehold</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083DF674" w14:textId="77777777" w:rsidR="00575AC3" w:rsidRPr="006D40F0" w:rsidRDefault="00575AC3" w:rsidP="006D40F0"/>
        </w:tc>
      </w:tr>
      <w:tr w:rsidR="00DD49A7" w:rsidRPr="006D40F0" w14:paraId="036C9219"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2D014B3F"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25B06E4E" w14:textId="77777777" w:rsidR="00575AC3" w:rsidRPr="006D40F0" w:rsidRDefault="00575AC3" w:rsidP="006D40F0">
            <w:r w:rsidRPr="006D40F0">
              <w:t>45</w:t>
            </w:r>
          </w:p>
        </w:tc>
        <w:tc>
          <w:tcPr>
            <w:tcW w:w="6060" w:type="dxa"/>
            <w:tcBorders>
              <w:top w:val="nil"/>
              <w:left w:val="nil"/>
              <w:bottom w:val="single" w:sz="4" w:space="0" w:color="000000"/>
              <w:right w:val="nil"/>
            </w:tcBorders>
            <w:tcMar>
              <w:top w:w="128" w:type="dxa"/>
              <w:left w:w="43" w:type="dxa"/>
              <w:bottom w:w="43" w:type="dxa"/>
              <w:right w:w="43" w:type="dxa"/>
            </w:tcMar>
          </w:tcPr>
          <w:p w14:paraId="7C846592" w14:textId="77777777" w:rsidR="00575AC3" w:rsidRPr="006D40F0" w:rsidRDefault="00575AC3" w:rsidP="006D40F0">
            <w:r w:rsidRPr="006D40F0">
              <w:t>Større utstyrsanskaffelser og vedlikehold</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7E399DED" w14:textId="77777777" w:rsidR="00575AC3" w:rsidRPr="006D40F0" w:rsidRDefault="00575AC3" w:rsidP="006D40F0">
            <w:r w:rsidRPr="006D40F0">
              <w:t>123 820 mill. kroner</w:t>
            </w:r>
          </w:p>
        </w:tc>
      </w:tr>
    </w:tbl>
    <w:p w14:paraId="2971B035" w14:textId="77777777" w:rsidR="00575AC3" w:rsidRPr="006D40F0" w:rsidRDefault="00575AC3" w:rsidP="006D40F0">
      <w:pPr>
        <w:pStyle w:val="a-vedtak-del"/>
      </w:pPr>
      <w:r w:rsidRPr="006D40F0">
        <w:lastRenderedPageBreak/>
        <w:t>XXIII</w:t>
      </w:r>
    </w:p>
    <w:p w14:paraId="09819D20" w14:textId="77777777" w:rsidR="00575AC3" w:rsidRPr="006D40F0" w:rsidRDefault="00575AC3" w:rsidP="006D40F0">
      <w:pPr>
        <w:pStyle w:val="a-vedtak-tekst"/>
      </w:pPr>
      <w:r w:rsidRPr="006D40F0">
        <w:t>Investeringsfullmakter</w:t>
      </w:r>
    </w:p>
    <w:p w14:paraId="4C758D1F" w14:textId="77777777" w:rsidR="00575AC3" w:rsidRPr="006D40F0" w:rsidRDefault="00575AC3" w:rsidP="006D40F0">
      <w:r w:rsidRPr="006D40F0">
        <w:t>Stortinget samtykker i at Forsvarsdepartementet i 2024 kan:</w:t>
      </w:r>
    </w:p>
    <w:p w14:paraId="54B3B674" w14:textId="77777777" w:rsidR="00575AC3" w:rsidRPr="006D40F0" w:rsidRDefault="00575AC3" w:rsidP="006D40F0">
      <w:pPr>
        <w:pStyle w:val="friliste"/>
      </w:pPr>
      <w:r w:rsidRPr="006D40F0">
        <w:t>1.</w:t>
      </w:r>
      <w:r w:rsidRPr="006D40F0">
        <w:tab/>
        <w:t>starte opp og gjennomføre materiellinvesteringsprosjekter med en kostnadsramme under 1 000 mill. kroner.</w:t>
      </w:r>
    </w:p>
    <w:p w14:paraId="0D6B51F7" w14:textId="77777777" w:rsidR="00575AC3" w:rsidRPr="006D40F0" w:rsidRDefault="00575AC3" w:rsidP="006D40F0">
      <w:pPr>
        <w:pStyle w:val="friliste"/>
      </w:pPr>
      <w:r w:rsidRPr="006D40F0">
        <w:t>2.</w:t>
      </w:r>
      <w:r w:rsidRPr="006D40F0">
        <w:tab/>
        <w:t>starte opp og gjennomføre eiendoms-, bygg- og anleggsprosjekter (inkludert tilhørende innredning) med en kostnadsramme under 500 mill. kroner.</w:t>
      </w:r>
    </w:p>
    <w:p w14:paraId="693431B1" w14:textId="77777777" w:rsidR="00575AC3" w:rsidRPr="006D40F0" w:rsidRDefault="00575AC3" w:rsidP="006D40F0">
      <w:pPr>
        <w:pStyle w:val="friliste"/>
      </w:pPr>
      <w:r w:rsidRPr="006D40F0">
        <w:t>3.</w:t>
      </w:r>
      <w:r w:rsidRPr="006D40F0">
        <w:tab/>
        <w:t>starte opp og gjennomføre prosjekt for nytt hovedbygg på Jan Mayen med en kostnadsramme på 1 641 mill. kroner.</w:t>
      </w:r>
    </w:p>
    <w:p w14:paraId="12633FA6" w14:textId="77777777" w:rsidR="00575AC3" w:rsidRPr="006D40F0" w:rsidRDefault="00575AC3" w:rsidP="006D40F0">
      <w:pPr>
        <w:pStyle w:val="a-vedtak-del"/>
      </w:pPr>
      <w:r w:rsidRPr="006D40F0">
        <w:t>XXIV</w:t>
      </w:r>
    </w:p>
    <w:p w14:paraId="048D8FCF" w14:textId="77777777" w:rsidR="00575AC3" w:rsidRPr="006D40F0" w:rsidRDefault="00575AC3" w:rsidP="006D40F0">
      <w:pPr>
        <w:pStyle w:val="a-vedtak-tekst"/>
      </w:pPr>
      <w:r w:rsidRPr="006D40F0">
        <w:t>Bestillingsfullmakter</w:t>
      </w:r>
    </w:p>
    <w:p w14:paraId="45D2BD22" w14:textId="77777777" w:rsidR="00575AC3" w:rsidRPr="006D40F0" w:rsidRDefault="00575AC3" w:rsidP="006D40F0">
      <w:r w:rsidRPr="006D40F0">
        <w:t>Stortinget samtykker i at Energidepartementet i 2024 kan pådra staten forpliktelser utover gitte bevilgninger, men slik at samlet ramme for nye forpliktelser og gammelt ansvar ikke overstiger følgende beløp:</w:t>
      </w:r>
    </w:p>
    <w:p w14:paraId="40AE9F63"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3BA64034"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25713C"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75BD39"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E916E9"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20D55E" w14:textId="77777777" w:rsidR="00575AC3" w:rsidRPr="006D40F0" w:rsidRDefault="00575AC3" w:rsidP="006D40F0">
            <w:r w:rsidRPr="006D40F0">
              <w:t>Samlet ramme</w:t>
            </w:r>
          </w:p>
        </w:tc>
      </w:tr>
      <w:tr w:rsidR="00DD49A7" w:rsidRPr="006D40F0" w14:paraId="17909A14"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73F9E88C" w14:textId="77777777" w:rsidR="00575AC3" w:rsidRPr="006D40F0" w:rsidRDefault="00575AC3" w:rsidP="006D40F0">
            <w:r w:rsidRPr="006D40F0">
              <w:t>1820</w:t>
            </w:r>
          </w:p>
        </w:tc>
        <w:tc>
          <w:tcPr>
            <w:tcW w:w="620" w:type="dxa"/>
            <w:tcBorders>
              <w:top w:val="single" w:sz="4" w:space="0" w:color="000000"/>
              <w:left w:val="nil"/>
              <w:bottom w:val="nil"/>
              <w:right w:val="nil"/>
            </w:tcBorders>
            <w:tcMar>
              <w:top w:w="128" w:type="dxa"/>
              <w:left w:w="43" w:type="dxa"/>
              <w:bottom w:w="43" w:type="dxa"/>
              <w:right w:w="43" w:type="dxa"/>
            </w:tcMar>
          </w:tcPr>
          <w:p w14:paraId="555B4502"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29734B33" w14:textId="77777777" w:rsidR="00575AC3" w:rsidRPr="006D40F0" w:rsidRDefault="00575AC3" w:rsidP="006D40F0">
            <w:r w:rsidRPr="006D40F0">
              <w:t>Norges vassdrags- og energidirektorat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718A577" w14:textId="77777777" w:rsidR="00575AC3" w:rsidRPr="006D40F0" w:rsidRDefault="00575AC3" w:rsidP="006D40F0"/>
        </w:tc>
      </w:tr>
      <w:tr w:rsidR="00DD49A7" w:rsidRPr="006D40F0" w14:paraId="22147528" w14:textId="77777777">
        <w:trPr>
          <w:trHeight w:val="380"/>
        </w:trPr>
        <w:tc>
          <w:tcPr>
            <w:tcW w:w="620" w:type="dxa"/>
            <w:tcBorders>
              <w:top w:val="nil"/>
              <w:left w:val="nil"/>
              <w:bottom w:val="nil"/>
              <w:right w:val="nil"/>
            </w:tcBorders>
            <w:tcMar>
              <w:top w:w="128" w:type="dxa"/>
              <w:left w:w="43" w:type="dxa"/>
              <w:bottom w:w="43" w:type="dxa"/>
              <w:right w:w="43" w:type="dxa"/>
            </w:tcMar>
          </w:tcPr>
          <w:p w14:paraId="2173AE8F" w14:textId="77777777" w:rsidR="00575AC3" w:rsidRPr="006D40F0" w:rsidRDefault="00575AC3" w:rsidP="006D40F0"/>
        </w:tc>
        <w:tc>
          <w:tcPr>
            <w:tcW w:w="620" w:type="dxa"/>
            <w:tcBorders>
              <w:top w:val="nil"/>
              <w:left w:val="nil"/>
              <w:bottom w:val="nil"/>
              <w:right w:val="nil"/>
            </w:tcBorders>
            <w:tcMar>
              <w:top w:w="128" w:type="dxa"/>
              <w:left w:w="43" w:type="dxa"/>
              <w:bottom w:w="43" w:type="dxa"/>
              <w:right w:w="43" w:type="dxa"/>
            </w:tcMar>
          </w:tcPr>
          <w:p w14:paraId="6DFC6DC0" w14:textId="77777777" w:rsidR="00575AC3" w:rsidRPr="006D40F0" w:rsidRDefault="00575AC3" w:rsidP="006D40F0">
            <w:r w:rsidRPr="006D40F0">
              <w:t>22</w:t>
            </w:r>
          </w:p>
        </w:tc>
        <w:tc>
          <w:tcPr>
            <w:tcW w:w="6060" w:type="dxa"/>
            <w:tcBorders>
              <w:top w:val="nil"/>
              <w:left w:val="nil"/>
              <w:bottom w:val="nil"/>
              <w:right w:val="nil"/>
            </w:tcBorders>
            <w:tcMar>
              <w:top w:w="128" w:type="dxa"/>
              <w:left w:w="43" w:type="dxa"/>
              <w:bottom w:w="43" w:type="dxa"/>
              <w:right w:w="43" w:type="dxa"/>
            </w:tcMar>
          </w:tcPr>
          <w:p w14:paraId="080B5BBC" w14:textId="77777777" w:rsidR="00575AC3" w:rsidRPr="006D40F0" w:rsidRDefault="00575AC3" w:rsidP="006D40F0">
            <w:r w:rsidRPr="006D40F0">
              <w:t>Flom- og skredforebygging</w:t>
            </w:r>
          </w:p>
        </w:tc>
        <w:tc>
          <w:tcPr>
            <w:tcW w:w="2260" w:type="dxa"/>
            <w:tcBorders>
              <w:top w:val="nil"/>
              <w:left w:val="nil"/>
              <w:bottom w:val="nil"/>
              <w:right w:val="nil"/>
            </w:tcBorders>
            <w:tcMar>
              <w:top w:w="128" w:type="dxa"/>
              <w:left w:w="43" w:type="dxa"/>
              <w:bottom w:w="43" w:type="dxa"/>
              <w:right w:w="43" w:type="dxa"/>
            </w:tcMar>
            <w:vAlign w:val="bottom"/>
          </w:tcPr>
          <w:p w14:paraId="36CAEDE0" w14:textId="77777777" w:rsidR="00575AC3" w:rsidRPr="006D40F0" w:rsidRDefault="00575AC3" w:rsidP="006D40F0">
            <w:r w:rsidRPr="006D40F0">
              <w:t>330 mill. kroner</w:t>
            </w:r>
          </w:p>
        </w:tc>
      </w:tr>
      <w:tr w:rsidR="00DD49A7" w:rsidRPr="006D40F0" w14:paraId="778A37E0"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05DF3DA7"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604CD308" w14:textId="77777777" w:rsidR="00575AC3" w:rsidRPr="006D40F0" w:rsidRDefault="00575AC3" w:rsidP="006D40F0">
            <w:r w:rsidRPr="006D40F0">
              <w:t>25</w:t>
            </w:r>
          </w:p>
        </w:tc>
        <w:tc>
          <w:tcPr>
            <w:tcW w:w="6060" w:type="dxa"/>
            <w:tcBorders>
              <w:top w:val="nil"/>
              <w:left w:val="nil"/>
              <w:bottom w:val="single" w:sz="4" w:space="0" w:color="000000"/>
              <w:right w:val="nil"/>
            </w:tcBorders>
            <w:tcMar>
              <w:top w:w="128" w:type="dxa"/>
              <w:left w:w="43" w:type="dxa"/>
              <w:bottom w:w="43" w:type="dxa"/>
              <w:right w:w="43" w:type="dxa"/>
            </w:tcMar>
          </w:tcPr>
          <w:p w14:paraId="7E48CFEA" w14:textId="77777777" w:rsidR="00575AC3" w:rsidRPr="006D40F0" w:rsidRDefault="00575AC3" w:rsidP="006D40F0">
            <w:r w:rsidRPr="006D40F0">
              <w:t>Krise- og hastetiltak i forbindelse med flom- og skredhendelser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4A5D476F" w14:textId="77777777" w:rsidR="00575AC3" w:rsidRPr="006D40F0" w:rsidRDefault="00575AC3" w:rsidP="006D40F0">
            <w:r w:rsidRPr="006D40F0">
              <w:t>100 mill. kroner</w:t>
            </w:r>
          </w:p>
        </w:tc>
      </w:tr>
    </w:tbl>
    <w:p w14:paraId="522A0D4E" w14:textId="77777777" w:rsidR="00575AC3" w:rsidRPr="006D40F0" w:rsidRDefault="00575AC3" w:rsidP="006D40F0">
      <w:pPr>
        <w:pStyle w:val="a-vedtak-del"/>
      </w:pPr>
      <w:r w:rsidRPr="006D40F0">
        <w:t>XXV</w:t>
      </w:r>
    </w:p>
    <w:p w14:paraId="324D45CC" w14:textId="77777777" w:rsidR="00575AC3" w:rsidRPr="006D40F0" w:rsidRDefault="00575AC3" w:rsidP="006D40F0">
      <w:pPr>
        <w:pStyle w:val="a-vedtak-tekst"/>
      </w:pPr>
      <w:r w:rsidRPr="006D40F0">
        <w:t>Tilsagnsfullmakt</w:t>
      </w:r>
    </w:p>
    <w:p w14:paraId="597B827E" w14:textId="77777777" w:rsidR="00575AC3" w:rsidRPr="006D40F0" w:rsidRDefault="00575AC3" w:rsidP="006D40F0">
      <w:r w:rsidRPr="006D40F0">
        <w:t>Stortinget samtykker i at Energidepartementet i 2024 kan gi tilsagn om tilskudd utover gitte bevilgninger, men slik at samlet ramme for nye tilsagn og gammelt ansvar ikke overstiger følgende beløp:</w:t>
      </w:r>
    </w:p>
    <w:p w14:paraId="7249FE60" w14:textId="77777777" w:rsidR="00575AC3" w:rsidRPr="006D40F0" w:rsidRDefault="00575AC3" w:rsidP="006D40F0">
      <w:pPr>
        <w:pStyle w:val="Tabellnavn"/>
      </w:pPr>
      <w:r w:rsidRPr="006D40F0">
        <w:t>04N1xt2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620"/>
        <w:gridCol w:w="620"/>
        <w:gridCol w:w="6060"/>
        <w:gridCol w:w="2260"/>
      </w:tblGrid>
      <w:tr w:rsidR="00DD49A7" w:rsidRPr="006D40F0" w14:paraId="63F2879B"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0AA94" w14:textId="77777777" w:rsidR="00575AC3" w:rsidRPr="006D40F0" w:rsidRDefault="00575AC3" w:rsidP="006D40F0">
            <w:r w:rsidRPr="006D40F0">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8CB36D" w14:textId="77777777" w:rsidR="00575AC3" w:rsidRPr="006D40F0" w:rsidRDefault="00575AC3" w:rsidP="006D40F0">
            <w:r w:rsidRPr="006D40F0">
              <w:t>Post</w:t>
            </w:r>
          </w:p>
        </w:tc>
        <w:tc>
          <w:tcPr>
            <w:tcW w:w="6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CC3743" w14:textId="77777777" w:rsidR="00575AC3" w:rsidRPr="006D40F0" w:rsidRDefault="00575AC3" w:rsidP="006D40F0">
            <w:r w:rsidRPr="006D40F0">
              <w:t>Betegnelse</w:t>
            </w:r>
          </w:p>
        </w:tc>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70D6EF" w14:textId="77777777" w:rsidR="00575AC3" w:rsidRPr="006D40F0" w:rsidRDefault="00575AC3" w:rsidP="006D40F0">
            <w:r w:rsidRPr="006D40F0">
              <w:t>Samlet ramme</w:t>
            </w:r>
          </w:p>
        </w:tc>
      </w:tr>
      <w:tr w:rsidR="00DD49A7" w:rsidRPr="006D40F0" w14:paraId="0429A2C0"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6A493E04" w14:textId="77777777" w:rsidR="00575AC3" w:rsidRPr="006D40F0" w:rsidRDefault="00575AC3" w:rsidP="006D40F0">
            <w:r w:rsidRPr="006D40F0">
              <w:t>1820</w:t>
            </w:r>
          </w:p>
        </w:tc>
        <w:tc>
          <w:tcPr>
            <w:tcW w:w="620" w:type="dxa"/>
            <w:tcBorders>
              <w:top w:val="single" w:sz="4" w:space="0" w:color="000000"/>
              <w:left w:val="nil"/>
              <w:bottom w:val="nil"/>
              <w:right w:val="nil"/>
            </w:tcBorders>
            <w:tcMar>
              <w:top w:w="128" w:type="dxa"/>
              <w:left w:w="43" w:type="dxa"/>
              <w:bottom w:w="43" w:type="dxa"/>
              <w:right w:w="43" w:type="dxa"/>
            </w:tcMar>
          </w:tcPr>
          <w:p w14:paraId="16DD1132" w14:textId="77777777" w:rsidR="00575AC3" w:rsidRPr="006D40F0" w:rsidRDefault="00575AC3" w:rsidP="006D40F0"/>
        </w:tc>
        <w:tc>
          <w:tcPr>
            <w:tcW w:w="6060" w:type="dxa"/>
            <w:tcBorders>
              <w:top w:val="single" w:sz="4" w:space="0" w:color="000000"/>
              <w:left w:val="nil"/>
              <w:bottom w:val="nil"/>
              <w:right w:val="nil"/>
            </w:tcBorders>
            <w:tcMar>
              <w:top w:w="128" w:type="dxa"/>
              <w:left w:w="43" w:type="dxa"/>
              <w:bottom w:w="43" w:type="dxa"/>
              <w:right w:w="43" w:type="dxa"/>
            </w:tcMar>
          </w:tcPr>
          <w:p w14:paraId="39E97AAA" w14:textId="77777777" w:rsidR="00575AC3" w:rsidRPr="006D40F0" w:rsidRDefault="00575AC3" w:rsidP="006D40F0">
            <w:r w:rsidRPr="006D40F0">
              <w:t>Norges vassdrags- og energidirektorat</w:t>
            </w:r>
          </w:p>
        </w:tc>
        <w:tc>
          <w:tcPr>
            <w:tcW w:w="2260" w:type="dxa"/>
            <w:tcBorders>
              <w:top w:val="single" w:sz="4" w:space="0" w:color="000000"/>
              <w:left w:val="nil"/>
              <w:bottom w:val="nil"/>
              <w:right w:val="nil"/>
            </w:tcBorders>
            <w:tcMar>
              <w:top w:w="128" w:type="dxa"/>
              <w:left w:w="43" w:type="dxa"/>
              <w:bottom w:w="43" w:type="dxa"/>
              <w:right w:w="43" w:type="dxa"/>
            </w:tcMar>
            <w:vAlign w:val="bottom"/>
          </w:tcPr>
          <w:p w14:paraId="4D139AE2" w14:textId="77777777" w:rsidR="00575AC3" w:rsidRPr="006D40F0" w:rsidRDefault="00575AC3" w:rsidP="006D40F0"/>
        </w:tc>
      </w:tr>
      <w:tr w:rsidR="00DD49A7" w:rsidRPr="006D40F0" w14:paraId="5D30451A" w14:textId="77777777">
        <w:trPr>
          <w:trHeight w:val="640"/>
        </w:trPr>
        <w:tc>
          <w:tcPr>
            <w:tcW w:w="620" w:type="dxa"/>
            <w:tcBorders>
              <w:top w:val="nil"/>
              <w:left w:val="nil"/>
              <w:bottom w:val="single" w:sz="4" w:space="0" w:color="000000"/>
              <w:right w:val="nil"/>
            </w:tcBorders>
            <w:tcMar>
              <w:top w:w="128" w:type="dxa"/>
              <w:left w:w="43" w:type="dxa"/>
              <w:bottom w:w="43" w:type="dxa"/>
              <w:right w:w="43" w:type="dxa"/>
            </w:tcMar>
          </w:tcPr>
          <w:p w14:paraId="4C5560A3" w14:textId="77777777" w:rsidR="00575AC3" w:rsidRPr="006D40F0" w:rsidRDefault="00575AC3" w:rsidP="006D40F0"/>
        </w:tc>
        <w:tc>
          <w:tcPr>
            <w:tcW w:w="620" w:type="dxa"/>
            <w:tcBorders>
              <w:top w:val="nil"/>
              <w:left w:val="nil"/>
              <w:bottom w:val="single" w:sz="4" w:space="0" w:color="000000"/>
              <w:right w:val="nil"/>
            </w:tcBorders>
            <w:tcMar>
              <w:top w:w="128" w:type="dxa"/>
              <w:left w:w="43" w:type="dxa"/>
              <w:bottom w:w="43" w:type="dxa"/>
              <w:right w:w="43" w:type="dxa"/>
            </w:tcMar>
          </w:tcPr>
          <w:p w14:paraId="02693299" w14:textId="77777777" w:rsidR="00575AC3" w:rsidRPr="006D40F0" w:rsidRDefault="00575AC3" w:rsidP="006D40F0">
            <w:r w:rsidRPr="006D40F0">
              <w:t>61</w:t>
            </w:r>
          </w:p>
        </w:tc>
        <w:tc>
          <w:tcPr>
            <w:tcW w:w="6060" w:type="dxa"/>
            <w:tcBorders>
              <w:top w:val="nil"/>
              <w:left w:val="nil"/>
              <w:bottom w:val="single" w:sz="4" w:space="0" w:color="000000"/>
              <w:right w:val="nil"/>
            </w:tcBorders>
            <w:tcMar>
              <w:top w:w="128" w:type="dxa"/>
              <w:left w:w="43" w:type="dxa"/>
              <w:bottom w:w="43" w:type="dxa"/>
              <w:right w:w="43" w:type="dxa"/>
            </w:tcMar>
          </w:tcPr>
          <w:p w14:paraId="18C6C1D8" w14:textId="77777777" w:rsidR="00575AC3" w:rsidRPr="006D40F0" w:rsidRDefault="00575AC3" w:rsidP="006D40F0">
            <w:r w:rsidRPr="006D40F0">
              <w:t>Tilskudd til krise- og hastetiltak i forbindelse med flom- og skredhendelser</w:t>
            </w:r>
          </w:p>
        </w:tc>
        <w:tc>
          <w:tcPr>
            <w:tcW w:w="2260" w:type="dxa"/>
            <w:tcBorders>
              <w:top w:val="nil"/>
              <w:left w:val="nil"/>
              <w:bottom w:val="single" w:sz="4" w:space="0" w:color="000000"/>
              <w:right w:val="nil"/>
            </w:tcBorders>
            <w:tcMar>
              <w:top w:w="128" w:type="dxa"/>
              <w:left w:w="43" w:type="dxa"/>
              <w:bottom w:w="43" w:type="dxa"/>
              <w:right w:w="43" w:type="dxa"/>
            </w:tcMar>
            <w:vAlign w:val="bottom"/>
          </w:tcPr>
          <w:p w14:paraId="1C074008" w14:textId="77777777" w:rsidR="00575AC3" w:rsidRPr="006D40F0" w:rsidRDefault="00575AC3" w:rsidP="006D40F0">
            <w:r w:rsidRPr="006D40F0">
              <w:t>100 mill. kroner</w:t>
            </w:r>
          </w:p>
        </w:tc>
      </w:tr>
    </w:tbl>
    <w:p w14:paraId="36DCA0FE" w14:textId="77777777" w:rsidR="00575AC3" w:rsidRPr="006D40F0" w:rsidRDefault="00575AC3" w:rsidP="006D40F0">
      <w:pPr>
        <w:pStyle w:val="Fullmakttit"/>
      </w:pPr>
      <w:r w:rsidRPr="006D40F0">
        <w:lastRenderedPageBreak/>
        <w:t>Andre fullmakter</w:t>
      </w:r>
    </w:p>
    <w:p w14:paraId="4918FEA6" w14:textId="77777777" w:rsidR="00575AC3" w:rsidRPr="006D40F0" w:rsidRDefault="00575AC3" w:rsidP="006D40F0">
      <w:pPr>
        <w:pStyle w:val="a-vedtak-del"/>
      </w:pPr>
      <w:r w:rsidRPr="006D40F0">
        <w:t>XXVI</w:t>
      </w:r>
    </w:p>
    <w:p w14:paraId="5EEDFFFE" w14:textId="77777777" w:rsidR="00575AC3" w:rsidRPr="006D40F0" w:rsidRDefault="00575AC3" w:rsidP="006D40F0">
      <w:pPr>
        <w:pStyle w:val="a-vedtak-tekst"/>
      </w:pPr>
      <w:r w:rsidRPr="006D40F0">
        <w:t>Deltakelse i kapitaløkninger og fondspåfyllinger i internasjonale banker og fond</w:t>
      </w:r>
    </w:p>
    <w:p w14:paraId="6B829D5F" w14:textId="77777777" w:rsidR="00575AC3" w:rsidRPr="006D40F0" w:rsidRDefault="00575AC3" w:rsidP="006D40F0">
      <w:r w:rsidRPr="006D40F0">
        <w:t>Stortinget samtykker i at:</w:t>
      </w:r>
    </w:p>
    <w:p w14:paraId="0CDC2726" w14:textId="77777777" w:rsidR="00575AC3" w:rsidRPr="006D40F0" w:rsidRDefault="00575AC3" w:rsidP="006D40F0">
      <w:pPr>
        <w:pStyle w:val="friliste"/>
      </w:pPr>
      <w:r w:rsidRPr="006D40F0">
        <w:t>1.</w:t>
      </w:r>
      <w:r w:rsidRPr="006D40F0">
        <w:tab/>
        <w:t>Norge støtter det multilaterale fondet under Montrealprotokollen for perioden 2024–2026, med inntil 63 mill. kroner totalt over hele perioden. Innbetalingene belastes kap. 163 Klima, miljø og hav, post 70 Miljø og klima.</w:t>
      </w:r>
    </w:p>
    <w:p w14:paraId="74D683FD" w14:textId="77777777" w:rsidR="00575AC3" w:rsidRPr="006D40F0" w:rsidRDefault="00575AC3" w:rsidP="006D40F0">
      <w:pPr>
        <w:pStyle w:val="friliste"/>
      </w:pPr>
      <w:r w:rsidRPr="006D40F0">
        <w:t>2.</w:t>
      </w:r>
      <w:r w:rsidRPr="006D40F0">
        <w:tab/>
        <w:t>Norge deltar i en generell garantikapitaløkning i Afrikabanken med et nivå som tilsvarer en økning i den norske statsgarantien med UA 687 mill. (UA tilsvarer IMFs spesielle trekkrettigheter SDR). Utfallet av forhandlingene kan gi et høyere nivå. Regjeringen vil komme tilbake til Stortinget i statsbudsjettet for 2025 med informasjon om utfallet av forhandlingene og med forslag om eventuell justering i nivået for Norges deltakelse.</w:t>
      </w:r>
    </w:p>
    <w:p w14:paraId="64928109" w14:textId="77777777" w:rsidR="00575AC3" w:rsidRPr="006D40F0" w:rsidRDefault="00575AC3" w:rsidP="006D40F0">
      <w:pPr>
        <w:pStyle w:val="a-vedtak-del"/>
      </w:pPr>
      <w:r w:rsidRPr="006D40F0">
        <w:t>XXVII</w:t>
      </w:r>
    </w:p>
    <w:p w14:paraId="636D277C" w14:textId="77777777" w:rsidR="00575AC3" w:rsidRPr="006D40F0" w:rsidRDefault="00575AC3" w:rsidP="006D40F0">
      <w:pPr>
        <w:pStyle w:val="a-vedtak-tekst"/>
      </w:pPr>
      <w:r w:rsidRPr="006D40F0">
        <w:t>Godkjenning av endringer i Norges forpliktelser til IMF</w:t>
      </w:r>
    </w:p>
    <w:p w14:paraId="6D90AB7E" w14:textId="77777777" w:rsidR="00575AC3" w:rsidRPr="006D40F0" w:rsidRDefault="00575AC3" w:rsidP="006D40F0">
      <w:pPr>
        <w:pStyle w:val="friliste"/>
      </w:pPr>
      <w:r w:rsidRPr="006D40F0">
        <w:t>1.</w:t>
      </w:r>
      <w:r w:rsidRPr="006D40F0">
        <w:tab/>
        <w:t xml:space="preserve">Stortinget samtykker i at Norge aksepterer Norges andel av IMFs vedtatte nedjustering av den multilaterale innlånsordning «New Arrangements to </w:t>
      </w:r>
      <w:proofErr w:type="spellStart"/>
      <w:r w:rsidRPr="006D40F0">
        <w:t>Borrow</w:t>
      </w:r>
      <w:proofErr w:type="spellEnd"/>
      <w:r w:rsidRPr="006D40F0">
        <w:t xml:space="preserve">» (NAB) og godkjenner at Norges innlån til IMFs multilaterale innlånsordning «New Arrangements to </w:t>
      </w:r>
      <w:proofErr w:type="spellStart"/>
      <w:r w:rsidRPr="006D40F0">
        <w:t>Borrow</w:t>
      </w:r>
      <w:proofErr w:type="spellEnd"/>
      <w:r w:rsidRPr="006D40F0">
        <w:t>» (NAB) reduseres fra 3 933 mill. SDR til 3 293 mill. SDR.</w:t>
      </w:r>
    </w:p>
    <w:p w14:paraId="620FECBE" w14:textId="77777777" w:rsidR="00575AC3" w:rsidRPr="006D40F0" w:rsidRDefault="00575AC3" w:rsidP="006D40F0">
      <w:pPr>
        <w:pStyle w:val="friliste"/>
      </w:pPr>
      <w:r w:rsidRPr="006D40F0">
        <w:t>2.</w:t>
      </w:r>
      <w:r w:rsidRPr="006D40F0">
        <w:tab/>
        <w:t>Stortinget samtykker i at Norge godkjenner Norges andel av kvoteøkningen i IMFs 16. kvoterevisjon og godkjenner at Norges kvote i IMF økes fra 3 755 mill. SDR til 5 632 mill. SDR.</w:t>
      </w:r>
    </w:p>
    <w:p w14:paraId="17FA2B7D" w14:textId="77777777" w:rsidR="00575AC3" w:rsidRPr="006D40F0" w:rsidRDefault="00575AC3" w:rsidP="006D40F0">
      <w:pPr>
        <w:pStyle w:val="a-vedtak-del"/>
      </w:pPr>
      <w:r w:rsidRPr="006D40F0">
        <w:t>XXIII</w:t>
      </w:r>
    </w:p>
    <w:p w14:paraId="7363148D" w14:textId="77777777" w:rsidR="00575AC3" w:rsidRPr="006D40F0" w:rsidRDefault="00575AC3" w:rsidP="006D40F0">
      <w:pPr>
        <w:pStyle w:val="a-vedtak-tekst"/>
      </w:pPr>
      <w:r w:rsidRPr="006D40F0">
        <w:t xml:space="preserve">Fullmakt til </w:t>
      </w:r>
      <w:proofErr w:type="spellStart"/>
      <w:r w:rsidRPr="006D40F0">
        <w:t>Statped</w:t>
      </w:r>
      <w:proofErr w:type="spellEnd"/>
      <w:r w:rsidRPr="006D40F0">
        <w:t xml:space="preserve"> </w:t>
      </w:r>
      <w:proofErr w:type="gramStart"/>
      <w:r w:rsidRPr="006D40F0">
        <w:t>vedrørende</w:t>
      </w:r>
      <w:proofErr w:type="gramEnd"/>
      <w:r w:rsidRPr="006D40F0">
        <w:t xml:space="preserve"> avhending av leilighet i </w:t>
      </w:r>
      <w:proofErr w:type="spellStart"/>
      <w:r w:rsidRPr="006D40F0">
        <w:t>Midteggen</w:t>
      </w:r>
      <w:proofErr w:type="spellEnd"/>
      <w:r w:rsidRPr="006D40F0">
        <w:t xml:space="preserve"> borettslag</w:t>
      </w:r>
    </w:p>
    <w:p w14:paraId="3B1863A1" w14:textId="77777777" w:rsidR="00575AC3" w:rsidRPr="006D40F0" w:rsidRDefault="00575AC3" w:rsidP="006D40F0">
      <w:r w:rsidRPr="006D40F0">
        <w:t xml:space="preserve">Stortinget samtykker i at Kunnskapsdepartementet i 2024 kan gi </w:t>
      </w:r>
      <w:proofErr w:type="spellStart"/>
      <w:r w:rsidRPr="006D40F0">
        <w:t>Statped</w:t>
      </w:r>
      <w:proofErr w:type="spellEnd"/>
      <w:r w:rsidRPr="006D40F0">
        <w:t xml:space="preserve"> fullmakt til å selge leiligheten som eies i </w:t>
      </w:r>
      <w:proofErr w:type="spellStart"/>
      <w:r w:rsidRPr="006D40F0">
        <w:t>Midteggen</w:t>
      </w:r>
      <w:proofErr w:type="spellEnd"/>
      <w:r w:rsidRPr="006D40F0">
        <w:t xml:space="preserve"> borettslag.</w:t>
      </w:r>
    </w:p>
    <w:p w14:paraId="31B2DB73" w14:textId="77777777" w:rsidR="00575AC3" w:rsidRPr="006D40F0" w:rsidRDefault="00575AC3" w:rsidP="006D40F0">
      <w:pPr>
        <w:pStyle w:val="a-vedtak-del"/>
      </w:pPr>
      <w:r w:rsidRPr="006D40F0">
        <w:t>XXIX</w:t>
      </w:r>
    </w:p>
    <w:p w14:paraId="35999AF4" w14:textId="77777777" w:rsidR="00575AC3" w:rsidRPr="006D40F0" w:rsidRDefault="00575AC3" w:rsidP="006D40F0">
      <w:pPr>
        <w:pStyle w:val="a-vedtak-tekst"/>
      </w:pPr>
      <w:r w:rsidRPr="006D40F0">
        <w:t>Stikkordsfullmakter</w:t>
      </w:r>
    </w:p>
    <w:p w14:paraId="60DA43C0" w14:textId="77777777" w:rsidR="00575AC3" w:rsidRPr="006D40F0" w:rsidRDefault="00575AC3" w:rsidP="006D40F0">
      <w:r w:rsidRPr="006D40F0">
        <w:t>Stortinget samtykker i at Nærings- og fiskeridepartementet i 2024 kan:</w:t>
      </w:r>
    </w:p>
    <w:p w14:paraId="30661709" w14:textId="77777777" w:rsidR="00575AC3" w:rsidRPr="006D40F0" w:rsidRDefault="00575AC3" w:rsidP="006D40F0">
      <w:pPr>
        <w:pStyle w:val="friliste"/>
      </w:pPr>
      <w:r w:rsidRPr="006D40F0">
        <w:t>1.</w:t>
      </w:r>
      <w:r w:rsidRPr="006D40F0">
        <w:tab/>
        <w:t>tilføye stikkordet «kan nyttes under kap. 908, post 70» til bevilgningen under kap. 907 Norsk nukleær dekommisjonering, post 01 Driftsutgifter.</w:t>
      </w:r>
    </w:p>
    <w:p w14:paraId="578E7887" w14:textId="77777777" w:rsidR="00575AC3" w:rsidRPr="006D40F0" w:rsidRDefault="00575AC3" w:rsidP="006D40F0">
      <w:pPr>
        <w:pStyle w:val="friliste"/>
      </w:pPr>
      <w:r w:rsidRPr="006D40F0">
        <w:t>2.</w:t>
      </w:r>
      <w:r w:rsidRPr="006D40F0">
        <w:tab/>
        <w:t>tilføye stikkordet «kan nyttes under post 21» til bevilgningen under kap. 923 Havforskningsinstituttet, post 01 Driftsutgifter.</w:t>
      </w:r>
    </w:p>
    <w:p w14:paraId="0FB2BF18" w14:textId="77777777" w:rsidR="00575AC3" w:rsidRPr="006D40F0" w:rsidRDefault="00575AC3" w:rsidP="006D40F0">
      <w:pPr>
        <w:pStyle w:val="a-vedtak-del"/>
      </w:pPr>
      <w:r w:rsidRPr="006D40F0">
        <w:t>XXX</w:t>
      </w:r>
    </w:p>
    <w:p w14:paraId="5759AC59" w14:textId="77777777" w:rsidR="00575AC3" w:rsidRPr="006D40F0" w:rsidRDefault="00575AC3" w:rsidP="006D40F0">
      <w:pPr>
        <w:pStyle w:val="a-vedtak-tekst"/>
      </w:pPr>
      <w:r w:rsidRPr="006D40F0">
        <w:t>Garantifullmakter</w:t>
      </w:r>
    </w:p>
    <w:p w14:paraId="2635A7C1" w14:textId="77777777" w:rsidR="00575AC3" w:rsidRPr="006D40F0" w:rsidRDefault="00575AC3" w:rsidP="006D40F0">
      <w:r w:rsidRPr="006D40F0">
        <w:t>Stortinget samtykker i at Nærings- og fiskeridepartementet i 2024 kan:</w:t>
      </w:r>
    </w:p>
    <w:p w14:paraId="73714D49" w14:textId="77777777" w:rsidR="00575AC3" w:rsidRPr="006D40F0" w:rsidRDefault="00575AC3" w:rsidP="006D40F0">
      <w:pPr>
        <w:pStyle w:val="friliste"/>
      </w:pPr>
      <w:r w:rsidRPr="006D40F0">
        <w:lastRenderedPageBreak/>
        <w:t>1.</w:t>
      </w:r>
      <w:r w:rsidRPr="006D40F0">
        <w:tab/>
        <w:t>gi Innovasjon Norge fullmakt til å gi tilsagn om nye garantier for inntil 350 mill. kroner for lån til realinvesteringer og driftskapital, men slik at total ramme for nytt og gammelt ansvar ikke overstiger 930 mill. kroner.</w:t>
      </w:r>
    </w:p>
    <w:p w14:paraId="5CAECFDF" w14:textId="77777777" w:rsidR="00575AC3" w:rsidRPr="006D40F0" w:rsidRDefault="00575AC3" w:rsidP="006D40F0">
      <w:pPr>
        <w:pStyle w:val="friliste"/>
      </w:pPr>
      <w:r w:rsidRPr="006D40F0">
        <w:t>2.</w:t>
      </w:r>
      <w:r w:rsidRPr="006D40F0">
        <w:tab/>
        <w:t>gi Innovasjon Norge fullmakt til å gi tilsagn om garantier for inntil 1 000 mill. kroner for lån innenfor ordningen med Grønn industrifinansiering, men slik at total ramme for garantier og lån ikke overstiger 5 000 mill. kroner for ordningen.</w:t>
      </w:r>
    </w:p>
    <w:p w14:paraId="39697CA6" w14:textId="77777777" w:rsidR="00575AC3" w:rsidRPr="006D40F0" w:rsidRDefault="00575AC3" w:rsidP="006D40F0">
      <w:pPr>
        <w:pStyle w:val="a-vedtak-del"/>
      </w:pPr>
      <w:r w:rsidRPr="006D40F0">
        <w:t>XXXI</w:t>
      </w:r>
    </w:p>
    <w:p w14:paraId="1EDFAF98" w14:textId="77777777" w:rsidR="00575AC3" w:rsidRPr="006D40F0" w:rsidRDefault="00575AC3" w:rsidP="006D40F0">
      <w:pPr>
        <w:pStyle w:val="a-vedtak-tekst"/>
      </w:pPr>
      <w:r w:rsidRPr="006D40F0">
        <w:t>Utlånsfullmakt</w:t>
      </w:r>
    </w:p>
    <w:p w14:paraId="0660120B" w14:textId="77777777" w:rsidR="00575AC3" w:rsidRPr="006D40F0" w:rsidRDefault="00575AC3" w:rsidP="006D40F0">
      <w:r w:rsidRPr="006D40F0">
        <w:t>Stortinget samtykker i at Nærings- og fiskeridepartementet i 2024 kan gi Innovasjon Norge fullmakt til å gi tilsagn om lån innenfor ordningen for Grønn industrifinansiering innenfor en samlet øvre ramme av utestående og forpliktede lån på inntil 5 000 mill. kroner.</w:t>
      </w:r>
    </w:p>
    <w:p w14:paraId="2EA0EFD6" w14:textId="77777777" w:rsidR="00575AC3" w:rsidRPr="006D40F0" w:rsidRDefault="00575AC3" w:rsidP="006D40F0">
      <w:pPr>
        <w:pStyle w:val="a-vedtak-del"/>
      </w:pPr>
      <w:r w:rsidRPr="006D40F0">
        <w:t>XXXII</w:t>
      </w:r>
    </w:p>
    <w:p w14:paraId="6F1DB54A" w14:textId="77777777" w:rsidR="00575AC3" w:rsidRPr="006D40F0" w:rsidRDefault="00575AC3" w:rsidP="006D40F0">
      <w:pPr>
        <w:pStyle w:val="a-vedtak-tekst"/>
      </w:pPr>
      <w:r w:rsidRPr="006D40F0">
        <w:t>Forvaltning ved avvikling av Investeringsfondet for Nordvest-Russland og Øst-Europa</w:t>
      </w:r>
    </w:p>
    <w:p w14:paraId="61C0BBD6" w14:textId="77777777" w:rsidR="00575AC3" w:rsidRPr="006D40F0" w:rsidRDefault="00575AC3" w:rsidP="006D40F0">
      <w:r w:rsidRPr="006D40F0">
        <w:t xml:space="preserve">Stortinget samtykker i at Nærings- og fiskeridepartementet i 2024 kan legge ansvaret for avviklingen av Investeringsfondet for Nordvest-Russland og Øst-Europa til </w:t>
      </w:r>
      <w:proofErr w:type="spellStart"/>
      <w:r w:rsidRPr="006D40F0">
        <w:t>Investinor</w:t>
      </w:r>
      <w:proofErr w:type="spellEnd"/>
      <w:r w:rsidRPr="006D40F0">
        <w:t xml:space="preserve"> AS. Fondet organiseres midlertidig som et datterselskap under </w:t>
      </w:r>
      <w:proofErr w:type="spellStart"/>
      <w:r w:rsidRPr="006D40F0">
        <w:t>Investinor</w:t>
      </w:r>
      <w:proofErr w:type="spellEnd"/>
      <w:r w:rsidRPr="006D40F0">
        <w:t xml:space="preserve"> AS.</w:t>
      </w:r>
    </w:p>
    <w:p w14:paraId="39F2E692" w14:textId="77777777" w:rsidR="00575AC3" w:rsidRPr="006D40F0" w:rsidRDefault="00575AC3" w:rsidP="006D40F0">
      <w:pPr>
        <w:pStyle w:val="a-vedtak-del"/>
      </w:pPr>
      <w:r w:rsidRPr="006D40F0">
        <w:t>XXXIII</w:t>
      </w:r>
    </w:p>
    <w:p w14:paraId="3684431C" w14:textId="77777777" w:rsidR="00575AC3" w:rsidRPr="006D40F0" w:rsidRDefault="00575AC3" w:rsidP="006D40F0">
      <w:pPr>
        <w:pStyle w:val="a-vedtak-tekst"/>
      </w:pPr>
      <w:r w:rsidRPr="006D40F0">
        <w:t xml:space="preserve">Bytte av deltakerandeler mellom staten ved </w:t>
      </w:r>
      <w:proofErr w:type="spellStart"/>
      <w:r w:rsidRPr="006D40F0">
        <w:t>Petoro</w:t>
      </w:r>
      <w:proofErr w:type="spellEnd"/>
      <w:r w:rsidRPr="006D40F0">
        <w:t xml:space="preserve"> AS og </w:t>
      </w:r>
      <w:proofErr w:type="spellStart"/>
      <w:r w:rsidRPr="006D40F0">
        <w:t>Equinor</w:t>
      </w:r>
      <w:proofErr w:type="spellEnd"/>
      <w:r w:rsidRPr="006D40F0">
        <w:t xml:space="preserve"> ASA</w:t>
      </w:r>
    </w:p>
    <w:p w14:paraId="0B0F5B5F" w14:textId="77777777" w:rsidR="00575AC3" w:rsidRPr="006D40F0" w:rsidRDefault="00575AC3" w:rsidP="006D40F0">
      <w:r w:rsidRPr="006D40F0">
        <w:t xml:space="preserve">Stortinget samtykker i at Nærings- og fiskeridepartementet i 2024 kan godkjenne avtale mellom staten ved </w:t>
      </w:r>
      <w:proofErr w:type="spellStart"/>
      <w:r w:rsidRPr="006D40F0">
        <w:t>Petoro</w:t>
      </w:r>
      <w:proofErr w:type="spellEnd"/>
      <w:r w:rsidRPr="006D40F0">
        <w:t xml:space="preserve"> AS og </w:t>
      </w:r>
      <w:proofErr w:type="spellStart"/>
      <w:r w:rsidRPr="006D40F0">
        <w:t>Equinor</w:t>
      </w:r>
      <w:proofErr w:type="spellEnd"/>
      <w:r w:rsidRPr="006D40F0">
        <w:t xml:space="preserve"> ASA om bytte av deltakerandeler i Heidrun Unit, inkludert Heidrun gasstransport, Tyrihans Unit, inkludert Tyrihans rørledning og gassrørledning, Johan Castberg og utvinningstillatelsene 107 D (</w:t>
      </w:r>
      <w:proofErr w:type="spellStart"/>
      <w:r w:rsidRPr="006D40F0">
        <w:t>Noatun</w:t>
      </w:r>
      <w:proofErr w:type="spellEnd"/>
      <w:r w:rsidRPr="006D40F0">
        <w:t>), 124 (Carmen) og 375 (Beta).</w:t>
      </w:r>
    </w:p>
    <w:p w14:paraId="673108F3" w14:textId="77777777" w:rsidR="00575AC3" w:rsidRPr="006D40F0" w:rsidRDefault="00575AC3" w:rsidP="006D40F0">
      <w:pPr>
        <w:pStyle w:val="a-vedtak-del"/>
      </w:pPr>
      <w:r w:rsidRPr="006D40F0">
        <w:t>XXXIV</w:t>
      </w:r>
    </w:p>
    <w:p w14:paraId="5F315061" w14:textId="77777777" w:rsidR="00575AC3" w:rsidRPr="006D40F0" w:rsidRDefault="00575AC3" w:rsidP="006D40F0">
      <w:pPr>
        <w:pStyle w:val="a-vedtak-tekst"/>
      </w:pPr>
      <w:r w:rsidRPr="006D40F0">
        <w:t>Kostnadsramme for brukerutstyrsprosjektet i Norsk havteknologisenter</w:t>
      </w:r>
    </w:p>
    <w:p w14:paraId="01E58DFB" w14:textId="77777777" w:rsidR="00575AC3" w:rsidRPr="006D40F0" w:rsidRDefault="00575AC3" w:rsidP="006D40F0">
      <w:r w:rsidRPr="006D40F0">
        <w:t>Stortinget samtykker i at Nærings- og fiskeridepartementet gis fullmakt til å øke kostnadsrammen for brukerutstyrsprosjektet i Norsk havteknologisenter med 459 mill. kroner til 5 376 mill. kroner.</w:t>
      </w:r>
    </w:p>
    <w:p w14:paraId="5E848982" w14:textId="77777777" w:rsidR="00575AC3" w:rsidRPr="006D40F0" w:rsidRDefault="00575AC3" w:rsidP="006D40F0">
      <w:pPr>
        <w:pStyle w:val="a-vedtak-del"/>
      </w:pPr>
      <w:r w:rsidRPr="006D40F0">
        <w:t>XXXV</w:t>
      </w:r>
    </w:p>
    <w:p w14:paraId="1D9C2A54" w14:textId="77777777" w:rsidR="00575AC3" w:rsidRPr="006D40F0" w:rsidRDefault="00575AC3" w:rsidP="006D40F0">
      <w:pPr>
        <w:pStyle w:val="a-vedtak-tekst"/>
      </w:pPr>
      <w:r w:rsidRPr="006D40F0">
        <w:t>Stikkordsfullmakt</w:t>
      </w:r>
    </w:p>
    <w:p w14:paraId="0B10AACA" w14:textId="77777777" w:rsidR="00575AC3" w:rsidRPr="006D40F0" w:rsidRDefault="00575AC3" w:rsidP="006D40F0">
      <w:r w:rsidRPr="006D40F0">
        <w:t>Stortinget samtykker i at Landbruks- og matdepartementet i 2024 kan tilføye stikkordet «kan overføres» til bevilgningen under kap. 1152 Bionova, post 70 Tilskudd til bioøkonomi og klimatiltak i jordbruket.</w:t>
      </w:r>
    </w:p>
    <w:p w14:paraId="1974CBCC" w14:textId="77777777" w:rsidR="00575AC3" w:rsidRPr="006D40F0" w:rsidRDefault="00575AC3" w:rsidP="006D40F0">
      <w:pPr>
        <w:pStyle w:val="a-vedtak-del"/>
      </w:pPr>
      <w:r w:rsidRPr="006D40F0">
        <w:t>XXXVI</w:t>
      </w:r>
    </w:p>
    <w:p w14:paraId="30BAFE5E" w14:textId="77777777" w:rsidR="00575AC3" w:rsidRPr="006D40F0" w:rsidRDefault="00575AC3" w:rsidP="006D40F0">
      <w:pPr>
        <w:pStyle w:val="a-vedtak-tekst"/>
      </w:pPr>
      <w:r w:rsidRPr="006D40F0">
        <w:lastRenderedPageBreak/>
        <w:t>Stikkordsfullmakt</w:t>
      </w:r>
    </w:p>
    <w:p w14:paraId="10BD2AE7" w14:textId="77777777" w:rsidR="00575AC3" w:rsidRPr="006D40F0" w:rsidRDefault="00575AC3" w:rsidP="006D40F0">
      <w:r w:rsidRPr="006D40F0">
        <w:t>Stortinget samtykker i at Samferdselsdepartementet i 2024 kan tilføye stikkordet «kan nyttes under post 22» til bevilgningen under kap. 1320 Statens vegvesen, post 29 OPS-prosjekter.</w:t>
      </w:r>
    </w:p>
    <w:p w14:paraId="44238FB9" w14:textId="77777777" w:rsidR="00575AC3" w:rsidRPr="006D40F0" w:rsidRDefault="00575AC3" w:rsidP="006D40F0">
      <w:pPr>
        <w:pStyle w:val="a-vedtak-del"/>
      </w:pPr>
      <w:r w:rsidRPr="006D40F0">
        <w:t>XXXVII</w:t>
      </w:r>
    </w:p>
    <w:p w14:paraId="234D81B4" w14:textId="77777777" w:rsidR="00575AC3" w:rsidRPr="006D40F0" w:rsidRDefault="00575AC3" w:rsidP="006D40F0">
      <w:pPr>
        <w:pStyle w:val="a-vedtak-tekst"/>
      </w:pPr>
      <w:r w:rsidRPr="006D40F0">
        <w:t>Fullmakt til å nettoføre i statsregnskapet og postere mot mellomværet med statskassen</w:t>
      </w:r>
    </w:p>
    <w:p w14:paraId="6F759388" w14:textId="77777777" w:rsidR="00575AC3" w:rsidRPr="006D40F0" w:rsidRDefault="00575AC3" w:rsidP="006D40F0">
      <w:r w:rsidRPr="006D40F0">
        <w:t>Stortinget samtykker i at Samferdselsdepartementet i 2024 kan gi Statens vegvesen fullmakt til å:</w:t>
      </w:r>
    </w:p>
    <w:p w14:paraId="0CA9AAA4" w14:textId="77777777" w:rsidR="00575AC3" w:rsidRPr="006D40F0" w:rsidRDefault="00575AC3" w:rsidP="006D40F0">
      <w:pPr>
        <w:pStyle w:val="friliste"/>
      </w:pPr>
      <w:r w:rsidRPr="006D40F0">
        <w:t>1.</w:t>
      </w:r>
      <w:r w:rsidRPr="006D40F0">
        <w:tab/>
        <w:t>nettoføre innbetalte midler fra bompengeselskap og tilskudd fra eksterne til riksveiprosjekter på kap. 1320, post 01 Driftsutgifter, post 29 OPS-prosjekter og 30 Riksveiinvesteringer. For kap. 1320, post 01 gjelder fullmakten utgifter i forbindelse med utvikling av innkrevingssystem for bompenger.</w:t>
      </w:r>
    </w:p>
    <w:p w14:paraId="64040E26" w14:textId="77777777" w:rsidR="00575AC3" w:rsidRPr="006D40F0" w:rsidRDefault="00575AC3" w:rsidP="006D40F0">
      <w:pPr>
        <w:pStyle w:val="friliste"/>
      </w:pPr>
      <w:r w:rsidRPr="006D40F0">
        <w:t>2.</w:t>
      </w:r>
      <w:r w:rsidRPr="006D40F0">
        <w:tab/>
        <w:t>føre i mellomværet med statskassen overskytende bompenger frem til de blir brukt og blir nettoført på kap. 1320, post 30 Riksveiinvesteringer.</w:t>
      </w:r>
    </w:p>
    <w:p w14:paraId="0A9FA6F8" w14:textId="77777777" w:rsidR="00575AC3" w:rsidRPr="006D40F0" w:rsidRDefault="00575AC3" w:rsidP="006D40F0">
      <w:pPr>
        <w:pStyle w:val="a-vedtak-del"/>
      </w:pPr>
      <w:r w:rsidRPr="006D40F0">
        <w:t>XXXVIII</w:t>
      </w:r>
    </w:p>
    <w:p w14:paraId="29D51F6F" w14:textId="77777777" w:rsidR="00575AC3" w:rsidRPr="006D40F0" w:rsidRDefault="00575AC3" w:rsidP="006D40F0">
      <w:pPr>
        <w:pStyle w:val="a-vedtak-tekst"/>
      </w:pPr>
      <w:r w:rsidRPr="006D40F0">
        <w:t>Restverdisikring for eksisterende materiell, oppgraderinger av eksisterende materiell og investeringer i nytt materiell</w:t>
      </w:r>
    </w:p>
    <w:p w14:paraId="7023A6A9" w14:textId="77777777" w:rsidR="00575AC3" w:rsidRPr="006D40F0" w:rsidRDefault="00575AC3" w:rsidP="006D40F0">
      <w:r w:rsidRPr="006D40F0">
        <w:t>Stortinget samtykker i at Samferdselsdepartementet i 2024 for det togmateriellet som inngår i statens kjøp av persontransporttjenester med tog på kap. 1352 Jernbanedirektoratet, post 70 Kjøp av persontransport med tog, kan:</w:t>
      </w:r>
    </w:p>
    <w:p w14:paraId="22BD8A39" w14:textId="77777777" w:rsidR="00575AC3" w:rsidRPr="006D40F0" w:rsidRDefault="00575AC3" w:rsidP="006D40F0">
      <w:pPr>
        <w:pStyle w:val="friliste"/>
      </w:pPr>
      <w:r w:rsidRPr="006D40F0">
        <w:t>a.</w:t>
      </w:r>
      <w:r w:rsidRPr="006D40F0">
        <w:tab/>
        <w:t>gi en restverdigaranti for bokførte verdier på inntil 7 680 mill. kroner</w:t>
      </w:r>
    </w:p>
    <w:p w14:paraId="5C6C64AD" w14:textId="77777777" w:rsidR="00575AC3" w:rsidRPr="006D40F0" w:rsidRDefault="00575AC3" w:rsidP="006D40F0">
      <w:pPr>
        <w:pStyle w:val="friliste"/>
      </w:pPr>
      <w:r w:rsidRPr="006D40F0">
        <w:t>b.</w:t>
      </w:r>
      <w:r w:rsidRPr="006D40F0">
        <w:tab/>
        <w:t>gi ytterligere restverdigaranti til oppgraderinger og nyinvesteringer innenfor en ramme på inntil 14 690 mill. kroner.</w:t>
      </w:r>
    </w:p>
    <w:p w14:paraId="455F34FD" w14:textId="77777777" w:rsidR="00575AC3" w:rsidRPr="006D40F0" w:rsidRDefault="00575AC3" w:rsidP="006D40F0">
      <w:r w:rsidRPr="006D40F0">
        <w:t>Det legges til grunn 75 pst. restverdigaranti.</w:t>
      </w:r>
    </w:p>
    <w:p w14:paraId="70809637" w14:textId="77777777" w:rsidR="00575AC3" w:rsidRPr="006D40F0" w:rsidRDefault="00575AC3" w:rsidP="006D40F0">
      <w:pPr>
        <w:pStyle w:val="a-vedtak-del"/>
      </w:pPr>
      <w:r w:rsidRPr="006D40F0">
        <w:t>XXXIX</w:t>
      </w:r>
    </w:p>
    <w:p w14:paraId="100FA0B0" w14:textId="77777777" w:rsidR="00575AC3" w:rsidRPr="006D40F0" w:rsidRDefault="00575AC3" w:rsidP="006D40F0">
      <w:pPr>
        <w:pStyle w:val="a-vedtak-tekst"/>
      </w:pPr>
      <w:r w:rsidRPr="006D40F0">
        <w:t>Stikkordsfullmakt</w:t>
      </w:r>
    </w:p>
    <w:p w14:paraId="42943835" w14:textId="77777777" w:rsidR="00575AC3" w:rsidRPr="006D40F0" w:rsidRDefault="00575AC3" w:rsidP="006D40F0">
      <w:r w:rsidRPr="006D40F0">
        <w:t>Stortinget samtykker i at Klima- og miljødepartementet i 2024 kan tilføye stikkordet «kan overføres» til bevilgningen under kap. 1420 Miljødirektoratet, post 60 Tilskudd til ivaretakelse av naturmangfold i kommuneplanlegging.</w:t>
      </w:r>
    </w:p>
    <w:p w14:paraId="4B3D32E7" w14:textId="77777777" w:rsidR="00575AC3" w:rsidRPr="006D40F0" w:rsidRDefault="00575AC3" w:rsidP="006D40F0">
      <w:pPr>
        <w:pStyle w:val="a-vedtak-del"/>
      </w:pPr>
      <w:r w:rsidRPr="006D40F0">
        <w:t>XL</w:t>
      </w:r>
    </w:p>
    <w:p w14:paraId="05D6A61B" w14:textId="77777777" w:rsidR="00575AC3" w:rsidRPr="006D40F0" w:rsidRDefault="00575AC3" w:rsidP="006D40F0">
      <w:pPr>
        <w:pStyle w:val="a-vedtak-tekst"/>
      </w:pPr>
      <w:r w:rsidRPr="006D40F0">
        <w:t>Justering av kostnadsrammen for nytt Livsvitenskapsbygg</w:t>
      </w:r>
    </w:p>
    <w:p w14:paraId="16AF19A6" w14:textId="77777777" w:rsidR="00575AC3" w:rsidRPr="006D40F0" w:rsidRDefault="00575AC3" w:rsidP="006D40F0">
      <w:r w:rsidRPr="006D40F0">
        <w:t>Stortinget samtykker i at Digitaliserings- og forvaltningsdepartementet kan justere kostnadsrammen i byggeprosjektet nytt Livsvitenskapsbygg for valutakursendringer i 2024 og senere år. Ny kostnadsramme utgjør etter dette 13 091 mill. kroner basert på valutakurs av 29. desember 2023.</w:t>
      </w:r>
    </w:p>
    <w:p w14:paraId="4BEE2026" w14:textId="77777777" w:rsidR="00575AC3" w:rsidRPr="006D40F0" w:rsidRDefault="00575AC3" w:rsidP="006D40F0">
      <w:pPr>
        <w:pStyle w:val="vedlegg-nr"/>
      </w:pPr>
    </w:p>
    <w:p w14:paraId="0954377C" w14:textId="77777777" w:rsidR="00575AC3" w:rsidRPr="006D40F0" w:rsidRDefault="00575AC3" w:rsidP="006D40F0">
      <w:pPr>
        <w:pStyle w:val="vedlegg-tit"/>
      </w:pPr>
      <w:r w:rsidRPr="006D40F0">
        <w:t>Endringer etter saldert budsjett, utgifter</w:t>
      </w:r>
    </w:p>
    <w:p w14:paraId="7EE1562D" w14:textId="77777777" w:rsidR="00575AC3" w:rsidRPr="006D40F0" w:rsidRDefault="00575AC3" w:rsidP="006D40F0">
      <w:pPr>
        <w:pStyle w:val="Tabellnavn"/>
      </w:pPr>
      <w:r w:rsidRPr="006D40F0">
        <w:t>07N2xt2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60"/>
        <w:gridCol w:w="1080"/>
        <w:gridCol w:w="1220"/>
        <w:gridCol w:w="1180"/>
      </w:tblGrid>
      <w:tr w:rsidR="00DD49A7" w:rsidRPr="006D40F0" w14:paraId="1D48499B" w14:textId="77777777">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25B3FD27" w14:textId="77777777" w:rsidR="00575AC3" w:rsidRPr="006D40F0" w:rsidRDefault="00575AC3" w:rsidP="006D40F0"/>
        </w:tc>
        <w:tc>
          <w:tcPr>
            <w:tcW w:w="540" w:type="dxa"/>
            <w:tcBorders>
              <w:top w:val="nil"/>
              <w:left w:val="nil"/>
              <w:bottom w:val="single" w:sz="4" w:space="0" w:color="000000"/>
              <w:right w:val="nil"/>
            </w:tcBorders>
            <w:tcMar>
              <w:top w:w="128" w:type="dxa"/>
              <w:left w:w="43" w:type="dxa"/>
              <w:bottom w:w="43" w:type="dxa"/>
              <w:right w:w="43" w:type="dxa"/>
            </w:tcMar>
            <w:vAlign w:val="bottom"/>
          </w:tcPr>
          <w:p w14:paraId="05037DF0" w14:textId="77777777" w:rsidR="00575AC3" w:rsidRPr="006D40F0" w:rsidRDefault="00575AC3" w:rsidP="006D40F0"/>
        </w:tc>
        <w:tc>
          <w:tcPr>
            <w:tcW w:w="4000" w:type="dxa"/>
            <w:tcBorders>
              <w:top w:val="nil"/>
              <w:left w:val="nil"/>
              <w:bottom w:val="single" w:sz="4" w:space="0" w:color="000000"/>
              <w:right w:val="nil"/>
            </w:tcBorders>
            <w:tcMar>
              <w:top w:w="128" w:type="dxa"/>
              <w:left w:w="43" w:type="dxa"/>
              <w:bottom w:w="43" w:type="dxa"/>
              <w:right w:w="43" w:type="dxa"/>
            </w:tcMar>
            <w:vAlign w:val="bottom"/>
          </w:tcPr>
          <w:p w14:paraId="72031F93" w14:textId="77777777" w:rsidR="00575AC3" w:rsidRPr="006D40F0" w:rsidRDefault="00575AC3" w:rsidP="006D40F0"/>
        </w:tc>
        <w:tc>
          <w:tcPr>
            <w:tcW w:w="1160" w:type="dxa"/>
            <w:tcBorders>
              <w:top w:val="nil"/>
              <w:left w:val="nil"/>
              <w:bottom w:val="single" w:sz="4" w:space="0" w:color="000000"/>
              <w:right w:val="nil"/>
            </w:tcBorders>
            <w:tcMar>
              <w:top w:w="128" w:type="dxa"/>
              <w:left w:w="43" w:type="dxa"/>
              <w:bottom w:w="43" w:type="dxa"/>
              <w:right w:w="43" w:type="dxa"/>
            </w:tcMar>
            <w:vAlign w:val="bottom"/>
          </w:tcPr>
          <w:p w14:paraId="7CDF3DDD" w14:textId="77777777" w:rsidR="00575AC3" w:rsidRPr="006D40F0" w:rsidRDefault="00575AC3" w:rsidP="006D40F0"/>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B55440B" w14:textId="77777777" w:rsidR="00575AC3" w:rsidRPr="006D40F0" w:rsidRDefault="00575AC3" w:rsidP="006D40F0"/>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1201E1B" w14:textId="77777777" w:rsidR="00575AC3" w:rsidRPr="006D40F0" w:rsidRDefault="00575AC3" w:rsidP="006D40F0"/>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82FCFEB" w14:textId="77777777" w:rsidR="00575AC3" w:rsidRPr="006D40F0" w:rsidRDefault="00575AC3" w:rsidP="006D40F0">
            <w:r w:rsidRPr="006D40F0">
              <w:t>1 000 kroner</w:t>
            </w:r>
          </w:p>
        </w:tc>
      </w:tr>
      <w:tr w:rsidR="00DD49A7" w:rsidRPr="006D40F0" w14:paraId="35581EBC" w14:textId="77777777">
        <w:trPr>
          <w:trHeight w:val="112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3C93F9" w14:textId="77777777" w:rsidR="00575AC3" w:rsidRPr="006D40F0" w:rsidRDefault="00575AC3" w:rsidP="006D40F0">
            <w:r w:rsidRPr="006D40F0">
              <w:t>Kap.</w:t>
            </w: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05C167" w14:textId="77777777" w:rsidR="00575AC3" w:rsidRPr="006D40F0" w:rsidRDefault="00575AC3" w:rsidP="006D40F0">
            <w:r w:rsidRPr="006D40F0">
              <w:t>Post</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D94F55" w14:textId="77777777" w:rsidR="00575AC3" w:rsidRPr="006D40F0" w:rsidRDefault="00575AC3" w:rsidP="006D40F0">
            <w:r w:rsidRPr="006D40F0">
              <w:t>Formål</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AC52B39" w14:textId="77777777" w:rsidR="00575AC3" w:rsidRPr="006D40F0" w:rsidRDefault="00575AC3" w:rsidP="006D40F0">
            <w:r w:rsidRPr="006D40F0">
              <w:t>Saldert budsjett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17FE26" w14:textId="77777777" w:rsidR="00575AC3" w:rsidRPr="006D40F0" w:rsidRDefault="00575AC3" w:rsidP="006D40F0">
            <w:r w:rsidRPr="006D40F0">
              <w:t>Endringer foreslått i perioden</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7DECD7" w14:textId="77777777" w:rsidR="00575AC3" w:rsidRPr="006D40F0" w:rsidRDefault="00575AC3" w:rsidP="006D40F0">
            <w:r w:rsidRPr="006D40F0">
              <w:t>Endringer foreslått i denne proposisjonen</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F3E9AA" w14:textId="77777777" w:rsidR="00575AC3" w:rsidRPr="006D40F0" w:rsidRDefault="00575AC3" w:rsidP="006D40F0">
            <w:r w:rsidRPr="006D40F0">
              <w:t>Status etter endringen</w:t>
            </w:r>
          </w:p>
        </w:tc>
      </w:tr>
      <w:tr w:rsidR="00DD49A7" w:rsidRPr="006D40F0" w14:paraId="074B85A3"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109FF56E" w14:textId="77777777" w:rsidR="00575AC3" w:rsidRPr="006D40F0" w:rsidRDefault="00575AC3" w:rsidP="006D40F0">
            <w:r w:rsidRPr="006D40F0">
              <w:t>21</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63973C59" w14:textId="77777777" w:rsidR="00575AC3" w:rsidRPr="006D40F0" w:rsidRDefault="00575AC3" w:rsidP="006D40F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3BF315CC" w14:textId="77777777" w:rsidR="00575AC3" w:rsidRPr="006D40F0" w:rsidRDefault="00575AC3" w:rsidP="006D40F0">
            <w:r w:rsidRPr="006D40F0">
              <w:t>Statsrådet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798096C" w14:textId="77777777" w:rsidR="00575AC3" w:rsidRPr="006D40F0" w:rsidRDefault="00575AC3" w:rsidP="006D40F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1EAE7E08" w14:textId="77777777" w:rsidR="00575AC3" w:rsidRPr="006D40F0" w:rsidRDefault="00575AC3" w:rsidP="006D40F0"/>
        </w:tc>
        <w:tc>
          <w:tcPr>
            <w:tcW w:w="122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2725ADE2" w14:textId="77777777" w:rsidR="00575AC3" w:rsidRPr="006D40F0" w:rsidRDefault="00575AC3" w:rsidP="006D40F0"/>
        </w:tc>
        <w:tc>
          <w:tcPr>
            <w:tcW w:w="11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6B8C7AAF" w14:textId="77777777" w:rsidR="00575AC3" w:rsidRPr="006D40F0" w:rsidRDefault="00575AC3" w:rsidP="006D40F0"/>
        </w:tc>
      </w:tr>
      <w:tr w:rsidR="00DD49A7" w:rsidRPr="006D40F0" w14:paraId="70FAA61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526DA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452BF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B427C0"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5D11B" w14:textId="77777777" w:rsidR="00575AC3" w:rsidRPr="006D40F0" w:rsidRDefault="00575AC3" w:rsidP="006D40F0">
            <w:r w:rsidRPr="006D40F0">
              <w:t>180 299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13E94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E914EB" w14:textId="77777777" w:rsidR="00575AC3" w:rsidRPr="006D40F0" w:rsidRDefault="00575AC3" w:rsidP="006D40F0">
            <w:r w:rsidRPr="006D40F0">
              <w:t>12 000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46A30" w14:textId="77777777" w:rsidR="00575AC3" w:rsidRPr="006D40F0" w:rsidRDefault="00575AC3" w:rsidP="006D40F0">
            <w:r w:rsidRPr="006D40F0">
              <w:t>192 299</w:t>
            </w:r>
          </w:p>
        </w:tc>
      </w:tr>
      <w:tr w:rsidR="00DD49A7" w:rsidRPr="006D40F0" w14:paraId="2AD1BF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C223CE" w14:textId="77777777" w:rsidR="00575AC3" w:rsidRPr="006D40F0" w:rsidRDefault="00575AC3" w:rsidP="006D40F0">
            <w:r w:rsidRPr="006D40F0">
              <w:t>24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E48E3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31DCC2" w14:textId="77777777" w:rsidR="00575AC3" w:rsidRPr="006D40F0" w:rsidRDefault="00575AC3" w:rsidP="006D40F0">
            <w:r w:rsidRPr="006D40F0">
              <w:t>Regjeringsadvokaten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EEB81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1964B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9547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B05FE" w14:textId="77777777" w:rsidR="00575AC3" w:rsidRPr="006D40F0" w:rsidRDefault="00575AC3" w:rsidP="006D40F0"/>
        </w:tc>
      </w:tr>
      <w:tr w:rsidR="00DD49A7" w:rsidRPr="006D40F0" w14:paraId="36392E58"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BA511F7"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6AF0986"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40D1685" w14:textId="77777777" w:rsidR="00575AC3" w:rsidRPr="006D40F0" w:rsidRDefault="00575AC3" w:rsidP="006D40F0">
            <w:r w:rsidRPr="006D40F0">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25D90A" w14:textId="77777777" w:rsidR="00575AC3" w:rsidRPr="006D40F0" w:rsidRDefault="00575AC3" w:rsidP="006D40F0">
            <w:r w:rsidRPr="006D40F0">
              <w:t>119 438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041D9C"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0F0E6BB" w14:textId="77777777" w:rsidR="00575AC3" w:rsidRPr="006D40F0" w:rsidRDefault="00575AC3" w:rsidP="006D40F0">
            <w:r w:rsidRPr="006D40F0">
              <w:t>3 800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D04D7B" w14:textId="77777777" w:rsidR="00575AC3" w:rsidRPr="006D40F0" w:rsidRDefault="00575AC3" w:rsidP="006D40F0">
            <w:r w:rsidRPr="006D40F0">
              <w:t>123 238</w:t>
            </w:r>
          </w:p>
        </w:tc>
      </w:tr>
      <w:tr w:rsidR="00DD49A7" w:rsidRPr="006D40F0" w14:paraId="2085D93F"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AB3AFF6" w14:textId="77777777" w:rsidR="00575AC3" w:rsidRPr="006D40F0" w:rsidRDefault="00575AC3" w:rsidP="006D40F0">
            <w:r w:rsidRPr="006D40F0">
              <w:t>Sum endringer Regjeringen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72452F"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D50D97"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773AD0" w14:textId="77777777" w:rsidR="00575AC3" w:rsidRPr="006D40F0" w:rsidRDefault="00575AC3" w:rsidP="006D40F0">
            <w:r w:rsidRPr="006D40F0">
              <w:t>15 800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18190C" w14:textId="77777777" w:rsidR="00575AC3" w:rsidRPr="006D40F0" w:rsidRDefault="00575AC3" w:rsidP="006D40F0"/>
        </w:tc>
      </w:tr>
      <w:tr w:rsidR="00DD49A7" w:rsidRPr="006D40F0" w14:paraId="1C93A35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EC1157" w14:textId="77777777" w:rsidR="00575AC3" w:rsidRPr="006D40F0" w:rsidRDefault="00575AC3" w:rsidP="006D40F0">
            <w:r w:rsidRPr="006D40F0">
              <w:t>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620D1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9C5CE8" w14:textId="77777777" w:rsidR="00575AC3" w:rsidRPr="006D40F0" w:rsidRDefault="00575AC3" w:rsidP="006D40F0">
            <w:r w:rsidRPr="006D40F0">
              <w:t>Stortinget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A503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7C931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3A55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8A8EC3" w14:textId="77777777" w:rsidR="00575AC3" w:rsidRPr="006D40F0" w:rsidRDefault="00575AC3" w:rsidP="006D40F0"/>
        </w:tc>
      </w:tr>
      <w:tr w:rsidR="00DD49A7" w:rsidRPr="006D40F0" w14:paraId="7895DC9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EED61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97154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617389B"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34BA1" w14:textId="77777777" w:rsidR="00575AC3" w:rsidRPr="006D40F0" w:rsidRDefault="00575AC3" w:rsidP="006D40F0">
            <w:r w:rsidRPr="006D40F0">
              <w:t>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D9379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37002A" w14:textId="77777777" w:rsidR="00575AC3" w:rsidRPr="006D40F0" w:rsidRDefault="00575AC3" w:rsidP="006D40F0">
            <w:r w:rsidRPr="006D40F0">
              <w:t>613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0E1059" w14:textId="77777777" w:rsidR="00575AC3" w:rsidRPr="006D40F0" w:rsidRDefault="00575AC3" w:rsidP="006D40F0">
            <w:r w:rsidRPr="006D40F0">
              <w:t>1 413</w:t>
            </w:r>
          </w:p>
        </w:tc>
      </w:tr>
      <w:tr w:rsidR="00DD49A7" w:rsidRPr="006D40F0" w14:paraId="1AC6CF7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3BAB1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204025"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497F4B" w14:textId="77777777" w:rsidR="00575AC3" w:rsidRPr="006D40F0" w:rsidRDefault="00575AC3" w:rsidP="006D40F0">
            <w:r w:rsidRPr="006D40F0">
              <w:t xml:space="preserve">Reisetilskudd til skoler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52E66" w14:textId="77777777" w:rsidR="00575AC3" w:rsidRPr="006D40F0" w:rsidRDefault="00575AC3" w:rsidP="006D40F0">
            <w:r w:rsidRPr="006D40F0">
              <w:t>5 800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F1C3D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2DF34" w14:textId="77777777" w:rsidR="00575AC3" w:rsidRPr="006D40F0" w:rsidRDefault="00575AC3" w:rsidP="006D40F0">
            <w:r w:rsidRPr="006D40F0">
              <w:t>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9C566" w14:textId="77777777" w:rsidR="00575AC3" w:rsidRPr="006D40F0" w:rsidRDefault="00575AC3" w:rsidP="006D40F0">
            <w:r w:rsidRPr="006D40F0">
              <w:t>6 300</w:t>
            </w:r>
          </w:p>
        </w:tc>
      </w:tr>
      <w:tr w:rsidR="00DD49A7" w:rsidRPr="006D40F0" w14:paraId="37F2750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11FA45" w14:textId="77777777" w:rsidR="00575AC3" w:rsidRPr="006D40F0" w:rsidRDefault="00575AC3" w:rsidP="006D40F0">
            <w:r w:rsidRPr="006D40F0">
              <w:t>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BB147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0BF1B1" w14:textId="77777777" w:rsidR="00575AC3" w:rsidRPr="006D40F0" w:rsidRDefault="00575AC3" w:rsidP="006D40F0">
            <w:r w:rsidRPr="006D40F0">
              <w:t>Norges institusjon for menneskerettigheter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3E77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2D99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1E27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C92DE4" w14:textId="77777777" w:rsidR="00575AC3" w:rsidRPr="006D40F0" w:rsidRDefault="00575AC3" w:rsidP="006D40F0"/>
        </w:tc>
      </w:tr>
      <w:tr w:rsidR="00DD49A7" w:rsidRPr="006D40F0" w14:paraId="49D7B2B0"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B811271"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1AD6506"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4096748" w14:textId="77777777" w:rsidR="00575AC3" w:rsidRPr="006D40F0" w:rsidRDefault="00575AC3" w:rsidP="006D40F0">
            <w:r w:rsidRPr="006D40F0">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CBEF4C" w14:textId="77777777" w:rsidR="00575AC3" w:rsidRPr="006D40F0" w:rsidRDefault="00575AC3" w:rsidP="006D40F0">
            <w:r w:rsidRPr="006D40F0">
              <w:t>28 500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5A83503"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069E6B" w14:textId="77777777" w:rsidR="00575AC3" w:rsidRPr="006D40F0" w:rsidRDefault="00575AC3" w:rsidP="006D40F0">
            <w:r w:rsidRPr="006D40F0">
              <w:t>753</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5F818AE" w14:textId="77777777" w:rsidR="00575AC3" w:rsidRPr="006D40F0" w:rsidRDefault="00575AC3" w:rsidP="006D40F0">
            <w:r w:rsidRPr="006D40F0">
              <w:t>29 253</w:t>
            </w:r>
          </w:p>
        </w:tc>
      </w:tr>
      <w:tr w:rsidR="00DD49A7" w:rsidRPr="006D40F0" w14:paraId="11018C89"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2EEE978" w14:textId="77777777" w:rsidR="00575AC3" w:rsidRPr="006D40F0" w:rsidRDefault="00575AC3" w:rsidP="006D40F0">
            <w:r w:rsidRPr="006D40F0">
              <w:t>Sum endringer Stortinget og eksterne organer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7F9123"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EFBEF7"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7DB5A3" w14:textId="77777777" w:rsidR="00575AC3" w:rsidRPr="006D40F0" w:rsidRDefault="00575AC3" w:rsidP="006D40F0">
            <w:r w:rsidRPr="006D40F0">
              <w:t>1 866</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BAE18FD" w14:textId="77777777" w:rsidR="00575AC3" w:rsidRPr="006D40F0" w:rsidRDefault="00575AC3" w:rsidP="006D40F0"/>
        </w:tc>
      </w:tr>
      <w:tr w:rsidR="00DD49A7" w:rsidRPr="006D40F0" w14:paraId="428217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792988" w14:textId="77777777" w:rsidR="00575AC3" w:rsidRPr="006D40F0" w:rsidRDefault="00575AC3" w:rsidP="006D40F0">
            <w:r w:rsidRPr="006D40F0">
              <w:t>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3AFE0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2F3DAA" w14:textId="77777777" w:rsidR="00575AC3" w:rsidRPr="006D40F0" w:rsidRDefault="00575AC3" w:rsidP="006D40F0">
            <w:r w:rsidRPr="006D40F0">
              <w:t>Høyesterett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5D59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37E82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2838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BA33B" w14:textId="77777777" w:rsidR="00575AC3" w:rsidRPr="006D40F0" w:rsidRDefault="00575AC3" w:rsidP="006D40F0"/>
        </w:tc>
      </w:tr>
      <w:tr w:rsidR="00DD49A7" w:rsidRPr="006D40F0" w14:paraId="41CC63F7"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3CE65A6"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01E5A95"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785F8B1" w14:textId="77777777" w:rsidR="00575AC3" w:rsidRPr="006D40F0" w:rsidRDefault="00575AC3" w:rsidP="006D40F0">
            <w:r w:rsidRPr="006D40F0">
              <w:t xml:space="preserve">Driftsutgifter, </w:t>
            </w:r>
            <w:r w:rsidRPr="00575AC3">
              <w:rPr>
                <w:rStyle w:val="kursiv"/>
              </w:rPr>
              <w:t>kan nyttes under kap. 410, post 1 og kap. 411, post 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A2942A" w14:textId="77777777" w:rsidR="00575AC3" w:rsidRPr="006D40F0" w:rsidRDefault="00575AC3" w:rsidP="006D40F0">
            <w:r w:rsidRPr="006D40F0">
              <w:t>137 706</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1ADE61"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AD22840" w14:textId="77777777" w:rsidR="00575AC3" w:rsidRPr="006D40F0" w:rsidRDefault="00575AC3" w:rsidP="006D40F0">
            <w:r w:rsidRPr="006D40F0">
              <w:t>4 300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5EE037" w14:textId="77777777" w:rsidR="00575AC3" w:rsidRPr="006D40F0" w:rsidRDefault="00575AC3" w:rsidP="006D40F0">
            <w:r w:rsidRPr="006D40F0">
              <w:t>142 006</w:t>
            </w:r>
          </w:p>
        </w:tc>
      </w:tr>
      <w:tr w:rsidR="00DD49A7" w:rsidRPr="006D40F0" w14:paraId="69C472D2"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923C73B" w14:textId="77777777" w:rsidR="00575AC3" w:rsidRPr="006D40F0" w:rsidRDefault="00575AC3" w:rsidP="006D40F0">
            <w:r w:rsidRPr="006D40F0">
              <w:t>Sum endringer Høyesterett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C9F0DBB"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DE9CF9"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38AE5C" w14:textId="77777777" w:rsidR="00575AC3" w:rsidRPr="006D40F0" w:rsidRDefault="00575AC3" w:rsidP="006D40F0">
            <w:r w:rsidRPr="006D40F0">
              <w:t>4 300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85D836" w14:textId="77777777" w:rsidR="00575AC3" w:rsidRPr="006D40F0" w:rsidRDefault="00575AC3" w:rsidP="006D40F0"/>
        </w:tc>
      </w:tr>
      <w:tr w:rsidR="00DD49A7" w:rsidRPr="006D40F0" w14:paraId="659503B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75CF03" w14:textId="77777777" w:rsidR="00575AC3" w:rsidRPr="006D40F0" w:rsidRDefault="00575AC3" w:rsidP="006D40F0">
            <w:r w:rsidRPr="006D40F0">
              <w:t>100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936F1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18DC3B" w14:textId="77777777" w:rsidR="00575AC3" w:rsidRPr="006D40F0" w:rsidRDefault="00575AC3" w:rsidP="006D40F0">
            <w:r w:rsidRPr="006D40F0">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5A35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182DA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9B37F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F5E64" w14:textId="77777777" w:rsidR="00575AC3" w:rsidRPr="006D40F0" w:rsidRDefault="00575AC3" w:rsidP="006D40F0"/>
        </w:tc>
      </w:tr>
      <w:tr w:rsidR="00DD49A7" w:rsidRPr="006D40F0" w14:paraId="021B4D2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BD223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D7109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A464EB" w14:textId="77777777" w:rsidR="00575AC3" w:rsidRPr="006D40F0" w:rsidRDefault="00575AC3" w:rsidP="006D40F0">
            <w:r w:rsidRPr="006D40F0">
              <w:t xml:space="preserve">Driftsutgifter, </w:t>
            </w:r>
            <w:r w:rsidRPr="00575AC3">
              <w:rPr>
                <w:rStyle w:val="kursiv"/>
              </w:rPr>
              <w:t>kan nyttes under kap. 140,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07312" w14:textId="77777777" w:rsidR="00575AC3" w:rsidRPr="006D40F0" w:rsidRDefault="00575AC3" w:rsidP="006D40F0">
            <w:r w:rsidRPr="006D40F0">
              <w:t>2 835 245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B625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C9680B" w14:textId="77777777" w:rsidR="00575AC3" w:rsidRPr="006D40F0" w:rsidRDefault="00575AC3" w:rsidP="006D40F0">
            <w:r w:rsidRPr="006D40F0">
              <w:t>-975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A95B2B" w14:textId="77777777" w:rsidR="00575AC3" w:rsidRPr="006D40F0" w:rsidRDefault="00575AC3" w:rsidP="006D40F0">
            <w:r w:rsidRPr="006D40F0">
              <w:t>2 834 270</w:t>
            </w:r>
          </w:p>
        </w:tc>
      </w:tr>
      <w:tr w:rsidR="00DD49A7" w:rsidRPr="006D40F0" w14:paraId="74A2AC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6A898F" w14:textId="77777777" w:rsidR="00575AC3" w:rsidRPr="006D40F0" w:rsidRDefault="00575AC3" w:rsidP="006D40F0">
            <w:r w:rsidRPr="006D40F0">
              <w:t>103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2C10F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9482D2" w14:textId="77777777" w:rsidR="00575AC3" w:rsidRPr="006D40F0" w:rsidRDefault="00575AC3" w:rsidP="006D40F0">
            <w:r w:rsidRPr="006D40F0">
              <w:t>Regjeringens representasjon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B5BA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7D35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3508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150D0E" w14:textId="77777777" w:rsidR="00575AC3" w:rsidRPr="006D40F0" w:rsidRDefault="00575AC3" w:rsidP="006D40F0"/>
        </w:tc>
      </w:tr>
      <w:tr w:rsidR="00DD49A7" w:rsidRPr="006D40F0" w14:paraId="1AE6C10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CFDE8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99AFC0"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F81B2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35E502" w14:textId="77777777" w:rsidR="00575AC3" w:rsidRPr="006D40F0" w:rsidRDefault="00575AC3" w:rsidP="006D40F0">
            <w:r w:rsidRPr="006D40F0">
              <w:t>55 800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F48A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B32115"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90A8D" w14:textId="77777777" w:rsidR="00575AC3" w:rsidRPr="006D40F0" w:rsidRDefault="00575AC3" w:rsidP="006D40F0">
            <w:r w:rsidRPr="006D40F0">
              <w:t>58 800</w:t>
            </w:r>
          </w:p>
        </w:tc>
      </w:tr>
      <w:tr w:rsidR="00DD49A7" w:rsidRPr="006D40F0" w14:paraId="02E4BE3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880269" w14:textId="77777777" w:rsidR="00575AC3" w:rsidRPr="006D40F0" w:rsidRDefault="00575AC3" w:rsidP="006D40F0">
            <w:r w:rsidRPr="006D40F0">
              <w:t>104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D139F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AA92E3D" w14:textId="77777777" w:rsidR="00575AC3" w:rsidRPr="006D40F0" w:rsidRDefault="00575AC3" w:rsidP="006D40F0">
            <w:r w:rsidRPr="006D40F0">
              <w:t>Kongefamiliens offisielle reiser til utlandet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FC9E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08FE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DA91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CFA8D" w14:textId="77777777" w:rsidR="00575AC3" w:rsidRPr="006D40F0" w:rsidRDefault="00575AC3" w:rsidP="006D40F0"/>
        </w:tc>
      </w:tr>
      <w:tr w:rsidR="00DD49A7" w:rsidRPr="006D40F0" w14:paraId="024DBBC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628A1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58781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03CBC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D0E00" w14:textId="77777777" w:rsidR="00575AC3" w:rsidRPr="006D40F0" w:rsidRDefault="00575AC3" w:rsidP="006D40F0">
            <w:r w:rsidRPr="006D40F0">
              <w:t>11 255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EC9C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8F9E79"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BF773A" w14:textId="77777777" w:rsidR="00575AC3" w:rsidRPr="006D40F0" w:rsidRDefault="00575AC3" w:rsidP="006D40F0">
            <w:r w:rsidRPr="006D40F0">
              <w:t>8 255</w:t>
            </w:r>
          </w:p>
        </w:tc>
      </w:tr>
      <w:tr w:rsidR="00DD49A7" w:rsidRPr="006D40F0" w14:paraId="46FD24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2A3EC6" w14:textId="77777777" w:rsidR="00575AC3" w:rsidRPr="006D40F0" w:rsidRDefault="00575AC3" w:rsidP="006D40F0">
            <w:r w:rsidRPr="006D40F0">
              <w:t>115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B71E9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1CECDA" w14:textId="77777777" w:rsidR="00575AC3" w:rsidRPr="006D40F0" w:rsidRDefault="00575AC3" w:rsidP="006D40F0">
            <w:r w:rsidRPr="006D40F0">
              <w:t>Næringsfremme, kultur og informasjon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B7664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DB67A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24D59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233D8D" w14:textId="77777777" w:rsidR="00575AC3" w:rsidRPr="006D40F0" w:rsidRDefault="00575AC3" w:rsidP="006D40F0"/>
        </w:tc>
      </w:tr>
      <w:tr w:rsidR="00DD49A7" w:rsidRPr="006D40F0" w14:paraId="2DD8F54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6BAAD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85BEE3"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6F90115" w14:textId="0ED684C5" w:rsidR="00575AC3" w:rsidRPr="006D40F0" w:rsidRDefault="00575AC3" w:rsidP="006D40F0">
            <w:r w:rsidRPr="006D40F0">
              <w:t>Kultur- og informasjonsformål,</w:t>
            </w:r>
            <w:r w:rsidR="006D40F0">
              <w:t xml:space="preserve">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AB2459" w14:textId="77777777" w:rsidR="00575AC3" w:rsidRPr="006D40F0" w:rsidRDefault="00575AC3" w:rsidP="006D40F0">
            <w:r w:rsidRPr="006D40F0">
              <w:t>42 537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9E3A2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28EEFD" w14:textId="77777777" w:rsidR="00575AC3" w:rsidRPr="006D40F0" w:rsidRDefault="00575AC3" w:rsidP="006D40F0">
            <w:r w:rsidRPr="006D40F0">
              <w:t>2 100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52212" w14:textId="77777777" w:rsidR="00575AC3" w:rsidRPr="006D40F0" w:rsidRDefault="00575AC3" w:rsidP="006D40F0">
            <w:r w:rsidRPr="006D40F0">
              <w:t>44 637</w:t>
            </w:r>
          </w:p>
        </w:tc>
      </w:tr>
      <w:tr w:rsidR="00DD49A7" w:rsidRPr="006D40F0" w14:paraId="1365F89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46EF2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525C46"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AADBD9" w14:textId="77777777" w:rsidR="00575AC3" w:rsidRPr="006D40F0" w:rsidRDefault="00575AC3" w:rsidP="006D40F0">
            <w:r w:rsidRPr="006D40F0">
              <w:t xml:space="preserve">Næringsfremme, </w:t>
            </w:r>
            <w:r w:rsidRPr="00575AC3">
              <w:rPr>
                <w:rStyle w:val="kursiv"/>
              </w:rPr>
              <w:t>kan overføres, 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0D566" w14:textId="77777777" w:rsidR="00575AC3" w:rsidRPr="006D40F0" w:rsidRDefault="00575AC3" w:rsidP="006D40F0">
            <w:r w:rsidRPr="006D40F0">
              <w:t>15 382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C75B1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D2058" w14:textId="77777777" w:rsidR="00575AC3" w:rsidRPr="006D40F0" w:rsidRDefault="00575AC3" w:rsidP="006D40F0">
            <w:r w:rsidRPr="006D40F0">
              <w:t>-2 100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EBE44" w14:textId="77777777" w:rsidR="00575AC3" w:rsidRPr="006D40F0" w:rsidRDefault="00575AC3" w:rsidP="006D40F0">
            <w:r w:rsidRPr="006D40F0">
              <w:t>13 282</w:t>
            </w:r>
          </w:p>
        </w:tc>
      </w:tr>
      <w:tr w:rsidR="00DD49A7" w:rsidRPr="006D40F0" w14:paraId="63B084B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FD9F8D" w14:textId="77777777" w:rsidR="00575AC3" w:rsidRPr="006D40F0" w:rsidRDefault="00575AC3" w:rsidP="006D40F0">
            <w:r w:rsidRPr="006D40F0">
              <w:t>116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DECC0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44E56D" w14:textId="77777777" w:rsidR="00575AC3" w:rsidRPr="006D40F0" w:rsidRDefault="00575AC3" w:rsidP="006D40F0">
            <w:r w:rsidRPr="006D40F0">
              <w:t>Internasjonale organisasjoner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22871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A5B7B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5444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98B04F" w14:textId="77777777" w:rsidR="00575AC3" w:rsidRPr="006D40F0" w:rsidRDefault="00575AC3" w:rsidP="006D40F0"/>
        </w:tc>
      </w:tr>
      <w:tr w:rsidR="00DD49A7" w:rsidRPr="006D40F0" w14:paraId="5E5DB3F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E13B4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AC41FA"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6BE138" w14:textId="77777777" w:rsidR="00575AC3" w:rsidRPr="006D40F0" w:rsidRDefault="00575AC3" w:rsidP="006D40F0">
            <w:r w:rsidRPr="006D40F0">
              <w:t xml:space="preserve">Pliktige bidrag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AC1389" w14:textId="77777777" w:rsidR="00575AC3" w:rsidRPr="006D40F0" w:rsidRDefault="00575AC3" w:rsidP="006D40F0">
            <w:r w:rsidRPr="006D40F0">
              <w:t>1 555 390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641B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3E63E" w14:textId="77777777" w:rsidR="00575AC3" w:rsidRPr="006D40F0" w:rsidRDefault="00575AC3" w:rsidP="006D40F0">
            <w:r w:rsidRPr="006D40F0">
              <w:t>-20 350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4AD6C" w14:textId="77777777" w:rsidR="00575AC3" w:rsidRPr="006D40F0" w:rsidRDefault="00575AC3" w:rsidP="006D40F0">
            <w:r w:rsidRPr="006D40F0">
              <w:t>1 535 040</w:t>
            </w:r>
          </w:p>
        </w:tc>
      </w:tr>
      <w:tr w:rsidR="00DD49A7" w:rsidRPr="006D40F0" w14:paraId="5C44EC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CEF41C" w14:textId="77777777" w:rsidR="00575AC3" w:rsidRPr="006D40F0" w:rsidRDefault="00575AC3" w:rsidP="006D40F0">
            <w:r w:rsidRPr="006D40F0">
              <w:t>117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77B20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F5D145" w14:textId="77777777" w:rsidR="00575AC3" w:rsidRPr="006D40F0" w:rsidRDefault="00575AC3" w:rsidP="006D40F0">
            <w:r w:rsidRPr="006D40F0">
              <w:t>EØS-finansieringsordningene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A214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B792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2ED1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F2A41" w14:textId="77777777" w:rsidR="00575AC3" w:rsidRPr="006D40F0" w:rsidRDefault="00575AC3" w:rsidP="006D40F0"/>
        </w:tc>
      </w:tr>
      <w:tr w:rsidR="00DD49A7" w:rsidRPr="006D40F0" w14:paraId="2768186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39C79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AA3ADA" w14:textId="77777777" w:rsidR="00575AC3" w:rsidRPr="006D40F0" w:rsidRDefault="00575AC3" w:rsidP="006D40F0">
            <w:r w:rsidRPr="006D40F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A09EFA" w14:textId="77777777" w:rsidR="00575AC3" w:rsidRPr="006D40F0" w:rsidRDefault="00575AC3" w:rsidP="006D40F0">
            <w:r w:rsidRPr="006D40F0">
              <w:t xml:space="preserve">EØS-finansieringsordningen 2014-2021,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FFB83C" w14:textId="77777777" w:rsidR="00575AC3" w:rsidRPr="006D40F0" w:rsidRDefault="00575AC3" w:rsidP="006D40F0">
            <w:r w:rsidRPr="006D40F0">
              <w:t>644 000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4BA05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536C46" w14:textId="77777777" w:rsidR="00575AC3" w:rsidRPr="006D40F0" w:rsidRDefault="00575AC3" w:rsidP="006D40F0">
            <w:r w:rsidRPr="006D40F0">
              <w:t>562 500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D6928" w14:textId="77777777" w:rsidR="00575AC3" w:rsidRPr="006D40F0" w:rsidRDefault="00575AC3" w:rsidP="006D40F0">
            <w:r w:rsidRPr="006D40F0">
              <w:t>1 206 500</w:t>
            </w:r>
          </w:p>
        </w:tc>
      </w:tr>
      <w:tr w:rsidR="00DD49A7" w:rsidRPr="006D40F0" w14:paraId="6CE1298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7DA87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B5F1FE"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117FA7" w14:textId="77777777" w:rsidR="00575AC3" w:rsidRPr="006D40F0" w:rsidRDefault="00575AC3" w:rsidP="006D40F0">
            <w:r w:rsidRPr="006D40F0">
              <w:t xml:space="preserve">Den norske finansieringsordningen 2014-2021,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5B168A" w14:textId="77777777" w:rsidR="00575AC3" w:rsidRPr="006D40F0" w:rsidRDefault="00575AC3" w:rsidP="006D40F0">
            <w:r w:rsidRPr="006D40F0">
              <w:t>747 000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7C830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C582C" w14:textId="77777777" w:rsidR="00575AC3" w:rsidRPr="006D40F0" w:rsidRDefault="00575AC3" w:rsidP="006D40F0">
            <w:r w:rsidRPr="006D40F0">
              <w:t>766 000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F70A4" w14:textId="77777777" w:rsidR="00575AC3" w:rsidRPr="006D40F0" w:rsidRDefault="00575AC3" w:rsidP="006D40F0">
            <w:r w:rsidRPr="006D40F0">
              <w:t>1 513 000</w:t>
            </w:r>
          </w:p>
        </w:tc>
      </w:tr>
      <w:tr w:rsidR="00DD49A7" w:rsidRPr="006D40F0" w14:paraId="389444F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040EAC" w14:textId="77777777" w:rsidR="00575AC3" w:rsidRPr="006D40F0" w:rsidRDefault="00575AC3" w:rsidP="006D40F0">
            <w:r w:rsidRPr="006D40F0">
              <w:t>118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B3871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D53714D" w14:textId="77777777" w:rsidR="00575AC3" w:rsidRPr="006D40F0" w:rsidRDefault="00575AC3" w:rsidP="006D40F0">
            <w:r w:rsidRPr="006D40F0">
              <w:t>Utenrikspolitiske satsinger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2E63E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C437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58AF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620CDC" w14:textId="77777777" w:rsidR="00575AC3" w:rsidRPr="006D40F0" w:rsidRDefault="00575AC3" w:rsidP="006D40F0"/>
        </w:tc>
      </w:tr>
      <w:tr w:rsidR="00DD49A7" w:rsidRPr="006D40F0" w14:paraId="1021596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277B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B6AC16"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EF49745" w14:textId="77777777" w:rsidR="00575AC3" w:rsidRPr="006D40F0" w:rsidRDefault="00575AC3" w:rsidP="006D40F0">
            <w:r w:rsidRPr="006D40F0">
              <w:t xml:space="preserve">Spesielle driftsutgifter, </w:t>
            </w:r>
            <w:r w:rsidRPr="00575AC3">
              <w:rPr>
                <w:rStyle w:val="kursiv"/>
              </w:rPr>
              <w:t>kan overføres, kan nyttes under post 70, 71, 72 og 73</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5BEC49" w14:textId="77777777" w:rsidR="00575AC3" w:rsidRPr="006D40F0" w:rsidRDefault="00575AC3" w:rsidP="006D40F0">
            <w:r w:rsidRPr="006D40F0">
              <w:t>99 736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848B8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9A02B"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B28191" w14:textId="77777777" w:rsidR="00575AC3" w:rsidRPr="006D40F0" w:rsidRDefault="00575AC3" w:rsidP="006D40F0">
            <w:r w:rsidRPr="006D40F0">
              <w:t>114 736</w:t>
            </w:r>
          </w:p>
        </w:tc>
      </w:tr>
      <w:tr w:rsidR="00DD49A7" w:rsidRPr="006D40F0" w14:paraId="18E85D6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6F104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CFF0B9"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52B1E3" w14:textId="77777777" w:rsidR="00575AC3" w:rsidRPr="006D40F0" w:rsidRDefault="00575AC3" w:rsidP="006D40F0">
            <w:r w:rsidRPr="006D40F0">
              <w:t xml:space="preserve">Nordområdene, Russland og atomsikkerhet,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7F32A6" w14:textId="77777777" w:rsidR="00575AC3" w:rsidRPr="006D40F0" w:rsidRDefault="00575AC3" w:rsidP="006D40F0">
            <w:r w:rsidRPr="006D40F0">
              <w:t>94 634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6D45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CCAC67"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EB811" w14:textId="77777777" w:rsidR="00575AC3" w:rsidRPr="006D40F0" w:rsidRDefault="00575AC3" w:rsidP="006D40F0">
            <w:r w:rsidRPr="006D40F0">
              <w:t>74 634</w:t>
            </w:r>
          </w:p>
        </w:tc>
      </w:tr>
      <w:tr w:rsidR="00DD49A7" w:rsidRPr="006D40F0" w14:paraId="0DFC9C1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545B17" w14:textId="77777777" w:rsidR="00575AC3" w:rsidRPr="006D40F0" w:rsidRDefault="00575AC3" w:rsidP="006D40F0">
            <w:r w:rsidRPr="006D40F0">
              <w:t>140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3741F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E9AA6B" w14:textId="77777777" w:rsidR="00575AC3" w:rsidRPr="006D40F0" w:rsidRDefault="00575AC3" w:rsidP="006D40F0">
            <w:r w:rsidRPr="006D40F0">
              <w:t>Utenriksdepartementet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BABF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417F3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B5D2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F206D4" w14:textId="77777777" w:rsidR="00575AC3" w:rsidRPr="006D40F0" w:rsidRDefault="00575AC3" w:rsidP="006D40F0"/>
        </w:tc>
      </w:tr>
      <w:tr w:rsidR="00DD49A7" w:rsidRPr="006D40F0" w14:paraId="3E0D6DA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FC73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E4CD01"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995FE0" w14:textId="77777777" w:rsidR="00575AC3" w:rsidRPr="006D40F0" w:rsidRDefault="00575AC3" w:rsidP="006D40F0">
            <w:r w:rsidRPr="006D40F0">
              <w:t xml:space="preserve">Driftsutgifter, </w:t>
            </w:r>
            <w:r w:rsidRPr="00575AC3">
              <w:rPr>
                <w:rStyle w:val="kursiv"/>
              </w:rPr>
              <w:t>kan nyttes under kap. 100,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FFD46" w14:textId="77777777" w:rsidR="00575AC3" w:rsidRPr="006D40F0" w:rsidRDefault="00575AC3" w:rsidP="006D40F0">
            <w:r w:rsidRPr="006D40F0">
              <w:t>1 978 461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44BA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F75527" w14:textId="77777777" w:rsidR="00575AC3" w:rsidRPr="006D40F0" w:rsidRDefault="00575AC3" w:rsidP="006D40F0">
            <w:r w:rsidRPr="006D40F0">
              <w:t>-16 866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8AB34E" w14:textId="77777777" w:rsidR="00575AC3" w:rsidRPr="006D40F0" w:rsidRDefault="00575AC3" w:rsidP="006D40F0">
            <w:r w:rsidRPr="006D40F0">
              <w:t>1 961 595</w:t>
            </w:r>
          </w:p>
        </w:tc>
      </w:tr>
      <w:tr w:rsidR="00DD49A7" w:rsidRPr="006D40F0" w14:paraId="36B48D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34BA5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DCB209"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EA6B95E"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222A88" w14:textId="77777777" w:rsidR="00575AC3" w:rsidRPr="006D40F0" w:rsidRDefault="00575AC3" w:rsidP="006D40F0">
            <w:r w:rsidRPr="006D40F0">
              <w:t>115 494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6860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FFC6E" w14:textId="77777777" w:rsidR="00575AC3" w:rsidRPr="006D40F0" w:rsidRDefault="00575AC3" w:rsidP="006D40F0">
            <w:r w:rsidRPr="006D40F0">
              <w:t>-40 046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53CB8B" w14:textId="77777777" w:rsidR="00575AC3" w:rsidRPr="006D40F0" w:rsidRDefault="00575AC3" w:rsidP="006D40F0">
            <w:r w:rsidRPr="006D40F0">
              <w:t>75 448</w:t>
            </w:r>
          </w:p>
        </w:tc>
      </w:tr>
      <w:tr w:rsidR="00DD49A7" w:rsidRPr="006D40F0" w14:paraId="2DF752F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A7566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A9A040"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75AF5B"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53CDA" w14:textId="77777777" w:rsidR="00575AC3" w:rsidRPr="006D40F0" w:rsidRDefault="00575AC3" w:rsidP="006D40F0">
            <w:r w:rsidRPr="006D40F0">
              <w:t>57 779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C6EB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FE4CD"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97E83" w14:textId="77777777" w:rsidR="00575AC3" w:rsidRPr="006D40F0" w:rsidRDefault="00575AC3" w:rsidP="006D40F0">
            <w:r w:rsidRPr="006D40F0">
              <w:t>52 779</w:t>
            </w:r>
          </w:p>
        </w:tc>
      </w:tr>
      <w:tr w:rsidR="00DD49A7" w:rsidRPr="006D40F0" w14:paraId="1D9014B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368C73" w14:textId="77777777" w:rsidR="00575AC3" w:rsidRPr="006D40F0" w:rsidRDefault="00575AC3" w:rsidP="006D40F0">
            <w:r w:rsidRPr="006D40F0">
              <w:t>141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B6CC8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D12C16" w14:textId="77777777" w:rsidR="00575AC3" w:rsidRPr="006D40F0" w:rsidRDefault="00575AC3" w:rsidP="006D40F0">
            <w:r w:rsidRPr="006D40F0">
              <w:t>Direktoratet for utviklingssamarbeid (Norad)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5280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E4F7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B72C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5F215F" w14:textId="77777777" w:rsidR="00575AC3" w:rsidRPr="006D40F0" w:rsidRDefault="00575AC3" w:rsidP="006D40F0"/>
        </w:tc>
      </w:tr>
      <w:tr w:rsidR="00DD49A7" w:rsidRPr="006D40F0" w14:paraId="6CCD08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76F30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56A29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A79002"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C75D1" w14:textId="77777777" w:rsidR="00575AC3" w:rsidRPr="006D40F0" w:rsidRDefault="00575AC3" w:rsidP="006D40F0">
            <w:r w:rsidRPr="006D40F0">
              <w:t>370 360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50ABA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58ED2" w14:textId="77777777" w:rsidR="00575AC3" w:rsidRPr="006D40F0" w:rsidRDefault="00575AC3" w:rsidP="006D40F0">
            <w:r w:rsidRPr="006D40F0">
              <w:t>16 866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4B268" w14:textId="77777777" w:rsidR="00575AC3" w:rsidRPr="006D40F0" w:rsidRDefault="00575AC3" w:rsidP="006D40F0">
            <w:r w:rsidRPr="006D40F0">
              <w:t>387 226</w:t>
            </w:r>
          </w:p>
        </w:tc>
      </w:tr>
      <w:tr w:rsidR="00DD49A7" w:rsidRPr="006D40F0" w14:paraId="2E7973C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C7982F" w14:textId="77777777" w:rsidR="00575AC3" w:rsidRPr="006D40F0" w:rsidRDefault="00575AC3" w:rsidP="006D40F0">
            <w:r w:rsidRPr="006D40F0">
              <w:t>150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25EAD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AFE512" w14:textId="77777777" w:rsidR="00575AC3" w:rsidRPr="006D40F0" w:rsidRDefault="00575AC3" w:rsidP="006D40F0">
            <w:r w:rsidRPr="006D40F0">
              <w:t>Humanitær bistand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F3B3A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F54B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2153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5FC35" w14:textId="77777777" w:rsidR="00575AC3" w:rsidRPr="006D40F0" w:rsidRDefault="00575AC3" w:rsidP="006D40F0"/>
        </w:tc>
      </w:tr>
      <w:tr w:rsidR="00DD49A7" w:rsidRPr="006D40F0" w14:paraId="1A7100F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5BF3D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A712D7"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8AACBA" w14:textId="3F10586E" w:rsidR="00575AC3" w:rsidRPr="006D40F0" w:rsidRDefault="00575AC3" w:rsidP="006D40F0">
            <w:r w:rsidRPr="006D40F0">
              <w:t>Nødhjelp og humanitær bistand,</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11479D" w14:textId="77777777" w:rsidR="00575AC3" w:rsidRPr="006D40F0" w:rsidRDefault="00575AC3" w:rsidP="006D40F0">
            <w:r w:rsidRPr="006D40F0">
              <w:t>3 901 289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54F6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F384D2" w14:textId="77777777" w:rsidR="00575AC3" w:rsidRPr="006D40F0" w:rsidRDefault="00575AC3" w:rsidP="006D40F0">
            <w:r w:rsidRPr="006D40F0">
              <w:t>500 000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3B4FCB" w14:textId="77777777" w:rsidR="00575AC3" w:rsidRPr="006D40F0" w:rsidRDefault="00575AC3" w:rsidP="006D40F0">
            <w:r w:rsidRPr="006D40F0">
              <w:t>4 401 289</w:t>
            </w:r>
          </w:p>
        </w:tc>
      </w:tr>
      <w:tr w:rsidR="00DD49A7" w:rsidRPr="006D40F0" w14:paraId="564FC0C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3F55AD" w14:textId="77777777" w:rsidR="00575AC3" w:rsidRPr="006D40F0" w:rsidRDefault="00575AC3" w:rsidP="006D40F0">
            <w:r w:rsidRPr="006D40F0">
              <w:t>151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C6CC6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9C5D50" w14:textId="77777777" w:rsidR="00575AC3" w:rsidRPr="006D40F0" w:rsidRDefault="00575AC3" w:rsidP="006D40F0">
            <w:r w:rsidRPr="006D40F0">
              <w:t>Fred, sikkerhet og globalt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4B45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7EF4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3907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A3A6A" w14:textId="77777777" w:rsidR="00575AC3" w:rsidRPr="006D40F0" w:rsidRDefault="00575AC3" w:rsidP="006D40F0"/>
        </w:tc>
      </w:tr>
      <w:tr w:rsidR="00DD49A7" w:rsidRPr="006D40F0" w14:paraId="569928F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A3B56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73678B"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5816A3" w14:textId="77777777" w:rsidR="00575AC3" w:rsidRPr="006D40F0" w:rsidRDefault="00575AC3" w:rsidP="006D40F0">
            <w:r w:rsidRPr="006D40F0">
              <w:t xml:space="preserve">Fred og forsoning,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94E92" w14:textId="77777777" w:rsidR="00575AC3" w:rsidRPr="006D40F0" w:rsidRDefault="00575AC3" w:rsidP="006D40F0">
            <w:r w:rsidRPr="006D40F0">
              <w:t>415 260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F80B5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7A2FC"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44E9F" w14:textId="77777777" w:rsidR="00575AC3" w:rsidRPr="006D40F0" w:rsidRDefault="00575AC3" w:rsidP="006D40F0">
            <w:r w:rsidRPr="006D40F0">
              <w:t>395 260</w:t>
            </w:r>
          </w:p>
        </w:tc>
      </w:tr>
      <w:tr w:rsidR="00DD49A7" w:rsidRPr="006D40F0" w14:paraId="461B908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C65C1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C77A3A"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A8F2CA" w14:textId="77777777" w:rsidR="00575AC3" w:rsidRPr="006D40F0" w:rsidRDefault="00575AC3" w:rsidP="006D40F0">
            <w:r w:rsidRPr="006D40F0">
              <w:t xml:space="preserve">Globale sikkerhetsspørsmål og nedrustning,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702A0" w14:textId="77777777" w:rsidR="00575AC3" w:rsidRPr="006D40F0" w:rsidRDefault="00575AC3" w:rsidP="006D40F0">
            <w:r w:rsidRPr="006D40F0">
              <w:t>144 060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CACC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C7966" w14:textId="77777777" w:rsidR="00575AC3" w:rsidRPr="006D40F0" w:rsidRDefault="00575AC3" w:rsidP="006D40F0">
            <w:r w:rsidRPr="006D40F0">
              <w:t>-5 200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A1F9C" w14:textId="77777777" w:rsidR="00575AC3" w:rsidRPr="006D40F0" w:rsidRDefault="00575AC3" w:rsidP="006D40F0">
            <w:r w:rsidRPr="006D40F0">
              <w:t>138 860</w:t>
            </w:r>
          </w:p>
        </w:tc>
      </w:tr>
      <w:tr w:rsidR="00DD49A7" w:rsidRPr="006D40F0" w14:paraId="349A89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84FB7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B0BFD4"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BC048D" w14:textId="77777777" w:rsidR="00575AC3" w:rsidRPr="006D40F0" w:rsidRDefault="00575AC3" w:rsidP="006D40F0">
            <w:r w:rsidRPr="006D40F0">
              <w:t xml:space="preserve">FN og globale utfordringer,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077B93" w14:textId="77777777" w:rsidR="00575AC3" w:rsidRPr="006D40F0" w:rsidRDefault="00575AC3" w:rsidP="006D40F0">
            <w:r w:rsidRPr="006D40F0">
              <w:t>268 138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C950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E63EB"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9C0C8F" w14:textId="77777777" w:rsidR="00575AC3" w:rsidRPr="006D40F0" w:rsidRDefault="00575AC3" w:rsidP="006D40F0">
            <w:r w:rsidRPr="006D40F0">
              <w:t>248 138</w:t>
            </w:r>
          </w:p>
        </w:tc>
      </w:tr>
      <w:tr w:rsidR="00DD49A7" w:rsidRPr="006D40F0" w14:paraId="656D91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A4DAE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6FC069"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358830" w14:textId="77777777" w:rsidR="00575AC3" w:rsidRPr="006D40F0" w:rsidRDefault="00575AC3" w:rsidP="006D40F0">
            <w:r w:rsidRPr="006D40F0">
              <w:t xml:space="preserve">Pliktige bidrag til FN-organisasjoner mv.,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B65FA6" w14:textId="77777777" w:rsidR="00575AC3" w:rsidRPr="006D40F0" w:rsidRDefault="00575AC3" w:rsidP="006D40F0">
            <w:r w:rsidRPr="006D40F0">
              <w:t>423 819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01E5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191B45" w14:textId="77777777" w:rsidR="00575AC3" w:rsidRPr="006D40F0" w:rsidRDefault="00575AC3" w:rsidP="006D40F0">
            <w:r w:rsidRPr="006D40F0">
              <w:t>-20 769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7DEDC" w14:textId="77777777" w:rsidR="00575AC3" w:rsidRPr="006D40F0" w:rsidRDefault="00575AC3" w:rsidP="006D40F0">
            <w:r w:rsidRPr="006D40F0">
              <w:t>403 050</w:t>
            </w:r>
          </w:p>
        </w:tc>
      </w:tr>
      <w:tr w:rsidR="00DD49A7" w:rsidRPr="006D40F0" w14:paraId="23BCCB4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865840" w14:textId="77777777" w:rsidR="00575AC3" w:rsidRPr="006D40F0" w:rsidRDefault="00575AC3" w:rsidP="006D40F0">
            <w:r w:rsidRPr="006D40F0">
              <w:t>152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F451B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EF9161" w14:textId="77777777" w:rsidR="00575AC3" w:rsidRPr="006D40F0" w:rsidRDefault="00575AC3" w:rsidP="006D40F0">
            <w:r w:rsidRPr="006D40F0">
              <w:t>Menneskerettigheter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8FD0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081C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7FE05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CE987D" w14:textId="77777777" w:rsidR="00575AC3" w:rsidRPr="006D40F0" w:rsidRDefault="00575AC3" w:rsidP="006D40F0"/>
        </w:tc>
      </w:tr>
      <w:tr w:rsidR="00DD49A7" w:rsidRPr="006D40F0" w14:paraId="64083D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D0254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3332F7"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371894" w14:textId="77777777" w:rsidR="00575AC3" w:rsidRPr="006D40F0" w:rsidRDefault="00575AC3" w:rsidP="006D40F0">
            <w:r w:rsidRPr="006D40F0">
              <w:t xml:space="preserve">Menneskerettigheter,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6C081" w14:textId="77777777" w:rsidR="00575AC3" w:rsidRPr="006D40F0" w:rsidRDefault="00575AC3" w:rsidP="006D40F0">
            <w:r w:rsidRPr="006D40F0">
              <w:t>741 617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03ED6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86344" w14:textId="77777777" w:rsidR="00575AC3" w:rsidRPr="006D40F0" w:rsidRDefault="00575AC3" w:rsidP="006D40F0">
            <w:r w:rsidRPr="006D40F0">
              <w:t>-60 500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4D410" w14:textId="77777777" w:rsidR="00575AC3" w:rsidRPr="006D40F0" w:rsidRDefault="00575AC3" w:rsidP="006D40F0">
            <w:r w:rsidRPr="006D40F0">
              <w:t>681 117</w:t>
            </w:r>
          </w:p>
        </w:tc>
      </w:tr>
      <w:tr w:rsidR="00DD49A7" w:rsidRPr="006D40F0" w14:paraId="3888495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1F8A91" w14:textId="77777777" w:rsidR="00575AC3" w:rsidRPr="006D40F0" w:rsidRDefault="00575AC3" w:rsidP="006D40F0">
            <w:r w:rsidRPr="006D40F0">
              <w:t>153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139E6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B02145" w14:textId="77777777" w:rsidR="00575AC3" w:rsidRPr="006D40F0" w:rsidRDefault="00575AC3" w:rsidP="006D40F0">
            <w:r w:rsidRPr="006D40F0">
              <w:t xml:space="preserve">Flyktninger, fordrevne og </w:t>
            </w:r>
            <w:proofErr w:type="spellStart"/>
            <w:r w:rsidRPr="006D40F0">
              <w:t>vertssamfunn</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F91DB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F60AE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C87A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CB569" w14:textId="77777777" w:rsidR="00575AC3" w:rsidRPr="006D40F0" w:rsidRDefault="00575AC3" w:rsidP="006D40F0"/>
        </w:tc>
      </w:tr>
      <w:tr w:rsidR="00DD49A7" w:rsidRPr="006D40F0" w14:paraId="74C199A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72AAC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0D9CA2"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3EC99F" w14:textId="77777777" w:rsidR="00575AC3" w:rsidRPr="006D40F0" w:rsidRDefault="00575AC3" w:rsidP="006D40F0">
            <w:r w:rsidRPr="006D40F0">
              <w:t xml:space="preserve">Bærekraftige løsninger og </w:t>
            </w:r>
            <w:proofErr w:type="spellStart"/>
            <w:r w:rsidRPr="006D40F0">
              <w:t>vertssamfunn</w:t>
            </w:r>
            <w:proofErr w:type="spellEnd"/>
            <w:r w:rsidRP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C99946" w14:textId="77777777" w:rsidR="00575AC3" w:rsidRPr="006D40F0" w:rsidRDefault="00575AC3" w:rsidP="006D40F0">
            <w:r w:rsidRPr="006D40F0">
              <w:t>719 504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09FB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BAABE" w14:textId="77777777" w:rsidR="00575AC3" w:rsidRPr="006D40F0" w:rsidRDefault="00575AC3" w:rsidP="006D40F0">
            <w:r w:rsidRPr="006D40F0">
              <w:t>-85 000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22427" w14:textId="77777777" w:rsidR="00575AC3" w:rsidRPr="006D40F0" w:rsidRDefault="00575AC3" w:rsidP="006D40F0">
            <w:r w:rsidRPr="006D40F0">
              <w:t>634 504</w:t>
            </w:r>
          </w:p>
        </w:tc>
      </w:tr>
      <w:tr w:rsidR="00DD49A7" w:rsidRPr="006D40F0" w14:paraId="0F04F3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3058F6" w14:textId="77777777" w:rsidR="00575AC3" w:rsidRPr="006D40F0" w:rsidRDefault="00575AC3" w:rsidP="006D40F0">
            <w:r w:rsidRPr="006D40F0">
              <w:t>159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D19F5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BD9F158" w14:textId="77777777" w:rsidR="00575AC3" w:rsidRPr="006D40F0" w:rsidRDefault="00575AC3" w:rsidP="006D40F0">
            <w:r w:rsidRPr="006D40F0">
              <w:t>Regionbevilgninger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C8DA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3A4A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051B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CACFC" w14:textId="77777777" w:rsidR="00575AC3" w:rsidRPr="006D40F0" w:rsidRDefault="00575AC3" w:rsidP="006D40F0"/>
        </w:tc>
      </w:tr>
      <w:tr w:rsidR="00DD49A7" w:rsidRPr="006D40F0" w14:paraId="72476C1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001DF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89AFD2"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2ADC23" w14:textId="77777777" w:rsidR="00575AC3" w:rsidRPr="006D40F0" w:rsidRDefault="00575AC3" w:rsidP="006D40F0">
            <w:r w:rsidRPr="006D40F0">
              <w:t xml:space="preserve">Europa og Sentral-Asia,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C042F" w14:textId="77777777" w:rsidR="00575AC3" w:rsidRPr="006D40F0" w:rsidRDefault="00575AC3" w:rsidP="006D40F0">
            <w:r w:rsidRPr="006D40F0">
              <w:t>467 634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92DE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72E4EB" w14:textId="77777777" w:rsidR="00575AC3" w:rsidRPr="006D40F0" w:rsidRDefault="00575AC3" w:rsidP="006D40F0">
            <w:r w:rsidRPr="006D40F0">
              <w:t>-86 000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4C85D" w14:textId="77777777" w:rsidR="00575AC3" w:rsidRPr="006D40F0" w:rsidRDefault="00575AC3" w:rsidP="006D40F0">
            <w:r w:rsidRPr="006D40F0">
              <w:t>381 634</w:t>
            </w:r>
          </w:p>
        </w:tc>
      </w:tr>
      <w:tr w:rsidR="00DD49A7" w:rsidRPr="006D40F0" w14:paraId="6A9DCD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0A225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D54797"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52844B9" w14:textId="77777777" w:rsidR="00575AC3" w:rsidRPr="006D40F0" w:rsidRDefault="00575AC3" w:rsidP="006D40F0">
            <w:r w:rsidRPr="006D40F0">
              <w:t xml:space="preserve">Afghanistan,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E13104" w14:textId="77777777" w:rsidR="00575AC3" w:rsidRPr="006D40F0" w:rsidRDefault="00575AC3" w:rsidP="006D40F0">
            <w:r w:rsidRPr="006D40F0">
              <w:t>401 241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24F0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3F9571" w14:textId="77777777" w:rsidR="00575AC3" w:rsidRPr="006D40F0" w:rsidRDefault="00575AC3" w:rsidP="006D40F0">
            <w:r w:rsidRPr="006D40F0">
              <w:t>-50 000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4E33A" w14:textId="77777777" w:rsidR="00575AC3" w:rsidRPr="006D40F0" w:rsidRDefault="00575AC3" w:rsidP="006D40F0">
            <w:r w:rsidRPr="006D40F0">
              <w:t>351 241</w:t>
            </w:r>
          </w:p>
        </w:tc>
      </w:tr>
      <w:tr w:rsidR="00DD49A7" w:rsidRPr="006D40F0" w14:paraId="17B8421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CEB49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F42203"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C9964B" w14:textId="77777777" w:rsidR="00575AC3" w:rsidRPr="006D40F0" w:rsidRDefault="00575AC3" w:rsidP="006D40F0">
            <w:r w:rsidRPr="006D40F0">
              <w:t xml:space="preserve">Ukraina og naboland,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97A6D8" w14:textId="77777777" w:rsidR="00575AC3" w:rsidRPr="006D40F0" w:rsidRDefault="00575AC3" w:rsidP="006D40F0">
            <w:r w:rsidRPr="006D40F0">
              <w:t>7 448 200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8800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3E13D" w14:textId="77777777" w:rsidR="00575AC3" w:rsidRPr="006D40F0" w:rsidRDefault="00575AC3" w:rsidP="006D40F0">
            <w:r w:rsidRPr="006D40F0">
              <w:t>1 000 000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649515" w14:textId="77777777" w:rsidR="00575AC3" w:rsidRPr="006D40F0" w:rsidRDefault="00575AC3" w:rsidP="006D40F0">
            <w:r w:rsidRPr="006D40F0">
              <w:t>8 448 200</w:t>
            </w:r>
          </w:p>
        </w:tc>
      </w:tr>
      <w:tr w:rsidR="00DD49A7" w:rsidRPr="006D40F0" w14:paraId="40E37B3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CD133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665C00"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E448FC" w14:textId="77777777" w:rsidR="00575AC3" w:rsidRPr="006D40F0" w:rsidRDefault="00575AC3" w:rsidP="006D40F0">
            <w:r w:rsidRPr="006D40F0">
              <w:t xml:space="preserve">Afrika,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0D559" w14:textId="77777777" w:rsidR="00575AC3" w:rsidRPr="006D40F0" w:rsidRDefault="00575AC3" w:rsidP="006D40F0">
            <w:r w:rsidRPr="006D40F0">
              <w:t>2 517 022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57D1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CB950" w14:textId="77777777" w:rsidR="00575AC3" w:rsidRPr="006D40F0" w:rsidRDefault="00575AC3" w:rsidP="006D40F0">
            <w:r w:rsidRPr="006D40F0">
              <w:t>-80 000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8E29B9" w14:textId="77777777" w:rsidR="00575AC3" w:rsidRPr="006D40F0" w:rsidRDefault="00575AC3" w:rsidP="006D40F0">
            <w:r w:rsidRPr="006D40F0">
              <w:t>2 437 022</w:t>
            </w:r>
          </w:p>
        </w:tc>
      </w:tr>
      <w:tr w:rsidR="00DD49A7" w:rsidRPr="006D40F0" w14:paraId="22335A7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F9F099" w14:textId="77777777" w:rsidR="00575AC3" w:rsidRPr="006D40F0" w:rsidRDefault="00575AC3" w:rsidP="006D40F0">
            <w:r w:rsidRPr="006D40F0">
              <w:t>160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9009B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D11C6D" w14:textId="77777777" w:rsidR="00575AC3" w:rsidRPr="006D40F0" w:rsidRDefault="00575AC3" w:rsidP="006D40F0">
            <w:r w:rsidRPr="006D40F0">
              <w:t>Helse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3C59D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04C1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83581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D7F088" w14:textId="77777777" w:rsidR="00575AC3" w:rsidRPr="006D40F0" w:rsidRDefault="00575AC3" w:rsidP="006D40F0"/>
        </w:tc>
      </w:tr>
      <w:tr w:rsidR="00DD49A7" w:rsidRPr="006D40F0" w14:paraId="6B7C4C5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223E8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C59CD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1E5E6A" w14:textId="77777777" w:rsidR="00575AC3" w:rsidRPr="006D40F0" w:rsidRDefault="00575AC3" w:rsidP="006D40F0">
            <w:r w:rsidRPr="006D40F0">
              <w:t xml:space="preserve">Helse,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8C37A" w14:textId="77777777" w:rsidR="00575AC3" w:rsidRPr="006D40F0" w:rsidRDefault="00575AC3" w:rsidP="006D40F0">
            <w:r w:rsidRPr="006D40F0">
              <w:t>3 720 797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FF74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E8ECE" w14:textId="77777777" w:rsidR="00575AC3" w:rsidRPr="006D40F0" w:rsidRDefault="00575AC3" w:rsidP="006D40F0">
            <w:r w:rsidRPr="006D40F0">
              <w:t>-125 000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91BCD" w14:textId="77777777" w:rsidR="00575AC3" w:rsidRPr="006D40F0" w:rsidRDefault="00575AC3" w:rsidP="006D40F0">
            <w:r w:rsidRPr="006D40F0">
              <w:t>3 595 797</w:t>
            </w:r>
          </w:p>
        </w:tc>
      </w:tr>
      <w:tr w:rsidR="00DD49A7" w:rsidRPr="006D40F0" w14:paraId="520A07D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892FF3" w14:textId="77777777" w:rsidR="00575AC3" w:rsidRPr="006D40F0" w:rsidRDefault="00575AC3" w:rsidP="006D40F0">
            <w:r w:rsidRPr="006D40F0">
              <w:t>161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01337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1FA920" w14:textId="77777777" w:rsidR="00575AC3" w:rsidRPr="006D40F0" w:rsidRDefault="00575AC3" w:rsidP="006D40F0">
            <w:r w:rsidRPr="006D40F0">
              <w:t>Utdanning, forskning og offentlige institusjoner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8357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83EC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BEC6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9A634" w14:textId="77777777" w:rsidR="00575AC3" w:rsidRPr="006D40F0" w:rsidRDefault="00575AC3" w:rsidP="006D40F0"/>
        </w:tc>
      </w:tr>
      <w:tr w:rsidR="00DD49A7" w:rsidRPr="006D40F0" w14:paraId="148203F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DC5D3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F0B5BC"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78D453" w14:textId="77777777" w:rsidR="00575AC3" w:rsidRPr="006D40F0" w:rsidRDefault="00575AC3" w:rsidP="006D40F0">
            <w:r w:rsidRPr="006D40F0">
              <w:t xml:space="preserve">Utdanning,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7644A1" w14:textId="77777777" w:rsidR="00575AC3" w:rsidRPr="006D40F0" w:rsidRDefault="00575AC3" w:rsidP="006D40F0">
            <w:r w:rsidRPr="006D40F0">
              <w:t>996 798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338B1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6C9AF9" w14:textId="77777777" w:rsidR="00575AC3" w:rsidRPr="006D40F0" w:rsidRDefault="00575AC3" w:rsidP="006D40F0">
            <w:r w:rsidRPr="006D40F0">
              <w:t>-75 000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820838" w14:textId="77777777" w:rsidR="00575AC3" w:rsidRPr="006D40F0" w:rsidRDefault="00575AC3" w:rsidP="006D40F0">
            <w:r w:rsidRPr="006D40F0">
              <w:t>921 798</w:t>
            </w:r>
          </w:p>
        </w:tc>
      </w:tr>
      <w:tr w:rsidR="00DD49A7" w:rsidRPr="006D40F0" w14:paraId="1D9D367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DE05D9" w14:textId="77777777" w:rsidR="00575AC3" w:rsidRPr="006D40F0" w:rsidRDefault="00575AC3" w:rsidP="006D40F0">
            <w:r w:rsidRPr="006D40F0">
              <w:t>162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9332B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0E85DB" w14:textId="77777777" w:rsidR="00575AC3" w:rsidRPr="006D40F0" w:rsidRDefault="00575AC3" w:rsidP="006D40F0">
            <w:r w:rsidRPr="006D40F0">
              <w:t>Næringsutvikling, landbruk og fornybar energi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1EC7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8624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EEC3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EA1E67" w14:textId="77777777" w:rsidR="00575AC3" w:rsidRPr="006D40F0" w:rsidRDefault="00575AC3" w:rsidP="006D40F0"/>
        </w:tc>
      </w:tr>
      <w:tr w:rsidR="00DD49A7" w:rsidRPr="006D40F0" w14:paraId="3FD9A9B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3EBC3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C8173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2ECB5A" w14:textId="77777777" w:rsidR="00575AC3" w:rsidRPr="006D40F0" w:rsidRDefault="00575AC3" w:rsidP="006D40F0">
            <w:r w:rsidRPr="006D40F0">
              <w:t xml:space="preserve">Bærekraftig jobbskaping, næringsutvikling og handel,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C3501" w14:textId="77777777" w:rsidR="00575AC3" w:rsidRPr="006D40F0" w:rsidRDefault="00575AC3" w:rsidP="006D40F0">
            <w:r w:rsidRPr="006D40F0">
              <w:t>234 536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A443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73464" w14:textId="77777777" w:rsidR="00575AC3" w:rsidRPr="006D40F0" w:rsidRDefault="00575AC3" w:rsidP="006D40F0">
            <w:r w:rsidRPr="006D40F0">
              <w:t>-45 000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91AE55" w14:textId="77777777" w:rsidR="00575AC3" w:rsidRPr="006D40F0" w:rsidRDefault="00575AC3" w:rsidP="006D40F0">
            <w:r w:rsidRPr="006D40F0">
              <w:t>189 536</w:t>
            </w:r>
          </w:p>
        </w:tc>
      </w:tr>
      <w:tr w:rsidR="00DD49A7" w:rsidRPr="006D40F0" w14:paraId="63E167E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511CE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CEF666"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CFAC81" w14:textId="08FCE8A7" w:rsidR="00575AC3" w:rsidRPr="006D40F0" w:rsidRDefault="00575AC3" w:rsidP="006D40F0">
            <w:r w:rsidRPr="006D40F0">
              <w:t>Matsikkerhet, fisk og landbruk,</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997AB" w14:textId="77777777" w:rsidR="00575AC3" w:rsidRPr="006D40F0" w:rsidRDefault="00575AC3" w:rsidP="006D40F0">
            <w:r w:rsidRPr="006D40F0">
              <w:t>1 897 966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DC6DE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167F9" w14:textId="77777777" w:rsidR="00575AC3" w:rsidRPr="006D40F0" w:rsidRDefault="00575AC3" w:rsidP="006D40F0">
            <w:r w:rsidRPr="006D40F0">
              <w:t>-100 000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E9D9D" w14:textId="77777777" w:rsidR="00575AC3" w:rsidRPr="006D40F0" w:rsidRDefault="00575AC3" w:rsidP="006D40F0">
            <w:r w:rsidRPr="006D40F0">
              <w:t>1 797 966</w:t>
            </w:r>
          </w:p>
        </w:tc>
      </w:tr>
      <w:tr w:rsidR="00DD49A7" w:rsidRPr="006D40F0" w14:paraId="659403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5CCB6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F44C97"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2B27B4" w14:textId="77777777" w:rsidR="00575AC3" w:rsidRPr="006D40F0" w:rsidRDefault="00575AC3" w:rsidP="006D40F0">
            <w:r w:rsidRPr="006D40F0">
              <w:t xml:space="preserve">Fornybar energi,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9EFEFA" w14:textId="77777777" w:rsidR="00575AC3" w:rsidRPr="006D40F0" w:rsidRDefault="00575AC3" w:rsidP="006D40F0">
            <w:r w:rsidRPr="006D40F0">
              <w:t>1 019 358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8ADD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20DB1C" w14:textId="77777777" w:rsidR="00575AC3" w:rsidRPr="006D40F0" w:rsidRDefault="00575AC3" w:rsidP="006D40F0">
            <w:r w:rsidRPr="006D40F0">
              <w:t>-375 000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826CC8" w14:textId="77777777" w:rsidR="00575AC3" w:rsidRPr="006D40F0" w:rsidRDefault="00575AC3" w:rsidP="006D40F0">
            <w:r w:rsidRPr="006D40F0">
              <w:t>644 358</w:t>
            </w:r>
          </w:p>
        </w:tc>
      </w:tr>
      <w:tr w:rsidR="00DD49A7" w:rsidRPr="006D40F0" w14:paraId="49663B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5942B0" w14:textId="77777777" w:rsidR="00575AC3" w:rsidRPr="006D40F0" w:rsidRDefault="00575AC3" w:rsidP="006D40F0">
            <w:r w:rsidRPr="006D40F0">
              <w:t>163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604D8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28BFE8E" w14:textId="77777777" w:rsidR="00575AC3" w:rsidRPr="006D40F0" w:rsidRDefault="00575AC3" w:rsidP="006D40F0">
            <w:r w:rsidRPr="006D40F0">
              <w:t>Klima, miljø og hav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B1496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8E62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1734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13FB8" w14:textId="77777777" w:rsidR="00575AC3" w:rsidRPr="006D40F0" w:rsidRDefault="00575AC3" w:rsidP="006D40F0"/>
        </w:tc>
      </w:tr>
      <w:tr w:rsidR="00DD49A7" w:rsidRPr="006D40F0" w14:paraId="3527A3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FDE1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BDCE0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954AF2" w14:textId="77777777" w:rsidR="00575AC3" w:rsidRPr="006D40F0" w:rsidRDefault="00575AC3" w:rsidP="006D40F0">
            <w:r w:rsidRPr="006D40F0">
              <w:t xml:space="preserve">Miljø og klima,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8D112" w14:textId="77777777" w:rsidR="00575AC3" w:rsidRPr="006D40F0" w:rsidRDefault="00575AC3" w:rsidP="006D40F0">
            <w:r w:rsidRPr="006D40F0">
              <w:t>1 744 431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29915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BA2687" w14:textId="77777777" w:rsidR="00575AC3" w:rsidRPr="006D40F0" w:rsidRDefault="00575AC3" w:rsidP="006D40F0">
            <w:r w:rsidRPr="006D40F0">
              <w:t>-113 860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64D40D" w14:textId="77777777" w:rsidR="00575AC3" w:rsidRPr="006D40F0" w:rsidRDefault="00575AC3" w:rsidP="006D40F0">
            <w:r w:rsidRPr="006D40F0">
              <w:t>1 630 571</w:t>
            </w:r>
          </w:p>
        </w:tc>
      </w:tr>
      <w:tr w:rsidR="00DD49A7" w:rsidRPr="006D40F0" w14:paraId="034D26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B3A3F8" w14:textId="77777777" w:rsidR="00575AC3" w:rsidRPr="006D40F0" w:rsidRDefault="00575AC3" w:rsidP="006D40F0">
            <w:r w:rsidRPr="006D40F0">
              <w:t>170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A631D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D3E425" w14:textId="77777777" w:rsidR="00575AC3" w:rsidRPr="006D40F0" w:rsidRDefault="00575AC3" w:rsidP="006D40F0">
            <w:r w:rsidRPr="006D40F0">
              <w:t>Sivilt samfunn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438C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231B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AC92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46897" w14:textId="77777777" w:rsidR="00575AC3" w:rsidRPr="006D40F0" w:rsidRDefault="00575AC3" w:rsidP="006D40F0"/>
        </w:tc>
      </w:tr>
      <w:tr w:rsidR="00DD49A7" w:rsidRPr="006D40F0" w14:paraId="73CB32A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DA085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7DDF32"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BE874DA" w14:textId="77777777" w:rsidR="00575AC3" w:rsidRPr="006D40F0" w:rsidRDefault="00575AC3" w:rsidP="006D40F0">
            <w:r w:rsidRPr="006D40F0">
              <w:t xml:space="preserve">Sivilt samfunn,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7BA6B" w14:textId="77777777" w:rsidR="00575AC3" w:rsidRPr="006D40F0" w:rsidRDefault="00575AC3" w:rsidP="006D40F0">
            <w:r w:rsidRPr="006D40F0">
              <w:t>2 570 665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771F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AE093" w14:textId="77777777" w:rsidR="00575AC3" w:rsidRPr="006D40F0" w:rsidRDefault="00575AC3" w:rsidP="006D40F0">
            <w:r w:rsidRPr="006D40F0">
              <w:t>-185 000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63FD1" w14:textId="77777777" w:rsidR="00575AC3" w:rsidRPr="006D40F0" w:rsidRDefault="00575AC3" w:rsidP="006D40F0">
            <w:r w:rsidRPr="006D40F0">
              <w:t>2 385 665</w:t>
            </w:r>
          </w:p>
        </w:tc>
      </w:tr>
      <w:tr w:rsidR="00DD49A7" w:rsidRPr="006D40F0" w14:paraId="1A5E80D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632914" w14:textId="77777777" w:rsidR="00575AC3" w:rsidRPr="006D40F0" w:rsidRDefault="00575AC3" w:rsidP="006D40F0">
            <w:r w:rsidRPr="006D40F0">
              <w:t>171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2BBA3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936A35" w14:textId="77777777" w:rsidR="00575AC3" w:rsidRPr="006D40F0" w:rsidRDefault="00575AC3" w:rsidP="006D40F0">
            <w:r w:rsidRPr="006D40F0">
              <w:t>FNs utviklingsarbeid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E3CC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4DBF9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BA08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B30DD" w14:textId="77777777" w:rsidR="00575AC3" w:rsidRPr="006D40F0" w:rsidRDefault="00575AC3" w:rsidP="006D40F0"/>
        </w:tc>
      </w:tr>
      <w:tr w:rsidR="00DD49A7" w:rsidRPr="006D40F0" w14:paraId="713526D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81FAB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7B4DCA"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641108" w14:textId="700C0DCD" w:rsidR="00575AC3" w:rsidRPr="006D40F0" w:rsidRDefault="00575AC3" w:rsidP="006D40F0">
            <w:r w:rsidRPr="006D40F0">
              <w:t>FN og multilateralt samarbeid,</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E20CB" w14:textId="77777777" w:rsidR="00575AC3" w:rsidRPr="006D40F0" w:rsidRDefault="00575AC3" w:rsidP="006D40F0">
            <w:r w:rsidRPr="006D40F0">
              <w:t>11 099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6CF11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6B293F" w14:textId="77777777" w:rsidR="00575AC3" w:rsidRPr="006D40F0" w:rsidRDefault="00575AC3" w:rsidP="006D40F0">
            <w:r w:rsidRPr="006D40F0">
              <w:t>-3 600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A40D0" w14:textId="77777777" w:rsidR="00575AC3" w:rsidRPr="006D40F0" w:rsidRDefault="00575AC3" w:rsidP="006D40F0">
            <w:r w:rsidRPr="006D40F0">
              <w:t>7 499</w:t>
            </w:r>
          </w:p>
        </w:tc>
      </w:tr>
      <w:tr w:rsidR="00DD49A7" w:rsidRPr="006D40F0" w14:paraId="5250E53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1F86DB" w14:textId="77777777" w:rsidR="00575AC3" w:rsidRPr="006D40F0" w:rsidRDefault="00575AC3" w:rsidP="006D40F0">
            <w:r w:rsidRPr="006D40F0">
              <w:t>172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85528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BAFB9F" w14:textId="77777777" w:rsidR="00575AC3" w:rsidRPr="006D40F0" w:rsidRDefault="00575AC3" w:rsidP="006D40F0">
            <w:r w:rsidRPr="006D40F0">
              <w:t>Multilaterale finansinstitusjoner og gjeldslette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53FE0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44D80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1FCEE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0FEEF" w14:textId="77777777" w:rsidR="00575AC3" w:rsidRPr="006D40F0" w:rsidRDefault="00575AC3" w:rsidP="006D40F0"/>
        </w:tc>
      </w:tr>
      <w:tr w:rsidR="00DD49A7" w:rsidRPr="006D40F0" w14:paraId="2F96384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75AF3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CFBB1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48CFE7" w14:textId="77777777" w:rsidR="00575AC3" w:rsidRPr="006D40F0" w:rsidRDefault="00575AC3" w:rsidP="006D40F0">
            <w:r w:rsidRPr="006D40F0">
              <w:t xml:space="preserve">Verdensbanken,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5C7808" w14:textId="77777777" w:rsidR="00575AC3" w:rsidRPr="006D40F0" w:rsidRDefault="00575AC3" w:rsidP="006D40F0">
            <w:r w:rsidRPr="006D40F0">
              <w:t>1 169 600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59DB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2FD137" w14:textId="77777777" w:rsidR="00575AC3" w:rsidRPr="006D40F0" w:rsidRDefault="00575AC3" w:rsidP="006D40F0">
            <w:r w:rsidRPr="006D40F0">
              <w:t>-2 900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A081E" w14:textId="77777777" w:rsidR="00575AC3" w:rsidRPr="006D40F0" w:rsidRDefault="00575AC3" w:rsidP="006D40F0">
            <w:r w:rsidRPr="006D40F0">
              <w:t>1 166 700</w:t>
            </w:r>
          </w:p>
        </w:tc>
      </w:tr>
      <w:tr w:rsidR="00DD49A7" w:rsidRPr="006D40F0" w14:paraId="4C7D5B8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F992F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872C9F"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C7C060" w14:textId="77777777" w:rsidR="00575AC3" w:rsidRPr="006D40F0" w:rsidRDefault="00575AC3" w:rsidP="006D40F0">
            <w:r w:rsidRPr="006D40F0">
              <w:t xml:space="preserve">Regionale banker og fond,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C2361" w14:textId="77777777" w:rsidR="00575AC3" w:rsidRPr="006D40F0" w:rsidRDefault="00575AC3" w:rsidP="006D40F0">
            <w:r w:rsidRPr="006D40F0">
              <w:t>1 021 400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6076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678324" w14:textId="77777777" w:rsidR="00575AC3" w:rsidRPr="006D40F0" w:rsidRDefault="00575AC3" w:rsidP="006D40F0">
            <w:r w:rsidRPr="006D40F0">
              <w:t>-12 885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1ECBCE" w14:textId="77777777" w:rsidR="00575AC3" w:rsidRPr="006D40F0" w:rsidRDefault="00575AC3" w:rsidP="006D40F0">
            <w:r w:rsidRPr="006D40F0">
              <w:t>1 008 515</w:t>
            </w:r>
          </w:p>
        </w:tc>
      </w:tr>
      <w:tr w:rsidR="00DD49A7" w:rsidRPr="006D40F0" w14:paraId="244203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2C2A26" w14:textId="77777777" w:rsidR="00575AC3" w:rsidRPr="006D40F0" w:rsidRDefault="00575AC3" w:rsidP="006D40F0">
            <w:r w:rsidRPr="006D40F0">
              <w:t>179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59B5D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1A0EDBE" w14:textId="77777777" w:rsidR="00575AC3" w:rsidRPr="006D40F0" w:rsidRDefault="00575AC3" w:rsidP="006D40F0">
            <w:r w:rsidRPr="006D40F0">
              <w:t>Flyktningtiltak i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D599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26E8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6791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DF8D72" w14:textId="77777777" w:rsidR="00575AC3" w:rsidRPr="006D40F0" w:rsidRDefault="00575AC3" w:rsidP="006D40F0"/>
        </w:tc>
      </w:tr>
      <w:tr w:rsidR="00DD49A7" w:rsidRPr="006D40F0" w14:paraId="3738B195"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37D576F"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A8FFB24" w14:textId="77777777" w:rsidR="00575AC3" w:rsidRPr="006D40F0" w:rsidRDefault="00575AC3" w:rsidP="006D40F0">
            <w:r w:rsidRPr="006D40F0">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0A2684D" w14:textId="77777777" w:rsidR="00575AC3" w:rsidRPr="006D40F0" w:rsidRDefault="00575AC3" w:rsidP="006D40F0">
            <w:r w:rsidRPr="006D40F0">
              <w:t xml:space="preserve">Spesielle 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1880BBE" w14:textId="77777777" w:rsidR="00575AC3" w:rsidRPr="006D40F0" w:rsidRDefault="00575AC3" w:rsidP="006D40F0">
            <w:r w:rsidRPr="006D40F0">
              <w:t>3 770 482</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B375397"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8E79FC" w14:textId="77777777" w:rsidR="00575AC3" w:rsidRPr="006D40F0" w:rsidRDefault="00575AC3" w:rsidP="006D40F0">
            <w:r w:rsidRPr="006D40F0">
              <w:t>1 170 360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EA7FE1" w14:textId="77777777" w:rsidR="00575AC3" w:rsidRPr="006D40F0" w:rsidRDefault="00575AC3" w:rsidP="006D40F0">
            <w:r w:rsidRPr="006D40F0">
              <w:t>4 940 842</w:t>
            </w:r>
          </w:p>
        </w:tc>
      </w:tr>
      <w:tr w:rsidR="00DD49A7" w:rsidRPr="006D40F0" w14:paraId="28BDC46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501689D" w14:textId="77777777" w:rsidR="00575AC3" w:rsidRPr="006D40F0" w:rsidRDefault="00575AC3" w:rsidP="006D40F0">
            <w:r w:rsidRPr="006D40F0">
              <w:t>Sum endringer Utenriksdepartementet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170D73"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6BDA60"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A5A0C4" w14:textId="77777777" w:rsidR="00575AC3" w:rsidRPr="006D40F0" w:rsidRDefault="00575AC3" w:rsidP="006D40F0">
            <w:r w:rsidRPr="006D40F0">
              <w:t>2 461 775</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155DD7" w14:textId="77777777" w:rsidR="00575AC3" w:rsidRPr="006D40F0" w:rsidRDefault="00575AC3" w:rsidP="006D40F0"/>
        </w:tc>
      </w:tr>
      <w:tr w:rsidR="00DD49A7" w:rsidRPr="006D40F0" w14:paraId="0887EDC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240E84" w14:textId="77777777" w:rsidR="00575AC3" w:rsidRPr="006D40F0" w:rsidRDefault="00575AC3" w:rsidP="006D40F0">
            <w:r w:rsidRPr="006D40F0">
              <w:t>200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4D9DC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AB454B" w14:textId="77777777" w:rsidR="00575AC3" w:rsidRPr="006D40F0" w:rsidRDefault="00575AC3" w:rsidP="006D40F0">
            <w:r w:rsidRPr="006D40F0">
              <w:t>Kunnskapsdepartementet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E323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28B43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961B6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A59668" w14:textId="77777777" w:rsidR="00575AC3" w:rsidRPr="006D40F0" w:rsidRDefault="00575AC3" w:rsidP="006D40F0"/>
        </w:tc>
      </w:tr>
      <w:tr w:rsidR="00DD49A7" w:rsidRPr="006D40F0" w14:paraId="0A06290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B97E2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2A557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1EB81D"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9F53F" w14:textId="77777777" w:rsidR="00575AC3" w:rsidRPr="006D40F0" w:rsidRDefault="00575AC3" w:rsidP="006D40F0">
            <w:r w:rsidRPr="006D40F0">
              <w:t>406 777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23B0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EEED16" w14:textId="77777777" w:rsidR="00575AC3" w:rsidRPr="006D40F0" w:rsidRDefault="00575AC3" w:rsidP="006D40F0">
            <w:r w:rsidRPr="006D40F0">
              <w:t>-8 500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A164B" w14:textId="77777777" w:rsidR="00575AC3" w:rsidRPr="006D40F0" w:rsidRDefault="00575AC3" w:rsidP="006D40F0">
            <w:r w:rsidRPr="006D40F0">
              <w:t>398 277</w:t>
            </w:r>
          </w:p>
        </w:tc>
      </w:tr>
      <w:tr w:rsidR="00DD49A7" w:rsidRPr="006D40F0" w14:paraId="3A170C3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605C44" w14:textId="77777777" w:rsidR="00575AC3" w:rsidRPr="006D40F0" w:rsidRDefault="00575AC3" w:rsidP="006D40F0">
            <w:r w:rsidRPr="006D40F0">
              <w:t>224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C0601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322AF8" w14:textId="77777777" w:rsidR="00575AC3" w:rsidRPr="006D40F0" w:rsidRDefault="00575AC3" w:rsidP="006D40F0">
            <w:r w:rsidRPr="006D40F0">
              <w:t>Tilskudd til freds- og menneskerettighetssentre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727F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4E73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7744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D4002A" w14:textId="77777777" w:rsidR="00575AC3" w:rsidRPr="006D40F0" w:rsidRDefault="00575AC3" w:rsidP="006D40F0"/>
        </w:tc>
      </w:tr>
      <w:tr w:rsidR="00DD49A7" w:rsidRPr="006D40F0" w14:paraId="521D2C4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3CACB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B9CECE"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63F79C6" w14:textId="77777777" w:rsidR="00575AC3" w:rsidRPr="006D40F0" w:rsidRDefault="00575AC3" w:rsidP="006D40F0">
            <w:r w:rsidRPr="006D40F0">
              <w:t xml:space="preserve">Freds- og menneskerettighetssentre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2F589A" w14:textId="77777777" w:rsidR="00575AC3" w:rsidRPr="006D40F0" w:rsidRDefault="00575AC3" w:rsidP="006D40F0">
            <w:r w:rsidRPr="006D40F0">
              <w:t>138 926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66E43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4DC468" w14:textId="77777777" w:rsidR="00575AC3" w:rsidRPr="006D40F0" w:rsidRDefault="00575AC3" w:rsidP="006D40F0">
            <w:r w:rsidRPr="006D40F0">
              <w:t>2 850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4ACFC" w14:textId="77777777" w:rsidR="00575AC3" w:rsidRPr="006D40F0" w:rsidRDefault="00575AC3" w:rsidP="006D40F0">
            <w:r w:rsidRPr="006D40F0">
              <w:t>141 776</w:t>
            </w:r>
          </w:p>
        </w:tc>
      </w:tr>
      <w:tr w:rsidR="00DD49A7" w:rsidRPr="006D40F0" w14:paraId="36B5E56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381C1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9BAEEC"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A926F85" w14:textId="77777777" w:rsidR="00575AC3" w:rsidRPr="006D40F0" w:rsidRDefault="00575AC3" w:rsidP="006D40F0">
            <w:r w:rsidRPr="006D40F0">
              <w:t xml:space="preserve">Det europeiske </w:t>
            </w:r>
            <w:proofErr w:type="spellStart"/>
            <w:r w:rsidRPr="006D40F0">
              <w:t>Wergelandsenteret</w:t>
            </w:r>
            <w:proofErr w:type="spellEnd"/>
            <w:r w:rsidRPr="006D40F0">
              <w:t xml:space="preserv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D2EB7" w14:textId="77777777" w:rsidR="00575AC3" w:rsidRPr="006D40F0" w:rsidRDefault="00575AC3" w:rsidP="006D40F0">
            <w:r w:rsidRPr="006D40F0">
              <w:t>12 772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5DD7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D5CBE" w14:textId="77777777" w:rsidR="00575AC3" w:rsidRPr="006D40F0" w:rsidRDefault="00575AC3" w:rsidP="006D40F0">
            <w:r w:rsidRPr="006D40F0">
              <w:t>475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BC873" w14:textId="77777777" w:rsidR="00575AC3" w:rsidRPr="006D40F0" w:rsidRDefault="00575AC3" w:rsidP="006D40F0">
            <w:r w:rsidRPr="006D40F0">
              <w:t>13 247</w:t>
            </w:r>
          </w:p>
        </w:tc>
      </w:tr>
      <w:tr w:rsidR="00DD49A7" w:rsidRPr="006D40F0" w14:paraId="6F51538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2E838B" w14:textId="77777777" w:rsidR="00575AC3" w:rsidRPr="006D40F0" w:rsidRDefault="00575AC3" w:rsidP="006D40F0">
            <w:r w:rsidRPr="006D40F0">
              <w:t>225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79779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EE8F49" w14:textId="77777777" w:rsidR="00575AC3" w:rsidRPr="006D40F0" w:rsidRDefault="00575AC3" w:rsidP="006D40F0">
            <w:r w:rsidRPr="006D40F0">
              <w:t>Tiltak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BC7C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BD21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28A4E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4B7196" w14:textId="77777777" w:rsidR="00575AC3" w:rsidRPr="006D40F0" w:rsidRDefault="00575AC3" w:rsidP="006D40F0"/>
        </w:tc>
      </w:tr>
      <w:tr w:rsidR="00DD49A7" w:rsidRPr="006D40F0" w14:paraId="3296589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FEE35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649DE1"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09A4B1"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FFFFFB" w14:textId="77777777" w:rsidR="00575AC3" w:rsidRPr="006D40F0" w:rsidRDefault="00575AC3" w:rsidP="006D40F0">
            <w:r w:rsidRPr="006D40F0">
              <w:t>23 958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C066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E0BBD"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50A3B" w14:textId="77777777" w:rsidR="00575AC3" w:rsidRPr="006D40F0" w:rsidRDefault="00575AC3" w:rsidP="006D40F0">
            <w:r w:rsidRPr="006D40F0">
              <w:t>28 958</w:t>
            </w:r>
          </w:p>
        </w:tc>
      </w:tr>
      <w:tr w:rsidR="00DD49A7" w:rsidRPr="006D40F0" w14:paraId="5A11490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D18D1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1DBAD1"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949E24" w14:textId="77777777" w:rsidR="00575AC3" w:rsidRPr="006D40F0" w:rsidRDefault="00575AC3" w:rsidP="006D40F0">
            <w:r w:rsidRPr="006D40F0">
              <w:t xml:space="preserve">Rentekompensasjon for investeringer i læringsarenaer og større utstyr som bidrar til mer praktisk og variert opplæring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83D073" w14:textId="77777777" w:rsidR="00575AC3" w:rsidRPr="006D40F0" w:rsidRDefault="00575AC3" w:rsidP="006D40F0">
            <w:r w:rsidRPr="006D40F0">
              <w:t>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0B1E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5DADB"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A1200" w14:textId="77777777" w:rsidR="00575AC3" w:rsidRPr="006D40F0" w:rsidRDefault="00575AC3" w:rsidP="006D40F0">
            <w:r w:rsidRPr="006D40F0">
              <w:t>20 000</w:t>
            </w:r>
          </w:p>
        </w:tc>
      </w:tr>
      <w:tr w:rsidR="00DD49A7" w:rsidRPr="006D40F0" w14:paraId="5DA0551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2AEF1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2296D3" w14:textId="77777777" w:rsidR="00575AC3" w:rsidRPr="006D40F0" w:rsidRDefault="00575AC3" w:rsidP="006D40F0">
            <w:r w:rsidRPr="006D40F0">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00FE35" w14:textId="77777777" w:rsidR="00575AC3" w:rsidRPr="006D40F0" w:rsidRDefault="00575AC3" w:rsidP="006D40F0">
            <w:r w:rsidRPr="006D40F0">
              <w:t xml:space="preserve">Tilskudd til samisk i grunnopplæringen,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5241F" w14:textId="77777777" w:rsidR="00575AC3" w:rsidRPr="006D40F0" w:rsidRDefault="00575AC3" w:rsidP="006D40F0">
            <w:r w:rsidRPr="006D40F0">
              <w:t>125 171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E7B69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5A0E5" w14:textId="77777777" w:rsidR="00575AC3" w:rsidRPr="006D40F0" w:rsidRDefault="00575AC3" w:rsidP="006D40F0">
            <w:r w:rsidRPr="006D40F0">
              <w:t>19 542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A2E55" w14:textId="77777777" w:rsidR="00575AC3" w:rsidRPr="006D40F0" w:rsidRDefault="00575AC3" w:rsidP="006D40F0">
            <w:r w:rsidRPr="006D40F0">
              <w:t>144 713</w:t>
            </w:r>
          </w:p>
        </w:tc>
      </w:tr>
      <w:tr w:rsidR="00DD49A7" w:rsidRPr="006D40F0" w14:paraId="090F003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EDF21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6DD4F8" w14:textId="77777777" w:rsidR="00575AC3" w:rsidRPr="006D40F0" w:rsidRDefault="00575AC3" w:rsidP="006D40F0">
            <w:r w:rsidRPr="006D40F0">
              <w:t>64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8FFBF2" w14:textId="77777777" w:rsidR="00575AC3" w:rsidRPr="006D40F0" w:rsidRDefault="00575AC3" w:rsidP="006D40F0">
            <w:r w:rsidRPr="006D40F0">
              <w:t xml:space="preserve">Tilskudd til opplæring av barn og unge som søker opphold i Norge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C14231" w14:textId="77777777" w:rsidR="00575AC3" w:rsidRPr="006D40F0" w:rsidRDefault="00575AC3" w:rsidP="006D40F0">
            <w:r w:rsidRPr="006D40F0">
              <w:t>368 482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50C0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7AFAD4" w14:textId="77777777" w:rsidR="00575AC3" w:rsidRPr="006D40F0" w:rsidRDefault="00575AC3" w:rsidP="006D40F0">
            <w:r w:rsidRPr="006D40F0">
              <w:t>11 995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556C8" w14:textId="77777777" w:rsidR="00575AC3" w:rsidRPr="006D40F0" w:rsidRDefault="00575AC3" w:rsidP="006D40F0">
            <w:r w:rsidRPr="006D40F0">
              <w:t>380 477</w:t>
            </w:r>
          </w:p>
        </w:tc>
      </w:tr>
      <w:tr w:rsidR="00DD49A7" w:rsidRPr="006D40F0" w14:paraId="4CD7822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88E5E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E78150" w14:textId="77777777" w:rsidR="00575AC3" w:rsidRPr="006D40F0" w:rsidRDefault="00575AC3" w:rsidP="006D40F0">
            <w:r w:rsidRPr="006D40F0">
              <w:t>65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58CA15" w14:textId="77777777" w:rsidR="00575AC3" w:rsidRPr="006D40F0" w:rsidRDefault="00575AC3" w:rsidP="006D40F0">
            <w:r w:rsidRPr="006D40F0">
              <w:t xml:space="preserve">Rentekompensasjon for skole- og svømmeanlegg,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D5050" w14:textId="77777777" w:rsidR="00575AC3" w:rsidRPr="006D40F0" w:rsidRDefault="00575AC3" w:rsidP="006D40F0">
            <w:r w:rsidRPr="006D40F0">
              <w:t>280 000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EC7E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16F322" w14:textId="77777777" w:rsidR="00575AC3" w:rsidRPr="006D40F0" w:rsidRDefault="00575AC3" w:rsidP="006D40F0">
            <w:r w:rsidRPr="006D40F0">
              <w:t>92 245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7A2483" w14:textId="77777777" w:rsidR="00575AC3" w:rsidRPr="006D40F0" w:rsidRDefault="00575AC3" w:rsidP="006D40F0">
            <w:r w:rsidRPr="006D40F0">
              <w:t>372 245</w:t>
            </w:r>
          </w:p>
        </w:tc>
      </w:tr>
      <w:tr w:rsidR="00DD49A7" w:rsidRPr="006D40F0" w14:paraId="6C862CA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A97787" w14:textId="77777777" w:rsidR="00575AC3" w:rsidRPr="006D40F0" w:rsidRDefault="00575AC3" w:rsidP="006D40F0">
            <w:r w:rsidRPr="006D40F0">
              <w:t>226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5B299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5784DC" w14:textId="77777777" w:rsidR="00575AC3" w:rsidRPr="006D40F0" w:rsidRDefault="00575AC3" w:rsidP="006D40F0">
            <w:r w:rsidRPr="006D40F0">
              <w:t>Kvalitetsutvikling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0D83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2BBB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78B1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F824B" w14:textId="77777777" w:rsidR="00575AC3" w:rsidRPr="006D40F0" w:rsidRDefault="00575AC3" w:rsidP="006D40F0"/>
        </w:tc>
      </w:tr>
      <w:tr w:rsidR="00DD49A7" w:rsidRPr="006D40F0" w14:paraId="5A7D5EB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6C898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E46E49"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67BE8F"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65E32" w14:textId="77777777" w:rsidR="00575AC3" w:rsidRPr="006D40F0" w:rsidRDefault="00575AC3" w:rsidP="006D40F0">
            <w:r w:rsidRPr="006D40F0">
              <w:t>1 313 639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5893E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E1858" w14:textId="77777777" w:rsidR="00575AC3" w:rsidRPr="006D40F0" w:rsidRDefault="00575AC3" w:rsidP="006D40F0">
            <w:r w:rsidRPr="006D40F0">
              <w:t>321 200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8E09B" w14:textId="77777777" w:rsidR="00575AC3" w:rsidRPr="006D40F0" w:rsidRDefault="00575AC3" w:rsidP="006D40F0">
            <w:r w:rsidRPr="006D40F0">
              <w:t>1 634 839</w:t>
            </w:r>
          </w:p>
        </w:tc>
      </w:tr>
      <w:tr w:rsidR="00DD49A7" w:rsidRPr="006D40F0" w14:paraId="77AA76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A78C77" w14:textId="77777777" w:rsidR="00575AC3" w:rsidRPr="006D40F0" w:rsidRDefault="00575AC3" w:rsidP="006D40F0">
            <w:r w:rsidRPr="006D40F0">
              <w:t>228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C47FF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6E9659" w14:textId="77777777" w:rsidR="00575AC3" w:rsidRPr="006D40F0" w:rsidRDefault="00575AC3" w:rsidP="006D40F0">
            <w:r w:rsidRPr="006D40F0">
              <w:t>Tilskudd til private skoler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AD03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1A50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473A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5A868" w14:textId="77777777" w:rsidR="00575AC3" w:rsidRPr="006D40F0" w:rsidRDefault="00575AC3" w:rsidP="006D40F0"/>
        </w:tc>
      </w:tr>
      <w:tr w:rsidR="00DD49A7" w:rsidRPr="006D40F0" w14:paraId="395EA5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8B02A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F0D3A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F45621" w14:textId="77777777" w:rsidR="00575AC3" w:rsidRPr="006D40F0" w:rsidRDefault="00575AC3" w:rsidP="006D40F0">
            <w:r w:rsidRPr="006D40F0">
              <w:t xml:space="preserve">Private grunnskoler,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90D21" w14:textId="77777777" w:rsidR="00575AC3" w:rsidRPr="006D40F0" w:rsidRDefault="00575AC3" w:rsidP="006D40F0">
            <w:r w:rsidRPr="006D40F0">
              <w:t>3 818 469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955F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4FB85" w14:textId="77777777" w:rsidR="00575AC3" w:rsidRPr="006D40F0" w:rsidRDefault="00575AC3" w:rsidP="006D40F0">
            <w:r w:rsidRPr="006D40F0">
              <w:t>19 016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B1D5A9" w14:textId="77777777" w:rsidR="00575AC3" w:rsidRPr="006D40F0" w:rsidRDefault="00575AC3" w:rsidP="006D40F0">
            <w:r w:rsidRPr="006D40F0">
              <w:t>3 837 485</w:t>
            </w:r>
          </w:p>
        </w:tc>
      </w:tr>
      <w:tr w:rsidR="00DD49A7" w:rsidRPr="006D40F0" w14:paraId="3EB8D4F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ED3E2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7644BE"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38207D" w14:textId="77777777" w:rsidR="00575AC3" w:rsidRPr="006D40F0" w:rsidRDefault="00575AC3" w:rsidP="006D40F0">
            <w:r w:rsidRPr="006D40F0">
              <w:t xml:space="preserve">Private videregående skoler,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331CD" w14:textId="77777777" w:rsidR="00575AC3" w:rsidRPr="006D40F0" w:rsidRDefault="00575AC3" w:rsidP="006D40F0">
            <w:r w:rsidRPr="006D40F0">
              <w:t>2 122 517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DA6FD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29527" w14:textId="77777777" w:rsidR="00575AC3" w:rsidRPr="006D40F0" w:rsidRDefault="00575AC3" w:rsidP="006D40F0">
            <w:r w:rsidRPr="006D40F0">
              <w:t>5 100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0DC86" w14:textId="77777777" w:rsidR="00575AC3" w:rsidRPr="006D40F0" w:rsidRDefault="00575AC3" w:rsidP="006D40F0">
            <w:r w:rsidRPr="006D40F0">
              <w:t>2 127 617</w:t>
            </w:r>
          </w:p>
        </w:tc>
      </w:tr>
      <w:tr w:rsidR="00DD49A7" w:rsidRPr="006D40F0" w14:paraId="610EFD2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CF3B8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2CB464"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113931" w14:textId="77777777" w:rsidR="00575AC3" w:rsidRPr="006D40F0" w:rsidRDefault="00575AC3" w:rsidP="006D40F0">
            <w:r w:rsidRPr="006D40F0">
              <w:t xml:space="preserve">Private grunnskoler i utlandet,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BF6F9" w14:textId="77777777" w:rsidR="00575AC3" w:rsidRPr="006D40F0" w:rsidRDefault="00575AC3" w:rsidP="006D40F0">
            <w:r w:rsidRPr="006D40F0">
              <w:t>153 664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E970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85E3CD" w14:textId="77777777" w:rsidR="00575AC3" w:rsidRPr="006D40F0" w:rsidRDefault="00575AC3" w:rsidP="006D40F0">
            <w:r w:rsidRPr="006D40F0">
              <w:t>724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12901" w14:textId="77777777" w:rsidR="00575AC3" w:rsidRPr="006D40F0" w:rsidRDefault="00575AC3" w:rsidP="006D40F0">
            <w:r w:rsidRPr="006D40F0">
              <w:t>154 388</w:t>
            </w:r>
          </w:p>
        </w:tc>
      </w:tr>
      <w:tr w:rsidR="00DD49A7" w:rsidRPr="006D40F0" w14:paraId="7900096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13A42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8E43B6" w14:textId="77777777" w:rsidR="00575AC3" w:rsidRPr="006D40F0" w:rsidRDefault="00575AC3" w:rsidP="006D40F0">
            <w:r w:rsidRPr="006D40F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C89680" w14:textId="77777777" w:rsidR="00575AC3" w:rsidRPr="006D40F0" w:rsidRDefault="00575AC3" w:rsidP="006D40F0">
            <w:r w:rsidRPr="006D40F0">
              <w:t xml:space="preserve">Den tysk-norske skolen i Oslo,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2903B" w14:textId="77777777" w:rsidR="00575AC3" w:rsidRPr="006D40F0" w:rsidRDefault="00575AC3" w:rsidP="006D40F0">
            <w:r w:rsidRPr="006D40F0">
              <w:t>34 586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A3F83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5DBC1" w14:textId="77777777" w:rsidR="00575AC3" w:rsidRPr="006D40F0" w:rsidRDefault="00575AC3" w:rsidP="006D40F0">
            <w:r w:rsidRPr="006D40F0">
              <w:t>796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C2E11" w14:textId="77777777" w:rsidR="00575AC3" w:rsidRPr="006D40F0" w:rsidRDefault="00575AC3" w:rsidP="006D40F0">
            <w:r w:rsidRPr="006D40F0">
              <w:t>35 382</w:t>
            </w:r>
          </w:p>
        </w:tc>
      </w:tr>
      <w:tr w:rsidR="00DD49A7" w:rsidRPr="006D40F0" w14:paraId="344EA56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76B73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5EEB48"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74F522" w14:textId="77777777" w:rsidR="00575AC3" w:rsidRPr="006D40F0" w:rsidRDefault="00575AC3" w:rsidP="006D40F0">
            <w:r w:rsidRPr="006D40F0">
              <w:t xml:space="preserve">Særtilskudd til private kombinerte grunnskoler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CFA3C"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48A45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D48D12" w14:textId="77777777" w:rsidR="00575AC3" w:rsidRPr="006D40F0" w:rsidRDefault="00575AC3" w:rsidP="006D40F0">
            <w:r w:rsidRPr="006D40F0">
              <w:t>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34B69E" w14:textId="77777777" w:rsidR="00575AC3" w:rsidRPr="006D40F0" w:rsidRDefault="00575AC3" w:rsidP="006D40F0">
            <w:r w:rsidRPr="006D40F0">
              <w:t>30 000</w:t>
            </w:r>
          </w:p>
        </w:tc>
      </w:tr>
      <w:tr w:rsidR="00DD49A7" w:rsidRPr="006D40F0" w14:paraId="34DAF3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2BA693" w14:textId="77777777" w:rsidR="00575AC3" w:rsidRPr="006D40F0" w:rsidRDefault="00575AC3" w:rsidP="006D40F0">
            <w:r w:rsidRPr="006D40F0">
              <w:t>229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A2268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ADBE32" w14:textId="77777777" w:rsidR="00575AC3" w:rsidRPr="006D40F0" w:rsidRDefault="00575AC3" w:rsidP="006D40F0">
            <w:r w:rsidRPr="006D40F0">
              <w:t>22. juli-senteret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666F3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6404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D3B8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0E841" w14:textId="77777777" w:rsidR="00575AC3" w:rsidRPr="006D40F0" w:rsidRDefault="00575AC3" w:rsidP="006D40F0"/>
        </w:tc>
      </w:tr>
      <w:tr w:rsidR="00DD49A7" w:rsidRPr="006D40F0" w14:paraId="7157A15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B7D46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5CA9D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ED8ECD"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8C30B4" w14:textId="77777777" w:rsidR="00575AC3" w:rsidRPr="006D40F0" w:rsidRDefault="00575AC3" w:rsidP="006D40F0">
            <w:r w:rsidRPr="006D40F0">
              <w:t>23 236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5484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219770" w14:textId="77777777" w:rsidR="00575AC3" w:rsidRPr="006D40F0" w:rsidRDefault="00575AC3" w:rsidP="006D40F0">
            <w:r w:rsidRPr="006D40F0">
              <w:t>475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BB9BE0" w14:textId="77777777" w:rsidR="00575AC3" w:rsidRPr="006D40F0" w:rsidRDefault="00575AC3" w:rsidP="006D40F0">
            <w:r w:rsidRPr="006D40F0">
              <w:t>23 711</w:t>
            </w:r>
          </w:p>
        </w:tc>
      </w:tr>
      <w:tr w:rsidR="00DD49A7" w:rsidRPr="006D40F0" w14:paraId="7F23C4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D54C97" w14:textId="77777777" w:rsidR="00575AC3" w:rsidRPr="006D40F0" w:rsidRDefault="00575AC3" w:rsidP="006D40F0">
            <w:r w:rsidRPr="006D40F0">
              <w:t>240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E8098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C19318" w14:textId="77777777" w:rsidR="00575AC3" w:rsidRPr="006D40F0" w:rsidRDefault="00575AC3" w:rsidP="006D40F0">
            <w:r w:rsidRPr="006D40F0">
              <w:t>Fagskoler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4FBE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F996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9C631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1B042" w14:textId="77777777" w:rsidR="00575AC3" w:rsidRPr="006D40F0" w:rsidRDefault="00575AC3" w:rsidP="006D40F0"/>
        </w:tc>
      </w:tr>
      <w:tr w:rsidR="00DD49A7" w:rsidRPr="006D40F0" w14:paraId="786383C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34158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2B3DF3"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F485EB" w14:textId="051DBD00" w:rsidR="00575AC3" w:rsidRPr="006D40F0" w:rsidRDefault="00575AC3" w:rsidP="006D40F0">
            <w:r w:rsidRPr="006D40F0">
              <w:t>Utviklingsmidler til fagskoler,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C25EC3" w14:textId="77777777" w:rsidR="00575AC3" w:rsidRPr="006D40F0" w:rsidRDefault="00575AC3" w:rsidP="006D40F0">
            <w:r w:rsidRPr="006D40F0">
              <w:t>75 148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BA493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98804E"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7EED54" w14:textId="77777777" w:rsidR="00575AC3" w:rsidRPr="006D40F0" w:rsidRDefault="00575AC3" w:rsidP="006D40F0">
            <w:r w:rsidRPr="006D40F0">
              <w:t>85 148</w:t>
            </w:r>
          </w:p>
        </w:tc>
      </w:tr>
      <w:tr w:rsidR="00DD49A7" w:rsidRPr="006D40F0" w14:paraId="4CE71B9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C4834E" w14:textId="77777777" w:rsidR="00575AC3" w:rsidRPr="006D40F0" w:rsidRDefault="00575AC3" w:rsidP="006D40F0">
            <w:r w:rsidRPr="006D40F0">
              <w:t>241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EDF86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5FD35F" w14:textId="77777777" w:rsidR="00575AC3" w:rsidRPr="006D40F0" w:rsidRDefault="00575AC3" w:rsidP="006D40F0">
            <w:r w:rsidRPr="006D40F0">
              <w:t>Tiltak for høyere yrkesfaglig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3CCDA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B9B3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6FB6A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ED465" w14:textId="77777777" w:rsidR="00575AC3" w:rsidRPr="006D40F0" w:rsidRDefault="00575AC3" w:rsidP="006D40F0"/>
        </w:tc>
      </w:tr>
      <w:tr w:rsidR="00DD49A7" w:rsidRPr="006D40F0" w14:paraId="360CE6F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19E46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5BB22F"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CF9774"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F229F0" w14:textId="77777777" w:rsidR="00575AC3" w:rsidRPr="006D40F0" w:rsidRDefault="00575AC3" w:rsidP="006D40F0">
            <w:r w:rsidRPr="006D40F0">
              <w:t>24 648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FAC2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BB8D4A"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2809CD" w14:textId="77777777" w:rsidR="00575AC3" w:rsidRPr="006D40F0" w:rsidRDefault="00575AC3" w:rsidP="006D40F0">
            <w:r w:rsidRPr="006D40F0">
              <w:t>26 148</w:t>
            </w:r>
          </w:p>
        </w:tc>
      </w:tr>
      <w:tr w:rsidR="00DD49A7" w:rsidRPr="006D40F0" w14:paraId="371220D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05AEB5" w14:textId="77777777" w:rsidR="00575AC3" w:rsidRPr="006D40F0" w:rsidRDefault="00575AC3" w:rsidP="006D40F0">
            <w:r w:rsidRPr="006D40F0">
              <w:t>256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0C1DD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E16A8A" w14:textId="77777777" w:rsidR="00575AC3" w:rsidRPr="006D40F0" w:rsidRDefault="00575AC3" w:rsidP="006D40F0">
            <w:r w:rsidRPr="006D40F0">
              <w:t>Direktoratet for høyere utdanning og kompetanse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C11B3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3D896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C593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8041B" w14:textId="77777777" w:rsidR="00575AC3" w:rsidRPr="006D40F0" w:rsidRDefault="00575AC3" w:rsidP="006D40F0"/>
        </w:tc>
      </w:tr>
      <w:tr w:rsidR="00DD49A7" w:rsidRPr="006D40F0" w14:paraId="47C6FA3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83290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C90C1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E1AA72"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493F5" w14:textId="77777777" w:rsidR="00575AC3" w:rsidRPr="006D40F0" w:rsidRDefault="00575AC3" w:rsidP="006D40F0">
            <w:r w:rsidRPr="006D40F0">
              <w:t>452 817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BCEED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3FAA9" w14:textId="77777777" w:rsidR="00575AC3" w:rsidRPr="006D40F0" w:rsidRDefault="00575AC3" w:rsidP="006D40F0">
            <w:r w:rsidRPr="006D40F0">
              <w:t>1 600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3FABE" w14:textId="77777777" w:rsidR="00575AC3" w:rsidRPr="006D40F0" w:rsidRDefault="00575AC3" w:rsidP="006D40F0">
            <w:r w:rsidRPr="006D40F0">
              <w:t>454 417</w:t>
            </w:r>
          </w:p>
        </w:tc>
      </w:tr>
      <w:tr w:rsidR="00DD49A7" w:rsidRPr="006D40F0" w14:paraId="2DE1C6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7A6D8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C9629B"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D8D0D7"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09DC0" w14:textId="77777777" w:rsidR="00575AC3" w:rsidRPr="006D40F0" w:rsidRDefault="00575AC3" w:rsidP="006D40F0">
            <w:r w:rsidRPr="006D40F0">
              <w:t>14 022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4099D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5A3400" w14:textId="77777777" w:rsidR="00575AC3" w:rsidRPr="006D40F0" w:rsidRDefault="00575AC3" w:rsidP="006D40F0">
            <w:r w:rsidRPr="006D40F0">
              <w:t>-2 200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89E9FA" w14:textId="77777777" w:rsidR="00575AC3" w:rsidRPr="006D40F0" w:rsidRDefault="00575AC3" w:rsidP="006D40F0">
            <w:r w:rsidRPr="006D40F0">
              <w:t>11 822</w:t>
            </w:r>
          </w:p>
        </w:tc>
      </w:tr>
      <w:tr w:rsidR="00DD49A7" w:rsidRPr="006D40F0" w14:paraId="0B4A22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8CF748" w14:textId="77777777" w:rsidR="00575AC3" w:rsidRPr="006D40F0" w:rsidRDefault="00575AC3" w:rsidP="006D40F0">
            <w:r w:rsidRPr="006D40F0">
              <w:t>257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F7703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995091" w14:textId="77777777" w:rsidR="00575AC3" w:rsidRPr="006D40F0" w:rsidRDefault="00575AC3" w:rsidP="006D40F0">
            <w:r w:rsidRPr="006D40F0">
              <w:t>Kompetanseprogrammet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488F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F65D3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62F4C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44790" w14:textId="77777777" w:rsidR="00575AC3" w:rsidRPr="006D40F0" w:rsidRDefault="00575AC3" w:rsidP="006D40F0"/>
        </w:tc>
      </w:tr>
      <w:tr w:rsidR="00DD49A7" w:rsidRPr="006D40F0" w14:paraId="32A352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2105A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E2204C"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FDD489" w14:textId="77777777" w:rsidR="00575AC3" w:rsidRPr="006D40F0" w:rsidRDefault="00575AC3" w:rsidP="006D40F0">
            <w:r w:rsidRPr="006D40F0">
              <w:t xml:space="preserve">Tilskudd,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F45D7" w14:textId="77777777" w:rsidR="00575AC3" w:rsidRPr="006D40F0" w:rsidRDefault="00575AC3" w:rsidP="006D40F0">
            <w:r w:rsidRPr="006D40F0">
              <w:t>202 910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B71A2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741EB8" w14:textId="77777777" w:rsidR="00575AC3" w:rsidRPr="006D40F0" w:rsidRDefault="00575AC3" w:rsidP="006D40F0">
            <w:r w:rsidRPr="006D40F0">
              <w:t>-25 000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CB41AD" w14:textId="77777777" w:rsidR="00575AC3" w:rsidRPr="006D40F0" w:rsidRDefault="00575AC3" w:rsidP="006D40F0">
            <w:r w:rsidRPr="006D40F0">
              <w:t>177 910</w:t>
            </w:r>
          </w:p>
        </w:tc>
      </w:tr>
      <w:tr w:rsidR="00DD49A7" w:rsidRPr="006D40F0" w14:paraId="6BA89C6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A4C619" w14:textId="77777777" w:rsidR="00575AC3" w:rsidRPr="006D40F0" w:rsidRDefault="00575AC3" w:rsidP="006D40F0">
            <w:r w:rsidRPr="006D40F0">
              <w:t>258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5072F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583FCE" w14:textId="77777777" w:rsidR="00575AC3" w:rsidRPr="006D40F0" w:rsidRDefault="00575AC3" w:rsidP="006D40F0">
            <w:r w:rsidRPr="006D40F0">
              <w:t>Tiltak for livslang læring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94B14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0E85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BE811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B1245" w14:textId="77777777" w:rsidR="00575AC3" w:rsidRPr="006D40F0" w:rsidRDefault="00575AC3" w:rsidP="006D40F0"/>
        </w:tc>
      </w:tr>
      <w:tr w:rsidR="00DD49A7" w:rsidRPr="006D40F0" w14:paraId="5633C8F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853C9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723B9C"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657F79"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D840D0" w14:textId="77777777" w:rsidR="00575AC3" w:rsidRPr="006D40F0" w:rsidRDefault="00575AC3" w:rsidP="006D40F0">
            <w:r w:rsidRPr="006D40F0">
              <w:t>112 836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3B4F2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580148" w14:textId="77777777" w:rsidR="00575AC3" w:rsidRPr="006D40F0" w:rsidRDefault="00575AC3" w:rsidP="006D40F0">
            <w:r w:rsidRPr="006D40F0">
              <w:t>-25 502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5DB88" w14:textId="77777777" w:rsidR="00575AC3" w:rsidRPr="006D40F0" w:rsidRDefault="00575AC3" w:rsidP="006D40F0">
            <w:r w:rsidRPr="006D40F0">
              <w:t>87 334</w:t>
            </w:r>
          </w:p>
        </w:tc>
      </w:tr>
      <w:tr w:rsidR="00DD49A7" w:rsidRPr="006D40F0" w14:paraId="29FDDB7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B1C6C2" w14:textId="77777777" w:rsidR="00575AC3" w:rsidRPr="006D40F0" w:rsidRDefault="00575AC3" w:rsidP="006D40F0">
            <w:r w:rsidRPr="006D40F0">
              <w:t>260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22D33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0D1362" w14:textId="77777777" w:rsidR="00575AC3" w:rsidRPr="006D40F0" w:rsidRDefault="00575AC3" w:rsidP="006D40F0">
            <w:r w:rsidRPr="006D40F0">
              <w:t>Universiteter og høyskoler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AD77D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DC03E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F35C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EB9E2" w14:textId="77777777" w:rsidR="00575AC3" w:rsidRPr="006D40F0" w:rsidRDefault="00575AC3" w:rsidP="006D40F0"/>
        </w:tc>
      </w:tr>
      <w:tr w:rsidR="00DD49A7" w:rsidRPr="006D40F0" w14:paraId="78E3F91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D9E95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DA2292"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6D2511" w14:textId="4E5E586A" w:rsidR="00575AC3" w:rsidRPr="006D40F0" w:rsidRDefault="00575AC3" w:rsidP="006D40F0">
            <w:r w:rsidRPr="006D40F0">
              <w:t>Statlige universiteter og høyskoler,</w:t>
            </w:r>
            <w:r w:rsidR="006D40F0">
              <w:t xml:space="preserve"> </w:t>
            </w:r>
            <w:r w:rsidRPr="00575AC3">
              <w:rPr>
                <w:rStyle w:val="kursiv"/>
              </w:rPr>
              <w:t>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3B17A" w14:textId="77777777" w:rsidR="00575AC3" w:rsidRPr="006D40F0" w:rsidRDefault="00575AC3" w:rsidP="006D40F0">
            <w:r w:rsidRPr="006D40F0">
              <w:t>43 042 156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C66E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517CB" w14:textId="77777777" w:rsidR="00575AC3" w:rsidRPr="006D40F0" w:rsidRDefault="00575AC3" w:rsidP="006D40F0">
            <w:r w:rsidRPr="006D40F0">
              <w:t>29 134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E9917" w14:textId="77777777" w:rsidR="00575AC3" w:rsidRPr="006D40F0" w:rsidRDefault="00575AC3" w:rsidP="006D40F0">
            <w:r w:rsidRPr="006D40F0">
              <w:t>43 071 290</w:t>
            </w:r>
          </w:p>
        </w:tc>
      </w:tr>
      <w:tr w:rsidR="00DD49A7" w:rsidRPr="006D40F0" w14:paraId="6A96AE8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D8039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0E3A53"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E08221" w14:textId="77777777" w:rsidR="00575AC3" w:rsidRPr="006D40F0" w:rsidRDefault="00575AC3" w:rsidP="006D40F0">
            <w:r w:rsidRPr="006D40F0">
              <w:t xml:space="preserve">Private høyskoler, </w:t>
            </w:r>
            <w:r w:rsidRPr="00575AC3">
              <w:rPr>
                <w:rStyle w:val="kursiv"/>
              </w:rPr>
              <w:t>kan nyttes under post 50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ED0F1F" w14:textId="77777777" w:rsidR="00575AC3" w:rsidRPr="006D40F0" w:rsidRDefault="00575AC3" w:rsidP="006D40F0">
            <w:r w:rsidRPr="006D40F0">
              <w:t>2 312 516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9D7A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2EEC5" w14:textId="77777777" w:rsidR="00575AC3" w:rsidRPr="006D40F0" w:rsidRDefault="00575AC3" w:rsidP="006D40F0">
            <w:r w:rsidRPr="006D40F0">
              <w:t>-5 090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0ED1E3" w14:textId="77777777" w:rsidR="00575AC3" w:rsidRPr="006D40F0" w:rsidRDefault="00575AC3" w:rsidP="006D40F0">
            <w:r w:rsidRPr="006D40F0">
              <w:t>2 307 426</w:t>
            </w:r>
          </w:p>
        </w:tc>
      </w:tr>
      <w:tr w:rsidR="00DD49A7" w:rsidRPr="006D40F0" w14:paraId="4F58976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B272AC" w14:textId="77777777" w:rsidR="00575AC3" w:rsidRPr="006D40F0" w:rsidRDefault="00575AC3" w:rsidP="006D40F0">
            <w:r w:rsidRPr="006D40F0">
              <w:t>270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E6041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4384E90" w14:textId="77777777" w:rsidR="00575AC3" w:rsidRPr="006D40F0" w:rsidRDefault="00575AC3" w:rsidP="006D40F0">
            <w:r w:rsidRPr="006D40F0">
              <w:t>Studentvelferd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2A9A1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7466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44DE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2DA67C" w14:textId="77777777" w:rsidR="00575AC3" w:rsidRPr="006D40F0" w:rsidRDefault="00575AC3" w:rsidP="006D40F0"/>
        </w:tc>
      </w:tr>
      <w:tr w:rsidR="00DD49A7" w:rsidRPr="006D40F0" w14:paraId="561A1BE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B5E2C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CAAC3D"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3E6ADE" w14:textId="77777777" w:rsidR="00575AC3" w:rsidRPr="006D40F0" w:rsidRDefault="00575AC3" w:rsidP="006D40F0">
            <w:r w:rsidRPr="006D40F0">
              <w:t xml:space="preserve">Tilskudd til velferdsarbeid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67DCB" w14:textId="77777777" w:rsidR="00575AC3" w:rsidRPr="006D40F0" w:rsidRDefault="00575AC3" w:rsidP="006D40F0">
            <w:r w:rsidRPr="006D40F0">
              <w:t>87 305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64C8F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7E54A5"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1F829" w14:textId="77777777" w:rsidR="00575AC3" w:rsidRPr="006D40F0" w:rsidRDefault="00575AC3" w:rsidP="006D40F0">
            <w:r w:rsidRPr="006D40F0">
              <w:t>89 305</w:t>
            </w:r>
          </w:p>
        </w:tc>
      </w:tr>
      <w:tr w:rsidR="00DD49A7" w:rsidRPr="006D40F0" w14:paraId="540D607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AD530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57BCF1"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F82B43" w14:textId="77777777" w:rsidR="00575AC3" w:rsidRPr="006D40F0" w:rsidRDefault="00575AC3" w:rsidP="006D40F0">
            <w:r w:rsidRPr="006D40F0">
              <w:t xml:space="preserve">Tilskudd til bygging av studentboliger,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08EA6" w14:textId="77777777" w:rsidR="00575AC3" w:rsidRPr="006D40F0" w:rsidRDefault="00575AC3" w:rsidP="006D40F0">
            <w:r w:rsidRPr="006D40F0">
              <w:t>633 604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D199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BCB44" w14:textId="77777777" w:rsidR="00575AC3" w:rsidRPr="006D40F0" w:rsidRDefault="00575AC3" w:rsidP="006D40F0">
            <w:r w:rsidRPr="006D40F0">
              <w:t>239 539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1AAAC" w14:textId="77777777" w:rsidR="00575AC3" w:rsidRPr="006D40F0" w:rsidRDefault="00575AC3" w:rsidP="006D40F0">
            <w:r w:rsidRPr="006D40F0">
              <w:t>873 143</w:t>
            </w:r>
          </w:p>
        </w:tc>
      </w:tr>
      <w:tr w:rsidR="00DD49A7" w:rsidRPr="006D40F0" w14:paraId="76D5090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39FF0F" w14:textId="77777777" w:rsidR="00575AC3" w:rsidRPr="006D40F0" w:rsidRDefault="00575AC3" w:rsidP="006D40F0">
            <w:r w:rsidRPr="006D40F0">
              <w:t>272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FAAFC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362A28" w14:textId="77777777" w:rsidR="00575AC3" w:rsidRPr="006D40F0" w:rsidRDefault="00575AC3" w:rsidP="006D40F0">
            <w:r w:rsidRPr="006D40F0">
              <w:t>Tiltak for internasjonalisering og høyere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FBF14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5470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3B86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A54858" w14:textId="77777777" w:rsidR="00575AC3" w:rsidRPr="006D40F0" w:rsidRDefault="00575AC3" w:rsidP="006D40F0"/>
        </w:tc>
      </w:tr>
      <w:tr w:rsidR="00DD49A7" w:rsidRPr="006D40F0" w14:paraId="222A3E1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C8EA3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CE7707"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B93E14" w14:textId="0DD13F47" w:rsidR="00575AC3" w:rsidRPr="006D40F0" w:rsidRDefault="00575AC3" w:rsidP="006D40F0">
            <w:r w:rsidRPr="006D40F0">
              <w:t>Tiltak for internasjonalisering,</w:t>
            </w:r>
            <w:r w:rsidR="006D40F0">
              <w:t xml:space="preserve"> </w:t>
            </w:r>
            <w:r w:rsidRPr="00575AC3">
              <w:rPr>
                <w:rStyle w:val="kursiv"/>
              </w:rPr>
              <w:t>kan overføres, 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F6CBE" w14:textId="77777777" w:rsidR="00575AC3" w:rsidRPr="006D40F0" w:rsidRDefault="00575AC3" w:rsidP="006D40F0">
            <w:r w:rsidRPr="006D40F0">
              <w:t>106 025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B890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D4500B" w14:textId="77777777" w:rsidR="00575AC3" w:rsidRPr="006D40F0" w:rsidRDefault="00575AC3" w:rsidP="006D40F0">
            <w:r w:rsidRPr="006D40F0">
              <w:t>-2 600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F9DEB" w14:textId="77777777" w:rsidR="00575AC3" w:rsidRPr="006D40F0" w:rsidRDefault="00575AC3" w:rsidP="006D40F0">
            <w:r w:rsidRPr="006D40F0">
              <w:t>103 425</w:t>
            </w:r>
          </w:p>
        </w:tc>
      </w:tr>
      <w:tr w:rsidR="00DD49A7" w:rsidRPr="006D40F0" w14:paraId="435FE32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9D3D7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4CE0A4" w14:textId="77777777" w:rsidR="00575AC3" w:rsidRPr="006D40F0" w:rsidRDefault="00575AC3" w:rsidP="006D40F0">
            <w:r w:rsidRPr="006D40F0">
              <w:t>52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52D391" w14:textId="77777777" w:rsidR="00575AC3" w:rsidRPr="006D40F0" w:rsidRDefault="00575AC3" w:rsidP="006D40F0">
            <w:r w:rsidRPr="006D40F0">
              <w:t xml:space="preserve">Tiltak for høyere utdanning, </w:t>
            </w:r>
            <w:r w:rsidRPr="00575AC3">
              <w:rPr>
                <w:rStyle w:val="kursiv"/>
              </w:rPr>
              <w:t>kan overføres, 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B08F0" w14:textId="77777777" w:rsidR="00575AC3" w:rsidRPr="006D40F0" w:rsidRDefault="00575AC3" w:rsidP="006D40F0">
            <w:r w:rsidRPr="006D40F0">
              <w:t>147 276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2BFE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98751" w14:textId="77777777" w:rsidR="00575AC3" w:rsidRPr="006D40F0" w:rsidRDefault="00575AC3" w:rsidP="006D40F0">
            <w:r w:rsidRPr="006D40F0">
              <w:t>16 000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90C76" w14:textId="77777777" w:rsidR="00575AC3" w:rsidRPr="006D40F0" w:rsidRDefault="00575AC3" w:rsidP="006D40F0">
            <w:r w:rsidRPr="006D40F0">
              <w:t>163 276</w:t>
            </w:r>
          </w:p>
        </w:tc>
      </w:tr>
      <w:tr w:rsidR="00DD49A7" w:rsidRPr="006D40F0" w14:paraId="24A0788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99682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3D1049"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A686E0" w14:textId="77777777" w:rsidR="00575AC3" w:rsidRPr="006D40F0" w:rsidRDefault="00575AC3" w:rsidP="006D40F0">
            <w:r w:rsidRPr="006D40F0">
              <w:t xml:space="preserve">Tilskudd til tiltak for internasjonalisering, </w:t>
            </w:r>
            <w:r w:rsidRPr="00575AC3">
              <w:rPr>
                <w:rStyle w:val="kursiv"/>
              </w:rPr>
              <w:t>kan overføres, kan nyttes under post 51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912EB9" w14:textId="77777777" w:rsidR="00575AC3" w:rsidRPr="006D40F0" w:rsidRDefault="00575AC3" w:rsidP="006D40F0">
            <w:r w:rsidRPr="006D40F0">
              <w:t>100 111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A1F8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8AAAE" w14:textId="77777777" w:rsidR="00575AC3" w:rsidRPr="006D40F0" w:rsidRDefault="00575AC3" w:rsidP="006D40F0">
            <w:r w:rsidRPr="006D40F0">
              <w:t>-19 745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89BDF" w14:textId="77777777" w:rsidR="00575AC3" w:rsidRPr="006D40F0" w:rsidRDefault="00575AC3" w:rsidP="006D40F0">
            <w:r w:rsidRPr="006D40F0">
              <w:t>80 366</w:t>
            </w:r>
          </w:p>
        </w:tc>
      </w:tr>
      <w:tr w:rsidR="00DD49A7" w:rsidRPr="006D40F0" w14:paraId="0ABEE3B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3BB312" w14:textId="77777777" w:rsidR="00575AC3" w:rsidRPr="006D40F0" w:rsidRDefault="00575AC3" w:rsidP="006D40F0">
            <w:r w:rsidRPr="006D40F0">
              <w:t>274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519AF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B214D9" w14:textId="77777777" w:rsidR="00575AC3" w:rsidRPr="006D40F0" w:rsidRDefault="00575AC3" w:rsidP="006D40F0">
            <w:r w:rsidRPr="006D40F0">
              <w:t>Universitetssenteret på Svalbard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D6A81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A68D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950A0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F578F" w14:textId="77777777" w:rsidR="00575AC3" w:rsidRPr="006D40F0" w:rsidRDefault="00575AC3" w:rsidP="006D40F0"/>
        </w:tc>
      </w:tr>
      <w:tr w:rsidR="00DD49A7" w:rsidRPr="006D40F0" w14:paraId="32069B0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31AF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26B62B"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273BFB" w14:textId="77777777" w:rsidR="00575AC3" w:rsidRPr="006D40F0" w:rsidRDefault="00575AC3" w:rsidP="006D40F0">
            <w:r w:rsidRPr="006D40F0">
              <w:t xml:space="preserve">Tilskudd til Universitetssenteret på Svalbard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4D40B" w14:textId="77777777" w:rsidR="00575AC3" w:rsidRPr="006D40F0" w:rsidRDefault="00575AC3" w:rsidP="006D40F0">
            <w:r w:rsidRPr="006D40F0">
              <w:t>168 386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764E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A64FD3"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1390D" w14:textId="77777777" w:rsidR="00575AC3" w:rsidRPr="006D40F0" w:rsidRDefault="00575AC3" w:rsidP="006D40F0">
            <w:r w:rsidRPr="006D40F0">
              <w:t>178 386</w:t>
            </w:r>
          </w:p>
        </w:tc>
      </w:tr>
      <w:tr w:rsidR="00DD49A7" w:rsidRPr="006D40F0" w14:paraId="37E4F34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769704" w14:textId="77777777" w:rsidR="00575AC3" w:rsidRPr="006D40F0" w:rsidRDefault="00575AC3" w:rsidP="006D40F0">
            <w:r w:rsidRPr="006D40F0">
              <w:t>275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8C39C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090C85A" w14:textId="77777777" w:rsidR="00575AC3" w:rsidRPr="006D40F0" w:rsidRDefault="00575AC3" w:rsidP="006D40F0">
            <w:r w:rsidRPr="006D40F0">
              <w:t>Tiltak for høyere utdanning og forskning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630EB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38838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9E3D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5E812" w14:textId="77777777" w:rsidR="00575AC3" w:rsidRPr="006D40F0" w:rsidRDefault="00575AC3" w:rsidP="006D40F0"/>
        </w:tc>
      </w:tr>
      <w:tr w:rsidR="00DD49A7" w:rsidRPr="006D40F0" w14:paraId="4411869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54A9B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FF34DB"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89BA6EE" w14:textId="77777777" w:rsidR="00575AC3" w:rsidRPr="006D40F0" w:rsidRDefault="00575AC3" w:rsidP="006D40F0">
            <w:r w:rsidRPr="006D40F0">
              <w:t xml:space="preserve">Spesielle driftsutgifter, </w:t>
            </w:r>
            <w:r w:rsidRPr="00575AC3">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5FA531" w14:textId="77777777" w:rsidR="00575AC3" w:rsidRPr="006D40F0" w:rsidRDefault="00575AC3" w:rsidP="006D40F0">
            <w:r w:rsidRPr="006D40F0">
              <w:t>71 062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1338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318226" w14:textId="77777777" w:rsidR="00575AC3" w:rsidRPr="006D40F0" w:rsidRDefault="00575AC3" w:rsidP="006D40F0">
            <w:r w:rsidRPr="006D40F0">
              <w:t>-12 867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AE50B" w14:textId="77777777" w:rsidR="00575AC3" w:rsidRPr="006D40F0" w:rsidRDefault="00575AC3" w:rsidP="006D40F0">
            <w:r w:rsidRPr="006D40F0">
              <w:t>58 195</w:t>
            </w:r>
          </w:p>
        </w:tc>
      </w:tr>
      <w:tr w:rsidR="00DD49A7" w:rsidRPr="006D40F0" w14:paraId="3A0E742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649C5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CF1891" w14:textId="77777777" w:rsidR="00575AC3" w:rsidRPr="006D40F0" w:rsidRDefault="00575AC3" w:rsidP="006D40F0">
            <w:r w:rsidRPr="006D40F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0EE2D80" w14:textId="77777777" w:rsidR="00575AC3" w:rsidRPr="006D40F0" w:rsidRDefault="00575AC3" w:rsidP="006D40F0">
            <w:r w:rsidRPr="006D40F0">
              <w:t xml:space="preserve">Aksjekapital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42B2B"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8ECC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0650F" w14:textId="77777777" w:rsidR="00575AC3" w:rsidRPr="006D40F0" w:rsidRDefault="00575AC3" w:rsidP="006D40F0">
            <w:r w:rsidRPr="006D40F0">
              <w:t>3 067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1D753" w14:textId="77777777" w:rsidR="00575AC3" w:rsidRPr="006D40F0" w:rsidRDefault="00575AC3" w:rsidP="006D40F0">
            <w:r w:rsidRPr="006D40F0">
              <w:t>3 067</w:t>
            </w:r>
          </w:p>
        </w:tc>
      </w:tr>
      <w:tr w:rsidR="00DD49A7" w:rsidRPr="006D40F0" w14:paraId="6742E2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89DBE5" w14:textId="77777777" w:rsidR="00575AC3" w:rsidRPr="006D40F0" w:rsidRDefault="00575AC3" w:rsidP="006D40F0">
            <w:r w:rsidRPr="006D40F0">
              <w:t>285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C5CC1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335769" w14:textId="77777777" w:rsidR="00575AC3" w:rsidRPr="006D40F0" w:rsidRDefault="00575AC3" w:rsidP="006D40F0">
            <w:r w:rsidRPr="006D40F0">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D34C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CF9E9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5273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BEEACE" w14:textId="77777777" w:rsidR="00575AC3" w:rsidRPr="006D40F0" w:rsidRDefault="00575AC3" w:rsidP="006D40F0"/>
        </w:tc>
      </w:tr>
      <w:tr w:rsidR="00DD49A7" w:rsidRPr="006D40F0" w14:paraId="02CD3E7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E56C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85004D" w14:textId="77777777" w:rsidR="00575AC3" w:rsidRPr="006D40F0" w:rsidRDefault="00575AC3" w:rsidP="006D40F0">
            <w:r w:rsidRPr="006D40F0">
              <w:t>55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69836F" w14:textId="77777777" w:rsidR="00575AC3" w:rsidRPr="006D40F0" w:rsidRDefault="00575AC3" w:rsidP="006D40F0">
            <w:r w:rsidRPr="006D40F0">
              <w:t xml:space="preserve">Virksomhetskostnader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E3FDBC" w14:textId="77777777" w:rsidR="00575AC3" w:rsidRPr="006D40F0" w:rsidRDefault="00575AC3" w:rsidP="006D40F0">
            <w:r w:rsidRPr="006D40F0">
              <w:t>766 873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89E8E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B94E1F" w14:textId="77777777" w:rsidR="00575AC3" w:rsidRPr="006D40F0" w:rsidRDefault="00575AC3" w:rsidP="006D40F0">
            <w:r w:rsidRPr="006D40F0">
              <w:t>13 400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6D16D" w14:textId="77777777" w:rsidR="00575AC3" w:rsidRPr="006D40F0" w:rsidRDefault="00575AC3" w:rsidP="006D40F0">
            <w:r w:rsidRPr="006D40F0">
              <w:t>780 273</w:t>
            </w:r>
          </w:p>
        </w:tc>
      </w:tr>
      <w:tr w:rsidR="00DD49A7" w:rsidRPr="006D40F0" w14:paraId="41FDA29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E1CBA6" w14:textId="77777777" w:rsidR="00575AC3" w:rsidRPr="006D40F0" w:rsidRDefault="00575AC3" w:rsidP="006D40F0">
            <w:r w:rsidRPr="006D40F0">
              <w:t>288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4E5B2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0C9CD9" w14:textId="77777777" w:rsidR="00575AC3" w:rsidRPr="006D40F0" w:rsidRDefault="00575AC3" w:rsidP="006D40F0">
            <w:r w:rsidRPr="006D40F0">
              <w:t>Internasjonale samarbeidstiltak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A000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00C8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BD2D7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85543E" w14:textId="77777777" w:rsidR="00575AC3" w:rsidRPr="006D40F0" w:rsidRDefault="00575AC3" w:rsidP="006D40F0"/>
        </w:tc>
      </w:tr>
      <w:tr w:rsidR="00DD49A7" w:rsidRPr="006D40F0" w14:paraId="760EEB2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53736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7F8D50"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5D0DCD" w14:textId="77777777" w:rsidR="00575AC3" w:rsidRPr="006D40F0" w:rsidRDefault="00575AC3" w:rsidP="006D40F0">
            <w:r w:rsidRPr="006D40F0">
              <w:t xml:space="preserve">Internasjonale grunnforskningsorganisasjoner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E76637" w14:textId="77777777" w:rsidR="00575AC3" w:rsidRPr="006D40F0" w:rsidRDefault="00575AC3" w:rsidP="006D40F0">
            <w:r w:rsidRPr="006D40F0">
              <w:t>391 034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48FF7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CFD2E" w14:textId="77777777" w:rsidR="00575AC3" w:rsidRPr="006D40F0" w:rsidRDefault="00575AC3" w:rsidP="006D40F0">
            <w:r w:rsidRPr="006D40F0">
              <w:t>-5 170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997BC" w14:textId="77777777" w:rsidR="00575AC3" w:rsidRPr="006D40F0" w:rsidRDefault="00575AC3" w:rsidP="006D40F0">
            <w:r w:rsidRPr="006D40F0">
              <w:t>385 864</w:t>
            </w:r>
          </w:p>
        </w:tc>
      </w:tr>
      <w:tr w:rsidR="00DD49A7" w:rsidRPr="006D40F0" w14:paraId="7E272C5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60FC0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B295B4"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25F475" w14:textId="77777777" w:rsidR="00575AC3" w:rsidRPr="006D40F0" w:rsidRDefault="00575AC3" w:rsidP="006D40F0">
            <w:r w:rsidRPr="006D40F0">
              <w:t xml:space="preserve">EUs rammeprogram for forskning og innovasjon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FECB7" w14:textId="77777777" w:rsidR="00575AC3" w:rsidRPr="006D40F0" w:rsidRDefault="00575AC3" w:rsidP="006D40F0">
            <w:r w:rsidRPr="006D40F0">
              <w:t>5 046 781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C91BD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F095D" w14:textId="77777777" w:rsidR="00575AC3" w:rsidRPr="006D40F0" w:rsidRDefault="00575AC3" w:rsidP="006D40F0">
            <w:r w:rsidRPr="006D40F0">
              <w:t>90 746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6F5FA" w14:textId="77777777" w:rsidR="00575AC3" w:rsidRPr="006D40F0" w:rsidRDefault="00575AC3" w:rsidP="006D40F0">
            <w:r w:rsidRPr="006D40F0">
              <w:t>5 137 527</w:t>
            </w:r>
          </w:p>
        </w:tc>
      </w:tr>
      <w:tr w:rsidR="00DD49A7" w:rsidRPr="006D40F0" w14:paraId="67B5B06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DD127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1A7204"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94D6EC" w14:textId="77777777" w:rsidR="00575AC3" w:rsidRPr="006D40F0" w:rsidRDefault="00575AC3" w:rsidP="006D40F0">
            <w:r w:rsidRPr="006D40F0">
              <w:t xml:space="preserve">EUs program for utdanning, opplæring, ungdom og idrett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602E9" w14:textId="77777777" w:rsidR="00575AC3" w:rsidRPr="006D40F0" w:rsidRDefault="00575AC3" w:rsidP="006D40F0">
            <w:r w:rsidRPr="006D40F0">
              <w:t>1 564 078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A830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7284D5" w14:textId="77777777" w:rsidR="00575AC3" w:rsidRPr="006D40F0" w:rsidRDefault="00575AC3" w:rsidP="006D40F0">
            <w:r w:rsidRPr="006D40F0">
              <w:t>-69 526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EA391" w14:textId="77777777" w:rsidR="00575AC3" w:rsidRPr="006D40F0" w:rsidRDefault="00575AC3" w:rsidP="006D40F0">
            <w:r w:rsidRPr="006D40F0">
              <w:t>1 494 552</w:t>
            </w:r>
          </w:p>
        </w:tc>
      </w:tr>
      <w:tr w:rsidR="00DD49A7" w:rsidRPr="006D40F0" w14:paraId="61DFDE5D"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03CC771"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6BC0F17" w14:textId="77777777" w:rsidR="00575AC3" w:rsidRPr="006D40F0" w:rsidRDefault="00575AC3" w:rsidP="006D40F0">
            <w:r w:rsidRPr="006D40F0">
              <w:t>75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79BEBC7" w14:textId="77777777" w:rsidR="00575AC3" w:rsidRPr="006D40F0" w:rsidRDefault="00575AC3" w:rsidP="006D40F0">
            <w:r w:rsidRPr="006D40F0">
              <w:t xml:space="preserve">UNESCO-kontingent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B1060A" w14:textId="77777777" w:rsidR="00575AC3" w:rsidRPr="006D40F0" w:rsidRDefault="00575AC3" w:rsidP="006D40F0">
            <w:r w:rsidRPr="006D40F0">
              <w:t>26 374</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4171D1"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B84401" w14:textId="77777777" w:rsidR="00575AC3" w:rsidRPr="006D40F0" w:rsidRDefault="00575AC3" w:rsidP="006D40F0">
            <w:r w:rsidRPr="006D40F0">
              <w:t>-2 072</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E15B57A" w14:textId="77777777" w:rsidR="00575AC3" w:rsidRPr="006D40F0" w:rsidRDefault="00575AC3" w:rsidP="006D40F0">
            <w:r w:rsidRPr="006D40F0">
              <w:t>24 302</w:t>
            </w:r>
          </w:p>
        </w:tc>
      </w:tr>
      <w:tr w:rsidR="00DD49A7" w:rsidRPr="006D40F0" w14:paraId="0E615D3D"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46275D7" w14:textId="77777777" w:rsidR="00575AC3" w:rsidRPr="006D40F0" w:rsidRDefault="00575AC3" w:rsidP="006D40F0">
            <w:r w:rsidRPr="006D40F0">
              <w:t>Sum endringer Kunnskapsdepartementet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04FB410"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BBA66C"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5EC6A8E" w14:textId="77777777" w:rsidR="00575AC3" w:rsidRPr="006D40F0" w:rsidRDefault="00575AC3" w:rsidP="006D40F0">
            <w:r w:rsidRPr="006D40F0">
              <w:t>753 132</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C0A407" w14:textId="77777777" w:rsidR="00575AC3" w:rsidRPr="006D40F0" w:rsidRDefault="00575AC3" w:rsidP="006D40F0"/>
        </w:tc>
      </w:tr>
      <w:tr w:rsidR="00DD49A7" w:rsidRPr="006D40F0" w14:paraId="1D843C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42A595" w14:textId="77777777" w:rsidR="00575AC3" w:rsidRPr="006D40F0" w:rsidRDefault="00575AC3" w:rsidP="006D40F0">
            <w:r w:rsidRPr="006D40F0">
              <w:t>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D7165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8150A4" w14:textId="77777777" w:rsidR="00575AC3" w:rsidRPr="006D40F0" w:rsidRDefault="00575AC3" w:rsidP="006D40F0">
            <w:r w:rsidRPr="006D40F0">
              <w:t>Kultur- og likestillingsdepartementet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FF642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28F2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299FB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E1B25B" w14:textId="77777777" w:rsidR="00575AC3" w:rsidRPr="006D40F0" w:rsidRDefault="00575AC3" w:rsidP="006D40F0"/>
        </w:tc>
      </w:tr>
      <w:tr w:rsidR="00DD49A7" w:rsidRPr="006D40F0" w14:paraId="04C19A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1C718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3C8D67" w14:textId="77777777" w:rsidR="00575AC3" w:rsidRPr="006D40F0" w:rsidRDefault="00575AC3" w:rsidP="006D40F0">
            <w:r w:rsidRPr="006D40F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099358" w14:textId="77777777" w:rsidR="00575AC3" w:rsidRPr="006D40F0" w:rsidRDefault="00575AC3" w:rsidP="006D40F0">
            <w:r w:rsidRPr="006D40F0">
              <w:t xml:space="preserve">Til disposisjon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665229" w14:textId="77777777" w:rsidR="00575AC3" w:rsidRPr="006D40F0" w:rsidRDefault="00575AC3" w:rsidP="006D40F0">
            <w:r w:rsidRPr="006D40F0">
              <w:t>16 290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ADBC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7DC51F"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004B5" w14:textId="77777777" w:rsidR="00575AC3" w:rsidRPr="006D40F0" w:rsidRDefault="00575AC3" w:rsidP="006D40F0">
            <w:r w:rsidRPr="006D40F0">
              <w:t>18 290</w:t>
            </w:r>
          </w:p>
        </w:tc>
      </w:tr>
      <w:tr w:rsidR="00DD49A7" w:rsidRPr="006D40F0" w14:paraId="1AF752B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5B840F" w14:textId="77777777" w:rsidR="00575AC3" w:rsidRPr="006D40F0" w:rsidRDefault="00575AC3" w:rsidP="006D40F0">
            <w:r w:rsidRPr="006D40F0">
              <w:t>315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E5FD0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28DD9F" w14:textId="77777777" w:rsidR="00575AC3" w:rsidRPr="006D40F0" w:rsidRDefault="00575AC3" w:rsidP="006D40F0">
            <w:r w:rsidRPr="006D40F0">
              <w:t>Frivillighetsformål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CADBB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B520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675F0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5E3F7" w14:textId="77777777" w:rsidR="00575AC3" w:rsidRPr="006D40F0" w:rsidRDefault="00575AC3" w:rsidP="006D40F0"/>
        </w:tc>
      </w:tr>
      <w:tr w:rsidR="00DD49A7" w:rsidRPr="006D40F0" w14:paraId="46A1B34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2C59F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83663D"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0F61D62" w14:textId="77777777" w:rsidR="00575AC3" w:rsidRPr="006D40F0" w:rsidRDefault="00575AC3" w:rsidP="006D40F0">
            <w:r w:rsidRPr="006D40F0">
              <w:t xml:space="preserve">Forskning, utredning og 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20FAC" w14:textId="77777777" w:rsidR="00575AC3" w:rsidRPr="006D40F0" w:rsidRDefault="00575AC3" w:rsidP="006D40F0">
            <w:r w:rsidRPr="006D40F0">
              <w:t>10 850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AFEF8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8426A5"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B484E" w14:textId="77777777" w:rsidR="00575AC3" w:rsidRPr="006D40F0" w:rsidRDefault="00575AC3" w:rsidP="006D40F0">
            <w:r w:rsidRPr="006D40F0">
              <w:t>12 850</w:t>
            </w:r>
          </w:p>
        </w:tc>
      </w:tr>
      <w:tr w:rsidR="00DD49A7" w:rsidRPr="006D40F0" w14:paraId="20C9191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68581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07DF90"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3189186" w14:textId="77777777" w:rsidR="00575AC3" w:rsidRPr="006D40F0" w:rsidRDefault="00575AC3" w:rsidP="006D40F0">
            <w:r w:rsidRPr="006D40F0">
              <w:t xml:space="preserve">Frivillighetstiltak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37F0C" w14:textId="77777777" w:rsidR="00575AC3" w:rsidRPr="006D40F0" w:rsidRDefault="00575AC3" w:rsidP="006D40F0">
            <w:r w:rsidRPr="006D40F0">
              <w:t>31 050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DC02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40AADA"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E72026" w14:textId="77777777" w:rsidR="00575AC3" w:rsidRPr="006D40F0" w:rsidRDefault="00575AC3" w:rsidP="006D40F0">
            <w:r w:rsidRPr="006D40F0">
              <w:t>29 050</w:t>
            </w:r>
          </w:p>
        </w:tc>
      </w:tr>
      <w:tr w:rsidR="00DD49A7" w:rsidRPr="006D40F0" w14:paraId="56C0D15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D34AA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E50D8B" w14:textId="77777777" w:rsidR="00575AC3" w:rsidRPr="006D40F0" w:rsidRDefault="00575AC3" w:rsidP="006D40F0">
            <w:r w:rsidRPr="006D40F0">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454B8A" w14:textId="77777777" w:rsidR="00575AC3" w:rsidRPr="006D40F0" w:rsidRDefault="00575AC3" w:rsidP="006D40F0">
            <w:r w:rsidRPr="006D40F0">
              <w:t xml:space="preserve">Merverdiavgiftskompensasjon ved bygging av idrettsanlegg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FAFE5" w14:textId="77777777" w:rsidR="00575AC3" w:rsidRPr="006D40F0" w:rsidRDefault="00575AC3" w:rsidP="006D40F0">
            <w:r w:rsidRPr="006D40F0">
              <w:t>389 800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BB7F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8D350E" w14:textId="77777777" w:rsidR="00575AC3" w:rsidRPr="006D40F0" w:rsidRDefault="00575AC3" w:rsidP="006D40F0">
            <w:r w:rsidRPr="006D40F0">
              <w:t>-65 000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92803" w14:textId="77777777" w:rsidR="00575AC3" w:rsidRPr="006D40F0" w:rsidRDefault="00575AC3" w:rsidP="006D40F0">
            <w:r w:rsidRPr="006D40F0">
              <w:t>324 800</w:t>
            </w:r>
          </w:p>
        </w:tc>
      </w:tr>
      <w:tr w:rsidR="00DD49A7" w:rsidRPr="006D40F0" w14:paraId="784C67C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2B8657" w14:textId="77777777" w:rsidR="00575AC3" w:rsidRPr="006D40F0" w:rsidRDefault="00575AC3" w:rsidP="006D40F0">
            <w:r w:rsidRPr="006D40F0">
              <w:t>323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CD96F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264A84" w14:textId="77777777" w:rsidR="00575AC3" w:rsidRPr="006D40F0" w:rsidRDefault="00575AC3" w:rsidP="006D40F0">
            <w:r w:rsidRPr="006D40F0">
              <w:t>Musikk og scenekunst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5854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751D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6B2C1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6AA9E" w14:textId="77777777" w:rsidR="00575AC3" w:rsidRPr="006D40F0" w:rsidRDefault="00575AC3" w:rsidP="006D40F0"/>
        </w:tc>
      </w:tr>
      <w:tr w:rsidR="00DD49A7" w:rsidRPr="006D40F0" w14:paraId="673AD63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37462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8ABA1B"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126E48" w14:textId="77777777" w:rsidR="00575AC3" w:rsidRPr="006D40F0" w:rsidRDefault="00575AC3" w:rsidP="006D40F0">
            <w:r w:rsidRPr="006D40F0">
              <w:t xml:space="preserve">Musikk- og scenekunstinstitusjoner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D9D25" w14:textId="77777777" w:rsidR="00575AC3" w:rsidRPr="006D40F0" w:rsidRDefault="00575AC3" w:rsidP="006D40F0">
            <w:r w:rsidRPr="006D40F0">
              <w:t>2 852 495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2257E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21880" w14:textId="77777777" w:rsidR="00575AC3" w:rsidRPr="006D40F0" w:rsidRDefault="00575AC3" w:rsidP="006D40F0">
            <w:r w:rsidRPr="006D40F0">
              <w:t>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C29E2D" w14:textId="77777777" w:rsidR="00575AC3" w:rsidRPr="006D40F0" w:rsidRDefault="00575AC3" w:rsidP="006D40F0">
            <w:r w:rsidRPr="006D40F0">
              <w:t>2 861 495</w:t>
            </w:r>
          </w:p>
        </w:tc>
      </w:tr>
      <w:tr w:rsidR="00DD49A7" w:rsidRPr="006D40F0" w14:paraId="1C86659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3A2E0A" w14:textId="77777777" w:rsidR="00575AC3" w:rsidRPr="006D40F0" w:rsidRDefault="00575AC3" w:rsidP="006D40F0">
            <w:r w:rsidRPr="006D40F0">
              <w:t>326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0518D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96B676" w14:textId="77777777" w:rsidR="00575AC3" w:rsidRPr="006D40F0" w:rsidRDefault="00575AC3" w:rsidP="006D40F0">
            <w:r w:rsidRPr="006D40F0">
              <w:t>Språk- og bibliotekformål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2BC4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5E1A2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F328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11F9C" w14:textId="77777777" w:rsidR="00575AC3" w:rsidRPr="006D40F0" w:rsidRDefault="00575AC3" w:rsidP="006D40F0"/>
        </w:tc>
      </w:tr>
      <w:tr w:rsidR="00DD49A7" w:rsidRPr="006D40F0" w14:paraId="01FA729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F4E58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15DC9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BD16A0"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9DCAD" w14:textId="77777777" w:rsidR="00575AC3" w:rsidRPr="006D40F0" w:rsidRDefault="00575AC3" w:rsidP="006D40F0">
            <w:r w:rsidRPr="006D40F0">
              <w:t>817 877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33D00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1A8FC"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7CCE12" w14:textId="77777777" w:rsidR="00575AC3" w:rsidRPr="006D40F0" w:rsidRDefault="00575AC3" w:rsidP="006D40F0">
            <w:r w:rsidRPr="006D40F0">
              <w:t>821 877</w:t>
            </w:r>
          </w:p>
        </w:tc>
      </w:tr>
      <w:tr w:rsidR="00DD49A7" w:rsidRPr="006D40F0" w14:paraId="629E29E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09D8FB" w14:textId="77777777" w:rsidR="00575AC3" w:rsidRPr="006D40F0" w:rsidRDefault="00575AC3" w:rsidP="006D40F0">
            <w:r w:rsidRPr="006D40F0">
              <w:t>334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D5C06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43B24A" w14:textId="77777777" w:rsidR="00575AC3" w:rsidRPr="006D40F0" w:rsidRDefault="00575AC3" w:rsidP="006D40F0">
            <w:r w:rsidRPr="006D40F0">
              <w:t>Film- og dataspillformål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B9F8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4E48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EDB2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A9C959" w14:textId="77777777" w:rsidR="00575AC3" w:rsidRPr="006D40F0" w:rsidRDefault="00575AC3" w:rsidP="006D40F0"/>
        </w:tc>
      </w:tr>
      <w:tr w:rsidR="00DD49A7" w:rsidRPr="006D40F0" w14:paraId="07865E2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BB7E0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DFBCD1"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5BA70B"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243A6C" w14:textId="77777777" w:rsidR="00575AC3" w:rsidRPr="006D40F0" w:rsidRDefault="00575AC3" w:rsidP="006D40F0">
            <w:r w:rsidRPr="006D40F0">
              <w:t>135 897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E20A8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BA3628"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BC6BF4" w14:textId="77777777" w:rsidR="00575AC3" w:rsidRPr="006D40F0" w:rsidRDefault="00575AC3" w:rsidP="006D40F0">
            <w:r w:rsidRPr="006D40F0">
              <w:t>136 897</w:t>
            </w:r>
          </w:p>
        </w:tc>
      </w:tr>
      <w:tr w:rsidR="00DD49A7" w:rsidRPr="006D40F0" w14:paraId="70B556D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D721B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361725"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22A4DC" w14:textId="77777777" w:rsidR="00575AC3" w:rsidRPr="006D40F0" w:rsidRDefault="00575AC3" w:rsidP="006D40F0">
            <w:r w:rsidRPr="006D40F0">
              <w:t xml:space="preserve">Filmfondet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B4B29" w14:textId="77777777" w:rsidR="00575AC3" w:rsidRPr="006D40F0" w:rsidRDefault="00575AC3" w:rsidP="006D40F0">
            <w:r w:rsidRPr="006D40F0">
              <w:t>655 000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F57C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7879F7"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EBC36E" w14:textId="77777777" w:rsidR="00575AC3" w:rsidRPr="006D40F0" w:rsidRDefault="00575AC3" w:rsidP="006D40F0">
            <w:r w:rsidRPr="006D40F0">
              <w:t>652 000</w:t>
            </w:r>
          </w:p>
        </w:tc>
      </w:tr>
      <w:tr w:rsidR="00DD49A7" w:rsidRPr="006D40F0" w14:paraId="3B1C80F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D11D9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691F92"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ECE54D" w14:textId="77777777" w:rsidR="00575AC3" w:rsidRPr="006D40F0" w:rsidRDefault="00575AC3" w:rsidP="006D40F0">
            <w:r w:rsidRPr="006D40F0">
              <w:t xml:space="preserve">Regionale filmvirksomheter,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59CD4" w14:textId="77777777" w:rsidR="00575AC3" w:rsidRPr="006D40F0" w:rsidRDefault="00575AC3" w:rsidP="006D40F0">
            <w:r w:rsidRPr="006D40F0">
              <w:t>145 000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E536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2367D"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1295D" w14:textId="77777777" w:rsidR="00575AC3" w:rsidRPr="006D40F0" w:rsidRDefault="00575AC3" w:rsidP="006D40F0">
            <w:r w:rsidRPr="006D40F0">
              <w:t>144 000</w:t>
            </w:r>
          </w:p>
        </w:tc>
      </w:tr>
      <w:tr w:rsidR="00DD49A7" w:rsidRPr="006D40F0" w14:paraId="6849131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8D708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23E117"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7ED93D" w14:textId="77777777" w:rsidR="00575AC3" w:rsidRPr="006D40F0" w:rsidRDefault="00575AC3" w:rsidP="006D40F0">
            <w:r w:rsidRPr="006D40F0">
              <w:t xml:space="preserve">Internasjonale film- og medieavtaler,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0E79B" w14:textId="77777777" w:rsidR="00575AC3" w:rsidRPr="006D40F0" w:rsidRDefault="00575AC3" w:rsidP="006D40F0">
            <w:r w:rsidRPr="006D40F0">
              <w:t>21 330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A2037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CDEFA"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B2ED5F" w14:textId="77777777" w:rsidR="00575AC3" w:rsidRPr="006D40F0" w:rsidRDefault="00575AC3" w:rsidP="006D40F0">
            <w:r w:rsidRPr="006D40F0">
              <w:t>24 330</w:t>
            </w:r>
          </w:p>
        </w:tc>
      </w:tr>
      <w:tr w:rsidR="00DD49A7" w:rsidRPr="006D40F0" w14:paraId="37B4A3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6EB21F" w14:textId="77777777" w:rsidR="00575AC3" w:rsidRPr="006D40F0" w:rsidRDefault="00575AC3" w:rsidP="006D40F0">
            <w:r w:rsidRPr="006D40F0">
              <w:t>350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B43BC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655BEA" w14:textId="77777777" w:rsidR="00575AC3" w:rsidRPr="006D40F0" w:rsidRDefault="00575AC3" w:rsidP="006D40F0">
            <w:r w:rsidRPr="006D40F0">
              <w:t>Sekretariatet for Diskrimineringsnemnda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4032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93B8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E17A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DC7BD" w14:textId="77777777" w:rsidR="00575AC3" w:rsidRPr="006D40F0" w:rsidRDefault="00575AC3" w:rsidP="006D40F0"/>
        </w:tc>
      </w:tr>
      <w:tr w:rsidR="00DD49A7" w:rsidRPr="006D40F0" w14:paraId="3E9FD5F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F92EF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8ACBB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B6D29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BB0A1C" w14:textId="77777777" w:rsidR="00575AC3" w:rsidRPr="006D40F0" w:rsidRDefault="00575AC3" w:rsidP="006D40F0">
            <w:r w:rsidRPr="006D40F0">
              <w:t>31 393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FA0D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99186" w14:textId="77777777" w:rsidR="00575AC3" w:rsidRPr="006D40F0" w:rsidRDefault="00575AC3" w:rsidP="006D40F0">
            <w:r w:rsidRPr="006D40F0">
              <w:t>1 200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09779" w14:textId="77777777" w:rsidR="00575AC3" w:rsidRPr="006D40F0" w:rsidRDefault="00575AC3" w:rsidP="006D40F0">
            <w:r w:rsidRPr="006D40F0">
              <w:t>32 593</w:t>
            </w:r>
          </w:p>
        </w:tc>
      </w:tr>
      <w:tr w:rsidR="00DD49A7" w:rsidRPr="006D40F0" w14:paraId="02BB1AF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E08335" w14:textId="77777777" w:rsidR="00575AC3" w:rsidRPr="006D40F0" w:rsidRDefault="00575AC3" w:rsidP="006D40F0">
            <w:r w:rsidRPr="006D40F0">
              <w:t>351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16424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4F85B5A" w14:textId="77777777" w:rsidR="00575AC3" w:rsidRPr="006D40F0" w:rsidRDefault="00575AC3" w:rsidP="006D40F0">
            <w:r w:rsidRPr="006D40F0">
              <w:t>Likestilling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D57E3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56BFE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0C807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A951FD" w14:textId="77777777" w:rsidR="00575AC3" w:rsidRPr="006D40F0" w:rsidRDefault="00575AC3" w:rsidP="006D40F0"/>
        </w:tc>
      </w:tr>
      <w:tr w:rsidR="00DD49A7" w:rsidRPr="006D40F0" w14:paraId="6AAF7248"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058D0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013571"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6C1B5A" w14:textId="77777777" w:rsidR="00575AC3" w:rsidRPr="006D40F0" w:rsidRDefault="00575AC3" w:rsidP="006D40F0">
            <w:r w:rsidRPr="006D40F0">
              <w:t xml:space="preserve">Forskning, utredning og spesielle driftsutgifter, </w:t>
            </w:r>
            <w:r w:rsidRPr="00575AC3">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2035F" w14:textId="77777777" w:rsidR="00575AC3" w:rsidRPr="006D40F0" w:rsidRDefault="00575AC3" w:rsidP="006D40F0">
            <w:r w:rsidRPr="006D40F0">
              <w:t>37 440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28056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648C4C"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722D1" w14:textId="77777777" w:rsidR="00575AC3" w:rsidRPr="006D40F0" w:rsidRDefault="00575AC3" w:rsidP="006D40F0">
            <w:r w:rsidRPr="006D40F0">
              <w:t>33 440</w:t>
            </w:r>
          </w:p>
        </w:tc>
      </w:tr>
      <w:tr w:rsidR="00DD49A7" w:rsidRPr="006D40F0" w14:paraId="1E15E14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C0237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1EBC3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2683B6" w14:textId="77777777" w:rsidR="00575AC3" w:rsidRPr="006D40F0" w:rsidRDefault="00575AC3" w:rsidP="006D40F0">
            <w:r w:rsidRPr="006D40F0">
              <w:t xml:space="preserve">Tilskudd til likestilling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7A3C7" w14:textId="77777777" w:rsidR="00575AC3" w:rsidRPr="006D40F0" w:rsidRDefault="00575AC3" w:rsidP="006D40F0">
            <w:r w:rsidRPr="006D40F0">
              <w:t>61 030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72C7C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7303A"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B2027A" w14:textId="77777777" w:rsidR="00575AC3" w:rsidRPr="006D40F0" w:rsidRDefault="00575AC3" w:rsidP="006D40F0">
            <w:r w:rsidRPr="006D40F0">
              <w:t>63 030</w:t>
            </w:r>
          </w:p>
        </w:tc>
      </w:tr>
      <w:tr w:rsidR="00DD49A7" w:rsidRPr="006D40F0" w14:paraId="457ADC7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6F59C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D3CEA1"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AADE30" w14:textId="77777777" w:rsidR="00575AC3" w:rsidRPr="006D40F0" w:rsidRDefault="00575AC3" w:rsidP="006D40F0">
            <w:r w:rsidRPr="006D40F0">
              <w:t xml:space="preserve">Likestillingssentre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AC043" w14:textId="77777777" w:rsidR="00575AC3" w:rsidRPr="006D40F0" w:rsidRDefault="00575AC3" w:rsidP="006D40F0">
            <w:r w:rsidRPr="006D40F0">
              <w:t>23 470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4EA89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6E2C1"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5D28B" w14:textId="77777777" w:rsidR="00575AC3" w:rsidRPr="006D40F0" w:rsidRDefault="00575AC3" w:rsidP="006D40F0">
            <w:r w:rsidRPr="006D40F0">
              <w:t>27 470</w:t>
            </w:r>
          </w:p>
        </w:tc>
      </w:tr>
      <w:tr w:rsidR="00DD49A7" w:rsidRPr="006D40F0" w14:paraId="175E69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687D07" w14:textId="77777777" w:rsidR="00575AC3" w:rsidRPr="006D40F0" w:rsidRDefault="00575AC3" w:rsidP="006D40F0">
            <w:r w:rsidRPr="006D40F0">
              <w:t>352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91271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94B9DA" w14:textId="77777777" w:rsidR="00575AC3" w:rsidRPr="006D40F0" w:rsidRDefault="00575AC3" w:rsidP="006D40F0">
            <w:r w:rsidRPr="006D40F0">
              <w:t>Nedsatt funksjonsevne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AB1A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DCB6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1EF5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E78ECE" w14:textId="77777777" w:rsidR="00575AC3" w:rsidRPr="006D40F0" w:rsidRDefault="00575AC3" w:rsidP="006D40F0"/>
        </w:tc>
      </w:tr>
      <w:tr w:rsidR="00DD49A7" w:rsidRPr="006D40F0" w14:paraId="11CA9300" w14:textId="77777777">
        <w:trPr>
          <w:trHeight w:val="8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C022639"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9812091" w14:textId="77777777" w:rsidR="00575AC3" w:rsidRPr="006D40F0" w:rsidRDefault="00575AC3" w:rsidP="006D40F0">
            <w:r w:rsidRPr="006D40F0">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9CB1593" w14:textId="77777777" w:rsidR="00575AC3" w:rsidRPr="006D40F0" w:rsidRDefault="00575AC3" w:rsidP="006D40F0">
            <w:r w:rsidRPr="006D40F0">
              <w:t xml:space="preserve">Forskning, utredning og spesielle driftsutgifter, </w:t>
            </w:r>
            <w:r w:rsidRPr="00575AC3">
              <w:rPr>
                <w:rStyle w:val="kursiv"/>
              </w:rPr>
              <w:t>kan overføres, kan nyttes under post 71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075309" w14:textId="77777777" w:rsidR="00575AC3" w:rsidRPr="006D40F0" w:rsidRDefault="00575AC3" w:rsidP="006D40F0">
            <w:r w:rsidRPr="006D40F0">
              <w:t>28 480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0967AB"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DAFE6F" w14:textId="77777777" w:rsidR="00575AC3" w:rsidRPr="006D40F0" w:rsidRDefault="00575AC3" w:rsidP="006D40F0">
            <w:r w:rsidRPr="006D40F0">
              <w:t>-3 200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5FD711" w14:textId="77777777" w:rsidR="00575AC3" w:rsidRPr="006D40F0" w:rsidRDefault="00575AC3" w:rsidP="006D40F0">
            <w:r w:rsidRPr="006D40F0">
              <w:t>25 280</w:t>
            </w:r>
          </w:p>
        </w:tc>
      </w:tr>
      <w:tr w:rsidR="00DD49A7" w:rsidRPr="006D40F0" w14:paraId="0BF51DB6"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3762917" w14:textId="77777777" w:rsidR="00575AC3" w:rsidRPr="006D40F0" w:rsidRDefault="00575AC3" w:rsidP="006D40F0">
            <w:r w:rsidRPr="006D40F0">
              <w:t>Sum endringer Kultur- og likestillingsdepartementet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1312C7"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C41159"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DA2785" w14:textId="77777777" w:rsidR="00575AC3" w:rsidRPr="006D40F0" w:rsidRDefault="00575AC3" w:rsidP="006D40F0">
            <w:r w:rsidRPr="006D40F0">
              <w:t>-50 000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2B0F42" w14:textId="77777777" w:rsidR="00575AC3" w:rsidRPr="006D40F0" w:rsidRDefault="00575AC3" w:rsidP="006D40F0"/>
        </w:tc>
      </w:tr>
      <w:tr w:rsidR="00DD49A7" w:rsidRPr="006D40F0" w14:paraId="578EE96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819493" w14:textId="77777777" w:rsidR="00575AC3" w:rsidRPr="006D40F0" w:rsidRDefault="00575AC3" w:rsidP="006D40F0">
            <w:r w:rsidRPr="006D40F0">
              <w:t>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2DB3D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5993FA" w14:textId="77777777" w:rsidR="00575AC3" w:rsidRPr="006D40F0" w:rsidRDefault="00575AC3" w:rsidP="006D40F0">
            <w:r w:rsidRPr="006D40F0">
              <w:t>Justis- og beredskapsdepartementet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EB9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4FD5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8354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06E29" w14:textId="77777777" w:rsidR="00575AC3" w:rsidRPr="006D40F0" w:rsidRDefault="00575AC3" w:rsidP="006D40F0"/>
        </w:tc>
      </w:tr>
      <w:tr w:rsidR="00DD49A7" w:rsidRPr="006D40F0" w14:paraId="1801C33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9D95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7D0AFE"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01B94A7"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2B777" w14:textId="77777777" w:rsidR="00575AC3" w:rsidRPr="006D40F0" w:rsidRDefault="00575AC3" w:rsidP="006D40F0">
            <w:r w:rsidRPr="006D40F0">
              <w:t>529 752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5202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105748" w14:textId="77777777" w:rsidR="00575AC3" w:rsidRPr="006D40F0" w:rsidRDefault="00575AC3" w:rsidP="006D40F0">
            <w:r w:rsidRPr="006D40F0">
              <w:t>-15 870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14570" w14:textId="77777777" w:rsidR="00575AC3" w:rsidRPr="006D40F0" w:rsidRDefault="00575AC3" w:rsidP="006D40F0">
            <w:r w:rsidRPr="006D40F0">
              <w:t>513 882</w:t>
            </w:r>
          </w:p>
        </w:tc>
      </w:tr>
      <w:tr w:rsidR="00DD49A7" w:rsidRPr="006D40F0" w14:paraId="1D5D301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A9D8B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EAA006"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09AF9E" w14:textId="77777777" w:rsidR="00575AC3" w:rsidRPr="006D40F0" w:rsidRDefault="00575AC3" w:rsidP="006D40F0">
            <w:r w:rsidRPr="006D40F0">
              <w:t xml:space="preserve">Spesielle driftsutgifter, forskning, evaluering og kunnskapsinnhenting,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30509" w14:textId="77777777" w:rsidR="00575AC3" w:rsidRPr="006D40F0" w:rsidRDefault="00575AC3" w:rsidP="006D40F0">
            <w:r w:rsidRPr="006D40F0">
              <w:t>31 309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4EC6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F20B6"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6BD6A" w14:textId="77777777" w:rsidR="00575AC3" w:rsidRPr="006D40F0" w:rsidRDefault="00575AC3" w:rsidP="006D40F0">
            <w:r w:rsidRPr="006D40F0">
              <w:t>32 809</w:t>
            </w:r>
          </w:p>
        </w:tc>
      </w:tr>
      <w:tr w:rsidR="00DD49A7" w:rsidRPr="006D40F0" w14:paraId="296DDE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0A14F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D2D37E"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F087677" w14:textId="77777777" w:rsidR="00575AC3" w:rsidRPr="006D40F0" w:rsidRDefault="00575AC3" w:rsidP="006D40F0">
            <w:r w:rsidRPr="006D40F0">
              <w:t xml:space="preserve">Tilskudd til 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5B070" w14:textId="77777777" w:rsidR="00575AC3" w:rsidRPr="006D40F0" w:rsidRDefault="00575AC3" w:rsidP="006D40F0">
            <w:r w:rsidRPr="006D40F0">
              <w:t>18 999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3E803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CAB646" w14:textId="77777777" w:rsidR="00575AC3" w:rsidRPr="006D40F0" w:rsidRDefault="00575AC3" w:rsidP="006D40F0">
            <w:r w:rsidRPr="006D40F0">
              <w:t>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BF56B3" w14:textId="77777777" w:rsidR="00575AC3" w:rsidRPr="006D40F0" w:rsidRDefault="00575AC3" w:rsidP="006D40F0">
            <w:r w:rsidRPr="006D40F0">
              <w:t>20 799</w:t>
            </w:r>
          </w:p>
        </w:tc>
      </w:tr>
      <w:tr w:rsidR="00DD49A7" w:rsidRPr="006D40F0" w14:paraId="05E0A7D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FDCDA8" w14:textId="77777777" w:rsidR="00575AC3" w:rsidRPr="006D40F0" w:rsidRDefault="00575AC3" w:rsidP="006D40F0">
            <w:r w:rsidRPr="006D40F0">
              <w:t>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C79B3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9A907A" w14:textId="77777777" w:rsidR="00575AC3" w:rsidRPr="006D40F0" w:rsidRDefault="00575AC3" w:rsidP="006D40F0">
            <w:r w:rsidRPr="006D40F0">
              <w:t>Domstolene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5901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463F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BF6B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C58735" w14:textId="77777777" w:rsidR="00575AC3" w:rsidRPr="006D40F0" w:rsidRDefault="00575AC3" w:rsidP="006D40F0"/>
        </w:tc>
      </w:tr>
      <w:tr w:rsidR="00DD49A7" w:rsidRPr="006D40F0" w14:paraId="61CE3A2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94983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9F272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DAEDCF6" w14:textId="77777777" w:rsidR="00575AC3" w:rsidRPr="006D40F0" w:rsidRDefault="00575AC3" w:rsidP="006D40F0">
            <w:r w:rsidRPr="006D40F0">
              <w:t xml:space="preserve">Driftsutgifter, </w:t>
            </w:r>
            <w:r w:rsidRPr="00575AC3">
              <w:rPr>
                <w:rStyle w:val="kursiv"/>
              </w:rPr>
              <w:t>kan nyttes under kap. 61, post 1 og kap. 411,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5FAD9E" w14:textId="77777777" w:rsidR="00575AC3" w:rsidRPr="006D40F0" w:rsidRDefault="00575AC3" w:rsidP="006D40F0">
            <w:r w:rsidRPr="006D40F0">
              <w:t>3 120 539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487F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0515E" w14:textId="77777777" w:rsidR="00575AC3" w:rsidRPr="006D40F0" w:rsidRDefault="00575AC3" w:rsidP="006D40F0">
            <w:r w:rsidRPr="006D40F0">
              <w:t>183 200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AE3FB1" w14:textId="77777777" w:rsidR="00575AC3" w:rsidRPr="006D40F0" w:rsidRDefault="00575AC3" w:rsidP="006D40F0">
            <w:r w:rsidRPr="006D40F0">
              <w:t>3 303 739</w:t>
            </w:r>
          </w:p>
        </w:tc>
      </w:tr>
      <w:tr w:rsidR="00DD49A7" w:rsidRPr="006D40F0" w14:paraId="35E5D4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999D45" w14:textId="77777777" w:rsidR="00575AC3" w:rsidRPr="006D40F0" w:rsidRDefault="00575AC3" w:rsidP="006D40F0">
            <w:r w:rsidRPr="006D40F0">
              <w:t>414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33354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8F12F8" w14:textId="77777777" w:rsidR="00575AC3" w:rsidRPr="006D40F0" w:rsidRDefault="00575AC3" w:rsidP="006D40F0">
            <w:r w:rsidRPr="006D40F0">
              <w:t xml:space="preserve">Forliksråd og andre </w:t>
            </w:r>
            <w:proofErr w:type="spellStart"/>
            <w:r w:rsidRPr="006D40F0">
              <w:t>domsutgifter</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7A6D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27479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13C8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ABB905" w14:textId="77777777" w:rsidR="00575AC3" w:rsidRPr="006D40F0" w:rsidRDefault="00575AC3" w:rsidP="006D40F0"/>
        </w:tc>
      </w:tr>
      <w:tr w:rsidR="00DD49A7" w:rsidRPr="006D40F0" w14:paraId="4392BC6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18EAA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EE43E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2AF18A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2B46A" w14:textId="77777777" w:rsidR="00575AC3" w:rsidRPr="006D40F0" w:rsidRDefault="00575AC3" w:rsidP="006D40F0">
            <w:r w:rsidRPr="006D40F0">
              <w:t>352 425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FFAE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89FAB" w14:textId="77777777" w:rsidR="00575AC3" w:rsidRPr="006D40F0" w:rsidRDefault="00575AC3" w:rsidP="006D40F0">
            <w:r w:rsidRPr="006D40F0">
              <w:t>4 062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024EB9" w14:textId="77777777" w:rsidR="00575AC3" w:rsidRPr="006D40F0" w:rsidRDefault="00575AC3" w:rsidP="006D40F0">
            <w:r w:rsidRPr="006D40F0">
              <w:t>356 487</w:t>
            </w:r>
          </w:p>
        </w:tc>
      </w:tr>
      <w:tr w:rsidR="00DD49A7" w:rsidRPr="006D40F0" w14:paraId="6B5CB85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52101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40DC76"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56700F"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15DD72" w14:textId="77777777" w:rsidR="00575AC3" w:rsidRPr="006D40F0" w:rsidRDefault="00575AC3" w:rsidP="006D40F0">
            <w:r w:rsidRPr="006D40F0">
              <w:t>44 461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D2AC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BE7E90" w14:textId="77777777" w:rsidR="00575AC3" w:rsidRPr="006D40F0" w:rsidRDefault="00575AC3" w:rsidP="006D40F0">
            <w:r w:rsidRPr="006D40F0">
              <w:t>488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0A4096" w14:textId="77777777" w:rsidR="00575AC3" w:rsidRPr="006D40F0" w:rsidRDefault="00575AC3" w:rsidP="006D40F0">
            <w:r w:rsidRPr="006D40F0">
              <w:t>44 949</w:t>
            </w:r>
          </w:p>
        </w:tc>
      </w:tr>
      <w:tr w:rsidR="00DD49A7" w:rsidRPr="006D40F0" w14:paraId="231D791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19F458" w14:textId="77777777" w:rsidR="00575AC3" w:rsidRPr="006D40F0" w:rsidRDefault="00575AC3" w:rsidP="006D40F0">
            <w:r w:rsidRPr="006D40F0">
              <w:t>430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BFBA1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3531AAA" w14:textId="77777777" w:rsidR="00575AC3" w:rsidRPr="006D40F0" w:rsidRDefault="00575AC3" w:rsidP="006D40F0">
            <w:r w:rsidRPr="006D40F0">
              <w:t>Kriminalomsorgen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32AD7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5D0E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BEE8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19BABC" w14:textId="77777777" w:rsidR="00575AC3" w:rsidRPr="006D40F0" w:rsidRDefault="00575AC3" w:rsidP="006D40F0"/>
        </w:tc>
      </w:tr>
      <w:tr w:rsidR="00DD49A7" w:rsidRPr="006D40F0" w14:paraId="36F45A2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BC3DE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A0989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0BD856" w14:textId="77777777" w:rsidR="00575AC3" w:rsidRPr="006D40F0" w:rsidRDefault="00575AC3" w:rsidP="006D40F0">
            <w:r w:rsidRPr="006D40F0">
              <w:t xml:space="preserve">Driftsutgifter, </w:t>
            </w:r>
            <w:r w:rsidRPr="00575AC3">
              <w:rPr>
                <w:rStyle w:val="kursiv"/>
              </w:rPr>
              <w:t>kan nyttes under kap. 431,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774D82" w14:textId="77777777" w:rsidR="00575AC3" w:rsidRPr="006D40F0" w:rsidRDefault="00575AC3" w:rsidP="006D40F0">
            <w:r w:rsidRPr="006D40F0">
              <w:t>5 556 637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54E2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393B9" w14:textId="77777777" w:rsidR="00575AC3" w:rsidRPr="006D40F0" w:rsidRDefault="00575AC3" w:rsidP="006D40F0">
            <w:r w:rsidRPr="006D40F0">
              <w:t>55 000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6CF1D" w14:textId="77777777" w:rsidR="00575AC3" w:rsidRPr="006D40F0" w:rsidRDefault="00575AC3" w:rsidP="006D40F0">
            <w:r w:rsidRPr="006D40F0">
              <w:t>5 611 637</w:t>
            </w:r>
          </w:p>
        </w:tc>
      </w:tr>
      <w:tr w:rsidR="00DD49A7" w:rsidRPr="006D40F0" w14:paraId="4E85305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32B8F2" w14:textId="77777777" w:rsidR="00575AC3" w:rsidRPr="006D40F0" w:rsidRDefault="00575AC3" w:rsidP="006D40F0">
            <w:r w:rsidRPr="006D40F0">
              <w:t>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EDF9A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78F380F" w14:textId="77777777" w:rsidR="00575AC3" w:rsidRPr="006D40F0" w:rsidRDefault="00575AC3" w:rsidP="006D40F0">
            <w:r w:rsidRPr="006D40F0">
              <w:t>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6680B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651AF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C9375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C35B5" w14:textId="77777777" w:rsidR="00575AC3" w:rsidRPr="006D40F0" w:rsidRDefault="00575AC3" w:rsidP="006D40F0"/>
        </w:tc>
      </w:tr>
      <w:tr w:rsidR="00DD49A7" w:rsidRPr="006D40F0" w14:paraId="7665E3B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9BDC9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6B1B3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FF34CB" w14:textId="77777777" w:rsidR="00575AC3" w:rsidRPr="006D40F0" w:rsidRDefault="00575AC3" w:rsidP="006D40F0">
            <w:r w:rsidRPr="006D40F0">
              <w:t xml:space="preserve">Driftsutgifter, </w:t>
            </w:r>
            <w:r w:rsidRPr="00575AC3">
              <w:rPr>
                <w:rStyle w:val="kursiv"/>
              </w:rPr>
              <w:t>kan nyttes under kap. 441, post 1 og kap. 443,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90B3E" w14:textId="77777777" w:rsidR="00575AC3" w:rsidRPr="006D40F0" w:rsidRDefault="00575AC3" w:rsidP="006D40F0">
            <w:r w:rsidRPr="006D40F0">
              <w:t>21 244 548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51058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4E6BEE" w14:textId="77777777" w:rsidR="00575AC3" w:rsidRPr="006D40F0" w:rsidRDefault="00575AC3" w:rsidP="006D40F0">
            <w:r w:rsidRPr="006D40F0">
              <w:t>1 782 790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F5968" w14:textId="77777777" w:rsidR="00575AC3" w:rsidRPr="006D40F0" w:rsidRDefault="00575AC3" w:rsidP="006D40F0">
            <w:r w:rsidRPr="006D40F0">
              <w:t>23 027 338</w:t>
            </w:r>
          </w:p>
        </w:tc>
      </w:tr>
      <w:tr w:rsidR="00DD49A7" w:rsidRPr="006D40F0" w14:paraId="57E5DAA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DDC3C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ABF969" w14:textId="77777777" w:rsidR="00575AC3" w:rsidRPr="006D40F0" w:rsidRDefault="00575AC3" w:rsidP="006D40F0">
            <w:r w:rsidRPr="006D40F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8C2EBA" w14:textId="77777777" w:rsidR="00575AC3" w:rsidRPr="006D40F0" w:rsidRDefault="00575AC3" w:rsidP="006D40F0">
            <w:r w:rsidRPr="006D40F0">
              <w:t xml:space="preserve">Variable utgifter ved ankomst, mottak og retur i politiets utlendingsforvaltning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95988" w14:textId="77777777" w:rsidR="00575AC3" w:rsidRPr="006D40F0" w:rsidRDefault="00575AC3" w:rsidP="006D40F0">
            <w:r w:rsidRPr="006D40F0">
              <w:t>200 184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C869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3C33E" w14:textId="77777777" w:rsidR="00575AC3" w:rsidRPr="006D40F0" w:rsidRDefault="00575AC3" w:rsidP="006D40F0">
            <w:r w:rsidRPr="006D40F0">
              <w:t>40 774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45F572" w14:textId="77777777" w:rsidR="00575AC3" w:rsidRPr="006D40F0" w:rsidRDefault="00575AC3" w:rsidP="006D40F0">
            <w:r w:rsidRPr="006D40F0">
              <w:t>240 958</w:t>
            </w:r>
          </w:p>
        </w:tc>
      </w:tr>
      <w:tr w:rsidR="00DD49A7" w:rsidRPr="006D40F0" w14:paraId="35770F6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02E48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060C67"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D167A7A"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5507F" w14:textId="77777777" w:rsidR="00575AC3" w:rsidRPr="006D40F0" w:rsidRDefault="00575AC3" w:rsidP="006D40F0">
            <w:r w:rsidRPr="006D40F0">
              <w:t>12 617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DD81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9221C" w14:textId="77777777" w:rsidR="00575AC3" w:rsidRPr="006D40F0" w:rsidRDefault="00575AC3" w:rsidP="006D40F0">
            <w:r w:rsidRPr="006D40F0">
              <w:t>11 000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E67F6" w14:textId="77777777" w:rsidR="00575AC3" w:rsidRPr="006D40F0" w:rsidRDefault="00575AC3" w:rsidP="006D40F0">
            <w:r w:rsidRPr="006D40F0">
              <w:t>23 617</w:t>
            </w:r>
          </w:p>
        </w:tc>
      </w:tr>
      <w:tr w:rsidR="00DD49A7" w:rsidRPr="006D40F0" w14:paraId="7F2BB07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969D6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20B6EF" w14:textId="77777777" w:rsidR="00575AC3" w:rsidRPr="006D40F0" w:rsidRDefault="00575AC3" w:rsidP="006D40F0">
            <w:r w:rsidRPr="006D40F0">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16ABBD" w14:textId="77777777" w:rsidR="00575AC3" w:rsidRPr="006D40F0" w:rsidRDefault="00575AC3" w:rsidP="006D40F0">
            <w:r w:rsidRPr="006D40F0">
              <w:t xml:space="preserve">Investeringer i Schengen IT-systemer,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7655A" w14:textId="77777777" w:rsidR="00575AC3" w:rsidRPr="006D40F0" w:rsidRDefault="00575AC3" w:rsidP="006D40F0">
            <w:r w:rsidRPr="006D40F0">
              <w:t>195 294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87F28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108A8" w14:textId="77777777" w:rsidR="00575AC3" w:rsidRPr="006D40F0" w:rsidRDefault="00575AC3" w:rsidP="006D40F0">
            <w:r w:rsidRPr="006D40F0">
              <w:t>-99 280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5CB0D" w14:textId="77777777" w:rsidR="00575AC3" w:rsidRPr="006D40F0" w:rsidRDefault="00575AC3" w:rsidP="006D40F0">
            <w:r w:rsidRPr="006D40F0">
              <w:t>96 014</w:t>
            </w:r>
          </w:p>
        </w:tc>
      </w:tr>
      <w:tr w:rsidR="00DD49A7" w:rsidRPr="006D40F0" w14:paraId="0486A4A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1F053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185D1C" w14:textId="77777777" w:rsidR="00575AC3" w:rsidRPr="006D40F0" w:rsidRDefault="00575AC3" w:rsidP="006D40F0">
            <w:r w:rsidRPr="006D40F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B8C93E" w14:textId="77777777" w:rsidR="00575AC3" w:rsidRPr="006D40F0" w:rsidRDefault="00575AC3" w:rsidP="006D40F0">
            <w:r w:rsidRPr="006D40F0">
              <w:t xml:space="preserve">Tildeling fra EUs grense- og visumfinansieringsordninger,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D5A10" w14:textId="77777777" w:rsidR="00575AC3" w:rsidRPr="006D40F0" w:rsidRDefault="00575AC3" w:rsidP="006D40F0">
            <w:r w:rsidRPr="006D40F0">
              <w:t>209 210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5127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26CB2" w14:textId="77777777" w:rsidR="00575AC3" w:rsidRPr="006D40F0" w:rsidRDefault="00575AC3" w:rsidP="006D40F0">
            <w:r w:rsidRPr="006D40F0">
              <w:t>-45 100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0C01B" w14:textId="77777777" w:rsidR="00575AC3" w:rsidRPr="006D40F0" w:rsidRDefault="00575AC3" w:rsidP="006D40F0">
            <w:r w:rsidRPr="006D40F0">
              <w:t>164 110</w:t>
            </w:r>
          </w:p>
        </w:tc>
      </w:tr>
      <w:tr w:rsidR="00DD49A7" w:rsidRPr="006D40F0" w14:paraId="567B56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6844A9" w14:textId="77777777" w:rsidR="00575AC3" w:rsidRPr="006D40F0" w:rsidRDefault="00575AC3" w:rsidP="006D40F0">
            <w:r w:rsidRPr="006D40F0">
              <w:t>441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1EC9A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2A1535" w14:textId="77777777" w:rsidR="00575AC3" w:rsidRPr="006D40F0" w:rsidRDefault="00575AC3" w:rsidP="006D40F0">
            <w:r w:rsidRPr="006D40F0">
              <w:t>Politidirektoratet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C656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BD1E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C0537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4E3605" w14:textId="77777777" w:rsidR="00575AC3" w:rsidRPr="006D40F0" w:rsidRDefault="00575AC3" w:rsidP="006D40F0"/>
        </w:tc>
      </w:tr>
      <w:tr w:rsidR="00DD49A7" w:rsidRPr="006D40F0" w14:paraId="0551DDE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B0648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0E48D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0D5538" w14:textId="77777777" w:rsidR="00575AC3" w:rsidRPr="006D40F0" w:rsidRDefault="00575AC3" w:rsidP="006D40F0">
            <w:r w:rsidRPr="006D40F0">
              <w:t xml:space="preserve">Driftsutgifter, </w:t>
            </w:r>
            <w:r w:rsidRPr="00575AC3">
              <w:rPr>
                <w:rStyle w:val="kursiv"/>
              </w:rPr>
              <w:t>kan nyttes under kap. 440,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B1B82" w14:textId="77777777" w:rsidR="00575AC3" w:rsidRPr="006D40F0" w:rsidRDefault="00575AC3" w:rsidP="006D40F0">
            <w:r w:rsidRPr="006D40F0">
              <w:t>382 659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B461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C7736" w14:textId="77777777" w:rsidR="00575AC3" w:rsidRPr="006D40F0" w:rsidRDefault="00575AC3" w:rsidP="006D40F0">
            <w:r w:rsidRPr="006D40F0">
              <w:t>-8 625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661574" w14:textId="77777777" w:rsidR="00575AC3" w:rsidRPr="006D40F0" w:rsidRDefault="00575AC3" w:rsidP="006D40F0">
            <w:r w:rsidRPr="006D40F0">
              <w:t>374 034</w:t>
            </w:r>
          </w:p>
        </w:tc>
      </w:tr>
      <w:tr w:rsidR="00DD49A7" w:rsidRPr="006D40F0" w14:paraId="38E49C0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B9D94E" w14:textId="77777777" w:rsidR="00575AC3" w:rsidRPr="006D40F0" w:rsidRDefault="00575AC3" w:rsidP="006D40F0">
            <w:r w:rsidRPr="006D40F0">
              <w:t>442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D253A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DF66EF" w14:textId="77777777" w:rsidR="00575AC3" w:rsidRPr="006D40F0" w:rsidRDefault="00575AC3" w:rsidP="006D40F0">
            <w:r w:rsidRPr="006D40F0">
              <w:t>Politihøgskolen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CCD0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D3005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C06E7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B47F7" w14:textId="77777777" w:rsidR="00575AC3" w:rsidRPr="006D40F0" w:rsidRDefault="00575AC3" w:rsidP="006D40F0"/>
        </w:tc>
      </w:tr>
      <w:tr w:rsidR="00DD49A7" w:rsidRPr="006D40F0" w14:paraId="00D7FF0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43B04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CF9DC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7E44497"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282D46" w14:textId="77777777" w:rsidR="00575AC3" w:rsidRPr="006D40F0" w:rsidRDefault="00575AC3" w:rsidP="006D40F0">
            <w:r w:rsidRPr="006D40F0">
              <w:t>689 124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DA24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2690ED" w14:textId="77777777" w:rsidR="00575AC3" w:rsidRPr="006D40F0" w:rsidRDefault="00575AC3" w:rsidP="006D40F0">
            <w:r w:rsidRPr="006D40F0">
              <w:t>735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928A7F" w14:textId="77777777" w:rsidR="00575AC3" w:rsidRPr="006D40F0" w:rsidRDefault="00575AC3" w:rsidP="006D40F0">
            <w:r w:rsidRPr="006D40F0">
              <w:t>689 859</w:t>
            </w:r>
          </w:p>
        </w:tc>
      </w:tr>
      <w:tr w:rsidR="00DD49A7" w:rsidRPr="006D40F0" w14:paraId="5D67E2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5FA806" w14:textId="77777777" w:rsidR="00575AC3" w:rsidRPr="006D40F0" w:rsidRDefault="00575AC3" w:rsidP="006D40F0">
            <w:r w:rsidRPr="006D40F0">
              <w:t>444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BDF16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E1FDB7" w14:textId="77777777" w:rsidR="00575AC3" w:rsidRPr="006D40F0" w:rsidRDefault="00575AC3" w:rsidP="006D40F0">
            <w:r w:rsidRPr="006D40F0">
              <w:t>Politiets sikkerhetstjeneste (PST)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CF296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7418A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E390F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D580E" w14:textId="77777777" w:rsidR="00575AC3" w:rsidRPr="006D40F0" w:rsidRDefault="00575AC3" w:rsidP="006D40F0"/>
        </w:tc>
      </w:tr>
      <w:tr w:rsidR="00DD49A7" w:rsidRPr="006D40F0" w14:paraId="290A696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64A68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54D26C"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194331"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336CFE" w14:textId="77777777" w:rsidR="00575AC3" w:rsidRPr="006D40F0" w:rsidRDefault="00575AC3" w:rsidP="006D40F0">
            <w:r w:rsidRPr="006D40F0">
              <w:t>1 473 022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91CF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947FC" w14:textId="77777777" w:rsidR="00575AC3" w:rsidRPr="006D40F0" w:rsidRDefault="00575AC3" w:rsidP="006D40F0">
            <w:r w:rsidRPr="006D40F0">
              <w:t>150 000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B6BFC" w14:textId="77777777" w:rsidR="00575AC3" w:rsidRPr="006D40F0" w:rsidRDefault="00575AC3" w:rsidP="006D40F0">
            <w:r w:rsidRPr="006D40F0">
              <w:t>1 623 022</w:t>
            </w:r>
          </w:p>
        </w:tc>
      </w:tr>
      <w:tr w:rsidR="00DD49A7" w:rsidRPr="006D40F0" w14:paraId="3E326BD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7B745C" w14:textId="77777777" w:rsidR="00575AC3" w:rsidRPr="006D40F0" w:rsidRDefault="00575AC3" w:rsidP="006D40F0">
            <w:r w:rsidRPr="006D40F0">
              <w:t>445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2BA74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BBCBE3C" w14:textId="77777777" w:rsidR="00575AC3" w:rsidRPr="006D40F0" w:rsidRDefault="00575AC3" w:rsidP="006D40F0">
            <w:r w:rsidRPr="006D40F0">
              <w:t>Den høyere påtalemyndighet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AD82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A3B15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D6B6D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108FB" w14:textId="77777777" w:rsidR="00575AC3" w:rsidRPr="006D40F0" w:rsidRDefault="00575AC3" w:rsidP="006D40F0"/>
        </w:tc>
      </w:tr>
      <w:tr w:rsidR="00DD49A7" w:rsidRPr="006D40F0" w14:paraId="150916A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5FC4B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0B51E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51596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F28B3" w14:textId="77777777" w:rsidR="00575AC3" w:rsidRPr="006D40F0" w:rsidRDefault="00575AC3" w:rsidP="006D40F0">
            <w:r w:rsidRPr="006D40F0">
              <w:t>386 124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9068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ED8A3F" w14:textId="77777777" w:rsidR="00575AC3" w:rsidRPr="006D40F0" w:rsidRDefault="00575AC3" w:rsidP="006D40F0">
            <w:r w:rsidRPr="006D40F0">
              <w:t>1 333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DD54C0" w14:textId="77777777" w:rsidR="00575AC3" w:rsidRPr="006D40F0" w:rsidRDefault="00575AC3" w:rsidP="006D40F0">
            <w:r w:rsidRPr="006D40F0">
              <w:t>387 457</w:t>
            </w:r>
          </w:p>
        </w:tc>
      </w:tr>
      <w:tr w:rsidR="00DD49A7" w:rsidRPr="006D40F0" w14:paraId="1089435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B5DFE7" w14:textId="77777777" w:rsidR="00575AC3" w:rsidRPr="006D40F0" w:rsidRDefault="00575AC3" w:rsidP="006D40F0">
            <w:r w:rsidRPr="006D40F0">
              <w:lastRenderedPageBreak/>
              <w:t>446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5B6A5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0BB279" w14:textId="77777777" w:rsidR="00575AC3" w:rsidRPr="006D40F0" w:rsidRDefault="00575AC3" w:rsidP="006D40F0">
            <w:r w:rsidRPr="006D40F0">
              <w:t>Den militære påtalemyndighet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A932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7B94F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0F574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93D619" w14:textId="77777777" w:rsidR="00575AC3" w:rsidRPr="006D40F0" w:rsidRDefault="00575AC3" w:rsidP="006D40F0"/>
        </w:tc>
      </w:tr>
      <w:tr w:rsidR="00DD49A7" w:rsidRPr="006D40F0" w14:paraId="2B17459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EA2F2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2012B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7A8949"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1A611" w14:textId="77777777" w:rsidR="00575AC3" w:rsidRPr="006D40F0" w:rsidRDefault="00575AC3" w:rsidP="006D40F0">
            <w:r w:rsidRPr="006D40F0">
              <w:t>9 829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7C86E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05CFB" w14:textId="77777777" w:rsidR="00575AC3" w:rsidRPr="006D40F0" w:rsidRDefault="00575AC3" w:rsidP="006D40F0">
            <w:r w:rsidRPr="006D40F0">
              <w:t>-4 315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BD5D6" w14:textId="77777777" w:rsidR="00575AC3" w:rsidRPr="006D40F0" w:rsidRDefault="00575AC3" w:rsidP="006D40F0">
            <w:r w:rsidRPr="006D40F0">
              <w:t>5 514</w:t>
            </w:r>
          </w:p>
        </w:tc>
      </w:tr>
      <w:tr w:rsidR="00DD49A7" w:rsidRPr="006D40F0" w14:paraId="015D2AF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D66DD4" w14:textId="77777777" w:rsidR="00575AC3" w:rsidRPr="006D40F0" w:rsidRDefault="00575AC3" w:rsidP="006D40F0">
            <w:r w:rsidRPr="006D40F0">
              <w:t>451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40370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8BFFA7" w14:textId="77777777" w:rsidR="00575AC3" w:rsidRPr="006D40F0" w:rsidRDefault="00575AC3" w:rsidP="006D40F0">
            <w:r w:rsidRPr="006D40F0">
              <w:t>Direktoratet for samfunnssikkerhet og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DB8A0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4AF8A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1C46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99EC7" w14:textId="77777777" w:rsidR="00575AC3" w:rsidRPr="006D40F0" w:rsidRDefault="00575AC3" w:rsidP="006D40F0"/>
        </w:tc>
      </w:tr>
      <w:tr w:rsidR="00DD49A7" w:rsidRPr="006D40F0" w14:paraId="6072945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44E95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B98D1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D67B8B3"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58E15" w14:textId="77777777" w:rsidR="00575AC3" w:rsidRPr="006D40F0" w:rsidRDefault="00575AC3" w:rsidP="006D40F0">
            <w:r w:rsidRPr="006D40F0">
              <w:t>1 505 337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C89A6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8A5BB" w14:textId="77777777" w:rsidR="00575AC3" w:rsidRPr="006D40F0" w:rsidRDefault="00575AC3" w:rsidP="006D40F0">
            <w:r w:rsidRPr="006D40F0">
              <w:t>66 657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ACCE1" w14:textId="77777777" w:rsidR="00575AC3" w:rsidRPr="006D40F0" w:rsidRDefault="00575AC3" w:rsidP="006D40F0">
            <w:r w:rsidRPr="006D40F0">
              <w:t>1 571 994</w:t>
            </w:r>
          </w:p>
        </w:tc>
      </w:tr>
      <w:tr w:rsidR="00DD49A7" w:rsidRPr="006D40F0" w14:paraId="14B5743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B1240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BFB4EC"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8CAB28"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F0D40" w14:textId="77777777" w:rsidR="00575AC3" w:rsidRPr="006D40F0" w:rsidRDefault="00575AC3" w:rsidP="006D40F0">
            <w:r w:rsidRPr="006D40F0">
              <w:t>252 221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C237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A9168" w14:textId="77777777" w:rsidR="00575AC3" w:rsidRPr="006D40F0" w:rsidRDefault="00575AC3" w:rsidP="006D40F0">
            <w:r w:rsidRPr="006D40F0">
              <w:t>12 800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D92D8E" w14:textId="77777777" w:rsidR="00575AC3" w:rsidRPr="006D40F0" w:rsidRDefault="00575AC3" w:rsidP="006D40F0">
            <w:r w:rsidRPr="006D40F0">
              <w:t>265 021</w:t>
            </w:r>
          </w:p>
        </w:tc>
      </w:tr>
      <w:tr w:rsidR="00DD49A7" w:rsidRPr="006D40F0" w14:paraId="703F39C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37E402" w14:textId="77777777" w:rsidR="00575AC3" w:rsidRPr="006D40F0" w:rsidRDefault="00575AC3" w:rsidP="006D40F0">
            <w:r w:rsidRPr="006D40F0">
              <w:t>454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32D08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776C6E5" w14:textId="77777777" w:rsidR="00575AC3" w:rsidRPr="006D40F0" w:rsidRDefault="00575AC3" w:rsidP="006D40F0">
            <w:r w:rsidRPr="006D40F0">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9491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34A6A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B401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5CABA" w14:textId="77777777" w:rsidR="00575AC3" w:rsidRPr="006D40F0" w:rsidRDefault="00575AC3" w:rsidP="006D40F0"/>
        </w:tc>
      </w:tr>
      <w:tr w:rsidR="00DD49A7" w:rsidRPr="006D40F0" w14:paraId="096BC59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97887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5A1D1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1B8EA5"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C10C2" w14:textId="77777777" w:rsidR="00575AC3" w:rsidRPr="006D40F0" w:rsidRDefault="00575AC3" w:rsidP="006D40F0">
            <w:r w:rsidRPr="006D40F0">
              <w:t>992 173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B9A8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3DB6D" w14:textId="77777777" w:rsidR="00575AC3" w:rsidRPr="006D40F0" w:rsidRDefault="00575AC3" w:rsidP="006D40F0">
            <w:r w:rsidRPr="006D40F0">
              <w:t>249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5A8DC" w14:textId="77777777" w:rsidR="00575AC3" w:rsidRPr="006D40F0" w:rsidRDefault="00575AC3" w:rsidP="006D40F0">
            <w:r w:rsidRPr="006D40F0">
              <w:t>992 422</w:t>
            </w:r>
          </w:p>
        </w:tc>
      </w:tr>
      <w:tr w:rsidR="00DD49A7" w:rsidRPr="006D40F0" w14:paraId="196168D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88A24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C73964"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FF18DDD"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C3DA4" w14:textId="77777777" w:rsidR="00575AC3" w:rsidRPr="006D40F0" w:rsidRDefault="00575AC3" w:rsidP="006D40F0">
            <w:r w:rsidRPr="006D40F0">
              <w:t>1 511 992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3574D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D0927B" w14:textId="77777777" w:rsidR="00575AC3" w:rsidRPr="006D40F0" w:rsidRDefault="00575AC3" w:rsidP="006D40F0">
            <w:r w:rsidRPr="006D40F0">
              <w:t>12 994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056DF" w14:textId="77777777" w:rsidR="00575AC3" w:rsidRPr="006D40F0" w:rsidRDefault="00575AC3" w:rsidP="006D40F0">
            <w:r w:rsidRPr="006D40F0">
              <w:t>1 524 986</w:t>
            </w:r>
          </w:p>
        </w:tc>
      </w:tr>
      <w:tr w:rsidR="00DD49A7" w:rsidRPr="006D40F0" w14:paraId="0DEF6DD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0043BF" w14:textId="77777777" w:rsidR="00575AC3" w:rsidRPr="006D40F0" w:rsidRDefault="00575AC3" w:rsidP="006D40F0">
            <w:r w:rsidRPr="006D40F0">
              <w:t>455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33BF7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459F9D" w14:textId="77777777" w:rsidR="00575AC3" w:rsidRPr="006D40F0" w:rsidRDefault="00575AC3" w:rsidP="006D40F0">
            <w:r w:rsidRPr="006D40F0">
              <w:t>Redningstjenesten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08F9E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68627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6752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183D2C" w14:textId="77777777" w:rsidR="00575AC3" w:rsidRPr="006D40F0" w:rsidRDefault="00575AC3" w:rsidP="006D40F0"/>
        </w:tc>
      </w:tr>
      <w:tr w:rsidR="00DD49A7" w:rsidRPr="006D40F0" w14:paraId="7F8A683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56AFE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A7B52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DD2011"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23D48F" w14:textId="77777777" w:rsidR="00575AC3" w:rsidRPr="006D40F0" w:rsidRDefault="00575AC3" w:rsidP="006D40F0">
            <w:r w:rsidRPr="006D40F0">
              <w:t>155 039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9E6E7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13A53" w14:textId="77777777" w:rsidR="00575AC3" w:rsidRPr="006D40F0" w:rsidRDefault="00575AC3" w:rsidP="006D40F0">
            <w:r w:rsidRPr="006D40F0">
              <w:t>845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277398" w14:textId="77777777" w:rsidR="00575AC3" w:rsidRPr="006D40F0" w:rsidRDefault="00575AC3" w:rsidP="006D40F0">
            <w:r w:rsidRPr="006D40F0">
              <w:t>155 884</w:t>
            </w:r>
          </w:p>
        </w:tc>
      </w:tr>
      <w:tr w:rsidR="00DD49A7" w:rsidRPr="006D40F0" w14:paraId="5B6D7DD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CC98DC" w14:textId="77777777" w:rsidR="00575AC3" w:rsidRPr="006D40F0" w:rsidRDefault="00575AC3" w:rsidP="006D40F0">
            <w:r w:rsidRPr="006D40F0">
              <w:t>457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11276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229C5F" w14:textId="77777777" w:rsidR="00575AC3" w:rsidRPr="006D40F0" w:rsidRDefault="00575AC3" w:rsidP="006D40F0">
            <w:r w:rsidRPr="006D40F0">
              <w:t>Nasjonal sikkerhetsmyndighet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5DAA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311E8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6D7C1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3D22D2" w14:textId="77777777" w:rsidR="00575AC3" w:rsidRPr="006D40F0" w:rsidRDefault="00575AC3" w:rsidP="006D40F0"/>
        </w:tc>
      </w:tr>
      <w:tr w:rsidR="00DD49A7" w:rsidRPr="006D40F0" w14:paraId="69A7F5B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80DB1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61948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8C38C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6B8250" w14:textId="77777777" w:rsidR="00575AC3" w:rsidRPr="006D40F0" w:rsidRDefault="00575AC3" w:rsidP="006D40F0">
            <w:r w:rsidRPr="006D40F0">
              <w:t>451 230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3043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767572" w14:textId="77777777" w:rsidR="00575AC3" w:rsidRPr="006D40F0" w:rsidRDefault="00575AC3" w:rsidP="006D40F0">
            <w:r w:rsidRPr="006D40F0">
              <w:t>90 000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475CB" w14:textId="77777777" w:rsidR="00575AC3" w:rsidRPr="006D40F0" w:rsidRDefault="00575AC3" w:rsidP="006D40F0">
            <w:r w:rsidRPr="006D40F0">
              <w:t>541 230</w:t>
            </w:r>
          </w:p>
        </w:tc>
      </w:tr>
      <w:tr w:rsidR="00DD49A7" w:rsidRPr="006D40F0" w14:paraId="11505D7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8A48D1" w14:textId="77777777" w:rsidR="00575AC3" w:rsidRPr="006D40F0" w:rsidRDefault="00575AC3" w:rsidP="006D40F0">
            <w:r w:rsidRPr="006D40F0">
              <w:t>460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1863E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BC5C38" w14:textId="77777777" w:rsidR="00575AC3" w:rsidRPr="006D40F0" w:rsidRDefault="00575AC3" w:rsidP="006D40F0">
            <w:r w:rsidRPr="006D40F0">
              <w:t>Spesialenheten for politisaker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2AB3F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82DC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20E7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C15115" w14:textId="77777777" w:rsidR="00575AC3" w:rsidRPr="006D40F0" w:rsidRDefault="00575AC3" w:rsidP="006D40F0"/>
        </w:tc>
      </w:tr>
      <w:tr w:rsidR="00DD49A7" w:rsidRPr="006D40F0" w14:paraId="53DB6E6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1F232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9394F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C67163"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F8E2DD" w14:textId="77777777" w:rsidR="00575AC3" w:rsidRPr="006D40F0" w:rsidRDefault="00575AC3" w:rsidP="006D40F0">
            <w:r w:rsidRPr="006D40F0">
              <w:t>67 132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243AE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F3E106"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0C4C64" w14:textId="77777777" w:rsidR="00575AC3" w:rsidRPr="006D40F0" w:rsidRDefault="00575AC3" w:rsidP="006D40F0">
            <w:r w:rsidRPr="006D40F0">
              <w:t>71 132</w:t>
            </w:r>
          </w:p>
        </w:tc>
      </w:tr>
      <w:tr w:rsidR="00DD49A7" w:rsidRPr="006D40F0" w14:paraId="772FF7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27F3C3" w14:textId="77777777" w:rsidR="00575AC3" w:rsidRPr="006D40F0" w:rsidRDefault="00575AC3" w:rsidP="006D40F0">
            <w:r w:rsidRPr="006D40F0">
              <w:t>466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BF411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31644D" w14:textId="77777777" w:rsidR="00575AC3" w:rsidRPr="006D40F0" w:rsidRDefault="00575AC3" w:rsidP="006D40F0">
            <w:r w:rsidRPr="006D40F0">
              <w:t>Særskilte straffesaksutgifter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1C05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9D297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4D96B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9C09C7" w14:textId="77777777" w:rsidR="00575AC3" w:rsidRPr="006D40F0" w:rsidRDefault="00575AC3" w:rsidP="006D40F0"/>
        </w:tc>
      </w:tr>
      <w:tr w:rsidR="00DD49A7" w:rsidRPr="006D40F0" w14:paraId="05EEFC2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39ABE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848D2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2872B5"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C53357" w14:textId="77777777" w:rsidR="00575AC3" w:rsidRPr="006D40F0" w:rsidRDefault="00575AC3" w:rsidP="006D40F0">
            <w:r w:rsidRPr="006D40F0">
              <w:t>1 366 567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F632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9C95A1" w14:textId="77777777" w:rsidR="00575AC3" w:rsidRPr="006D40F0" w:rsidRDefault="00575AC3" w:rsidP="006D40F0">
            <w:r w:rsidRPr="006D40F0">
              <w:t>22 750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252AFD" w14:textId="77777777" w:rsidR="00575AC3" w:rsidRPr="006D40F0" w:rsidRDefault="00575AC3" w:rsidP="006D40F0">
            <w:r w:rsidRPr="006D40F0">
              <w:t>1 389 317</w:t>
            </w:r>
          </w:p>
        </w:tc>
      </w:tr>
      <w:tr w:rsidR="00DD49A7" w:rsidRPr="006D40F0" w14:paraId="44114FD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4C78FA" w14:textId="77777777" w:rsidR="00575AC3" w:rsidRPr="006D40F0" w:rsidRDefault="00575AC3" w:rsidP="006D40F0">
            <w:r w:rsidRPr="006D40F0">
              <w:t>467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C9DE9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6E3E65" w14:textId="77777777" w:rsidR="00575AC3" w:rsidRPr="006D40F0" w:rsidRDefault="00575AC3" w:rsidP="006D40F0">
            <w:r w:rsidRPr="006D40F0">
              <w:t>Norsk Lovtidend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C913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BD3B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6845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12FBE" w14:textId="77777777" w:rsidR="00575AC3" w:rsidRPr="006D40F0" w:rsidRDefault="00575AC3" w:rsidP="006D40F0"/>
        </w:tc>
      </w:tr>
      <w:tr w:rsidR="00DD49A7" w:rsidRPr="006D40F0" w14:paraId="1D1363D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3086F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B7148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9BC54E"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D0CA3" w14:textId="77777777" w:rsidR="00575AC3" w:rsidRPr="006D40F0" w:rsidRDefault="00575AC3" w:rsidP="006D40F0">
            <w:r w:rsidRPr="006D40F0">
              <w:t>8 750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AB8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45DD6B" w14:textId="77777777" w:rsidR="00575AC3" w:rsidRPr="006D40F0" w:rsidRDefault="00575AC3" w:rsidP="006D40F0">
            <w:r w:rsidRPr="006D40F0">
              <w:t>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C2424" w14:textId="77777777" w:rsidR="00575AC3" w:rsidRPr="006D40F0" w:rsidRDefault="00575AC3" w:rsidP="006D40F0">
            <w:r w:rsidRPr="006D40F0">
              <w:t>9 050</w:t>
            </w:r>
          </w:p>
        </w:tc>
      </w:tr>
      <w:tr w:rsidR="00DD49A7" w:rsidRPr="006D40F0" w14:paraId="1AEDBD8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EA75E5" w14:textId="77777777" w:rsidR="00575AC3" w:rsidRPr="006D40F0" w:rsidRDefault="00575AC3" w:rsidP="006D40F0">
            <w:r w:rsidRPr="006D40F0">
              <w:t>468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B9818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3ABA9E8" w14:textId="77777777" w:rsidR="00575AC3" w:rsidRPr="006D40F0" w:rsidRDefault="00575AC3" w:rsidP="006D40F0">
            <w:r w:rsidRPr="006D40F0">
              <w:t>Kommisjonen for gjenopptakelse av straffesaker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1FF2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C634C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3F70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87E876" w14:textId="77777777" w:rsidR="00575AC3" w:rsidRPr="006D40F0" w:rsidRDefault="00575AC3" w:rsidP="006D40F0"/>
        </w:tc>
      </w:tr>
      <w:tr w:rsidR="00DD49A7" w:rsidRPr="006D40F0" w14:paraId="22BAF20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8CA28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4427F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BE833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D2702" w14:textId="77777777" w:rsidR="00575AC3" w:rsidRPr="006D40F0" w:rsidRDefault="00575AC3" w:rsidP="006D40F0">
            <w:r w:rsidRPr="006D40F0">
              <w:t>24 100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8E308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E85262" w14:textId="77777777" w:rsidR="00575AC3" w:rsidRPr="006D40F0" w:rsidRDefault="00575AC3" w:rsidP="006D40F0">
            <w:r w:rsidRPr="006D40F0">
              <w:t>3 500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AD3AF1" w14:textId="77777777" w:rsidR="00575AC3" w:rsidRPr="006D40F0" w:rsidRDefault="00575AC3" w:rsidP="006D40F0">
            <w:r w:rsidRPr="006D40F0">
              <w:t>27 600</w:t>
            </w:r>
          </w:p>
        </w:tc>
      </w:tr>
      <w:tr w:rsidR="00DD49A7" w:rsidRPr="006D40F0" w14:paraId="0C8A3E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E33B59" w14:textId="77777777" w:rsidR="00575AC3" w:rsidRPr="006D40F0" w:rsidRDefault="00575AC3" w:rsidP="006D40F0">
            <w:r w:rsidRPr="006D40F0">
              <w:t>470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68B28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94CB5E" w14:textId="77777777" w:rsidR="00575AC3" w:rsidRPr="006D40F0" w:rsidRDefault="00575AC3" w:rsidP="006D40F0">
            <w:r w:rsidRPr="006D40F0">
              <w:t>Fri rettshjelp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A9A1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5F5A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E530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B3E5F9" w14:textId="77777777" w:rsidR="00575AC3" w:rsidRPr="006D40F0" w:rsidRDefault="00575AC3" w:rsidP="006D40F0"/>
        </w:tc>
      </w:tr>
      <w:tr w:rsidR="00DD49A7" w:rsidRPr="006D40F0" w14:paraId="2B18AB3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84D65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1F43DC"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7B259C"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5ED7F2" w14:textId="77777777" w:rsidR="00575AC3" w:rsidRPr="006D40F0" w:rsidRDefault="00575AC3" w:rsidP="006D40F0">
            <w:r w:rsidRPr="006D40F0">
              <w:t>839 271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8F259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136E5" w14:textId="77777777" w:rsidR="00575AC3" w:rsidRPr="006D40F0" w:rsidRDefault="00575AC3" w:rsidP="006D40F0">
            <w:r w:rsidRPr="006D40F0">
              <w:t>12 797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C3B58C" w14:textId="77777777" w:rsidR="00575AC3" w:rsidRPr="006D40F0" w:rsidRDefault="00575AC3" w:rsidP="006D40F0">
            <w:r w:rsidRPr="006D40F0">
              <w:t>852 068</w:t>
            </w:r>
          </w:p>
        </w:tc>
      </w:tr>
      <w:tr w:rsidR="00DD49A7" w:rsidRPr="006D40F0" w14:paraId="77D5ADD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6CC0BB" w14:textId="77777777" w:rsidR="00575AC3" w:rsidRPr="006D40F0" w:rsidRDefault="00575AC3" w:rsidP="006D40F0">
            <w:r w:rsidRPr="006D40F0">
              <w:t>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2AB3C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3FBE39" w14:textId="77777777" w:rsidR="00575AC3" w:rsidRPr="006D40F0" w:rsidRDefault="00575AC3" w:rsidP="006D40F0">
            <w:r w:rsidRPr="006D40F0">
              <w:t>Statens erstatningsansvar og Stortingets rettferdsvederlagsordning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15DE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2B846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82A94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A4C992" w14:textId="77777777" w:rsidR="00575AC3" w:rsidRPr="006D40F0" w:rsidRDefault="00575AC3" w:rsidP="006D40F0"/>
        </w:tc>
      </w:tr>
      <w:tr w:rsidR="00DD49A7" w:rsidRPr="006D40F0" w14:paraId="2537B3C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7A2B9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E6A1F5"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E02200" w14:textId="77777777" w:rsidR="00575AC3" w:rsidRPr="006D40F0" w:rsidRDefault="00575AC3" w:rsidP="006D40F0">
            <w:r w:rsidRPr="006D40F0">
              <w:t xml:space="preserve">Erstatning i anledning av </w:t>
            </w:r>
            <w:proofErr w:type="spellStart"/>
            <w:r w:rsidRPr="006D40F0">
              <w:t>straffeforfølging</w:t>
            </w:r>
            <w:proofErr w:type="spellEnd"/>
            <w:r w:rsidRPr="006D40F0">
              <w:t xml:space="preserv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85265A" w14:textId="77777777" w:rsidR="00575AC3" w:rsidRPr="006D40F0" w:rsidRDefault="00575AC3" w:rsidP="006D40F0">
            <w:r w:rsidRPr="006D40F0">
              <w:t>73 727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1D280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6875D" w14:textId="77777777" w:rsidR="00575AC3" w:rsidRPr="006D40F0" w:rsidRDefault="00575AC3" w:rsidP="006D40F0">
            <w:r w:rsidRPr="006D40F0">
              <w:t>46 273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D3D24D" w14:textId="77777777" w:rsidR="00575AC3" w:rsidRPr="006D40F0" w:rsidRDefault="00575AC3" w:rsidP="006D40F0">
            <w:r w:rsidRPr="006D40F0">
              <w:t>120 000</w:t>
            </w:r>
          </w:p>
        </w:tc>
      </w:tr>
      <w:tr w:rsidR="00DD49A7" w:rsidRPr="006D40F0" w14:paraId="0B0E641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F9CBE3" w14:textId="77777777" w:rsidR="00575AC3" w:rsidRPr="006D40F0" w:rsidRDefault="00575AC3" w:rsidP="006D40F0">
            <w:r w:rsidRPr="006D40F0">
              <w:t>473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0FAC7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5730E3" w14:textId="77777777" w:rsidR="00575AC3" w:rsidRPr="006D40F0" w:rsidRDefault="00575AC3" w:rsidP="006D40F0">
            <w:r w:rsidRPr="006D40F0">
              <w:t>Statens sivilrettsforvaltning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FB330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E1871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080DE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AA951" w14:textId="77777777" w:rsidR="00575AC3" w:rsidRPr="006D40F0" w:rsidRDefault="00575AC3" w:rsidP="006D40F0"/>
        </w:tc>
      </w:tr>
      <w:tr w:rsidR="00DD49A7" w:rsidRPr="006D40F0" w14:paraId="335987C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21994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01D5A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6DCBCB"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301511" w14:textId="77777777" w:rsidR="00575AC3" w:rsidRPr="006D40F0" w:rsidRDefault="00575AC3" w:rsidP="006D40F0">
            <w:r w:rsidRPr="006D40F0">
              <w:t>144 259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523B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57E498"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96F24" w14:textId="77777777" w:rsidR="00575AC3" w:rsidRPr="006D40F0" w:rsidRDefault="00575AC3" w:rsidP="006D40F0">
            <w:r w:rsidRPr="006D40F0">
              <w:t>146 259</w:t>
            </w:r>
          </w:p>
        </w:tc>
      </w:tr>
      <w:tr w:rsidR="00DD49A7" w:rsidRPr="006D40F0" w14:paraId="2333A28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BBA78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15C626"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5F61D1"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869BD" w14:textId="77777777" w:rsidR="00575AC3" w:rsidRPr="006D40F0" w:rsidRDefault="00575AC3" w:rsidP="006D40F0">
            <w:r w:rsidRPr="006D40F0">
              <w:t>98 355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D573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46E358" w14:textId="77777777" w:rsidR="00575AC3" w:rsidRPr="006D40F0" w:rsidRDefault="00575AC3" w:rsidP="006D40F0">
            <w:r w:rsidRPr="006D40F0">
              <w:t>528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8C7A11" w14:textId="77777777" w:rsidR="00575AC3" w:rsidRPr="006D40F0" w:rsidRDefault="00575AC3" w:rsidP="006D40F0">
            <w:r w:rsidRPr="006D40F0">
              <w:t>98 883</w:t>
            </w:r>
          </w:p>
        </w:tc>
      </w:tr>
      <w:tr w:rsidR="00DD49A7" w:rsidRPr="006D40F0" w14:paraId="5A133F0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EE483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56456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B1097D" w14:textId="77777777" w:rsidR="00575AC3" w:rsidRPr="006D40F0" w:rsidRDefault="00575AC3" w:rsidP="006D40F0">
            <w:r w:rsidRPr="006D40F0">
              <w:t xml:space="preserve">Erstatning til voldsofre,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C5B310" w14:textId="77777777" w:rsidR="00575AC3" w:rsidRPr="006D40F0" w:rsidRDefault="00575AC3" w:rsidP="006D40F0">
            <w:r w:rsidRPr="006D40F0">
              <w:t>459 152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33E8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33D44E" w14:textId="77777777" w:rsidR="00575AC3" w:rsidRPr="006D40F0" w:rsidRDefault="00575AC3" w:rsidP="006D40F0">
            <w:r w:rsidRPr="006D40F0">
              <w:t>65 848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4A4CE" w14:textId="77777777" w:rsidR="00575AC3" w:rsidRPr="006D40F0" w:rsidRDefault="00575AC3" w:rsidP="006D40F0">
            <w:r w:rsidRPr="006D40F0">
              <w:t>525 000</w:t>
            </w:r>
          </w:p>
        </w:tc>
      </w:tr>
      <w:tr w:rsidR="00DD49A7" w:rsidRPr="006D40F0" w14:paraId="333E24A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66320F" w14:textId="77777777" w:rsidR="00575AC3" w:rsidRPr="006D40F0" w:rsidRDefault="00575AC3" w:rsidP="006D40F0">
            <w:r w:rsidRPr="006D40F0">
              <w:t>480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9B319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2CADE14" w14:textId="77777777" w:rsidR="00575AC3" w:rsidRPr="006D40F0" w:rsidRDefault="00575AC3" w:rsidP="006D40F0">
            <w:r w:rsidRPr="006D40F0">
              <w:t>Svalbardbudsjettet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665E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12BE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F4CD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228B12" w14:textId="77777777" w:rsidR="00575AC3" w:rsidRPr="006D40F0" w:rsidRDefault="00575AC3" w:rsidP="006D40F0"/>
        </w:tc>
      </w:tr>
      <w:tr w:rsidR="00DD49A7" w:rsidRPr="006D40F0" w14:paraId="5F1AA37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100E5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027E2F"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AFD0FB" w14:textId="77777777" w:rsidR="00575AC3" w:rsidRPr="006D40F0" w:rsidRDefault="00575AC3" w:rsidP="006D40F0">
            <w:r w:rsidRPr="006D40F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F0E30E" w14:textId="77777777" w:rsidR="00575AC3" w:rsidRPr="006D40F0" w:rsidRDefault="00575AC3" w:rsidP="006D40F0">
            <w:r w:rsidRPr="006D40F0">
              <w:t>406 548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380E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B5F311" w14:textId="77777777" w:rsidR="00575AC3" w:rsidRPr="006D40F0" w:rsidRDefault="00575AC3" w:rsidP="006D40F0">
            <w:r w:rsidRPr="006D40F0">
              <w:t>185 000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AAD64" w14:textId="77777777" w:rsidR="00575AC3" w:rsidRPr="006D40F0" w:rsidRDefault="00575AC3" w:rsidP="006D40F0">
            <w:r w:rsidRPr="006D40F0">
              <w:t>591 548</w:t>
            </w:r>
          </w:p>
        </w:tc>
      </w:tr>
      <w:tr w:rsidR="00DD49A7" w:rsidRPr="006D40F0" w14:paraId="7588E8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FE6A78" w14:textId="77777777" w:rsidR="00575AC3" w:rsidRPr="006D40F0" w:rsidRDefault="00575AC3" w:rsidP="006D40F0">
            <w:r w:rsidRPr="006D40F0">
              <w:t>490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474DB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C7C5FCE" w14:textId="77777777" w:rsidR="00575AC3" w:rsidRPr="006D40F0" w:rsidRDefault="00575AC3" w:rsidP="006D40F0">
            <w:r w:rsidRPr="006D40F0">
              <w:t>Utlendingsdirektoratet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460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CEE7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75DB4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ABAB2" w14:textId="77777777" w:rsidR="00575AC3" w:rsidRPr="006D40F0" w:rsidRDefault="00575AC3" w:rsidP="006D40F0"/>
        </w:tc>
      </w:tr>
      <w:tr w:rsidR="00DD49A7" w:rsidRPr="006D40F0" w14:paraId="2F5D24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3CF21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1FD1C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8C01B22"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DBEA4" w14:textId="77777777" w:rsidR="00575AC3" w:rsidRPr="006D40F0" w:rsidRDefault="00575AC3" w:rsidP="006D40F0">
            <w:r w:rsidRPr="006D40F0">
              <w:t>1 297 957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78AD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C75910" w14:textId="77777777" w:rsidR="00575AC3" w:rsidRPr="006D40F0" w:rsidRDefault="00575AC3" w:rsidP="006D40F0">
            <w:r w:rsidRPr="006D40F0">
              <w:t>4 200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0A2AA" w14:textId="77777777" w:rsidR="00575AC3" w:rsidRPr="006D40F0" w:rsidRDefault="00575AC3" w:rsidP="006D40F0">
            <w:r w:rsidRPr="006D40F0">
              <w:t>1 302 157</w:t>
            </w:r>
          </w:p>
        </w:tc>
      </w:tr>
      <w:tr w:rsidR="00DD49A7" w:rsidRPr="006D40F0" w14:paraId="6A4F3AB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346A84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B3048F"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C2CE72" w14:textId="77777777" w:rsidR="00575AC3" w:rsidRPr="006D40F0" w:rsidRDefault="00575AC3" w:rsidP="006D40F0">
            <w:r w:rsidRPr="006D40F0">
              <w:t xml:space="preserve">Spesielle driftsutgifter,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6C5DA" w14:textId="77777777" w:rsidR="00575AC3" w:rsidRPr="006D40F0" w:rsidRDefault="00575AC3" w:rsidP="006D40F0">
            <w:r w:rsidRPr="006D40F0">
              <w:t>2 274 108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11F4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68B908" w14:textId="77777777" w:rsidR="00575AC3" w:rsidRPr="006D40F0" w:rsidRDefault="00575AC3" w:rsidP="006D40F0">
            <w:r w:rsidRPr="006D40F0">
              <w:t>1 187 565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F5F7D" w14:textId="77777777" w:rsidR="00575AC3" w:rsidRPr="006D40F0" w:rsidRDefault="00575AC3" w:rsidP="006D40F0">
            <w:r w:rsidRPr="006D40F0">
              <w:t>3 461 673</w:t>
            </w:r>
          </w:p>
        </w:tc>
      </w:tr>
      <w:tr w:rsidR="00DD49A7" w:rsidRPr="006D40F0" w14:paraId="5748226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8C658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1EFCB3"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CD13C2B" w14:textId="77777777" w:rsidR="00575AC3" w:rsidRPr="006D40F0" w:rsidRDefault="00575AC3" w:rsidP="006D40F0">
            <w:r w:rsidRPr="006D40F0">
              <w:t xml:space="preserve">Spesielle driftsutgifter, tolk og oversettelse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DE8A1" w14:textId="77777777" w:rsidR="00575AC3" w:rsidRPr="006D40F0" w:rsidRDefault="00575AC3" w:rsidP="006D40F0">
            <w:r w:rsidRPr="006D40F0">
              <w:t>31 542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D24C5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C890DB"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A122D" w14:textId="77777777" w:rsidR="00575AC3" w:rsidRPr="006D40F0" w:rsidRDefault="00575AC3" w:rsidP="006D40F0">
            <w:r w:rsidRPr="006D40F0">
              <w:t>27 542</w:t>
            </w:r>
          </w:p>
        </w:tc>
      </w:tr>
      <w:tr w:rsidR="00DD49A7" w:rsidRPr="006D40F0" w14:paraId="2B07760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5CFCB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58123B" w14:textId="77777777" w:rsidR="00575AC3" w:rsidRPr="006D40F0" w:rsidRDefault="00575AC3" w:rsidP="006D40F0">
            <w:r w:rsidRPr="006D40F0">
              <w:t>46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C05725" w14:textId="77777777" w:rsidR="00575AC3" w:rsidRPr="006D40F0" w:rsidRDefault="00575AC3" w:rsidP="006D40F0">
            <w:r w:rsidRPr="006D40F0">
              <w:t xml:space="preserve">Investeringer i Schengen IT-systemer,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C0DFE" w14:textId="77777777" w:rsidR="00575AC3" w:rsidRPr="006D40F0" w:rsidRDefault="00575AC3" w:rsidP="006D40F0">
            <w:r w:rsidRPr="006D40F0">
              <w:t>64 520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1A42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D39F66"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6D21C" w14:textId="77777777" w:rsidR="00575AC3" w:rsidRPr="006D40F0" w:rsidRDefault="00575AC3" w:rsidP="006D40F0">
            <w:r w:rsidRPr="006D40F0">
              <w:t>68 520</w:t>
            </w:r>
          </w:p>
        </w:tc>
      </w:tr>
      <w:tr w:rsidR="00DD49A7" w:rsidRPr="006D40F0" w14:paraId="2B5809D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46EBB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CCAB49"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D3DC05" w14:textId="77777777" w:rsidR="00575AC3" w:rsidRPr="006D40F0" w:rsidRDefault="00575AC3" w:rsidP="006D40F0">
            <w:r w:rsidRPr="006D40F0">
              <w:t xml:space="preserve">Tilskudd til vertskommuner for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AC971D" w14:textId="77777777" w:rsidR="00575AC3" w:rsidRPr="006D40F0" w:rsidRDefault="00575AC3" w:rsidP="006D40F0">
            <w:r w:rsidRPr="006D40F0">
              <w:t>515 463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2E119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4E64E" w14:textId="77777777" w:rsidR="00575AC3" w:rsidRPr="006D40F0" w:rsidRDefault="00575AC3" w:rsidP="006D40F0">
            <w:r w:rsidRPr="006D40F0">
              <w:t>-65 419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E41720" w14:textId="77777777" w:rsidR="00575AC3" w:rsidRPr="006D40F0" w:rsidRDefault="00575AC3" w:rsidP="006D40F0">
            <w:r w:rsidRPr="006D40F0">
              <w:t>450 044</w:t>
            </w:r>
          </w:p>
        </w:tc>
      </w:tr>
      <w:tr w:rsidR="00DD49A7" w:rsidRPr="006D40F0" w14:paraId="188640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7DF6B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6F79A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19A5F6D" w14:textId="77777777" w:rsidR="00575AC3" w:rsidRPr="006D40F0" w:rsidRDefault="00575AC3" w:rsidP="006D40F0">
            <w:r w:rsidRPr="006D40F0">
              <w:t xml:space="preserve">Stønader til beboere i asylmottak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B79B8" w14:textId="77777777" w:rsidR="00575AC3" w:rsidRPr="006D40F0" w:rsidRDefault="00575AC3" w:rsidP="006D40F0">
            <w:r w:rsidRPr="006D40F0">
              <w:t>563 887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89464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94315" w14:textId="77777777" w:rsidR="00575AC3" w:rsidRPr="006D40F0" w:rsidRDefault="00575AC3" w:rsidP="006D40F0">
            <w:r w:rsidRPr="006D40F0">
              <w:t>122 035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6F4A68" w14:textId="77777777" w:rsidR="00575AC3" w:rsidRPr="006D40F0" w:rsidRDefault="00575AC3" w:rsidP="006D40F0">
            <w:r w:rsidRPr="006D40F0">
              <w:t>685 922</w:t>
            </w:r>
          </w:p>
        </w:tc>
      </w:tr>
      <w:tr w:rsidR="00DD49A7" w:rsidRPr="006D40F0" w14:paraId="5E129F3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5570B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D13B4C"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DCBC55" w14:textId="77777777" w:rsidR="00575AC3" w:rsidRPr="006D40F0" w:rsidRDefault="00575AC3" w:rsidP="006D40F0">
            <w:r w:rsidRPr="006D40F0">
              <w:t xml:space="preserve">Assistert retur og reintegrering i hjemlandet,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31EE1C" w14:textId="77777777" w:rsidR="00575AC3" w:rsidRPr="006D40F0" w:rsidRDefault="00575AC3" w:rsidP="006D40F0">
            <w:r w:rsidRPr="006D40F0">
              <w:t>32 298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86AE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B2698" w14:textId="77777777" w:rsidR="00575AC3" w:rsidRPr="006D40F0" w:rsidRDefault="00575AC3" w:rsidP="006D40F0">
            <w:r w:rsidRPr="006D40F0">
              <w:t>6 152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471E7" w14:textId="77777777" w:rsidR="00575AC3" w:rsidRPr="006D40F0" w:rsidRDefault="00575AC3" w:rsidP="006D40F0">
            <w:r w:rsidRPr="006D40F0">
              <w:t>38 450</w:t>
            </w:r>
          </w:p>
        </w:tc>
      </w:tr>
      <w:tr w:rsidR="00DD49A7" w:rsidRPr="006D40F0" w14:paraId="753ED110"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B728A80"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4380699" w14:textId="77777777" w:rsidR="00575AC3" w:rsidRPr="006D40F0" w:rsidRDefault="00575AC3" w:rsidP="006D40F0">
            <w:r w:rsidRPr="006D40F0">
              <w:t>75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461FAF7" w14:textId="77777777" w:rsidR="00575AC3" w:rsidRPr="006D40F0" w:rsidRDefault="00575AC3" w:rsidP="006D40F0">
            <w:r w:rsidRPr="006D40F0">
              <w:t xml:space="preserve">Reiseutgifter for flyktninger fra utlandet,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E5B856" w14:textId="77777777" w:rsidR="00575AC3" w:rsidRPr="006D40F0" w:rsidRDefault="00575AC3" w:rsidP="006D40F0">
            <w:r w:rsidRPr="006D40F0">
              <w:t>20 313</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DD9694"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E695B7" w14:textId="77777777" w:rsidR="00575AC3" w:rsidRPr="006D40F0" w:rsidRDefault="00575AC3" w:rsidP="006D40F0">
            <w:r w:rsidRPr="006D40F0">
              <w:t>-1 766</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0A612D" w14:textId="77777777" w:rsidR="00575AC3" w:rsidRPr="006D40F0" w:rsidRDefault="00575AC3" w:rsidP="006D40F0">
            <w:r w:rsidRPr="006D40F0">
              <w:t>18 547</w:t>
            </w:r>
          </w:p>
        </w:tc>
      </w:tr>
      <w:tr w:rsidR="00DD49A7" w:rsidRPr="006D40F0" w14:paraId="434B48AD"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5E74B3A" w14:textId="77777777" w:rsidR="00575AC3" w:rsidRPr="006D40F0" w:rsidRDefault="00575AC3" w:rsidP="006D40F0">
            <w:r w:rsidRPr="006D40F0">
              <w:lastRenderedPageBreak/>
              <w:t>Sum endringer Justis- og beredskapsdepartementet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3D9FA7"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228A41"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1ECF7B" w14:textId="77777777" w:rsidR="00575AC3" w:rsidRPr="006D40F0" w:rsidRDefault="00575AC3" w:rsidP="006D40F0">
            <w:r w:rsidRPr="006D40F0">
              <w:t>3 838 800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0A82DE" w14:textId="77777777" w:rsidR="00575AC3" w:rsidRPr="006D40F0" w:rsidRDefault="00575AC3" w:rsidP="006D40F0"/>
        </w:tc>
      </w:tr>
      <w:tr w:rsidR="00DD49A7" w:rsidRPr="006D40F0" w14:paraId="1340E59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30005F" w14:textId="77777777" w:rsidR="00575AC3" w:rsidRPr="006D40F0" w:rsidRDefault="00575AC3" w:rsidP="006D40F0">
            <w:r w:rsidRPr="006D40F0">
              <w:t>500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8B091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E88343" w14:textId="77777777" w:rsidR="00575AC3" w:rsidRPr="006D40F0" w:rsidRDefault="00575AC3" w:rsidP="006D40F0">
            <w:r w:rsidRPr="006D40F0">
              <w:t>Kommunal- og distriktsdepartementet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054E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C5877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ADBF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045BC2" w14:textId="77777777" w:rsidR="00575AC3" w:rsidRPr="006D40F0" w:rsidRDefault="00575AC3" w:rsidP="006D40F0"/>
        </w:tc>
      </w:tr>
      <w:tr w:rsidR="00DD49A7" w:rsidRPr="006D40F0" w14:paraId="72E1D8F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B4899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0FB82F"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199162" w14:textId="77777777" w:rsidR="00575AC3" w:rsidRPr="006D40F0" w:rsidRDefault="00575AC3" w:rsidP="006D40F0">
            <w:r w:rsidRPr="006D40F0">
              <w:t xml:space="preserve">Spesielle driftsutgifter, </w:t>
            </w:r>
            <w:r w:rsidRPr="00575AC3">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EB19D2" w14:textId="77777777" w:rsidR="00575AC3" w:rsidRPr="006D40F0" w:rsidRDefault="00575AC3" w:rsidP="006D40F0">
            <w:r w:rsidRPr="006D40F0">
              <w:t>53 144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A50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0B65E" w14:textId="77777777" w:rsidR="00575AC3" w:rsidRPr="006D40F0" w:rsidRDefault="00575AC3" w:rsidP="006D40F0">
            <w:r w:rsidRPr="006D40F0">
              <w:t>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0E65A" w14:textId="77777777" w:rsidR="00575AC3" w:rsidRPr="006D40F0" w:rsidRDefault="00575AC3" w:rsidP="006D40F0">
            <w:r w:rsidRPr="006D40F0">
              <w:t>53 844</w:t>
            </w:r>
          </w:p>
        </w:tc>
      </w:tr>
      <w:tr w:rsidR="00DD49A7" w:rsidRPr="006D40F0" w14:paraId="29ADD9B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4E815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C56E48"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247B0C" w14:textId="77777777" w:rsidR="00575AC3" w:rsidRPr="006D40F0" w:rsidRDefault="00575AC3" w:rsidP="006D40F0">
            <w:r w:rsidRPr="006D40F0">
              <w:t xml:space="preserve">Forskningsmidler til Norges forskningsråd m.m.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172B7" w14:textId="77777777" w:rsidR="00575AC3" w:rsidRPr="006D40F0" w:rsidRDefault="00575AC3" w:rsidP="006D40F0">
            <w:r w:rsidRPr="006D40F0">
              <w:t>73 741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AE43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4311D6"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102D7D" w14:textId="77777777" w:rsidR="00575AC3" w:rsidRPr="006D40F0" w:rsidRDefault="00575AC3" w:rsidP="006D40F0">
            <w:r w:rsidRPr="006D40F0">
              <w:t>72 741</w:t>
            </w:r>
          </w:p>
        </w:tc>
      </w:tr>
      <w:tr w:rsidR="00DD49A7" w:rsidRPr="006D40F0" w14:paraId="501428B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86425C" w14:textId="77777777" w:rsidR="00575AC3" w:rsidRPr="006D40F0" w:rsidRDefault="00575AC3" w:rsidP="006D40F0">
            <w:r w:rsidRPr="006D40F0">
              <w:t>553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AC871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C70B4A" w14:textId="77777777" w:rsidR="00575AC3" w:rsidRPr="006D40F0" w:rsidRDefault="00575AC3" w:rsidP="006D40F0">
            <w:r w:rsidRPr="006D40F0">
              <w:t>Regional- og distriktsutvikling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90DF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AA9A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A761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1C3E0" w14:textId="77777777" w:rsidR="00575AC3" w:rsidRPr="006D40F0" w:rsidRDefault="00575AC3" w:rsidP="006D40F0"/>
        </w:tc>
      </w:tr>
      <w:tr w:rsidR="00DD49A7" w:rsidRPr="006D40F0" w14:paraId="033C71D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6BB5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238DB3" w14:textId="77777777" w:rsidR="00575AC3" w:rsidRPr="006D40F0" w:rsidRDefault="00575AC3" w:rsidP="006D40F0">
            <w:r w:rsidRPr="006D40F0">
              <w:t>66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1FFC5F3" w14:textId="77777777" w:rsidR="00575AC3" w:rsidRPr="006D40F0" w:rsidRDefault="00575AC3" w:rsidP="006D40F0">
            <w:r w:rsidRPr="006D40F0">
              <w:t xml:space="preserve">Bygdevekstavtaler,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9BE6A" w14:textId="77777777" w:rsidR="00575AC3" w:rsidRPr="006D40F0" w:rsidRDefault="00575AC3" w:rsidP="006D40F0">
            <w:r w:rsidRPr="006D40F0">
              <w:t>76 931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EAB8C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BEC990" w14:textId="77777777" w:rsidR="00575AC3" w:rsidRPr="006D40F0" w:rsidRDefault="00575AC3" w:rsidP="006D40F0">
            <w:r w:rsidRPr="006D40F0">
              <w:t>-2 200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7600C" w14:textId="77777777" w:rsidR="00575AC3" w:rsidRPr="006D40F0" w:rsidRDefault="00575AC3" w:rsidP="006D40F0">
            <w:r w:rsidRPr="006D40F0">
              <w:t>74 731</w:t>
            </w:r>
          </w:p>
        </w:tc>
      </w:tr>
      <w:tr w:rsidR="00DD49A7" w:rsidRPr="006D40F0" w14:paraId="4CFF45C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E74760" w14:textId="77777777" w:rsidR="00575AC3" w:rsidRPr="006D40F0" w:rsidRDefault="00575AC3" w:rsidP="006D40F0">
            <w:r w:rsidRPr="006D40F0">
              <w:t>560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AA0FA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279273" w14:textId="77777777" w:rsidR="00575AC3" w:rsidRPr="006D40F0" w:rsidRDefault="00575AC3" w:rsidP="006D40F0">
            <w:r w:rsidRPr="006D40F0">
              <w:t>Samiske 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A074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658C1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C977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B77CA" w14:textId="77777777" w:rsidR="00575AC3" w:rsidRPr="006D40F0" w:rsidRDefault="00575AC3" w:rsidP="006D40F0"/>
        </w:tc>
      </w:tr>
      <w:tr w:rsidR="00DD49A7" w:rsidRPr="006D40F0" w14:paraId="18828B7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2451A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5E8C7B"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A3FFF5B" w14:textId="77777777" w:rsidR="00575AC3" w:rsidRPr="006D40F0" w:rsidRDefault="00575AC3" w:rsidP="006D40F0">
            <w:r w:rsidRPr="006D40F0">
              <w:t xml:space="preserve">Samisk språk, kultur og samfunnsliv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43A7F" w14:textId="77777777" w:rsidR="00575AC3" w:rsidRPr="006D40F0" w:rsidRDefault="00575AC3" w:rsidP="006D40F0">
            <w:r w:rsidRPr="006D40F0">
              <w:t>661 721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4FE5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D3DA5"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2C313" w14:textId="77777777" w:rsidR="00575AC3" w:rsidRPr="006D40F0" w:rsidRDefault="00575AC3" w:rsidP="006D40F0">
            <w:r w:rsidRPr="006D40F0">
              <w:t>666 721</w:t>
            </w:r>
          </w:p>
        </w:tc>
      </w:tr>
      <w:tr w:rsidR="00DD49A7" w:rsidRPr="006D40F0" w14:paraId="11C25A4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2D2CB8" w14:textId="77777777" w:rsidR="00575AC3" w:rsidRPr="006D40F0" w:rsidRDefault="00575AC3" w:rsidP="006D40F0">
            <w:r w:rsidRPr="006D40F0">
              <w:t>581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197C8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CB90FA" w14:textId="77777777" w:rsidR="00575AC3" w:rsidRPr="006D40F0" w:rsidRDefault="00575AC3" w:rsidP="006D40F0">
            <w:r w:rsidRPr="006D40F0">
              <w:t>Bolig- og bomiljøtiltak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58E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104C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101F5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8FA539" w14:textId="77777777" w:rsidR="00575AC3" w:rsidRPr="006D40F0" w:rsidRDefault="00575AC3" w:rsidP="006D40F0"/>
        </w:tc>
      </w:tr>
      <w:tr w:rsidR="00DD49A7" w:rsidRPr="006D40F0" w14:paraId="489A161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0DC56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5A22E8"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FA041B" w14:textId="77777777" w:rsidR="00575AC3" w:rsidRPr="006D40F0" w:rsidRDefault="00575AC3" w:rsidP="006D40F0">
            <w:r w:rsidRPr="006D40F0">
              <w:t xml:space="preserve">Bostøtte,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7C7A52" w14:textId="77777777" w:rsidR="00575AC3" w:rsidRPr="006D40F0" w:rsidRDefault="00575AC3" w:rsidP="006D40F0">
            <w:r w:rsidRPr="006D40F0">
              <w:t>3 968 246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D4E9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CD68B" w14:textId="77777777" w:rsidR="00575AC3" w:rsidRPr="006D40F0" w:rsidRDefault="00575AC3" w:rsidP="006D40F0">
            <w:r w:rsidRPr="006D40F0">
              <w:t>232 000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F443F" w14:textId="77777777" w:rsidR="00575AC3" w:rsidRPr="006D40F0" w:rsidRDefault="00575AC3" w:rsidP="006D40F0">
            <w:r w:rsidRPr="006D40F0">
              <w:t>4 200 246</w:t>
            </w:r>
          </w:p>
        </w:tc>
      </w:tr>
      <w:tr w:rsidR="00DD49A7" w:rsidRPr="006D40F0" w14:paraId="16C2A54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4ECEF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66CCAC"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C6AE63" w14:textId="77777777" w:rsidR="00575AC3" w:rsidRPr="006D40F0" w:rsidRDefault="00575AC3" w:rsidP="006D40F0">
            <w:r w:rsidRPr="006D40F0">
              <w:t xml:space="preserve">Utleieboliger og forsøk med nye boligmodeller,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CE5E2" w14:textId="77777777" w:rsidR="00575AC3" w:rsidRPr="006D40F0" w:rsidRDefault="00575AC3" w:rsidP="006D40F0">
            <w:r w:rsidRPr="006D40F0">
              <w:t>162 720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BC16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267B82" w14:textId="77777777" w:rsidR="00575AC3" w:rsidRPr="006D40F0" w:rsidRDefault="00575AC3" w:rsidP="006D40F0">
            <w:r w:rsidRPr="006D40F0">
              <w:t>15 096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5CF8D3" w14:textId="77777777" w:rsidR="00575AC3" w:rsidRPr="006D40F0" w:rsidRDefault="00575AC3" w:rsidP="006D40F0">
            <w:r w:rsidRPr="006D40F0">
              <w:t>177 816</w:t>
            </w:r>
          </w:p>
        </w:tc>
      </w:tr>
      <w:tr w:rsidR="00DD49A7" w:rsidRPr="006D40F0" w14:paraId="4945710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4A3F9F" w14:textId="77777777" w:rsidR="00575AC3" w:rsidRPr="006D40F0" w:rsidRDefault="00575AC3" w:rsidP="006D40F0">
            <w:r w:rsidRPr="006D40F0">
              <w:t>587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77998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A49463A" w14:textId="77777777" w:rsidR="00575AC3" w:rsidRPr="006D40F0" w:rsidRDefault="00575AC3" w:rsidP="006D40F0">
            <w:r w:rsidRPr="006D40F0">
              <w:t xml:space="preserve">Direktoratet for </w:t>
            </w:r>
            <w:proofErr w:type="spellStart"/>
            <w:r w:rsidRPr="006D40F0">
              <w:t>byggkvalitet</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800D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5869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69D93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F55A4" w14:textId="77777777" w:rsidR="00575AC3" w:rsidRPr="006D40F0" w:rsidRDefault="00575AC3" w:rsidP="006D40F0"/>
        </w:tc>
      </w:tr>
      <w:tr w:rsidR="00DD49A7" w:rsidRPr="006D40F0" w14:paraId="2CA5145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0E34C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0C3760"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B5195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9B0D87" w14:textId="77777777" w:rsidR="00575AC3" w:rsidRPr="006D40F0" w:rsidRDefault="00575AC3" w:rsidP="006D40F0">
            <w:r w:rsidRPr="006D40F0">
              <w:t>127 708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2E0D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58680E" w14:textId="77777777" w:rsidR="00575AC3" w:rsidRPr="006D40F0" w:rsidRDefault="00575AC3" w:rsidP="006D40F0">
            <w:r w:rsidRPr="006D40F0">
              <w:t>-1 460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CB3A9" w14:textId="77777777" w:rsidR="00575AC3" w:rsidRPr="006D40F0" w:rsidRDefault="00575AC3" w:rsidP="006D40F0">
            <w:r w:rsidRPr="006D40F0">
              <w:t>126 248</w:t>
            </w:r>
          </w:p>
        </w:tc>
      </w:tr>
      <w:tr w:rsidR="00DD49A7" w:rsidRPr="006D40F0" w14:paraId="558A870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092A90" w14:textId="77777777" w:rsidR="00575AC3" w:rsidRPr="006D40F0" w:rsidRDefault="00575AC3" w:rsidP="006D40F0">
            <w:r w:rsidRPr="006D40F0">
              <w:t>595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B2A68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6ACAA65" w14:textId="77777777" w:rsidR="00575AC3" w:rsidRPr="006D40F0" w:rsidRDefault="00575AC3" w:rsidP="006D40F0">
            <w:r w:rsidRPr="006D40F0">
              <w:t>Statens kartverk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11B4A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4BCA2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96F41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ED97D" w14:textId="77777777" w:rsidR="00575AC3" w:rsidRPr="006D40F0" w:rsidRDefault="00575AC3" w:rsidP="006D40F0"/>
        </w:tc>
      </w:tr>
      <w:tr w:rsidR="00DD49A7" w:rsidRPr="006D40F0" w14:paraId="417E303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6AB94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520F2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1B9CB7" w14:textId="77777777" w:rsidR="00575AC3" w:rsidRPr="006D40F0" w:rsidRDefault="00575AC3" w:rsidP="006D40F0">
            <w:r w:rsidRPr="006D40F0">
              <w:t xml:space="preserve">Driftsutgifter, </w:t>
            </w:r>
            <w:r w:rsidRPr="00575AC3">
              <w:rPr>
                <w:rStyle w:val="kursiv"/>
              </w:rPr>
              <w:t>kan nyttes under post 21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7DAA5" w14:textId="77777777" w:rsidR="00575AC3" w:rsidRPr="006D40F0" w:rsidRDefault="00575AC3" w:rsidP="006D40F0">
            <w:r w:rsidRPr="006D40F0">
              <w:t>967 776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BAE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BA3CF" w14:textId="77777777" w:rsidR="00575AC3" w:rsidRPr="006D40F0" w:rsidRDefault="00575AC3" w:rsidP="006D40F0">
            <w:r w:rsidRPr="006D40F0">
              <w:t>3 600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81584" w14:textId="77777777" w:rsidR="00575AC3" w:rsidRPr="006D40F0" w:rsidRDefault="00575AC3" w:rsidP="006D40F0">
            <w:r w:rsidRPr="006D40F0">
              <w:t>971 376</w:t>
            </w:r>
          </w:p>
        </w:tc>
      </w:tr>
      <w:tr w:rsidR="00DD49A7" w:rsidRPr="006D40F0" w14:paraId="5A62703B"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10C577E"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1854860" w14:textId="77777777" w:rsidR="00575AC3" w:rsidRPr="006D40F0" w:rsidRDefault="00575AC3" w:rsidP="006D40F0">
            <w:r w:rsidRPr="006D40F0">
              <w:t>21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1366F48" w14:textId="77777777" w:rsidR="00575AC3" w:rsidRPr="006D40F0" w:rsidRDefault="00575AC3" w:rsidP="006D40F0">
            <w:r w:rsidRPr="006D40F0">
              <w:t xml:space="preserve">Spesielle driftsutgifter, </w:t>
            </w:r>
            <w:r w:rsidRPr="00575AC3">
              <w:rPr>
                <w:rStyle w:val="kursiv"/>
              </w:rPr>
              <w:t>kan overføres, kan nyttes under post 1 og 45</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57DFEB" w14:textId="77777777" w:rsidR="00575AC3" w:rsidRPr="006D40F0" w:rsidRDefault="00575AC3" w:rsidP="006D40F0">
            <w:r w:rsidRPr="006D40F0">
              <w:t>360 308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6360E25"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C957C3" w14:textId="77777777" w:rsidR="00575AC3" w:rsidRPr="006D40F0" w:rsidRDefault="00575AC3" w:rsidP="006D40F0">
            <w:r w:rsidRPr="006D40F0">
              <w:t>8 254</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38C820" w14:textId="77777777" w:rsidR="00575AC3" w:rsidRPr="006D40F0" w:rsidRDefault="00575AC3" w:rsidP="006D40F0">
            <w:r w:rsidRPr="006D40F0">
              <w:t>368 562</w:t>
            </w:r>
          </w:p>
        </w:tc>
      </w:tr>
      <w:tr w:rsidR="00DD49A7" w:rsidRPr="006D40F0" w14:paraId="06CC908A"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D7863E6" w14:textId="77777777" w:rsidR="00575AC3" w:rsidRPr="006D40F0" w:rsidRDefault="00575AC3" w:rsidP="006D40F0">
            <w:r w:rsidRPr="006D40F0">
              <w:t>Sum endringer Kommunal- og distriktsdepartementet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9D2793"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041502"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A6C911" w14:textId="77777777" w:rsidR="00575AC3" w:rsidRPr="006D40F0" w:rsidRDefault="00575AC3" w:rsidP="006D40F0">
            <w:r w:rsidRPr="006D40F0">
              <w:t>259 990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7C54C3" w14:textId="77777777" w:rsidR="00575AC3" w:rsidRPr="006D40F0" w:rsidRDefault="00575AC3" w:rsidP="006D40F0"/>
        </w:tc>
      </w:tr>
      <w:tr w:rsidR="00DD49A7" w:rsidRPr="006D40F0" w14:paraId="42FAFF5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D1AD7C" w14:textId="77777777" w:rsidR="00575AC3" w:rsidRPr="006D40F0" w:rsidRDefault="00575AC3" w:rsidP="006D40F0">
            <w:r w:rsidRPr="006D40F0">
              <w:t>600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F9667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DC6C73" w14:textId="77777777" w:rsidR="00575AC3" w:rsidRPr="006D40F0" w:rsidRDefault="00575AC3" w:rsidP="006D40F0">
            <w:r w:rsidRPr="006D40F0">
              <w:t>Arbeids- og inkluderingsdepartementet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39385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437A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47E2C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3AF5B" w14:textId="77777777" w:rsidR="00575AC3" w:rsidRPr="006D40F0" w:rsidRDefault="00575AC3" w:rsidP="006D40F0"/>
        </w:tc>
      </w:tr>
      <w:tr w:rsidR="00DD49A7" w:rsidRPr="006D40F0" w14:paraId="42C12A1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2278C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816C9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30FE48"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7E700" w14:textId="77777777" w:rsidR="00575AC3" w:rsidRPr="006D40F0" w:rsidRDefault="00575AC3" w:rsidP="006D40F0">
            <w:r w:rsidRPr="006D40F0">
              <w:t>281 755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85B27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CFD76"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47D8B" w14:textId="77777777" w:rsidR="00575AC3" w:rsidRPr="006D40F0" w:rsidRDefault="00575AC3" w:rsidP="006D40F0">
            <w:r w:rsidRPr="006D40F0">
              <w:t>286 755</w:t>
            </w:r>
          </w:p>
        </w:tc>
      </w:tr>
      <w:tr w:rsidR="00DD49A7" w:rsidRPr="006D40F0" w14:paraId="185C251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77AF96" w14:textId="77777777" w:rsidR="00575AC3" w:rsidRPr="006D40F0" w:rsidRDefault="00575AC3" w:rsidP="006D40F0">
            <w:r w:rsidRPr="006D40F0">
              <w:t>601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97C61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9632F8" w14:textId="77777777" w:rsidR="00575AC3" w:rsidRPr="006D40F0" w:rsidRDefault="00575AC3" w:rsidP="006D40F0">
            <w:r w:rsidRPr="006D40F0">
              <w:t>Utredningsvirksomhet, forskning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E482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30E4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98B63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92CA00" w14:textId="77777777" w:rsidR="00575AC3" w:rsidRPr="006D40F0" w:rsidRDefault="00575AC3" w:rsidP="006D40F0"/>
        </w:tc>
      </w:tr>
      <w:tr w:rsidR="00DD49A7" w:rsidRPr="006D40F0" w14:paraId="7AFACBF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06A01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3884EB"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A502128"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14EA0D" w14:textId="77777777" w:rsidR="00575AC3" w:rsidRPr="006D40F0" w:rsidRDefault="00575AC3" w:rsidP="006D40F0">
            <w:r w:rsidRPr="006D40F0">
              <w:t>121 430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63CB7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826149" w14:textId="77777777" w:rsidR="00575AC3" w:rsidRPr="006D40F0" w:rsidRDefault="00575AC3" w:rsidP="006D40F0">
            <w:r w:rsidRPr="006D40F0">
              <w:t>-6 300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DB167F" w14:textId="77777777" w:rsidR="00575AC3" w:rsidRPr="006D40F0" w:rsidRDefault="00575AC3" w:rsidP="006D40F0">
            <w:r w:rsidRPr="006D40F0">
              <w:t>115 130</w:t>
            </w:r>
          </w:p>
        </w:tc>
      </w:tr>
      <w:tr w:rsidR="00DD49A7" w:rsidRPr="006D40F0" w14:paraId="1BC9EB2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6FCE0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3F896F"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882538" w14:textId="77777777" w:rsidR="00575AC3" w:rsidRPr="006D40F0" w:rsidRDefault="00575AC3" w:rsidP="006D40F0">
            <w:r w:rsidRPr="006D40F0">
              <w:t xml:space="preserve">Norges forskningsråd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8A12B" w14:textId="77777777" w:rsidR="00575AC3" w:rsidRPr="006D40F0" w:rsidRDefault="00575AC3" w:rsidP="006D40F0">
            <w:r w:rsidRPr="006D40F0">
              <w:t>172 650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1BE7E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9D7238" w14:textId="77777777" w:rsidR="00575AC3" w:rsidRPr="006D40F0" w:rsidRDefault="00575AC3" w:rsidP="006D40F0">
            <w:r w:rsidRPr="006D40F0">
              <w:t>-7 500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33C99A" w14:textId="77777777" w:rsidR="00575AC3" w:rsidRPr="006D40F0" w:rsidRDefault="00575AC3" w:rsidP="006D40F0">
            <w:r w:rsidRPr="006D40F0">
              <w:t>165 150</w:t>
            </w:r>
          </w:p>
        </w:tc>
      </w:tr>
      <w:tr w:rsidR="00DD49A7" w:rsidRPr="006D40F0" w14:paraId="5A35F5C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4EA7E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8B60D7"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0F0CD8" w14:textId="77777777" w:rsidR="00575AC3" w:rsidRPr="006D40F0" w:rsidRDefault="00575AC3" w:rsidP="006D40F0">
            <w:r w:rsidRPr="006D40F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6C9429" w14:textId="77777777" w:rsidR="00575AC3" w:rsidRPr="006D40F0" w:rsidRDefault="00575AC3" w:rsidP="006D40F0">
            <w:r w:rsidRPr="006D40F0">
              <w:t>60 815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7CACA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77E1F" w14:textId="77777777" w:rsidR="00575AC3" w:rsidRPr="006D40F0" w:rsidRDefault="00575AC3" w:rsidP="006D40F0">
            <w:r w:rsidRPr="006D40F0">
              <w:t>-3 300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AE4FBE" w14:textId="77777777" w:rsidR="00575AC3" w:rsidRPr="006D40F0" w:rsidRDefault="00575AC3" w:rsidP="006D40F0">
            <w:r w:rsidRPr="006D40F0">
              <w:t>57 515</w:t>
            </w:r>
          </w:p>
        </w:tc>
      </w:tr>
      <w:tr w:rsidR="00DD49A7" w:rsidRPr="006D40F0" w14:paraId="15C6EDE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21BCC3" w14:textId="77777777" w:rsidR="00575AC3" w:rsidRPr="006D40F0" w:rsidRDefault="00575AC3" w:rsidP="006D40F0">
            <w:r w:rsidRPr="006D40F0">
              <w:t>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5361E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DFA553" w14:textId="77777777" w:rsidR="00575AC3" w:rsidRPr="006D40F0" w:rsidRDefault="00575AC3" w:rsidP="006D40F0">
            <w:r w:rsidRPr="006D40F0">
              <w:t>Arbeids- og velferdsetaten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622C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17DB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0C99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3A112" w14:textId="77777777" w:rsidR="00575AC3" w:rsidRPr="006D40F0" w:rsidRDefault="00575AC3" w:rsidP="006D40F0"/>
        </w:tc>
      </w:tr>
      <w:tr w:rsidR="00DD49A7" w:rsidRPr="006D40F0" w14:paraId="12F37C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A0AF6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74B92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EF0381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43D77" w14:textId="77777777" w:rsidR="00575AC3" w:rsidRPr="006D40F0" w:rsidRDefault="00575AC3" w:rsidP="006D40F0">
            <w:r w:rsidRPr="006D40F0">
              <w:t>13 792 750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D6F52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874A1C" w14:textId="77777777" w:rsidR="00575AC3" w:rsidRPr="006D40F0" w:rsidRDefault="00575AC3" w:rsidP="006D40F0">
            <w:r w:rsidRPr="006D40F0">
              <w:t>103 700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2DA75" w14:textId="77777777" w:rsidR="00575AC3" w:rsidRPr="006D40F0" w:rsidRDefault="00575AC3" w:rsidP="006D40F0">
            <w:r w:rsidRPr="006D40F0">
              <w:t>13 896 450</w:t>
            </w:r>
          </w:p>
        </w:tc>
      </w:tr>
      <w:tr w:rsidR="00DD49A7" w:rsidRPr="006D40F0" w14:paraId="62D98AC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FCAEC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C974BC"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9040D7" w14:textId="77777777" w:rsidR="00575AC3" w:rsidRPr="006D40F0" w:rsidRDefault="00575AC3" w:rsidP="006D40F0">
            <w:r w:rsidRPr="006D40F0">
              <w:t xml:space="preserve">Forsknings- og utredningsaktiviteter,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44B5A" w14:textId="77777777" w:rsidR="00575AC3" w:rsidRPr="006D40F0" w:rsidRDefault="00575AC3" w:rsidP="006D40F0">
            <w:r w:rsidRPr="006D40F0">
              <w:t>59 935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B8DF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22782" w14:textId="77777777" w:rsidR="00575AC3" w:rsidRPr="006D40F0" w:rsidRDefault="00575AC3" w:rsidP="006D40F0">
            <w:r w:rsidRPr="006D40F0">
              <w:t>7 500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2537C" w14:textId="77777777" w:rsidR="00575AC3" w:rsidRPr="006D40F0" w:rsidRDefault="00575AC3" w:rsidP="006D40F0">
            <w:r w:rsidRPr="006D40F0">
              <w:t>67 435</w:t>
            </w:r>
          </w:p>
        </w:tc>
      </w:tr>
      <w:tr w:rsidR="00DD49A7" w:rsidRPr="006D40F0" w14:paraId="34B79D4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AE8A47" w14:textId="77777777" w:rsidR="00575AC3" w:rsidRPr="006D40F0" w:rsidRDefault="00575AC3" w:rsidP="006D40F0">
            <w:r w:rsidRPr="006D40F0">
              <w:t>606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FB9B4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812307" w14:textId="77777777" w:rsidR="00575AC3" w:rsidRPr="006D40F0" w:rsidRDefault="00575AC3" w:rsidP="006D40F0">
            <w:r w:rsidRPr="006D40F0">
              <w:t>Trygderetten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97F6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9BE0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CB048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A9BCC" w14:textId="77777777" w:rsidR="00575AC3" w:rsidRPr="006D40F0" w:rsidRDefault="00575AC3" w:rsidP="006D40F0"/>
        </w:tc>
      </w:tr>
      <w:tr w:rsidR="00DD49A7" w:rsidRPr="006D40F0" w14:paraId="11CFE40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19812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7D06F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B81225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0FA164" w14:textId="77777777" w:rsidR="00575AC3" w:rsidRPr="006D40F0" w:rsidRDefault="00575AC3" w:rsidP="006D40F0">
            <w:r w:rsidRPr="006D40F0">
              <w:t>120 530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F478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8DE57"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567B94" w14:textId="77777777" w:rsidR="00575AC3" w:rsidRPr="006D40F0" w:rsidRDefault="00575AC3" w:rsidP="006D40F0">
            <w:r w:rsidRPr="006D40F0">
              <w:t>119 530</w:t>
            </w:r>
          </w:p>
        </w:tc>
      </w:tr>
      <w:tr w:rsidR="00DD49A7" w:rsidRPr="006D40F0" w14:paraId="258731E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6B1BAE" w14:textId="77777777" w:rsidR="00575AC3" w:rsidRPr="006D40F0" w:rsidRDefault="00575AC3" w:rsidP="006D40F0">
            <w:r w:rsidRPr="006D40F0">
              <w:t>611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11E52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922964" w14:textId="77777777" w:rsidR="00575AC3" w:rsidRPr="006D40F0" w:rsidRDefault="00575AC3" w:rsidP="006D40F0">
            <w:r w:rsidRPr="006D40F0">
              <w:t>Pensjoner av statskassen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AE22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D1EF1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F37A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96CEC5" w14:textId="77777777" w:rsidR="00575AC3" w:rsidRPr="006D40F0" w:rsidRDefault="00575AC3" w:rsidP="006D40F0"/>
        </w:tc>
      </w:tr>
      <w:tr w:rsidR="00DD49A7" w:rsidRPr="006D40F0" w14:paraId="4D3CEA5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918E8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15D2A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3FCD19" w14:textId="77777777" w:rsidR="00575AC3" w:rsidRPr="006D40F0" w:rsidRDefault="00575AC3" w:rsidP="006D40F0">
            <w:r w:rsidRPr="006D40F0">
              <w:t xml:space="preserve">Driftsutgifter,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AC3644" w14:textId="77777777" w:rsidR="00575AC3" w:rsidRPr="006D40F0" w:rsidRDefault="00575AC3" w:rsidP="006D40F0">
            <w:r w:rsidRPr="006D40F0">
              <w:t>17 800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AA7DA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A47825" w14:textId="77777777" w:rsidR="00575AC3" w:rsidRPr="006D40F0" w:rsidRDefault="00575AC3" w:rsidP="006D40F0">
            <w:r w:rsidRPr="006D40F0">
              <w:t>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A1E78D" w14:textId="77777777" w:rsidR="00575AC3" w:rsidRPr="006D40F0" w:rsidRDefault="00575AC3" w:rsidP="006D40F0">
            <w:r w:rsidRPr="006D40F0">
              <w:t>18 300</w:t>
            </w:r>
          </w:p>
        </w:tc>
      </w:tr>
      <w:tr w:rsidR="00DD49A7" w:rsidRPr="006D40F0" w14:paraId="4254F65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F69E1D" w14:textId="77777777" w:rsidR="00575AC3" w:rsidRPr="006D40F0" w:rsidRDefault="00575AC3" w:rsidP="006D40F0">
            <w:r w:rsidRPr="006D40F0">
              <w:t>612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1C933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481579" w14:textId="77777777" w:rsidR="00575AC3" w:rsidRPr="006D40F0" w:rsidRDefault="00575AC3" w:rsidP="006D40F0">
            <w:r w:rsidRPr="006D40F0">
              <w:t>Tilskudd til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C85D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8775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7B28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7CD8A" w14:textId="77777777" w:rsidR="00575AC3" w:rsidRPr="006D40F0" w:rsidRDefault="00575AC3" w:rsidP="006D40F0"/>
        </w:tc>
      </w:tr>
      <w:tr w:rsidR="00DD49A7" w:rsidRPr="006D40F0" w14:paraId="585EE1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7AF47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0268E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7F4BAC" w14:textId="77777777" w:rsidR="00575AC3" w:rsidRPr="006D40F0" w:rsidRDefault="00575AC3" w:rsidP="006D40F0">
            <w:r w:rsidRPr="006D40F0">
              <w:t xml:space="preserve">Driftsutgifter,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86D296" w14:textId="77777777" w:rsidR="00575AC3" w:rsidRPr="006D40F0" w:rsidRDefault="00575AC3" w:rsidP="006D40F0">
            <w:r w:rsidRPr="006D40F0">
              <w:t>10 228 000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99AC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C4DAA1" w14:textId="77777777" w:rsidR="00575AC3" w:rsidRPr="006D40F0" w:rsidRDefault="00575AC3" w:rsidP="006D40F0">
            <w:r w:rsidRPr="006D40F0">
              <w:t>-619 000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042DD3" w14:textId="77777777" w:rsidR="00575AC3" w:rsidRPr="006D40F0" w:rsidRDefault="00575AC3" w:rsidP="006D40F0">
            <w:r w:rsidRPr="006D40F0">
              <w:t>9 609 000</w:t>
            </w:r>
          </w:p>
        </w:tc>
      </w:tr>
      <w:tr w:rsidR="00DD49A7" w:rsidRPr="006D40F0" w14:paraId="15E0336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01A4A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15FD4C"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A31EA7" w14:textId="77777777" w:rsidR="00575AC3" w:rsidRPr="006D40F0" w:rsidRDefault="00575AC3" w:rsidP="006D40F0">
            <w:r w:rsidRPr="006D40F0">
              <w:t xml:space="preserve">For andre medlemmer av Statens pensjonskasse,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BE8E6" w14:textId="77777777" w:rsidR="00575AC3" w:rsidRPr="006D40F0" w:rsidRDefault="00575AC3" w:rsidP="006D40F0">
            <w:r w:rsidRPr="006D40F0">
              <w:t>92 000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829FA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34FE7F" w14:textId="77777777" w:rsidR="00575AC3" w:rsidRPr="006D40F0" w:rsidRDefault="00575AC3" w:rsidP="006D40F0">
            <w:r w:rsidRPr="006D40F0">
              <w:t>-8 000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44D24" w14:textId="77777777" w:rsidR="00575AC3" w:rsidRPr="006D40F0" w:rsidRDefault="00575AC3" w:rsidP="006D40F0">
            <w:r w:rsidRPr="006D40F0">
              <w:t>84 000</w:t>
            </w:r>
          </w:p>
        </w:tc>
      </w:tr>
      <w:tr w:rsidR="00DD49A7" w:rsidRPr="006D40F0" w14:paraId="03AD89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218BCD" w14:textId="77777777" w:rsidR="00575AC3" w:rsidRPr="006D40F0" w:rsidRDefault="00575AC3" w:rsidP="006D40F0">
            <w:r w:rsidRPr="006D40F0">
              <w:t>634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FD21F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0C1F06" w14:textId="77777777" w:rsidR="00575AC3" w:rsidRPr="006D40F0" w:rsidRDefault="00575AC3" w:rsidP="006D40F0">
            <w:r w:rsidRPr="006D40F0">
              <w:t>Arbeidsmarkedstiltak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0F086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2B62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D3DD3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DABDBC" w14:textId="77777777" w:rsidR="00575AC3" w:rsidRPr="006D40F0" w:rsidRDefault="00575AC3" w:rsidP="006D40F0"/>
        </w:tc>
      </w:tr>
      <w:tr w:rsidR="00DD49A7" w:rsidRPr="006D40F0" w14:paraId="54C59E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87640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161505"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63159E7" w14:textId="77777777" w:rsidR="00575AC3" w:rsidRPr="006D40F0" w:rsidRDefault="00575AC3" w:rsidP="006D40F0">
            <w:r w:rsidRPr="006D40F0">
              <w:t xml:space="preserve">Tiltak for arbeidssøkere,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2BAC6" w14:textId="77777777" w:rsidR="00575AC3" w:rsidRPr="006D40F0" w:rsidRDefault="00575AC3" w:rsidP="006D40F0">
            <w:r w:rsidRPr="006D40F0">
              <w:t>7 763 805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41F2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D4570" w14:textId="77777777" w:rsidR="00575AC3" w:rsidRPr="006D40F0" w:rsidRDefault="00575AC3" w:rsidP="006D40F0">
            <w:r w:rsidRPr="006D40F0">
              <w:t>-21 000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1D9AB9" w14:textId="77777777" w:rsidR="00575AC3" w:rsidRPr="006D40F0" w:rsidRDefault="00575AC3" w:rsidP="006D40F0">
            <w:r w:rsidRPr="006D40F0">
              <w:t>7 742 805</w:t>
            </w:r>
          </w:p>
        </w:tc>
      </w:tr>
      <w:tr w:rsidR="00DD49A7" w:rsidRPr="006D40F0" w14:paraId="7712C43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5F431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9C821F"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38B9C6" w14:textId="77777777" w:rsidR="00575AC3" w:rsidRPr="006D40F0" w:rsidRDefault="00575AC3" w:rsidP="006D40F0">
            <w:r w:rsidRPr="006D40F0">
              <w:t xml:space="preserve">Tilskudd til arbeids- og utdanningsreiser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3BCAF4" w14:textId="77777777" w:rsidR="00575AC3" w:rsidRPr="006D40F0" w:rsidRDefault="00575AC3" w:rsidP="006D40F0">
            <w:r w:rsidRPr="006D40F0">
              <w:t>90 720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E5CD4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01FAF0" w14:textId="77777777" w:rsidR="00575AC3" w:rsidRPr="006D40F0" w:rsidRDefault="00575AC3" w:rsidP="006D40F0">
            <w:r w:rsidRPr="006D40F0">
              <w:t>16 000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4753E" w14:textId="77777777" w:rsidR="00575AC3" w:rsidRPr="006D40F0" w:rsidRDefault="00575AC3" w:rsidP="006D40F0">
            <w:r w:rsidRPr="006D40F0">
              <w:t>106 720</w:t>
            </w:r>
          </w:p>
        </w:tc>
      </w:tr>
      <w:tr w:rsidR="00DD49A7" w:rsidRPr="006D40F0" w14:paraId="784B90E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FEFD2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4376FF" w14:textId="77777777" w:rsidR="00575AC3" w:rsidRPr="006D40F0" w:rsidRDefault="00575AC3" w:rsidP="006D40F0">
            <w:r w:rsidRPr="006D40F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38F1B3" w14:textId="77777777" w:rsidR="00575AC3" w:rsidRPr="006D40F0" w:rsidRDefault="00575AC3" w:rsidP="006D40F0">
            <w:r w:rsidRPr="006D40F0">
              <w:t xml:space="preserve">Funksjonsassistanse i arbeidslivet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9D2A6E" w14:textId="77777777" w:rsidR="00575AC3" w:rsidRPr="006D40F0" w:rsidRDefault="00575AC3" w:rsidP="006D40F0">
            <w:r w:rsidRPr="006D40F0">
              <w:t>119 110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1A5F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F8ACB4"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6432A" w14:textId="77777777" w:rsidR="00575AC3" w:rsidRPr="006D40F0" w:rsidRDefault="00575AC3" w:rsidP="006D40F0">
            <w:r w:rsidRPr="006D40F0">
              <w:t>124 110</w:t>
            </w:r>
          </w:p>
        </w:tc>
      </w:tr>
      <w:tr w:rsidR="00DD49A7" w:rsidRPr="006D40F0" w14:paraId="66CE53D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03B8CE" w14:textId="77777777" w:rsidR="00575AC3" w:rsidRPr="006D40F0" w:rsidRDefault="00575AC3" w:rsidP="006D40F0">
            <w:r w:rsidRPr="006D40F0">
              <w:t>635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D56F1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144875" w14:textId="77777777" w:rsidR="00575AC3" w:rsidRPr="006D40F0" w:rsidRDefault="00575AC3" w:rsidP="006D40F0">
            <w:r w:rsidRPr="006D40F0">
              <w:t>Ventelønn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C8EB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6ADC2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8C21A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2DB28" w14:textId="77777777" w:rsidR="00575AC3" w:rsidRPr="006D40F0" w:rsidRDefault="00575AC3" w:rsidP="006D40F0"/>
        </w:tc>
      </w:tr>
      <w:tr w:rsidR="00DD49A7" w:rsidRPr="006D40F0" w14:paraId="5E037D4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723AF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4BE3F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76B388" w14:textId="77777777" w:rsidR="00575AC3" w:rsidRPr="006D40F0" w:rsidRDefault="00575AC3" w:rsidP="006D40F0">
            <w:r w:rsidRPr="006D40F0">
              <w:t xml:space="preserve">Driftsutgifter,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D25906" w14:textId="77777777" w:rsidR="00575AC3" w:rsidRPr="006D40F0" w:rsidRDefault="00575AC3" w:rsidP="006D40F0">
            <w:r w:rsidRPr="006D40F0">
              <w:t>1 400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AE153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71D21A"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5FC78" w14:textId="77777777" w:rsidR="00575AC3" w:rsidRPr="006D40F0" w:rsidRDefault="00575AC3" w:rsidP="006D40F0">
            <w:r w:rsidRPr="006D40F0">
              <w:t>400</w:t>
            </w:r>
          </w:p>
        </w:tc>
      </w:tr>
      <w:tr w:rsidR="00DD49A7" w:rsidRPr="006D40F0" w14:paraId="1FF87F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EB00E3" w14:textId="77777777" w:rsidR="00575AC3" w:rsidRPr="006D40F0" w:rsidRDefault="00575AC3" w:rsidP="006D40F0">
            <w:r w:rsidRPr="006D40F0">
              <w:t>646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8DDF5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DBE6633" w14:textId="77777777" w:rsidR="00575AC3" w:rsidRPr="006D40F0" w:rsidRDefault="00575AC3" w:rsidP="006D40F0">
            <w:r w:rsidRPr="006D40F0">
              <w:t>Pionerdykkere i Nordsjøen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3789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15E5F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3F58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8FB3FB" w14:textId="77777777" w:rsidR="00575AC3" w:rsidRPr="006D40F0" w:rsidRDefault="00575AC3" w:rsidP="006D40F0"/>
        </w:tc>
      </w:tr>
      <w:tr w:rsidR="00DD49A7" w:rsidRPr="006D40F0" w14:paraId="1ECF873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4F5A9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5444DA"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E236CA" w14:textId="77777777" w:rsidR="00575AC3" w:rsidRPr="006D40F0" w:rsidRDefault="00575AC3" w:rsidP="006D40F0">
            <w:r w:rsidRPr="006D40F0">
              <w:t xml:space="preserve">Tilskudd,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CA3D3" w14:textId="77777777" w:rsidR="00575AC3" w:rsidRPr="006D40F0" w:rsidRDefault="00575AC3" w:rsidP="006D40F0">
            <w:r w:rsidRPr="006D40F0">
              <w:t>1 325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5913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0FAB1" w14:textId="77777777" w:rsidR="00575AC3" w:rsidRPr="006D40F0" w:rsidRDefault="00575AC3" w:rsidP="006D40F0">
            <w:r w:rsidRPr="006D40F0">
              <w:t>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BE40F9" w14:textId="77777777" w:rsidR="00575AC3" w:rsidRPr="006D40F0" w:rsidRDefault="00575AC3" w:rsidP="006D40F0">
            <w:r w:rsidRPr="006D40F0">
              <w:t>1 625</w:t>
            </w:r>
          </w:p>
        </w:tc>
      </w:tr>
      <w:tr w:rsidR="00DD49A7" w:rsidRPr="006D40F0" w14:paraId="7FBAE91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834570" w14:textId="77777777" w:rsidR="00575AC3" w:rsidRPr="006D40F0" w:rsidRDefault="00575AC3" w:rsidP="006D40F0">
            <w:r w:rsidRPr="006D40F0">
              <w:t>648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0BA83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41073F" w14:textId="77777777" w:rsidR="00575AC3" w:rsidRPr="006D40F0" w:rsidRDefault="00575AC3" w:rsidP="006D40F0">
            <w:r w:rsidRPr="006D40F0">
              <w:t>Arbeidsretten, Riksmekleren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FB76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EAE69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E283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78D61C" w14:textId="77777777" w:rsidR="00575AC3" w:rsidRPr="006D40F0" w:rsidRDefault="00575AC3" w:rsidP="006D40F0"/>
        </w:tc>
      </w:tr>
      <w:tr w:rsidR="00DD49A7" w:rsidRPr="006D40F0" w14:paraId="6EAE9E9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8D911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0408E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FD769AE"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FDFC2C" w14:textId="77777777" w:rsidR="00575AC3" w:rsidRPr="006D40F0" w:rsidRDefault="00575AC3" w:rsidP="006D40F0">
            <w:r w:rsidRPr="006D40F0">
              <w:t>26 745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BFF42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068A02"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942A5" w14:textId="77777777" w:rsidR="00575AC3" w:rsidRPr="006D40F0" w:rsidRDefault="00575AC3" w:rsidP="006D40F0">
            <w:r w:rsidRPr="006D40F0">
              <w:t>28 745</w:t>
            </w:r>
          </w:p>
        </w:tc>
      </w:tr>
      <w:tr w:rsidR="00DD49A7" w:rsidRPr="006D40F0" w14:paraId="6EB47F3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05E66F" w14:textId="77777777" w:rsidR="00575AC3" w:rsidRPr="006D40F0" w:rsidRDefault="00575AC3" w:rsidP="006D40F0">
            <w:r w:rsidRPr="006D40F0">
              <w:t>660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660E5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B41B7AF" w14:textId="77777777" w:rsidR="00575AC3" w:rsidRPr="006D40F0" w:rsidRDefault="00575AC3" w:rsidP="006D40F0">
            <w:r w:rsidRPr="006D40F0">
              <w:t>Krigspensjon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0B3B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6BC9D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B7D8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7B428B" w14:textId="77777777" w:rsidR="00575AC3" w:rsidRPr="006D40F0" w:rsidRDefault="00575AC3" w:rsidP="006D40F0"/>
        </w:tc>
      </w:tr>
      <w:tr w:rsidR="00DD49A7" w:rsidRPr="006D40F0" w14:paraId="277323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80A3E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1D207F"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7495D5" w14:textId="77777777" w:rsidR="00575AC3" w:rsidRPr="006D40F0" w:rsidRDefault="00575AC3" w:rsidP="006D40F0">
            <w:r w:rsidRPr="006D40F0">
              <w:t xml:space="preserve">Tilskudd, militære,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4E339" w14:textId="77777777" w:rsidR="00575AC3" w:rsidRPr="006D40F0" w:rsidRDefault="00575AC3" w:rsidP="006D40F0">
            <w:r w:rsidRPr="006D40F0">
              <w:t>26 000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ADC93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0C1B37"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CF295" w14:textId="77777777" w:rsidR="00575AC3" w:rsidRPr="006D40F0" w:rsidRDefault="00575AC3" w:rsidP="006D40F0">
            <w:r w:rsidRPr="006D40F0">
              <w:t>23 000</w:t>
            </w:r>
          </w:p>
        </w:tc>
      </w:tr>
      <w:tr w:rsidR="00DD49A7" w:rsidRPr="006D40F0" w14:paraId="48D036A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2BC2A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D7DD68"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55BCF7" w14:textId="77777777" w:rsidR="00575AC3" w:rsidRPr="006D40F0" w:rsidRDefault="00575AC3" w:rsidP="006D40F0">
            <w:r w:rsidRPr="006D40F0">
              <w:t xml:space="preserve">Tilskudd, sivile,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3F35EE" w14:textId="77777777" w:rsidR="00575AC3" w:rsidRPr="006D40F0" w:rsidRDefault="00575AC3" w:rsidP="006D40F0">
            <w:r w:rsidRPr="006D40F0">
              <w:t>74 000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04E25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D3A8A"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6BACC8" w14:textId="77777777" w:rsidR="00575AC3" w:rsidRPr="006D40F0" w:rsidRDefault="00575AC3" w:rsidP="006D40F0">
            <w:r w:rsidRPr="006D40F0">
              <w:t>75 000</w:t>
            </w:r>
          </w:p>
        </w:tc>
      </w:tr>
      <w:tr w:rsidR="00DD49A7" w:rsidRPr="006D40F0" w14:paraId="2B6F197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CE18EE" w14:textId="77777777" w:rsidR="00575AC3" w:rsidRPr="006D40F0" w:rsidRDefault="00575AC3" w:rsidP="006D40F0">
            <w:r w:rsidRPr="006D40F0">
              <w:t>666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9F685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D735BAE" w14:textId="77777777" w:rsidR="00575AC3" w:rsidRPr="006D40F0" w:rsidRDefault="00575AC3" w:rsidP="006D40F0">
            <w:r w:rsidRPr="006D40F0">
              <w:t>Avtalefestet pensjon (AFP)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0D5E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B323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7281B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7D8A5" w14:textId="77777777" w:rsidR="00575AC3" w:rsidRPr="006D40F0" w:rsidRDefault="00575AC3" w:rsidP="006D40F0"/>
        </w:tc>
      </w:tr>
      <w:tr w:rsidR="00DD49A7" w:rsidRPr="006D40F0" w14:paraId="4882636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031D1C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4AE6A3"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7EDF65" w14:textId="77777777" w:rsidR="00575AC3" w:rsidRPr="006D40F0" w:rsidRDefault="00575AC3" w:rsidP="006D40F0">
            <w:r w:rsidRPr="006D40F0">
              <w:t xml:space="preserve">Tilskudd,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4CF9FD" w14:textId="77777777" w:rsidR="00575AC3" w:rsidRPr="006D40F0" w:rsidRDefault="00575AC3" w:rsidP="006D40F0">
            <w:r w:rsidRPr="006D40F0">
              <w:t>3 990 000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F1FA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0DFAC0" w14:textId="77777777" w:rsidR="00575AC3" w:rsidRPr="006D40F0" w:rsidRDefault="00575AC3" w:rsidP="006D40F0">
            <w:r w:rsidRPr="006D40F0">
              <w:t>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594A41" w14:textId="77777777" w:rsidR="00575AC3" w:rsidRPr="006D40F0" w:rsidRDefault="00575AC3" w:rsidP="006D40F0">
            <w:r w:rsidRPr="006D40F0">
              <w:t>4 020 000</w:t>
            </w:r>
          </w:p>
        </w:tc>
      </w:tr>
      <w:tr w:rsidR="00DD49A7" w:rsidRPr="006D40F0" w14:paraId="5AC9D7E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2D0ED5" w14:textId="77777777" w:rsidR="00575AC3" w:rsidRPr="006D40F0" w:rsidRDefault="00575AC3" w:rsidP="006D40F0">
            <w:r w:rsidRPr="006D40F0">
              <w:t>667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9EF11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941F40" w14:textId="77777777" w:rsidR="00575AC3" w:rsidRPr="006D40F0" w:rsidRDefault="00575AC3" w:rsidP="006D40F0">
            <w:r w:rsidRPr="006D40F0">
              <w:t>Supplerende stønad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FCBE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EBEF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B1571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7A24B" w14:textId="77777777" w:rsidR="00575AC3" w:rsidRPr="006D40F0" w:rsidRDefault="00575AC3" w:rsidP="006D40F0"/>
        </w:tc>
      </w:tr>
      <w:tr w:rsidR="00DD49A7" w:rsidRPr="006D40F0" w14:paraId="6B2E573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6CD61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5F19E2"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70DCE6" w14:textId="77777777" w:rsidR="00575AC3" w:rsidRPr="006D40F0" w:rsidRDefault="00575AC3" w:rsidP="006D40F0">
            <w:r w:rsidRPr="006D40F0">
              <w:t xml:space="preserve">Tilskudd til personer over 67 år med kort botid,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74FAE" w14:textId="77777777" w:rsidR="00575AC3" w:rsidRPr="006D40F0" w:rsidRDefault="00575AC3" w:rsidP="006D40F0">
            <w:r w:rsidRPr="006D40F0">
              <w:t>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187DC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F3F7F"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3C80D" w14:textId="77777777" w:rsidR="00575AC3" w:rsidRPr="006D40F0" w:rsidRDefault="00575AC3" w:rsidP="006D40F0">
            <w:r w:rsidRPr="006D40F0">
              <w:t>385 000</w:t>
            </w:r>
          </w:p>
        </w:tc>
      </w:tr>
      <w:tr w:rsidR="00DD49A7" w:rsidRPr="006D40F0" w14:paraId="759415D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D3BCA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FA3CF2"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00F2BE" w14:textId="77777777" w:rsidR="00575AC3" w:rsidRPr="006D40F0" w:rsidRDefault="00575AC3" w:rsidP="006D40F0">
            <w:r w:rsidRPr="006D40F0">
              <w:t xml:space="preserve">Tilskudd til uføre flyktninger med kort botid,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D5344" w14:textId="77777777" w:rsidR="00575AC3" w:rsidRPr="006D40F0" w:rsidRDefault="00575AC3" w:rsidP="006D40F0">
            <w:r w:rsidRPr="006D40F0">
              <w:t>176 000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20357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AEEC71" w14:textId="77777777" w:rsidR="00575AC3" w:rsidRPr="006D40F0" w:rsidRDefault="00575AC3" w:rsidP="006D40F0">
            <w:r w:rsidRPr="006D40F0">
              <w:t>12 000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19453" w14:textId="77777777" w:rsidR="00575AC3" w:rsidRPr="006D40F0" w:rsidRDefault="00575AC3" w:rsidP="006D40F0">
            <w:r w:rsidRPr="006D40F0">
              <w:t>188 000</w:t>
            </w:r>
          </w:p>
        </w:tc>
      </w:tr>
      <w:tr w:rsidR="00DD49A7" w:rsidRPr="006D40F0" w14:paraId="6472E21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176D5E" w14:textId="77777777" w:rsidR="00575AC3" w:rsidRPr="006D40F0" w:rsidRDefault="00575AC3" w:rsidP="006D40F0">
            <w:r w:rsidRPr="006D40F0">
              <w:t>671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CB7DE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A9B6BA" w14:textId="77777777" w:rsidR="00575AC3" w:rsidRPr="006D40F0" w:rsidRDefault="00575AC3" w:rsidP="006D40F0">
            <w:r w:rsidRPr="006D40F0">
              <w:t>Bosetting av flyktninger og tiltak for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D3ACB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95328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06DA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3AE512" w14:textId="77777777" w:rsidR="00575AC3" w:rsidRPr="006D40F0" w:rsidRDefault="00575AC3" w:rsidP="006D40F0"/>
        </w:tc>
      </w:tr>
      <w:tr w:rsidR="00DD49A7" w:rsidRPr="006D40F0" w14:paraId="5ADCA62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58849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E46955"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A9A3BD" w14:textId="77777777" w:rsidR="00575AC3" w:rsidRPr="006D40F0" w:rsidRDefault="00575AC3" w:rsidP="006D40F0">
            <w:r w:rsidRPr="006D40F0">
              <w:t xml:space="preserve">Integreringstilskudd,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B7CE6" w14:textId="77777777" w:rsidR="00575AC3" w:rsidRPr="006D40F0" w:rsidRDefault="00575AC3" w:rsidP="006D40F0">
            <w:r w:rsidRPr="006D40F0">
              <w:t>23 627 135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F36B5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696562" w14:textId="77777777" w:rsidR="00575AC3" w:rsidRPr="006D40F0" w:rsidRDefault="00575AC3" w:rsidP="006D40F0">
            <w:r w:rsidRPr="006D40F0">
              <w:t>-500 671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341B5" w14:textId="77777777" w:rsidR="00575AC3" w:rsidRPr="006D40F0" w:rsidRDefault="00575AC3" w:rsidP="006D40F0">
            <w:r w:rsidRPr="006D40F0">
              <w:t>23 126 464</w:t>
            </w:r>
          </w:p>
        </w:tc>
      </w:tr>
      <w:tr w:rsidR="00DD49A7" w:rsidRPr="006D40F0" w14:paraId="40286FF7"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DFFBF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D30B79"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6C16BE" w14:textId="77777777" w:rsidR="00575AC3" w:rsidRPr="006D40F0" w:rsidRDefault="00575AC3" w:rsidP="006D40F0">
            <w:r w:rsidRPr="006D40F0">
              <w:t xml:space="preserve">Særskilt tilskudd ved bosetting av enslige, mindreårige flyktninger,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1658B" w14:textId="77777777" w:rsidR="00575AC3" w:rsidRPr="006D40F0" w:rsidRDefault="00575AC3" w:rsidP="006D40F0">
            <w:r w:rsidRPr="006D40F0">
              <w:t>1 788 725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15C4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8D5D38" w14:textId="77777777" w:rsidR="00575AC3" w:rsidRPr="006D40F0" w:rsidRDefault="00575AC3" w:rsidP="006D40F0">
            <w:r w:rsidRPr="006D40F0">
              <w:t>26 313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3DEFE2" w14:textId="77777777" w:rsidR="00575AC3" w:rsidRPr="006D40F0" w:rsidRDefault="00575AC3" w:rsidP="006D40F0">
            <w:r w:rsidRPr="006D40F0">
              <w:t>1 815 038</w:t>
            </w:r>
          </w:p>
        </w:tc>
      </w:tr>
      <w:tr w:rsidR="00DD49A7" w:rsidRPr="006D40F0" w14:paraId="503F560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5C3FC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07B3EB" w14:textId="77777777" w:rsidR="00575AC3" w:rsidRPr="006D40F0" w:rsidRDefault="00575AC3" w:rsidP="006D40F0">
            <w:r w:rsidRPr="006D40F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8E3D86" w14:textId="77777777" w:rsidR="00575AC3" w:rsidRPr="006D40F0" w:rsidRDefault="00575AC3" w:rsidP="006D40F0">
            <w:r w:rsidRPr="006D40F0">
              <w:t xml:space="preserve">Kommunale integreringstiltak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B20F5" w14:textId="77777777" w:rsidR="00575AC3" w:rsidRPr="006D40F0" w:rsidRDefault="00575AC3" w:rsidP="006D40F0">
            <w:r w:rsidRPr="006D40F0">
              <w:t>291 393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C4AC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D3364" w14:textId="77777777" w:rsidR="00575AC3" w:rsidRPr="006D40F0" w:rsidRDefault="00575AC3" w:rsidP="006D40F0">
            <w:r w:rsidRPr="006D40F0">
              <w:t>-11 000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97CA3" w14:textId="77777777" w:rsidR="00575AC3" w:rsidRPr="006D40F0" w:rsidRDefault="00575AC3" w:rsidP="006D40F0">
            <w:r w:rsidRPr="006D40F0">
              <w:t>280 393</w:t>
            </w:r>
          </w:p>
        </w:tc>
      </w:tr>
      <w:tr w:rsidR="00DD49A7" w:rsidRPr="006D40F0" w14:paraId="1C6EC13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D50C96" w14:textId="77777777" w:rsidR="00575AC3" w:rsidRPr="006D40F0" w:rsidRDefault="00575AC3" w:rsidP="006D40F0">
            <w:r w:rsidRPr="006D40F0">
              <w:t>672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50A47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0C352FD" w14:textId="77777777" w:rsidR="00575AC3" w:rsidRPr="006D40F0" w:rsidRDefault="00575AC3" w:rsidP="006D40F0">
            <w:r w:rsidRPr="006D40F0">
              <w:t>Opplæring i norsk og samfunnskunnskap for voksne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365E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8953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1964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E20D7" w14:textId="77777777" w:rsidR="00575AC3" w:rsidRPr="006D40F0" w:rsidRDefault="00575AC3" w:rsidP="006D40F0"/>
        </w:tc>
      </w:tr>
      <w:tr w:rsidR="00DD49A7" w:rsidRPr="006D40F0" w14:paraId="1605A9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F7C84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CB2F73"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E81894"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03E2C0" w14:textId="77777777" w:rsidR="00575AC3" w:rsidRPr="006D40F0" w:rsidRDefault="00575AC3" w:rsidP="006D40F0">
            <w:r w:rsidRPr="006D40F0">
              <w:t>85 665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E92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E06B4C"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100B9" w14:textId="77777777" w:rsidR="00575AC3" w:rsidRPr="006D40F0" w:rsidRDefault="00575AC3" w:rsidP="006D40F0">
            <w:r w:rsidRPr="006D40F0">
              <w:t>95 665</w:t>
            </w:r>
          </w:p>
        </w:tc>
      </w:tr>
      <w:tr w:rsidR="00DD49A7" w:rsidRPr="006D40F0" w14:paraId="635D7EB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3CBE9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69B6D3"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978735" w14:textId="77777777" w:rsidR="00575AC3" w:rsidRPr="006D40F0" w:rsidRDefault="00575AC3" w:rsidP="006D40F0">
            <w:r w:rsidRPr="006D40F0">
              <w:t xml:space="preserve">Tilskudd til opplæring i norsk og samfunnskunnskap for voksne innvandrere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ACBD5" w14:textId="77777777" w:rsidR="00575AC3" w:rsidRPr="006D40F0" w:rsidRDefault="00575AC3" w:rsidP="006D40F0">
            <w:r w:rsidRPr="006D40F0">
              <w:t>2 262 211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DA5A1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BFB2B3" w14:textId="77777777" w:rsidR="00575AC3" w:rsidRPr="006D40F0" w:rsidRDefault="00575AC3" w:rsidP="006D40F0">
            <w:r w:rsidRPr="006D40F0">
              <w:t>21 226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373E49" w14:textId="77777777" w:rsidR="00575AC3" w:rsidRPr="006D40F0" w:rsidRDefault="00575AC3" w:rsidP="006D40F0">
            <w:r w:rsidRPr="006D40F0">
              <w:t>2 283 437</w:t>
            </w:r>
          </w:p>
        </w:tc>
      </w:tr>
      <w:tr w:rsidR="00DD49A7" w:rsidRPr="006D40F0" w14:paraId="3A48ACCE"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4D3FB32"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3585B2C" w14:textId="77777777" w:rsidR="00575AC3" w:rsidRPr="006D40F0" w:rsidRDefault="00575AC3" w:rsidP="006D40F0">
            <w:r w:rsidRPr="006D40F0">
              <w:t>61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FAE6EB2" w14:textId="77777777" w:rsidR="00575AC3" w:rsidRPr="006D40F0" w:rsidRDefault="00575AC3" w:rsidP="006D40F0">
            <w:r w:rsidRPr="006D40F0">
              <w:t xml:space="preserve">Kompetansekartlegging i mottak før bosetting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D94F9F" w14:textId="77777777" w:rsidR="00575AC3" w:rsidRPr="006D40F0" w:rsidRDefault="00575AC3" w:rsidP="006D40F0">
            <w:r w:rsidRPr="006D40F0">
              <w:t>1 045</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D06000"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CFFC6A6" w14:textId="77777777" w:rsidR="00575AC3" w:rsidRPr="006D40F0" w:rsidRDefault="00575AC3" w:rsidP="006D40F0">
            <w:r w:rsidRPr="006D40F0">
              <w:t>115</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B74C8D0" w14:textId="77777777" w:rsidR="00575AC3" w:rsidRPr="006D40F0" w:rsidRDefault="00575AC3" w:rsidP="006D40F0">
            <w:r w:rsidRPr="006D40F0">
              <w:t>1 160</w:t>
            </w:r>
          </w:p>
        </w:tc>
      </w:tr>
      <w:tr w:rsidR="00DD49A7" w:rsidRPr="006D40F0" w14:paraId="71CC0A1B" w14:textId="77777777">
        <w:trPr>
          <w:trHeight w:val="3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11A1B21" w14:textId="77777777" w:rsidR="00575AC3" w:rsidRPr="006D40F0" w:rsidRDefault="00575AC3" w:rsidP="006D40F0">
            <w:r w:rsidRPr="006D40F0">
              <w:t>Sum endringer Arbeids- og inkluderingsdepartementet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18F6E9F"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9394FD" w14:textId="77777777" w:rsidR="00575AC3" w:rsidRPr="006D40F0" w:rsidRDefault="00575AC3" w:rsidP="006D40F0">
            <w:r w:rsidRPr="006D40F0">
              <w:t>-956 117</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C795D6" w14:textId="77777777" w:rsidR="00575AC3" w:rsidRPr="006D40F0" w:rsidRDefault="00575AC3" w:rsidP="006D40F0"/>
        </w:tc>
      </w:tr>
      <w:tr w:rsidR="00DD49A7" w:rsidRPr="006D40F0" w14:paraId="6BE486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ACA612" w14:textId="77777777" w:rsidR="00575AC3" w:rsidRPr="006D40F0" w:rsidRDefault="00575AC3" w:rsidP="006D40F0">
            <w:r w:rsidRPr="006D40F0">
              <w:t>700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6BC88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F96BB0" w14:textId="77777777" w:rsidR="00575AC3" w:rsidRPr="006D40F0" w:rsidRDefault="00575AC3" w:rsidP="006D40F0">
            <w:r w:rsidRPr="006D40F0">
              <w:t>Helse- og omsorgsdepartementet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52E0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E4B73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6651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02912" w14:textId="77777777" w:rsidR="00575AC3" w:rsidRPr="006D40F0" w:rsidRDefault="00575AC3" w:rsidP="006D40F0"/>
        </w:tc>
      </w:tr>
      <w:tr w:rsidR="00DD49A7" w:rsidRPr="006D40F0" w14:paraId="720E899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1A4E2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341BD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1C9E0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E78912" w14:textId="77777777" w:rsidR="00575AC3" w:rsidRPr="006D40F0" w:rsidRDefault="00575AC3" w:rsidP="006D40F0">
            <w:r w:rsidRPr="006D40F0">
              <w:t>299 351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2748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BCEB42"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A0DC2" w14:textId="77777777" w:rsidR="00575AC3" w:rsidRPr="006D40F0" w:rsidRDefault="00575AC3" w:rsidP="006D40F0">
            <w:r w:rsidRPr="006D40F0">
              <w:t>304 351</w:t>
            </w:r>
          </w:p>
        </w:tc>
      </w:tr>
      <w:tr w:rsidR="00DD49A7" w:rsidRPr="006D40F0" w14:paraId="16A1FEA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C155F3" w14:textId="77777777" w:rsidR="00575AC3" w:rsidRPr="006D40F0" w:rsidRDefault="00575AC3" w:rsidP="006D40F0">
            <w:r w:rsidRPr="006D40F0">
              <w:t>703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0B1AE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B14D329" w14:textId="77777777" w:rsidR="00575AC3" w:rsidRPr="006D40F0" w:rsidRDefault="00575AC3" w:rsidP="006D40F0">
            <w:r w:rsidRPr="006D40F0">
              <w:t>Internasjonalt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5964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93C99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AA440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FCE80" w14:textId="77777777" w:rsidR="00575AC3" w:rsidRPr="006D40F0" w:rsidRDefault="00575AC3" w:rsidP="006D40F0"/>
        </w:tc>
      </w:tr>
      <w:tr w:rsidR="00DD49A7" w:rsidRPr="006D40F0" w14:paraId="1A895C7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B2698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87A10F"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3A92B2" w14:textId="77777777" w:rsidR="00575AC3" w:rsidRPr="006D40F0" w:rsidRDefault="00575AC3" w:rsidP="006D40F0">
            <w:r w:rsidRPr="006D40F0">
              <w:t xml:space="preserve">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A6CC4" w14:textId="77777777" w:rsidR="00575AC3" w:rsidRPr="006D40F0" w:rsidRDefault="00575AC3" w:rsidP="006D40F0">
            <w:r w:rsidRPr="006D40F0">
              <w:t>271 917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CB543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6AF150" w14:textId="77777777" w:rsidR="00575AC3" w:rsidRPr="006D40F0" w:rsidRDefault="00575AC3" w:rsidP="006D40F0">
            <w:r w:rsidRPr="006D40F0">
              <w:t>52 500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87C68" w14:textId="77777777" w:rsidR="00575AC3" w:rsidRPr="006D40F0" w:rsidRDefault="00575AC3" w:rsidP="006D40F0">
            <w:r w:rsidRPr="006D40F0">
              <w:t>324 417</w:t>
            </w:r>
          </w:p>
        </w:tc>
      </w:tr>
      <w:tr w:rsidR="00DD49A7" w:rsidRPr="006D40F0" w14:paraId="44DA7BA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AC8A3C" w14:textId="77777777" w:rsidR="00575AC3" w:rsidRPr="006D40F0" w:rsidRDefault="00575AC3" w:rsidP="006D40F0">
            <w:r w:rsidRPr="006D40F0">
              <w:t>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3FED3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F7B895B" w14:textId="77777777" w:rsidR="00575AC3" w:rsidRPr="006D40F0" w:rsidRDefault="00575AC3" w:rsidP="006D40F0">
            <w:r w:rsidRPr="006D40F0">
              <w:t>Vaksiner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513B0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1722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940A8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646DF1" w14:textId="77777777" w:rsidR="00575AC3" w:rsidRPr="006D40F0" w:rsidRDefault="00575AC3" w:rsidP="006D40F0"/>
        </w:tc>
      </w:tr>
      <w:tr w:rsidR="00DD49A7" w:rsidRPr="006D40F0" w14:paraId="17934D5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C5E1D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752BA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196564"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36321" w14:textId="77777777" w:rsidR="00575AC3" w:rsidRPr="006D40F0" w:rsidRDefault="00575AC3" w:rsidP="006D40F0">
            <w:r w:rsidRPr="006D40F0">
              <w:t>296 402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EAC8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C773B" w14:textId="77777777" w:rsidR="00575AC3" w:rsidRPr="006D40F0" w:rsidRDefault="00575AC3" w:rsidP="006D40F0">
            <w:r w:rsidRPr="006D40F0">
              <w:t>-8 000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6C5E8" w14:textId="77777777" w:rsidR="00575AC3" w:rsidRPr="006D40F0" w:rsidRDefault="00575AC3" w:rsidP="006D40F0">
            <w:r w:rsidRPr="006D40F0">
              <w:t>288 402</w:t>
            </w:r>
          </w:p>
        </w:tc>
      </w:tr>
      <w:tr w:rsidR="00DD49A7" w:rsidRPr="006D40F0" w14:paraId="15D0559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0A015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E2CD3C"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E85416" w14:textId="77777777" w:rsidR="00575AC3" w:rsidRPr="006D40F0" w:rsidRDefault="00575AC3" w:rsidP="006D40F0">
            <w:r w:rsidRPr="006D40F0">
              <w:t xml:space="preserve">Salgs- og beredskapsprodukter m.m.,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EE88F0" w14:textId="77777777" w:rsidR="00575AC3" w:rsidRPr="006D40F0" w:rsidRDefault="00575AC3" w:rsidP="006D40F0">
            <w:r w:rsidRPr="006D40F0">
              <w:t>221 809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83AD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5901D" w14:textId="77777777" w:rsidR="00575AC3" w:rsidRPr="006D40F0" w:rsidRDefault="00575AC3" w:rsidP="006D40F0">
            <w:r w:rsidRPr="006D40F0">
              <w:t>7 900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366BBE" w14:textId="77777777" w:rsidR="00575AC3" w:rsidRPr="006D40F0" w:rsidRDefault="00575AC3" w:rsidP="006D40F0">
            <w:r w:rsidRPr="006D40F0">
              <w:t>229 709</w:t>
            </w:r>
          </w:p>
        </w:tc>
      </w:tr>
      <w:tr w:rsidR="00DD49A7" w:rsidRPr="006D40F0" w14:paraId="4D0CB5A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70DF4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322A3E"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48B4DCA" w14:textId="77777777" w:rsidR="00575AC3" w:rsidRPr="006D40F0" w:rsidRDefault="00575AC3" w:rsidP="006D40F0">
            <w:r w:rsidRPr="006D40F0">
              <w:t xml:space="preserve">Vaksiner og vaksinasjon mot covid-19,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33F9E0" w14:textId="77777777" w:rsidR="00575AC3" w:rsidRPr="006D40F0" w:rsidRDefault="00575AC3" w:rsidP="006D40F0">
            <w:r w:rsidRPr="006D40F0">
              <w:t>115 000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5E8C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BF20FC" w14:textId="77777777" w:rsidR="00575AC3" w:rsidRPr="006D40F0" w:rsidRDefault="00575AC3" w:rsidP="006D40F0">
            <w:r w:rsidRPr="006D40F0">
              <w:t>78 600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13A77" w14:textId="77777777" w:rsidR="00575AC3" w:rsidRPr="006D40F0" w:rsidRDefault="00575AC3" w:rsidP="006D40F0">
            <w:r w:rsidRPr="006D40F0">
              <w:t>193 600</w:t>
            </w:r>
          </w:p>
        </w:tc>
      </w:tr>
      <w:tr w:rsidR="00DD49A7" w:rsidRPr="006D40F0" w14:paraId="447732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A2B4DD" w14:textId="77777777" w:rsidR="00575AC3" w:rsidRPr="006D40F0" w:rsidRDefault="00575AC3" w:rsidP="006D40F0">
            <w:r w:rsidRPr="006D40F0">
              <w:t>712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018EA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C97235" w14:textId="77777777" w:rsidR="00575AC3" w:rsidRPr="006D40F0" w:rsidRDefault="00575AC3" w:rsidP="006D40F0">
            <w:r w:rsidRPr="006D40F0">
              <w:t>Bioteknologirådet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F2C2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E9AC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44BBB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E2BCF0" w14:textId="77777777" w:rsidR="00575AC3" w:rsidRPr="006D40F0" w:rsidRDefault="00575AC3" w:rsidP="006D40F0"/>
        </w:tc>
      </w:tr>
      <w:tr w:rsidR="00DD49A7" w:rsidRPr="006D40F0" w14:paraId="0D4CC23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D4A25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656536"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E88E87"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B09694" w14:textId="77777777" w:rsidR="00575AC3" w:rsidRPr="006D40F0" w:rsidRDefault="00575AC3" w:rsidP="006D40F0">
            <w:r w:rsidRPr="006D40F0">
              <w:t>14 040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D74D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779F3" w14:textId="77777777" w:rsidR="00575AC3" w:rsidRPr="006D40F0" w:rsidRDefault="00575AC3" w:rsidP="006D40F0">
            <w:r w:rsidRPr="006D40F0">
              <w:t>-50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9E3B10" w14:textId="77777777" w:rsidR="00575AC3" w:rsidRPr="006D40F0" w:rsidRDefault="00575AC3" w:rsidP="006D40F0">
            <w:r w:rsidRPr="006D40F0">
              <w:t>13 990</w:t>
            </w:r>
          </w:p>
        </w:tc>
      </w:tr>
      <w:tr w:rsidR="00DD49A7" w:rsidRPr="006D40F0" w14:paraId="4666CCA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C34C96" w14:textId="77777777" w:rsidR="00575AC3" w:rsidRPr="006D40F0" w:rsidRDefault="00575AC3" w:rsidP="006D40F0">
            <w:r w:rsidRPr="006D40F0">
              <w:t>714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5DEE7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91E1C9" w14:textId="77777777" w:rsidR="00575AC3" w:rsidRPr="006D40F0" w:rsidRDefault="00575AC3" w:rsidP="006D40F0">
            <w:r w:rsidRPr="006D40F0">
              <w:t>Folkehelse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8FA95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0803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2AED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9B5709" w14:textId="77777777" w:rsidR="00575AC3" w:rsidRPr="006D40F0" w:rsidRDefault="00575AC3" w:rsidP="006D40F0"/>
        </w:tc>
      </w:tr>
      <w:tr w:rsidR="00DD49A7" w:rsidRPr="006D40F0" w14:paraId="351C85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C73C4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6130F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9F2E71" w14:textId="77777777" w:rsidR="00575AC3" w:rsidRPr="006D40F0" w:rsidRDefault="00575AC3" w:rsidP="006D40F0">
            <w:r w:rsidRPr="006D40F0">
              <w:t xml:space="preserve">Spesielle driftsutgifter, </w:t>
            </w:r>
            <w:r w:rsidRPr="00575AC3">
              <w:rPr>
                <w:rStyle w:val="kursiv"/>
              </w:rPr>
              <w:t>kan overføres, kan nyttes under postene 70, 74 og 79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C59B49" w14:textId="77777777" w:rsidR="00575AC3" w:rsidRPr="006D40F0" w:rsidRDefault="00575AC3" w:rsidP="006D40F0">
            <w:r w:rsidRPr="006D40F0">
              <w:t>120 362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331A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F40644" w14:textId="77777777" w:rsidR="00575AC3" w:rsidRPr="006D40F0" w:rsidRDefault="00575AC3" w:rsidP="006D40F0">
            <w:r w:rsidRPr="006D40F0">
              <w:t>8 600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A1468E" w14:textId="77777777" w:rsidR="00575AC3" w:rsidRPr="006D40F0" w:rsidRDefault="00575AC3" w:rsidP="006D40F0">
            <w:r w:rsidRPr="006D40F0">
              <w:t>128 962</w:t>
            </w:r>
          </w:p>
        </w:tc>
      </w:tr>
      <w:tr w:rsidR="00DD49A7" w:rsidRPr="006D40F0" w14:paraId="0D72843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4CEA9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CF843B"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10B72E" w14:textId="77777777" w:rsidR="00575AC3" w:rsidRPr="006D40F0" w:rsidRDefault="00575AC3" w:rsidP="006D40F0">
            <w:r w:rsidRPr="006D40F0">
              <w:t xml:space="preserve">Gebyrfinansierte ordninger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04158" w14:textId="77777777" w:rsidR="00575AC3" w:rsidRPr="006D40F0" w:rsidRDefault="00575AC3" w:rsidP="006D40F0">
            <w:r w:rsidRPr="006D40F0">
              <w:t>33 041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E79A7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1CDA36" w14:textId="77777777" w:rsidR="00575AC3" w:rsidRPr="006D40F0" w:rsidRDefault="00575AC3" w:rsidP="006D40F0">
            <w:r w:rsidRPr="006D40F0">
              <w:t>-1 400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EC1871" w14:textId="77777777" w:rsidR="00575AC3" w:rsidRPr="006D40F0" w:rsidRDefault="00575AC3" w:rsidP="006D40F0">
            <w:r w:rsidRPr="006D40F0">
              <w:t>31 641</w:t>
            </w:r>
          </w:p>
        </w:tc>
      </w:tr>
      <w:tr w:rsidR="00DD49A7" w:rsidRPr="006D40F0" w14:paraId="62E82B0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45F6C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1A4715"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25A90E" w14:textId="77777777" w:rsidR="00575AC3" w:rsidRPr="006D40F0" w:rsidRDefault="00575AC3" w:rsidP="006D40F0">
            <w:r w:rsidRPr="006D40F0">
              <w:t xml:space="preserve">Kommunale tiltak,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328F2" w14:textId="77777777" w:rsidR="00575AC3" w:rsidRPr="006D40F0" w:rsidRDefault="00575AC3" w:rsidP="006D40F0">
            <w:r w:rsidRPr="006D40F0">
              <w:t>96 118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D6B03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3C0AB"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335EA" w14:textId="77777777" w:rsidR="00575AC3" w:rsidRPr="006D40F0" w:rsidRDefault="00575AC3" w:rsidP="006D40F0">
            <w:r w:rsidRPr="006D40F0">
              <w:t>95 118</w:t>
            </w:r>
          </w:p>
        </w:tc>
      </w:tr>
      <w:tr w:rsidR="00DD49A7" w:rsidRPr="006D40F0" w14:paraId="114D15F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C756E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5EA27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8B2CC2" w14:textId="77777777" w:rsidR="00575AC3" w:rsidRPr="006D40F0" w:rsidRDefault="00575AC3" w:rsidP="006D40F0">
            <w:r w:rsidRPr="006D40F0">
              <w:t xml:space="preserve">Rusmiddeltiltak mv.,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0E88A" w14:textId="77777777" w:rsidR="00575AC3" w:rsidRPr="006D40F0" w:rsidRDefault="00575AC3" w:rsidP="006D40F0">
            <w:r w:rsidRPr="006D40F0">
              <w:t>205 504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5DCB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90FF24" w14:textId="77777777" w:rsidR="00575AC3" w:rsidRPr="006D40F0" w:rsidRDefault="00575AC3" w:rsidP="006D40F0">
            <w:r w:rsidRPr="006D40F0">
              <w:t>-12 500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98FDCB" w14:textId="77777777" w:rsidR="00575AC3" w:rsidRPr="006D40F0" w:rsidRDefault="00575AC3" w:rsidP="006D40F0">
            <w:r w:rsidRPr="006D40F0">
              <w:t>193 004</w:t>
            </w:r>
          </w:p>
        </w:tc>
      </w:tr>
      <w:tr w:rsidR="00DD49A7" w:rsidRPr="006D40F0" w14:paraId="69ECB72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4F4CB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3EC89E" w14:textId="77777777" w:rsidR="00575AC3" w:rsidRPr="006D40F0" w:rsidRDefault="00575AC3" w:rsidP="006D40F0">
            <w:r w:rsidRPr="006D40F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9A341D2" w14:textId="77777777" w:rsidR="00575AC3" w:rsidRPr="006D40F0" w:rsidRDefault="00575AC3" w:rsidP="006D40F0">
            <w:r w:rsidRPr="006D40F0">
              <w:t xml:space="preserve">Andre tilskudd,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0E8C2" w14:textId="77777777" w:rsidR="00575AC3" w:rsidRPr="006D40F0" w:rsidRDefault="00575AC3" w:rsidP="006D40F0">
            <w:r w:rsidRPr="006D40F0">
              <w:t>69 372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8E41A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798228"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2EDE1" w14:textId="77777777" w:rsidR="00575AC3" w:rsidRPr="006D40F0" w:rsidRDefault="00575AC3" w:rsidP="006D40F0">
            <w:r w:rsidRPr="006D40F0">
              <w:t>67 372</w:t>
            </w:r>
          </w:p>
        </w:tc>
      </w:tr>
      <w:tr w:rsidR="00DD49A7" w:rsidRPr="006D40F0" w14:paraId="3D4966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3BABC9" w14:textId="77777777" w:rsidR="00575AC3" w:rsidRPr="006D40F0" w:rsidRDefault="00575AC3" w:rsidP="006D40F0">
            <w:r w:rsidRPr="006D40F0">
              <w:t>732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3A1C9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673C72" w14:textId="77777777" w:rsidR="00575AC3" w:rsidRPr="006D40F0" w:rsidRDefault="00575AC3" w:rsidP="006D40F0">
            <w:r w:rsidRPr="006D40F0">
              <w:t>Regionale helseforetak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86C3B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F4FA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04D8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C12C8" w14:textId="77777777" w:rsidR="00575AC3" w:rsidRPr="006D40F0" w:rsidRDefault="00575AC3" w:rsidP="006D40F0"/>
        </w:tc>
      </w:tr>
      <w:tr w:rsidR="00DD49A7" w:rsidRPr="006D40F0" w14:paraId="2903412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EF747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545CF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7E3D40"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00A6D3" w14:textId="77777777" w:rsidR="00575AC3" w:rsidRPr="006D40F0" w:rsidRDefault="00575AC3" w:rsidP="006D40F0">
            <w:r w:rsidRPr="006D40F0">
              <w:t>20 731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CE00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FBD558" w14:textId="77777777" w:rsidR="00575AC3" w:rsidRPr="006D40F0" w:rsidRDefault="00575AC3" w:rsidP="006D40F0">
            <w:r w:rsidRPr="006D40F0">
              <w:t>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347898" w14:textId="77777777" w:rsidR="00575AC3" w:rsidRPr="006D40F0" w:rsidRDefault="00575AC3" w:rsidP="006D40F0">
            <w:r w:rsidRPr="006D40F0">
              <w:t>70 731</w:t>
            </w:r>
          </w:p>
        </w:tc>
      </w:tr>
      <w:tr w:rsidR="00DD49A7" w:rsidRPr="006D40F0" w14:paraId="280483E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E7382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6218D8"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5FE6DE" w14:textId="77777777" w:rsidR="00575AC3" w:rsidRPr="006D40F0" w:rsidRDefault="00575AC3" w:rsidP="006D40F0">
            <w:r w:rsidRPr="006D40F0">
              <w:t xml:space="preserve">Særskilte tilskudd, </w:t>
            </w:r>
            <w:r w:rsidRPr="00575AC3">
              <w:rPr>
                <w:rStyle w:val="kursiv"/>
              </w:rPr>
              <w:t>kan overføres, kan nyttes under postene 72, 73, 74 og 75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8A8AB" w14:textId="77777777" w:rsidR="00575AC3" w:rsidRPr="006D40F0" w:rsidRDefault="00575AC3" w:rsidP="006D40F0">
            <w:r w:rsidRPr="006D40F0">
              <w:t>2 564 629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B6FA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582B98" w14:textId="77777777" w:rsidR="00575AC3" w:rsidRPr="006D40F0" w:rsidRDefault="00575AC3" w:rsidP="006D40F0">
            <w:r w:rsidRPr="006D40F0">
              <w:t>840 000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8D47B3" w14:textId="77777777" w:rsidR="00575AC3" w:rsidRPr="006D40F0" w:rsidRDefault="00575AC3" w:rsidP="006D40F0">
            <w:r w:rsidRPr="006D40F0">
              <w:t>3 404 629</w:t>
            </w:r>
          </w:p>
        </w:tc>
      </w:tr>
      <w:tr w:rsidR="00DD49A7" w:rsidRPr="006D40F0" w14:paraId="2CDE666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461C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C02894"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E17394" w14:textId="77777777" w:rsidR="00575AC3" w:rsidRPr="006D40F0" w:rsidRDefault="00575AC3" w:rsidP="006D40F0">
            <w:r w:rsidRPr="006D40F0">
              <w:t xml:space="preserve">Basisbevilgning Helse Sør-Øst RHF,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1BEF58" w14:textId="77777777" w:rsidR="00575AC3" w:rsidRPr="006D40F0" w:rsidRDefault="00575AC3" w:rsidP="006D40F0">
            <w:r w:rsidRPr="006D40F0">
              <w:t>76 032 508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A097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09F5DE" w14:textId="77777777" w:rsidR="00575AC3" w:rsidRPr="006D40F0" w:rsidRDefault="00575AC3" w:rsidP="006D40F0">
            <w:r w:rsidRPr="006D40F0">
              <w:t>1 113 400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A251C" w14:textId="77777777" w:rsidR="00575AC3" w:rsidRPr="006D40F0" w:rsidRDefault="00575AC3" w:rsidP="006D40F0">
            <w:r w:rsidRPr="006D40F0">
              <w:t>77 145 908</w:t>
            </w:r>
          </w:p>
        </w:tc>
      </w:tr>
      <w:tr w:rsidR="00DD49A7" w:rsidRPr="006D40F0" w14:paraId="3D4C175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0A94D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FC0041"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A2677F" w14:textId="3F409B20" w:rsidR="00575AC3" w:rsidRPr="006D40F0" w:rsidRDefault="00575AC3" w:rsidP="006D40F0">
            <w:r w:rsidRPr="006D40F0">
              <w:t>Basisbevilgning Helse Vest RHF,</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696194" w14:textId="77777777" w:rsidR="00575AC3" w:rsidRPr="006D40F0" w:rsidRDefault="00575AC3" w:rsidP="006D40F0">
            <w:r w:rsidRPr="006D40F0">
              <w:t>26 840 189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D160E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04F18" w14:textId="77777777" w:rsidR="00575AC3" w:rsidRPr="006D40F0" w:rsidRDefault="00575AC3" w:rsidP="006D40F0">
            <w:r w:rsidRPr="006D40F0">
              <w:t>393 000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67343F" w14:textId="77777777" w:rsidR="00575AC3" w:rsidRPr="006D40F0" w:rsidRDefault="00575AC3" w:rsidP="006D40F0">
            <w:r w:rsidRPr="006D40F0">
              <w:t>27 233 189</w:t>
            </w:r>
          </w:p>
        </w:tc>
      </w:tr>
      <w:tr w:rsidR="00DD49A7" w:rsidRPr="006D40F0" w14:paraId="55D3067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288F9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198107"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77B5F8" w14:textId="77777777" w:rsidR="00575AC3" w:rsidRPr="006D40F0" w:rsidRDefault="00575AC3" w:rsidP="006D40F0">
            <w:r w:rsidRPr="006D40F0">
              <w:t xml:space="preserve">Basisbevilgning Helse Midt-Norge RHF,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CCF6C" w14:textId="77777777" w:rsidR="00575AC3" w:rsidRPr="006D40F0" w:rsidRDefault="00575AC3" w:rsidP="006D40F0">
            <w:r w:rsidRPr="006D40F0">
              <w:t>19 922 744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E446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928839" w14:textId="77777777" w:rsidR="00575AC3" w:rsidRPr="006D40F0" w:rsidRDefault="00575AC3" w:rsidP="006D40F0">
            <w:r w:rsidRPr="006D40F0">
              <w:t>291 700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0A8A9" w14:textId="77777777" w:rsidR="00575AC3" w:rsidRPr="006D40F0" w:rsidRDefault="00575AC3" w:rsidP="006D40F0">
            <w:r w:rsidRPr="006D40F0">
              <w:t>20 214 444</w:t>
            </w:r>
          </w:p>
        </w:tc>
      </w:tr>
      <w:tr w:rsidR="00DD49A7" w:rsidRPr="006D40F0" w14:paraId="0035BD5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AC612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188936"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B54A73F" w14:textId="77777777" w:rsidR="00575AC3" w:rsidRPr="006D40F0" w:rsidRDefault="00575AC3" w:rsidP="006D40F0">
            <w:r w:rsidRPr="006D40F0">
              <w:t xml:space="preserve">Basisbevilgning Helse Nord RHF,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A0F26D" w14:textId="77777777" w:rsidR="00575AC3" w:rsidRPr="006D40F0" w:rsidRDefault="00575AC3" w:rsidP="006D40F0">
            <w:r w:rsidRPr="006D40F0">
              <w:t>17 203 337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137E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4B9ABA" w14:textId="77777777" w:rsidR="00575AC3" w:rsidRPr="006D40F0" w:rsidRDefault="00575AC3" w:rsidP="006D40F0">
            <w:r w:rsidRPr="006D40F0">
              <w:t>251 900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B8F4F" w14:textId="77777777" w:rsidR="00575AC3" w:rsidRPr="006D40F0" w:rsidRDefault="00575AC3" w:rsidP="006D40F0">
            <w:r w:rsidRPr="006D40F0">
              <w:t>17 455 237</w:t>
            </w:r>
          </w:p>
        </w:tc>
      </w:tr>
      <w:tr w:rsidR="00DD49A7" w:rsidRPr="006D40F0" w14:paraId="5DD6C0C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AC8A5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43209D" w14:textId="77777777" w:rsidR="00575AC3" w:rsidRPr="006D40F0" w:rsidRDefault="00575AC3" w:rsidP="006D40F0">
            <w:r w:rsidRPr="006D40F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47116E" w14:textId="77777777" w:rsidR="00575AC3" w:rsidRPr="006D40F0" w:rsidRDefault="00575AC3" w:rsidP="006D40F0">
            <w:r w:rsidRPr="006D40F0">
              <w:t xml:space="preserve">Laboratorie- og radiologiske undersøkelser,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4A677" w14:textId="77777777" w:rsidR="00575AC3" w:rsidRPr="006D40F0" w:rsidRDefault="00575AC3" w:rsidP="006D40F0">
            <w:r w:rsidRPr="006D40F0">
              <w:t>4 187 644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306A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35CBC" w14:textId="77777777" w:rsidR="00575AC3" w:rsidRPr="006D40F0" w:rsidRDefault="00575AC3" w:rsidP="006D40F0">
            <w:r w:rsidRPr="006D40F0">
              <w:t>142 000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C95BE3" w14:textId="77777777" w:rsidR="00575AC3" w:rsidRPr="006D40F0" w:rsidRDefault="00575AC3" w:rsidP="006D40F0">
            <w:r w:rsidRPr="006D40F0">
              <w:t>4 329 644</w:t>
            </w:r>
          </w:p>
        </w:tc>
      </w:tr>
      <w:tr w:rsidR="00DD49A7" w:rsidRPr="006D40F0" w14:paraId="35009E9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AF27D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97C20F" w14:textId="77777777" w:rsidR="00575AC3" w:rsidRPr="006D40F0" w:rsidRDefault="00575AC3" w:rsidP="006D40F0">
            <w:r w:rsidRPr="006D40F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FCB5AF" w14:textId="77777777" w:rsidR="00575AC3" w:rsidRPr="006D40F0" w:rsidRDefault="00575AC3" w:rsidP="006D40F0">
            <w:r w:rsidRPr="006D40F0">
              <w:t xml:space="preserve">Driftskreditter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2B431" w14:textId="77777777" w:rsidR="00575AC3" w:rsidRPr="006D40F0" w:rsidRDefault="00575AC3" w:rsidP="006D40F0">
            <w:r w:rsidRPr="006D40F0">
              <w:t>6 118 000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57AFC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FB91D" w14:textId="77777777" w:rsidR="00575AC3" w:rsidRPr="006D40F0" w:rsidRDefault="00575AC3" w:rsidP="006D40F0">
            <w:r w:rsidRPr="006D40F0">
              <w:t>-805 000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D7A7B" w14:textId="77777777" w:rsidR="00575AC3" w:rsidRPr="006D40F0" w:rsidRDefault="00575AC3" w:rsidP="006D40F0">
            <w:r w:rsidRPr="006D40F0">
              <w:t>5 313 000</w:t>
            </w:r>
          </w:p>
        </w:tc>
      </w:tr>
      <w:tr w:rsidR="00DD49A7" w:rsidRPr="006D40F0" w14:paraId="2461BEB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D0115D" w14:textId="77777777" w:rsidR="00575AC3" w:rsidRPr="006D40F0" w:rsidRDefault="00575AC3" w:rsidP="006D40F0">
            <w:r w:rsidRPr="006D40F0">
              <w:t>740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37242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73DB3E" w14:textId="77777777" w:rsidR="00575AC3" w:rsidRPr="006D40F0" w:rsidRDefault="00575AC3" w:rsidP="006D40F0">
            <w:r w:rsidRPr="006D40F0">
              <w:t>Helsedirektoratet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AEADE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1F1E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9D7E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B859D" w14:textId="77777777" w:rsidR="00575AC3" w:rsidRPr="006D40F0" w:rsidRDefault="00575AC3" w:rsidP="006D40F0"/>
        </w:tc>
      </w:tr>
      <w:tr w:rsidR="00DD49A7" w:rsidRPr="006D40F0" w14:paraId="10A33B5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DD3A1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0A10C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331B6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02314" w14:textId="77777777" w:rsidR="00575AC3" w:rsidRPr="006D40F0" w:rsidRDefault="00575AC3" w:rsidP="006D40F0">
            <w:r w:rsidRPr="006D40F0">
              <w:t>1 538 891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3E811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EC4758" w14:textId="77777777" w:rsidR="00575AC3" w:rsidRPr="006D40F0" w:rsidRDefault="00575AC3" w:rsidP="006D40F0">
            <w:r w:rsidRPr="006D40F0">
              <w:t>-18 840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79E717" w14:textId="77777777" w:rsidR="00575AC3" w:rsidRPr="006D40F0" w:rsidRDefault="00575AC3" w:rsidP="006D40F0">
            <w:r w:rsidRPr="006D40F0">
              <w:t>1 520 051</w:t>
            </w:r>
          </w:p>
        </w:tc>
      </w:tr>
      <w:tr w:rsidR="00DD49A7" w:rsidRPr="006D40F0" w14:paraId="03E073A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2763B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298D1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179ABB"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97C1CF" w14:textId="77777777" w:rsidR="00575AC3" w:rsidRPr="006D40F0" w:rsidRDefault="00575AC3" w:rsidP="006D40F0">
            <w:r w:rsidRPr="006D40F0">
              <w:t>123 091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3262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0B54B2" w14:textId="77777777" w:rsidR="00575AC3" w:rsidRPr="006D40F0" w:rsidRDefault="00575AC3" w:rsidP="006D40F0">
            <w:r w:rsidRPr="006D40F0">
              <w:t>120 000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D2926" w14:textId="77777777" w:rsidR="00575AC3" w:rsidRPr="006D40F0" w:rsidRDefault="00575AC3" w:rsidP="006D40F0">
            <w:r w:rsidRPr="006D40F0">
              <w:t>243 091</w:t>
            </w:r>
          </w:p>
        </w:tc>
      </w:tr>
      <w:tr w:rsidR="00DD49A7" w:rsidRPr="006D40F0" w14:paraId="3245474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C13670" w14:textId="77777777" w:rsidR="00575AC3" w:rsidRPr="006D40F0" w:rsidRDefault="00575AC3" w:rsidP="006D40F0">
            <w:r w:rsidRPr="006D40F0">
              <w:t>741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525B0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7BDEEF" w14:textId="77777777" w:rsidR="00575AC3" w:rsidRPr="006D40F0" w:rsidRDefault="00575AC3" w:rsidP="006D40F0">
            <w:r w:rsidRPr="006D40F0">
              <w:t>Norsk pasientskadeerstatning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44F2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FDDE0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B1E8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0F693D" w14:textId="77777777" w:rsidR="00575AC3" w:rsidRPr="006D40F0" w:rsidRDefault="00575AC3" w:rsidP="006D40F0"/>
        </w:tc>
      </w:tr>
      <w:tr w:rsidR="00DD49A7" w:rsidRPr="006D40F0" w14:paraId="45A32A3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CD39F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35FFF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A97FE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9C53E0" w14:textId="77777777" w:rsidR="00575AC3" w:rsidRPr="006D40F0" w:rsidRDefault="00575AC3" w:rsidP="006D40F0">
            <w:r w:rsidRPr="006D40F0">
              <w:t>248 422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4A909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98DC7F" w14:textId="77777777" w:rsidR="00575AC3" w:rsidRPr="006D40F0" w:rsidRDefault="00575AC3" w:rsidP="006D40F0">
            <w:r w:rsidRPr="006D40F0">
              <w:t>-250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FDB76" w14:textId="77777777" w:rsidR="00575AC3" w:rsidRPr="006D40F0" w:rsidRDefault="00575AC3" w:rsidP="006D40F0">
            <w:r w:rsidRPr="006D40F0">
              <w:t>248 172</w:t>
            </w:r>
          </w:p>
        </w:tc>
      </w:tr>
      <w:tr w:rsidR="00DD49A7" w:rsidRPr="006D40F0" w14:paraId="002C1D5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974C7C" w14:textId="77777777" w:rsidR="00575AC3" w:rsidRPr="006D40F0" w:rsidRDefault="00575AC3" w:rsidP="006D40F0">
            <w:r w:rsidRPr="006D40F0">
              <w:t>742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5DF5F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B27C38" w14:textId="77777777" w:rsidR="00575AC3" w:rsidRPr="006D40F0" w:rsidRDefault="00575AC3" w:rsidP="006D40F0">
            <w:r w:rsidRPr="006D40F0">
              <w:t>Nasjonalt klageorgan for helsetjenesten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54489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72617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11CF1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41D243" w14:textId="77777777" w:rsidR="00575AC3" w:rsidRPr="006D40F0" w:rsidRDefault="00575AC3" w:rsidP="006D40F0"/>
        </w:tc>
      </w:tr>
      <w:tr w:rsidR="00DD49A7" w:rsidRPr="006D40F0" w14:paraId="53D4D4E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6DA97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0BB39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F5A34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852165" w14:textId="77777777" w:rsidR="00575AC3" w:rsidRPr="006D40F0" w:rsidRDefault="00575AC3" w:rsidP="006D40F0">
            <w:r w:rsidRPr="006D40F0">
              <w:t>188 514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F1AA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8E2EEB" w14:textId="77777777" w:rsidR="00575AC3" w:rsidRPr="006D40F0" w:rsidRDefault="00575AC3" w:rsidP="006D40F0">
            <w:r w:rsidRPr="006D40F0">
              <w:t>-250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AB453" w14:textId="77777777" w:rsidR="00575AC3" w:rsidRPr="006D40F0" w:rsidRDefault="00575AC3" w:rsidP="006D40F0">
            <w:r w:rsidRPr="006D40F0">
              <w:t>188 264</w:t>
            </w:r>
          </w:p>
        </w:tc>
      </w:tr>
      <w:tr w:rsidR="00DD49A7" w:rsidRPr="006D40F0" w14:paraId="535DBC1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F797FA" w14:textId="77777777" w:rsidR="00575AC3" w:rsidRPr="006D40F0" w:rsidRDefault="00575AC3" w:rsidP="006D40F0">
            <w:r w:rsidRPr="006D40F0">
              <w:t>745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8E1C4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E07E93" w14:textId="77777777" w:rsidR="00575AC3" w:rsidRPr="006D40F0" w:rsidRDefault="00575AC3" w:rsidP="006D40F0">
            <w:r w:rsidRPr="006D40F0">
              <w:t>Folkehelseinstituttet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4CDF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EE45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A7C0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04E8A5" w14:textId="77777777" w:rsidR="00575AC3" w:rsidRPr="006D40F0" w:rsidRDefault="00575AC3" w:rsidP="006D40F0"/>
        </w:tc>
      </w:tr>
      <w:tr w:rsidR="00DD49A7" w:rsidRPr="006D40F0" w14:paraId="6C8B143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05700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A7CD2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7640BC"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E57E5" w14:textId="77777777" w:rsidR="00575AC3" w:rsidRPr="006D40F0" w:rsidRDefault="00575AC3" w:rsidP="006D40F0">
            <w:r w:rsidRPr="006D40F0">
              <w:t>1 488 121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9EBFB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E7D71" w14:textId="77777777" w:rsidR="00575AC3" w:rsidRPr="006D40F0" w:rsidRDefault="00575AC3" w:rsidP="006D40F0">
            <w:r w:rsidRPr="006D40F0">
              <w:t>15 600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F3258" w14:textId="77777777" w:rsidR="00575AC3" w:rsidRPr="006D40F0" w:rsidRDefault="00575AC3" w:rsidP="006D40F0">
            <w:r w:rsidRPr="006D40F0">
              <w:t>1 503 721</w:t>
            </w:r>
          </w:p>
        </w:tc>
      </w:tr>
      <w:tr w:rsidR="00DD49A7" w:rsidRPr="006D40F0" w14:paraId="10213E6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92547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BE7F8B"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2FC114"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EDDFB" w14:textId="77777777" w:rsidR="00575AC3" w:rsidRPr="006D40F0" w:rsidRDefault="00575AC3" w:rsidP="006D40F0">
            <w:r w:rsidRPr="006D40F0">
              <w:t>173 657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6A52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98647" w14:textId="77777777" w:rsidR="00575AC3" w:rsidRPr="006D40F0" w:rsidRDefault="00575AC3" w:rsidP="006D40F0">
            <w:r w:rsidRPr="006D40F0">
              <w:t>92 800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0140D7" w14:textId="77777777" w:rsidR="00575AC3" w:rsidRPr="006D40F0" w:rsidRDefault="00575AC3" w:rsidP="006D40F0">
            <w:r w:rsidRPr="006D40F0">
              <w:t>266 457</w:t>
            </w:r>
          </w:p>
        </w:tc>
      </w:tr>
      <w:tr w:rsidR="00DD49A7" w:rsidRPr="006D40F0" w14:paraId="248F346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634457" w14:textId="77777777" w:rsidR="00575AC3" w:rsidRPr="006D40F0" w:rsidRDefault="00575AC3" w:rsidP="006D40F0">
            <w:r w:rsidRPr="006D40F0">
              <w:t>746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41986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812068" w14:textId="77777777" w:rsidR="00575AC3" w:rsidRPr="006D40F0" w:rsidRDefault="00575AC3" w:rsidP="006D40F0">
            <w:r w:rsidRPr="006D40F0">
              <w:t>Direktoratet for medisinske produkter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C4FFF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C537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AC09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A4754" w14:textId="77777777" w:rsidR="00575AC3" w:rsidRPr="006D40F0" w:rsidRDefault="00575AC3" w:rsidP="006D40F0"/>
        </w:tc>
      </w:tr>
      <w:tr w:rsidR="00DD49A7" w:rsidRPr="006D40F0" w14:paraId="1AB005D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D98FC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6CDE7E"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A0598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9723AC" w14:textId="77777777" w:rsidR="00575AC3" w:rsidRPr="006D40F0" w:rsidRDefault="00575AC3" w:rsidP="006D40F0">
            <w:r w:rsidRPr="006D40F0">
              <w:t>429 548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406E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CB582" w14:textId="77777777" w:rsidR="00575AC3" w:rsidRPr="006D40F0" w:rsidRDefault="00575AC3" w:rsidP="006D40F0">
            <w:r w:rsidRPr="006D40F0">
              <w:t>13 340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C22CD" w14:textId="77777777" w:rsidR="00575AC3" w:rsidRPr="006D40F0" w:rsidRDefault="00575AC3" w:rsidP="006D40F0">
            <w:r w:rsidRPr="006D40F0">
              <w:t>442 888</w:t>
            </w:r>
          </w:p>
        </w:tc>
      </w:tr>
      <w:tr w:rsidR="00DD49A7" w:rsidRPr="006D40F0" w14:paraId="091038D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DDBEA2" w14:textId="77777777" w:rsidR="00575AC3" w:rsidRPr="006D40F0" w:rsidRDefault="00575AC3" w:rsidP="006D40F0">
            <w:r w:rsidRPr="006D40F0">
              <w:lastRenderedPageBreak/>
              <w:t>747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E7346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D22E75" w14:textId="77777777" w:rsidR="00575AC3" w:rsidRPr="006D40F0" w:rsidRDefault="00575AC3" w:rsidP="006D40F0">
            <w:r w:rsidRPr="006D40F0">
              <w:t>Direktoratet for strålevern og atomsikkerhet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4D0CA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B4DD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151B0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BA95C3" w14:textId="77777777" w:rsidR="00575AC3" w:rsidRPr="006D40F0" w:rsidRDefault="00575AC3" w:rsidP="006D40F0"/>
        </w:tc>
      </w:tr>
      <w:tr w:rsidR="00DD49A7" w:rsidRPr="006D40F0" w14:paraId="55A74EA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61C2F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8120F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D9CBFD"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38E36" w14:textId="77777777" w:rsidR="00575AC3" w:rsidRPr="006D40F0" w:rsidRDefault="00575AC3" w:rsidP="006D40F0">
            <w:r w:rsidRPr="006D40F0">
              <w:t>172 686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239DA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33EF8" w14:textId="77777777" w:rsidR="00575AC3" w:rsidRPr="006D40F0" w:rsidRDefault="00575AC3" w:rsidP="006D40F0">
            <w:r w:rsidRPr="006D40F0">
              <w:t>2 950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39853" w14:textId="77777777" w:rsidR="00575AC3" w:rsidRPr="006D40F0" w:rsidRDefault="00575AC3" w:rsidP="006D40F0">
            <w:r w:rsidRPr="006D40F0">
              <w:t>175 636</w:t>
            </w:r>
          </w:p>
        </w:tc>
      </w:tr>
      <w:tr w:rsidR="00DD49A7" w:rsidRPr="006D40F0" w14:paraId="64CCF1A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81B789" w14:textId="77777777" w:rsidR="00575AC3" w:rsidRPr="006D40F0" w:rsidRDefault="00575AC3" w:rsidP="006D40F0">
            <w:r w:rsidRPr="006D40F0">
              <w:t>748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6ACC3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289AAB" w14:textId="77777777" w:rsidR="00575AC3" w:rsidRPr="006D40F0" w:rsidRDefault="00575AC3" w:rsidP="006D40F0">
            <w:r w:rsidRPr="006D40F0">
              <w:t>Statens helsetilsyn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C259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8CE3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3CF03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984EA" w14:textId="77777777" w:rsidR="00575AC3" w:rsidRPr="006D40F0" w:rsidRDefault="00575AC3" w:rsidP="006D40F0"/>
        </w:tc>
      </w:tr>
      <w:tr w:rsidR="00DD49A7" w:rsidRPr="006D40F0" w14:paraId="474F5C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5F7C0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268CC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F4C0BB"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2B679" w14:textId="77777777" w:rsidR="00575AC3" w:rsidRPr="006D40F0" w:rsidRDefault="00575AC3" w:rsidP="006D40F0">
            <w:r w:rsidRPr="006D40F0">
              <w:t>184 385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F399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04205" w14:textId="77777777" w:rsidR="00575AC3" w:rsidRPr="006D40F0" w:rsidRDefault="00575AC3" w:rsidP="006D40F0">
            <w:r w:rsidRPr="006D40F0">
              <w:t>-250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F1AB8E" w14:textId="77777777" w:rsidR="00575AC3" w:rsidRPr="006D40F0" w:rsidRDefault="00575AC3" w:rsidP="006D40F0">
            <w:r w:rsidRPr="006D40F0">
              <w:t>184 135</w:t>
            </w:r>
          </w:p>
        </w:tc>
      </w:tr>
      <w:tr w:rsidR="00DD49A7" w:rsidRPr="006D40F0" w14:paraId="20EAA65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9A76FA" w14:textId="77777777" w:rsidR="00575AC3" w:rsidRPr="006D40F0" w:rsidRDefault="00575AC3" w:rsidP="006D40F0">
            <w:r w:rsidRPr="006D40F0">
              <w:t>749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D32E7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A93B75" w14:textId="77777777" w:rsidR="00575AC3" w:rsidRPr="006D40F0" w:rsidRDefault="00575AC3" w:rsidP="006D40F0">
            <w:r w:rsidRPr="006D40F0">
              <w:t>Statens undersøkelseskommisjon for helse- og omsorgstjenesten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5AB6E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273C4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0DF9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D7ABD" w14:textId="77777777" w:rsidR="00575AC3" w:rsidRPr="006D40F0" w:rsidRDefault="00575AC3" w:rsidP="006D40F0"/>
        </w:tc>
      </w:tr>
      <w:tr w:rsidR="00DD49A7" w:rsidRPr="006D40F0" w14:paraId="62DD97C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FD017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2D4D1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F2C9DD"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6F5B5" w14:textId="77777777" w:rsidR="00575AC3" w:rsidRPr="006D40F0" w:rsidRDefault="00575AC3" w:rsidP="006D40F0">
            <w:r w:rsidRPr="006D40F0">
              <w:t>44 226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CF3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6F7D3" w14:textId="77777777" w:rsidR="00575AC3" w:rsidRPr="006D40F0" w:rsidRDefault="00575AC3" w:rsidP="006D40F0">
            <w:r w:rsidRPr="006D40F0">
              <w:t>-50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DE2928" w14:textId="77777777" w:rsidR="00575AC3" w:rsidRPr="006D40F0" w:rsidRDefault="00575AC3" w:rsidP="006D40F0">
            <w:r w:rsidRPr="006D40F0">
              <w:t>44 176</w:t>
            </w:r>
          </w:p>
        </w:tc>
      </w:tr>
      <w:tr w:rsidR="00DD49A7" w:rsidRPr="006D40F0" w14:paraId="0DDC39B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15280A" w14:textId="77777777" w:rsidR="00575AC3" w:rsidRPr="006D40F0" w:rsidRDefault="00575AC3" w:rsidP="006D40F0">
            <w:r w:rsidRPr="006D40F0">
              <w:t>761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ADEF5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C378B4" w14:textId="77777777" w:rsidR="00575AC3" w:rsidRPr="006D40F0" w:rsidRDefault="00575AC3" w:rsidP="006D40F0">
            <w:r w:rsidRPr="006D40F0">
              <w:t>Omsorgstjeneste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A6FA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A207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DCB4B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EE7B8" w14:textId="77777777" w:rsidR="00575AC3" w:rsidRPr="006D40F0" w:rsidRDefault="00575AC3" w:rsidP="006D40F0"/>
        </w:tc>
      </w:tr>
      <w:tr w:rsidR="00DD49A7" w:rsidRPr="006D40F0" w14:paraId="07D936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9ED9F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1D2402" w14:textId="77777777" w:rsidR="00575AC3" w:rsidRPr="006D40F0" w:rsidRDefault="00575AC3" w:rsidP="006D40F0">
            <w:r w:rsidRPr="006D40F0">
              <w:t>64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FB58EA" w14:textId="77777777" w:rsidR="00575AC3" w:rsidRPr="006D40F0" w:rsidRDefault="00575AC3" w:rsidP="006D40F0">
            <w:r w:rsidRPr="006D40F0">
              <w:t>Kompensasjon for renter og avdrag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8EC9F8" w14:textId="77777777" w:rsidR="00575AC3" w:rsidRPr="006D40F0" w:rsidRDefault="00575AC3" w:rsidP="006D40F0">
            <w:r w:rsidRPr="006D40F0">
              <w:t>916 600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E71B7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148AB4" w14:textId="77777777" w:rsidR="00575AC3" w:rsidRPr="006D40F0" w:rsidRDefault="00575AC3" w:rsidP="006D40F0">
            <w:r w:rsidRPr="006D40F0">
              <w:t>62 800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9EE57" w14:textId="77777777" w:rsidR="00575AC3" w:rsidRPr="006D40F0" w:rsidRDefault="00575AC3" w:rsidP="006D40F0">
            <w:r w:rsidRPr="006D40F0">
              <w:t>979 400</w:t>
            </w:r>
          </w:p>
        </w:tc>
      </w:tr>
      <w:tr w:rsidR="00DD49A7" w:rsidRPr="006D40F0" w14:paraId="24319E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F9994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794B19"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42DAEB" w14:textId="77777777" w:rsidR="00575AC3" w:rsidRPr="006D40F0" w:rsidRDefault="00575AC3" w:rsidP="006D40F0">
            <w:r w:rsidRPr="006D40F0">
              <w:t xml:space="preserve">Særlige omsorgsbehov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5453B" w14:textId="77777777" w:rsidR="00575AC3" w:rsidRPr="006D40F0" w:rsidRDefault="00575AC3" w:rsidP="006D40F0">
            <w:r w:rsidRPr="006D40F0">
              <w:t>51 359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CDDCC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9C5B51"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683121" w14:textId="77777777" w:rsidR="00575AC3" w:rsidRPr="006D40F0" w:rsidRDefault="00575AC3" w:rsidP="006D40F0">
            <w:r w:rsidRPr="006D40F0">
              <w:t>54 359</w:t>
            </w:r>
          </w:p>
        </w:tc>
      </w:tr>
      <w:tr w:rsidR="00DD49A7" w:rsidRPr="006D40F0" w14:paraId="74EA91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A6C458" w14:textId="77777777" w:rsidR="00575AC3" w:rsidRPr="006D40F0" w:rsidRDefault="00575AC3" w:rsidP="006D40F0">
            <w:r w:rsidRPr="006D40F0">
              <w:t>762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C7269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1FE7F6" w14:textId="77777777" w:rsidR="00575AC3" w:rsidRPr="006D40F0" w:rsidRDefault="00575AC3" w:rsidP="006D40F0">
            <w:r w:rsidRPr="006D40F0">
              <w:t>Primærhelsetjeneste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12AD4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8F09C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77414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12CA4" w14:textId="77777777" w:rsidR="00575AC3" w:rsidRPr="006D40F0" w:rsidRDefault="00575AC3" w:rsidP="006D40F0"/>
        </w:tc>
      </w:tr>
      <w:tr w:rsidR="00DD49A7" w:rsidRPr="006D40F0" w14:paraId="258E39A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DFBA4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FAE63A" w14:textId="77777777" w:rsidR="00575AC3" w:rsidRPr="006D40F0" w:rsidRDefault="00575AC3" w:rsidP="006D40F0">
            <w:r w:rsidRPr="006D40F0">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5F1921" w14:textId="77777777" w:rsidR="00575AC3" w:rsidRPr="006D40F0" w:rsidRDefault="00575AC3" w:rsidP="006D40F0">
            <w:r w:rsidRPr="006D40F0">
              <w:t xml:space="preserve">Allmennlegetjenester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413EE" w14:textId="77777777" w:rsidR="00575AC3" w:rsidRPr="006D40F0" w:rsidRDefault="00575AC3" w:rsidP="006D40F0">
            <w:r w:rsidRPr="006D40F0">
              <w:t>715 802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D5E9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7190A2" w14:textId="77777777" w:rsidR="00575AC3" w:rsidRPr="006D40F0" w:rsidRDefault="00575AC3" w:rsidP="006D40F0">
            <w:r w:rsidRPr="006D40F0">
              <w:t>-23 000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C653EA" w14:textId="77777777" w:rsidR="00575AC3" w:rsidRPr="006D40F0" w:rsidRDefault="00575AC3" w:rsidP="006D40F0">
            <w:r w:rsidRPr="006D40F0">
              <w:t>692 802</w:t>
            </w:r>
          </w:p>
        </w:tc>
      </w:tr>
      <w:tr w:rsidR="00DD49A7" w:rsidRPr="006D40F0" w14:paraId="0C57CDA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45DEF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8828EF"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974C4A" w14:textId="77777777" w:rsidR="00575AC3" w:rsidRPr="006D40F0" w:rsidRDefault="00575AC3" w:rsidP="006D40F0">
            <w:r w:rsidRPr="006D40F0">
              <w:t xml:space="preserve">Tilskudd, </w:t>
            </w:r>
            <w:r w:rsidRPr="00575AC3">
              <w:rPr>
                <w:rStyle w:val="kursiv"/>
              </w:rPr>
              <w:t>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68947" w14:textId="77777777" w:rsidR="00575AC3" w:rsidRPr="006D40F0" w:rsidRDefault="00575AC3" w:rsidP="006D40F0">
            <w:r w:rsidRPr="006D40F0">
              <w:t>93 869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DD2CD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D9828" w14:textId="77777777" w:rsidR="00575AC3" w:rsidRPr="006D40F0" w:rsidRDefault="00575AC3" w:rsidP="006D40F0">
            <w:r w:rsidRPr="006D40F0">
              <w:t>17 600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319F7" w14:textId="77777777" w:rsidR="00575AC3" w:rsidRPr="006D40F0" w:rsidRDefault="00575AC3" w:rsidP="006D40F0">
            <w:r w:rsidRPr="006D40F0">
              <w:t>111 469</w:t>
            </w:r>
          </w:p>
        </w:tc>
      </w:tr>
      <w:tr w:rsidR="00DD49A7" w:rsidRPr="006D40F0" w14:paraId="0481CF4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787C79" w14:textId="77777777" w:rsidR="00575AC3" w:rsidRPr="006D40F0" w:rsidRDefault="00575AC3" w:rsidP="006D40F0">
            <w:r w:rsidRPr="006D40F0">
              <w:t>765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4BDF6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C6947D" w14:textId="77777777" w:rsidR="00575AC3" w:rsidRPr="006D40F0" w:rsidRDefault="00575AC3" w:rsidP="006D40F0">
            <w:r w:rsidRPr="006D40F0">
              <w:t>Psykisk helse, rus og vold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B550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3AC52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AB64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1E6E7F" w14:textId="77777777" w:rsidR="00575AC3" w:rsidRPr="006D40F0" w:rsidRDefault="00575AC3" w:rsidP="006D40F0"/>
        </w:tc>
      </w:tr>
      <w:tr w:rsidR="00DD49A7" w:rsidRPr="006D40F0" w14:paraId="04E9184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F9F27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D8B6D8"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EB6BF8" w14:textId="77777777" w:rsidR="00575AC3" w:rsidRPr="006D40F0" w:rsidRDefault="00575AC3" w:rsidP="006D40F0">
            <w:r w:rsidRPr="006D40F0">
              <w:t xml:space="preserve">Spesielle driftsutgifter, </w:t>
            </w:r>
            <w:r w:rsidRPr="00575AC3">
              <w:rPr>
                <w:rStyle w:val="kursiv"/>
              </w:rPr>
              <w:t>kan overføres, kan nyttes under post 72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9B7FF" w14:textId="77777777" w:rsidR="00575AC3" w:rsidRPr="006D40F0" w:rsidRDefault="00575AC3" w:rsidP="006D40F0">
            <w:r w:rsidRPr="006D40F0">
              <w:t>217 811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34A69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82A41" w14:textId="77777777" w:rsidR="00575AC3" w:rsidRPr="006D40F0" w:rsidRDefault="00575AC3" w:rsidP="006D40F0">
            <w:r w:rsidRPr="006D40F0">
              <w:t>-6 000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A9BDF4" w14:textId="77777777" w:rsidR="00575AC3" w:rsidRPr="006D40F0" w:rsidRDefault="00575AC3" w:rsidP="006D40F0">
            <w:r w:rsidRPr="006D40F0">
              <w:t>211 811</w:t>
            </w:r>
          </w:p>
        </w:tc>
      </w:tr>
      <w:tr w:rsidR="00DD49A7" w:rsidRPr="006D40F0" w14:paraId="72D89F3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55361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0898BF"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D8BE69" w14:textId="77777777" w:rsidR="00575AC3" w:rsidRPr="006D40F0" w:rsidRDefault="00575AC3" w:rsidP="006D40F0">
            <w:r w:rsidRPr="006D40F0">
              <w:t xml:space="preserve">Kompetansesentre,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0DB8FB" w14:textId="77777777" w:rsidR="00575AC3" w:rsidRPr="006D40F0" w:rsidRDefault="00575AC3" w:rsidP="006D40F0">
            <w:r w:rsidRPr="006D40F0">
              <w:t>388 119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7E522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23256C" w14:textId="77777777" w:rsidR="00575AC3" w:rsidRPr="006D40F0" w:rsidRDefault="00575AC3" w:rsidP="006D40F0">
            <w:r w:rsidRPr="006D40F0">
              <w:t>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F65FD" w14:textId="77777777" w:rsidR="00575AC3" w:rsidRPr="006D40F0" w:rsidRDefault="00575AC3" w:rsidP="006D40F0">
            <w:r w:rsidRPr="006D40F0">
              <w:t>394 119</w:t>
            </w:r>
          </w:p>
        </w:tc>
      </w:tr>
      <w:tr w:rsidR="00DD49A7" w:rsidRPr="006D40F0" w14:paraId="70C985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61923E" w14:textId="77777777" w:rsidR="00575AC3" w:rsidRPr="006D40F0" w:rsidRDefault="00575AC3" w:rsidP="006D40F0">
            <w:r w:rsidRPr="006D40F0">
              <w:t>783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343F7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72DA0C" w14:textId="77777777" w:rsidR="00575AC3" w:rsidRPr="006D40F0" w:rsidRDefault="00575AC3" w:rsidP="006D40F0">
            <w:r w:rsidRPr="006D40F0">
              <w:t>Personell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3CBD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FA38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41B3F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19B24" w14:textId="77777777" w:rsidR="00575AC3" w:rsidRPr="006D40F0" w:rsidRDefault="00575AC3" w:rsidP="006D40F0"/>
        </w:tc>
      </w:tr>
      <w:tr w:rsidR="00DD49A7" w:rsidRPr="006D40F0" w14:paraId="4158B87E"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E1170A7"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E1BBBD0" w14:textId="77777777" w:rsidR="00575AC3" w:rsidRPr="006D40F0" w:rsidRDefault="00575AC3" w:rsidP="006D40F0">
            <w:r w:rsidRPr="006D40F0">
              <w:t>79</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901123A" w14:textId="77777777" w:rsidR="00575AC3" w:rsidRPr="006D40F0" w:rsidRDefault="00575AC3" w:rsidP="006D40F0">
            <w:r w:rsidRPr="006D40F0">
              <w:t xml:space="preserve">Andre tilskudd, </w:t>
            </w:r>
            <w:r w:rsidRPr="00575AC3">
              <w:rPr>
                <w:rStyle w:val="kursiv"/>
              </w:rPr>
              <w:t>kan nyttes under post 21</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24F1B2" w14:textId="77777777" w:rsidR="00575AC3" w:rsidRPr="006D40F0" w:rsidRDefault="00575AC3" w:rsidP="006D40F0">
            <w:r w:rsidRPr="006D40F0">
              <w:t>47 295</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58FD19"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5F29435" w14:textId="77777777" w:rsidR="00575AC3" w:rsidRPr="006D40F0" w:rsidRDefault="00575AC3" w:rsidP="006D40F0">
            <w:r w:rsidRPr="006D40F0">
              <w:t>-13 500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62C6CDB" w14:textId="77777777" w:rsidR="00575AC3" w:rsidRPr="006D40F0" w:rsidRDefault="00575AC3" w:rsidP="006D40F0">
            <w:r w:rsidRPr="006D40F0">
              <w:t>33 795</w:t>
            </w:r>
          </w:p>
        </w:tc>
      </w:tr>
      <w:tr w:rsidR="00DD49A7" w:rsidRPr="006D40F0" w14:paraId="50C4B78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3AA96B0" w14:textId="77777777" w:rsidR="00575AC3" w:rsidRPr="006D40F0" w:rsidRDefault="00575AC3" w:rsidP="006D40F0">
            <w:r w:rsidRPr="006D40F0">
              <w:t>Sum endringer Helse- og omsorgsdepartementet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2639A68"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2751AA"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749DFB" w14:textId="77777777" w:rsidR="00575AC3" w:rsidRPr="006D40F0" w:rsidRDefault="00575AC3" w:rsidP="006D40F0">
            <w:r w:rsidRPr="006D40F0">
              <w:t>2 676 600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DD7B01" w14:textId="77777777" w:rsidR="00575AC3" w:rsidRPr="006D40F0" w:rsidRDefault="00575AC3" w:rsidP="006D40F0"/>
        </w:tc>
      </w:tr>
      <w:tr w:rsidR="00DD49A7" w:rsidRPr="006D40F0" w14:paraId="6770A5E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C14136" w14:textId="77777777" w:rsidR="00575AC3" w:rsidRPr="006D40F0" w:rsidRDefault="00575AC3" w:rsidP="006D40F0">
            <w:r w:rsidRPr="006D40F0">
              <w:t>840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EF6A9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D80E1F" w14:textId="77777777" w:rsidR="00575AC3" w:rsidRPr="006D40F0" w:rsidRDefault="00575AC3" w:rsidP="006D40F0">
            <w:r w:rsidRPr="006D40F0">
              <w:t>Tiltak mot vold og overgrep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2A61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B71C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82DC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608F91" w14:textId="77777777" w:rsidR="00575AC3" w:rsidRPr="006D40F0" w:rsidRDefault="00575AC3" w:rsidP="006D40F0"/>
        </w:tc>
      </w:tr>
      <w:tr w:rsidR="00DD49A7" w:rsidRPr="006D40F0" w14:paraId="2A5FD08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9AB01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63572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123380" w14:textId="77777777" w:rsidR="00575AC3" w:rsidRPr="006D40F0" w:rsidRDefault="00575AC3" w:rsidP="006D40F0">
            <w:r w:rsidRPr="006D40F0">
              <w:t xml:space="preserve">Spesielle driftsutgifter, </w:t>
            </w:r>
            <w:r w:rsidRPr="00575AC3">
              <w:rPr>
                <w:rStyle w:val="kursiv"/>
              </w:rPr>
              <w:t>kan nyttes under post 70 og kap. 846, post 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E9D46" w14:textId="77777777" w:rsidR="00575AC3" w:rsidRPr="006D40F0" w:rsidRDefault="00575AC3" w:rsidP="006D40F0">
            <w:r w:rsidRPr="006D40F0">
              <w:t>31 774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F4763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6842D8"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94605" w14:textId="77777777" w:rsidR="00575AC3" w:rsidRPr="006D40F0" w:rsidRDefault="00575AC3" w:rsidP="006D40F0">
            <w:r w:rsidRPr="006D40F0">
              <w:t>26 774</w:t>
            </w:r>
          </w:p>
        </w:tc>
      </w:tr>
      <w:tr w:rsidR="00DD49A7" w:rsidRPr="006D40F0" w14:paraId="5EE9D6D2"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CEE8E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C933C0"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D348D4" w14:textId="77777777" w:rsidR="00575AC3" w:rsidRPr="006D40F0" w:rsidRDefault="00575AC3" w:rsidP="006D40F0">
            <w:r w:rsidRPr="006D40F0">
              <w:t xml:space="preserve">Tilskudd til voldsforebyggende tiltak mv., </w:t>
            </w:r>
            <w:r w:rsidRPr="00575AC3">
              <w:rPr>
                <w:rStyle w:val="kursiv"/>
              </w:rPr>
              <w:t>kan nyttes under post 21</w:t>
            </w:r>
            <w:r w:rsidRPr="006D40F0">
              <w:t xml:space="preserve"> </w:t>
            </w:r>
            <w:r w:rsidRPr="00575AC3">
              <w:rPr>
                <w:rStyle w:val="kursiv"/>
              </w:rPr>
              <w:t>og</w:t>
            </w:r>
            <w:r w:rsidRPr="006D40F0">
              <w:t xml:space="preserve"> </w:t>
            </w:r>
            <w:r w:rsidRPr="00575AC3">
              <w:rPr>
                <w:rStyle w:val="kursiv"/>
              </w:rPr>
              <w:t>post 61 og kap. 858,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9DE56C" w14:textId="77777777" w:rsidR="00575AC3" w:rsidRPr="006D40F0" w:rsidRDefault="00575AC3" w:rsidP="006D40F0">
            <w:r w:rsidRPr="006D40F0">
              <w:t>144 720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75C7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23215E"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3C859" w14:textId="77777777" w:rsidR="00575AC3" w:rsidRPr="006D40F0" w:rsidRDefault="00575AC3" w:rsidP="006D40F0">
            <w:r w:rsidRPr="006D40F0">
              <w:t>149 720</w:t>
            </w:r>
          </w:p>
        </w:tc>
      </w:tr>
      <w:tr w:rsidR="00DD49A7" w:rsidRPr="006D40F0" w14:paraId="32478F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E323FC" w14:textId="77777777" w:rsidR="00575AC3" w:rsidRPr="006D40F0" w:rsidRDefault="00575AC3" w:rsidP="006D40F0">
            <w:r w:rsidRPr="006D40F0">
              <w:t>843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E8516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8730CF" w14:textId="77777777" w:rsidR="00575AC3" w:rsidRPr="006D40F0" w:rsidRDefault="00575AC3" w:rsidP="006D40F0">
            <w:r w:rsidRPr="006D40F0">
              <w:t>Adopsjonsstøtte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859F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50B16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361C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BA547A" w14:textId="77777777" w:rsidR="00575AC3" w:rsidRPr="006D40F0" w:rsidRDefault="00575AC3" w:rsidP="006D40F0"/>
        </w:tc>
      </w:tr>
      <w:tr w:rsidR="00DD49A7" w:rsidRPr="006D40F0" w14:paraId="1753AB1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5D0B7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8EC6FA"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74355E" w14:textId="77777777" w:rsidR="00575AC3" w:rsidRPr="006D40F0" w:rsidRDefault="00575AC3" w:rsidP="006D40F0">
            <w:r w:rsidRPr="006D40F0">
              <w:t xml:space="preserve">Tilskudd til foreldre som adopterer barn fra utlandet,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03B1A" w14:textId="77777777" w:rsidR="00575AC3" w:rsidRPr="006D40F0" w:rsidRDefault="00575AC3" w:rsidP="006D40F0">
            <w:r w:rsidRPr="006D40F0">
              <w:t>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583A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BAA3C3" w14:textId="77777777" w:rsidR="00575AC3" w:rsidRPr="006D40F0" w:rsidRDefault="00575AC3" w:rsidP="006D40F0">
            <w:r w:rsidRPr="006D40F0">
              <w:t>-1 900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2923E9" w14:textId="77777777" w:rsidR="00575AC3" w:rsidRPr="006D40F0" w:rsidRDefault="00575AC3" w:rsidP="006D40F0">
            <w:r w:rsidRPr="006D40F0">
              <w:t>6 000</w:t>
            </w:r>
          </w:p>
        </w:tc>
      </w:tr>
      <w:tr w:rsidR="00DD49A7" w:rsidRPr="006D40F0" w14:paraId="1131EEB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D663BE" w14:textId="77777777" w:rsidR="00575AC3" w:rsidRPr="006D40F0" w:rsidRDefault="00575AC3" w:rsidP="006D40F0">
            <w:r w:rsidRPr="006D40F0">
              <w:t>844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BD758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5349B6" w14:textId="77777777" w:rsidR="00575AC3" w:rsidRPr="006D40F0" w:rsidRDefault="00575AC3" w:rsidP="006D40F0">
            <w:r w:rsidRPr="006D40F0">
              <w:t>Kontantstøtte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F9A6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12CEE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89FA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1AFCB" w14:textId="77777777" w:rsidR="00575AC3" w:rsidRPr="006D40F0" w:rsidRDefault="00575AC3" w:rsidP="006D40F0"/>
        </w:tc>
      </w:tr>
      <w:tr w:rsidR="00DD49A7" w:rsidRPr="006D40F0" w14:paraId="5CEDF98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39EBE0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EC5E6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EE1258" w14:textId="77777777" w:rsidR="00575AC3" w:rsidRPr="006D40F0" w:rsidRDefault="00575AC3" w:rsidP="006D40F0">
            <w:r w:rsidRPr="006D40F0">
              <w:t xml:space="preserve">Tilskudd,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42A903" w14:textId="77777777" w:rsidR="00575AC3" w:rsidRPr="006D40F0" w:rsidRDefault="00575AC3" w:rsidP="006D40F0">
            <w:r w:rsidRPr="006D40F0">
              <w:t>913 710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AB96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883C33" w14:textId="77777777" w:rsidR="00575AC3" w:rsidRPr="006D40F0" w:rsidRDefault="00575AC3" w:rsidP="006D40F0">
            <w:r w:rsidRPr="006D40F0">
              <w:t>6 290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7A53CE" w14:textId="77777777" w:rsidR="00575AC3" w:rsidRPr="006D40F0" w:rsidRDefault="00575AC3" w:rsidP="006D40F0">
            <w:r w:rsidRPr="006D40F0">
              <w:t>920 000</w:t>
            </w:r>
          </w:p>
        </w:tc>
      </w:tr>
      <w:tr w:rsidR="00DD49A7" w:rsidRPr="006D40F0" w14:paraId="1FB518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8A74E7" w14:textId="77777777" w:rsidR="00575AC3" w:rsidRPr="006D40F0" w:rsidRDefault="00575AC3" w:rsidP="006D40F0">
            <w:r w:rsidRPr="006D40F0">
              <w:t>845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B398F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00D7EE" w14:textId="77777777" w:rsidR="00575AC3" w:rsidRPr="006D40F0" w:rsidRDefault="00575AC3" w:rsidP="006D40F0">
            <w:r w:rsidRPr="006D40F0">
              <w:t>Barnetrygd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68C43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3D3EE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2656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9F412" w14:textId="77777777" w:rsidR="00575AC3" w:rsidRPr="006D40F0" w:rsidRDefault="00575AC3" w:rsidP="006D40F0"/>
        </w:tc>
      </w:tr>
      <w:tr w:rsidR="00DD49A7" w:rsidRPr="006D40F0" w14:paraId="57292B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7BB40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1B69CCF"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AA5504" w14:textId="77777777" w:rsidR="00575AC3" w:rsidRPr="006D40F0" w:rsidRDefault="00575AC3" w:rsidP="006D40F0">
            <w:r w:rsidRPr="006D40F0">
              <w:t xml:space="preserve">Tilskudd,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8C590D" w14:textId="77777777" w:rsidR="00575AC3" w:rsidRPr="006D40F0" w:rsidRDefault="00575AC3" w:rsidP="006D40F0">
            <w:r w:rsidRPr="006D40F0">
              <w:t>25 731 000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103B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95676" w14:textId="77777777" w:rsidR="00575AC3" w:rsidRPr="006D40F0" w:rsidRDefault="00575AC3" w:rsidP="006D40F0">
            <w:r w:rsidRPr="006D40F0">
              <w:t>-903 000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B6AD75" w14:textId="77777777" w:rsidR="00575AC3" w:rsidRPr="006D40F0" w:rsidRDefault="00575AC3" w:rsidP="006D40F0">
            <w:r w:rsidRPr="006D40F0">
              <w:t>24 828 000</w:t>
            </w:r>
          </w:p>
        </w:tc>
      </w:tr>
      <w:tr w:rsidR="00DD49A7" w:rsidRPr="006D40F0" w14:paraId="16D3F70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63CCD5" w14:textId="77777777" w:rsidR="00575AC3" w:rsidRPr="006D40F0" w:rsidRDefault="00575AC3" w:rsidP="006D40F0">
            <w:r w:rsidRPr="006D40F0">
              <w:t>854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B5F0C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E3D81D" w14:textId="77777777" w:rsidR="00575AC3" w:rsidRPr="006D40F0" w:rsidRDefault="00575AC3" w:rsidP="006D40F0">
            <w:r w:rsidRPr="006D40F0">
              <w:t>Tiltak i barne- og ungdomsvernet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E6C31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D78BF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0920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F5C48" w14:textId="77777777" w:rsidR="00575AC3" w:rsidRPr="006D40F0" w:rsidRDefault="00575AC3" w:rsidP="006D40F0"/>
        </w:tc>
      </w:tr>
      <w:tr w:rsidR="00DD49A7" w:rsidRPr="006D40F0" w14:paraId="1F76276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B9466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CDAD0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72AC2B"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3DF49" w14:textId="77777777" w:rsidR="00575AC3" w:rsidRPr="006D40F0" w:rsidRDefault="00575AC3" w:rsidP="006D40F0">
            <w:r w:rsidRPr="006D40F0">
              <w:t>53 045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D9E26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CFCFC1" w14:textId="77777777" w:rsidR="00575AC3" w:rsidRPr="006D40F0" w:rsidRDefault="00575AC3" w:rsidP="006D40F0">
            <w:r w:rsidRPr="006D40F0">
              <w:t>3 231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1F162" w14:textId="77777777" w:rsidR="00575AC3" w:rsidRPr="006D40F0" w:rsidRDefault="00575AC3" w:rsidP="006D40F0">
            <w:r w:rsidRPr="006D40F0">
              <w:t>56 276</w:t>
            </w:r>
          </w:p>
        </w:tc>
      </w:tr>
      <w:tr w:rsidR="00DD49A7" w:rsidRPr="006D40F0" w14:paraId="588A17C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D161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9613E4"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85C1A1" w14:textId="77777777" w:rsidR="00575AC3" w:rsidRPr="006D40F0" w:rsidRDefault="00575AC3" w:rsidP="006D40F0">
            <w:r w:rsidRPr="006D40F0">
              <w:t xml:space="preserve">Utvikling i kommunene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623958" w14:textId="77777777" w:rsidR="00575AC3" w:rsidRPr="006D40F0" w:rsidRDefault="00575AC3" w:rsidP="006D40F0">
            <w:r w:rsidRPr="006D40F0">
              <w:t>71 264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EC87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9DAC31" w14:textId="77777777" w:rsidR="00575AC3" w:rsidRPr="006D40F0" w:rsidRDefault="00575AC3" w:rsidP="006D40F0">
            <w:r w:rsidRPr="006D40F0">
              <w:t>-1 291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38C4B" w14:textId="77777777" w:rsidR="00575AC3" w:rsidRPr="006D40F0" w:rsidRDefault="00575AC3" w:rsidP="006D40F0">
            <w:r w:rsidRPr="006D40F0">
              <w:t>69 973</w:t>
            </w:r>
          </w:p>
        </w:tc>
      </w:tr>
      <w:tr w:rsidR="00DD49A7" w:rsidRPr="006D40F0" w14:paraId="22055B8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BFE55F" w14:textId="77777777" w:rsidR="00575AC3" w:rsidRPr="006D40F0" w:rsidRDefault="00575AC3" w:rsidP="006D40F0">
            <w:r w:rsidRPr="006D40F0">
              <w:t>855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CF357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421846" w14:textId="77777777" w:rsidR="00575AC3" w:rsidRPr="006D40F0" w:rsidRDefault="00575AC3" w:rsidP="006D40F0">
            <w:r w:rsidRPr="006D40F0">
              <w:t>Statlig forvaltning av barnevernet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A28A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7100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F73B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77878" w14:textId="77777777" w:rsidR="00575AC3" w:rsidRPr="006D40F0" w:rsidRDefault="00575AC3" w:rsidP="006D40F0"/>
        </w:tc>
      </w:tr>
      <w:tr w:rsidR="00DD49A7" w:rsidRPr="006D40F0" w14:paraId="2C478CE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950BE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F6902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05364F" w14:textId="77777777" w:rsidR="00575AC3" w:rsidRPr="006D40F0" w:rsidRDefault="00575AC3" w:rsidP="006D40F0">
            <w:r w:rsidRPr="006D40F0">
              <w:t xml:space="preserve">Driftsutgifter, </w:t>
            </w:r>
            <w:r w:rsidRPr="00575AC3">
              <w:rPr>
                <w:rStyle w:val="kursiv"/>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13E34" w14:textId="77777777" w:rsidR="00575AC3" w:rsidRPr="006D40F0" w:rsidRDefault="00575AC3" w:rsidP="006D40F0">
            <w:r w:rsidRPr="006D40F0">
              <w:t>4 518 812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BC31F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6ED10" w14:textId="77777777" w:rsidR="00575AC3" w:rsidRPr="006D40F0" w:rsidRDefault="00575AC3" w:rsidP="006D40F0">
            <w:r w:rsidRPr="006D40F0">
              <w:t>6 060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514818" w14:textId="77777777" w:rsidR="00575AC3" w:rsidRPr="006D40F0" w:rsidRDefault="00575AC3" w:rsidP="006D40F0">
            <w:r w:rsidRPr="006D40F0">
              <w:t>4 524 872</w:t>
            </w:r>
          </w:p>
        </w:tc>
      </w:tr>
      <w:tr w:rsidR="00DD49A7" w:rsidRPr="006D40F0" w14:paraId="6C27414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F6092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CA320D"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EEF37D" w14:textId="11F75658" w:rsidR="00575AC3" w:rsidRPr="006D40F0" w:rsidRDefault="00575AC3" w:rsidP="006D40F0">
            <w:r w:rsidRPr="006D40F0">
              <w:t>Kjøp av private barnevernstjenester,</w:t>
            </w:r>
            <w:r w:rsidR="006D40F0">
              <w:t xml:space="preserve"> </w:t>
            </w:r>
            <w:r w:rsidRPr="00575AC3">
              <w:rPr>
                <w:rStyle w:val="kursiv"/>
              </w:rPr>
              <w:t>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FE949" w14:textId="77777777" w:rsidR="00575AC3" w:rsidRPr="006D40F0" w:rsidRDefault="00575AC3" w:rsidP="006D40F0">
            <w:r w:rsidRPr="006D40F0">
              <w:t>3 576 857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A57E6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EFB419" w14:textId="77777777" w:rsidR="00575AC3" w:rsidRPr="006D40F0" w:rsidRDefault="00575AC3" w:rsidP="006D40F0">
            <w:r w:rsidRPr="006D40F0">
              <w:t>142 000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D0C21" w14:textId="77777777" w:rsidR="00575AC3" w:rsidRPr="006D40F0" w:rsidRDefault="00575AC3" w:rsidP="006D40F0">
            <w:r w:rsidRPr="006D40F0">
              <w:t>3 718 857</w:t>
            </w:r>
          </w:p>
        </w:tc>
      </w:tr>
      <w:tr w:rsidR="00DD49A7" w:rsidRPr="006D40F0" w14:paraId="5FC6130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0115B8" w14:textId="77777777" w:rsidR="00575AC3" w:rsidRPr="006D40F0" w:rsidRDefault="00575AC3" w:rsidP="006D40F0">
            <w:r w:rsidRPr="006D40F0">
              <w:t>856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AAF94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2AE76D" w14:textId="77777777" w:rsidR="00575AC3" w:rsidRPr="006D40F0" w:rsidRDefault="00575AC3" w:rsidP="006D40F0">
            <w:r w:rsidRPr="006D40F0">
              <w:t>Barnevernets omsorgssenter for enslige, mindreårige asylsøkere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FCFC2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62C09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3E2F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A7ADDE" w14:textId="77777777" w:rsidR="00575AC3" w:rsidRPr="006D40F0" w:rsidRDefault="00575AC3" w:rsidP="006D40F0"/>
        </w:tc>
      </w:tr>
      <w:tr w:rsidR="00DD49A7" w:rsidRPr="006D40F0" w14:paraId="3071A44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D6189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793EA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656D8C" w14:textId="77777777" w:rsidR="00575AC3" w:rsidRPr="006D40F0" w:rsidRDefault="00575AC3" w:rsidP="006D40F0">
            <w:r w:rsidRPr="006D40F0">
              <w:t xml:space="preserve">Driftsutgifter, </w:t>
            </w:r>
            <w:r w:rsidRPr="00575AC3">
              <w:rPr>
                <w:rStyle w:val="kursiv"/>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88EBD" w14:textId="77777777" w:rsidR="00575AC3" w:rsidRPr="006D40F0" w:rsidRDefault="00575AC3" w:rsidP="006D40F0">
            <w:r w:rsidRPr="006D40F0">
              <w:t>468 235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8E4A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93F33" w14:textId="77777777" w:rsidR="00575AC3" w:rsidRPr="006D40F0" w:rsidRDefault="00575AC3" w:rsidP="006D40F0">
            <w:r w:rsidRPr="006D40F0">
              <w:t>-318 493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AA61AA" w14:textId="77777777" w:rsidR="00575AC3" w:rsidRPr="006D40F0" w:rsidRDefault="00575AC3" w:rsidP="006D40F0">
            <w:r w:rsidRPr="006D40F0">
              <w:t>149 742</w:t>
            </w:r>
          </w:p>
        </w:tc>
      </w:tr>
      <w:tr w:rsidR="00DD49A7" w:rsidRPr="006D40F0" w14:paraId="0F7EA53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B90D6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4392FD"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6ACFB3" w14:textId="77777777" w:rsidR="00575AC3" w:rsidRPr="006D40F0" w:rsidRDefault="00575AC3" w:rsidP="006D40F0">
            <w:r w:rsidRPr="006D40F0">
              <w:t xml:space="preserve">Kjøp av plasser i private omsorgssentre, </w:t>
            </w:r>
            <w:r w:rsidRPr="00575AC3">
              <w:rPr>
                <w:rStyle w:val="kursiv"/>
              </w:rPr>
              <w:t>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AECD0F"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FD99C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0165B3" w14:textId="77777777" w:rsidR="00575AC3" w:rsidRPr="006D40F0" w:rsidRDefault="00575AC3" w:rsidP="006D40F0">
            <w:r w:rsidRPr="006D40F0">
              <w:t>338 184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A747EA" w14:textId="77777777" w:rsidR="00575AC3" w:rsidRPr="006D40F0" w:rsidRDefault="00575AC3" w:rsidP="006D40F0">
            <w:r w:rsidRPr="006D40F0">
              <w:t>338 184</w:t>
            </w:r>
          </w:p>
        </w:tc>
      </w:tr>
      <w:tr w:rsidR="00DD49A7" w:rsidRPr="006D40F0" w14:paraId="787E6B1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94F438" w14:textId="77777777" w:rsidR="00575AC3" w:rsidRPr="006D40F0" w:rsidRDefault="00575AC3" w:rsidP="006D40F0">
            <w:r w:rsidRPr="006D40F0">
              <w:t>858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69B58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65C3D3" w14:textId="77777777" w:rsidR="00575AC3" w:rsidRPr="006D40F0" w:rsidRDefault="00575AC3" w:rsidP="006D40F0">
            <w:r w:rsidRPr="006D40F0">
              <w:t>Barne-, ungdoms- og familiedirektoratet og fellesfunksjoner i Barne-, ungdoms- og familieetaten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64FF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05A5A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1782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B3148" w14:textId="77777777" w:rsidR="00575AC3" w:rsidRPr="006D40F0" w:rsidRDefault="00575AC3" w:rsidP="006D40F0"/>
        </w:tc>
      </w:tr>
      <w:tr w:rsidR="00DD49A7" w:rsidRPr="006D40F0" w14:paraId="04FAB2C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DEA28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0DDACE"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A8FC870"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91B9F" w14:textId="77777777" w:rsidR="00575AC3" w:rsidRPr="006D40F0" w:rsidRDefault="00575AC3" w:rsidP="006D40F0">
            <w:r w:rsidRPr="006D40F0">
              <w:t>651 388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757FA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FCC51"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3E0962" w14:textId="77777777" w:rsidR="00575AC3" w:rsidRPr="006D40F0" w:rsidRDefault="00575AC3" w:rsidP="006D40F0">
            <w:r w:rsidRPr="006D40F0">
              <w:t>652 388</w:t>
            </w:r>
          </w:p>
        </w:tc>
      </w:tr>
      <w:tr w:rsidR="00DD49A7" w:rsidRPr="006D40F0" w14:paraId="0457B6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A9E672" w14:textId="77777777" w:rsidR="00575AC3" w:rsidRPr="006D40F0" w:rsidRDefault="00575AC3" w:rsidP="006D40F0">
            <w:r w:rsidRPr="006D40F0">
              <w:lastRenderedPageBreak/>
              <w:t>868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FA6EF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7EF0FD" w14:textId="77777777" w:rsidR="00575AC3" w:rsidRPr="006D40F0" w:rsidRDefault="00575AC3" w:rsidP="006D40F0">
            <w:r w:rsidRPr="006D40F0">
              <w:t>Forbrukertilsynet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FE0C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F9F2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D9084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1FBB0D" w14:textId="77777777" w:rsidR="00575AC3" w:rsidRPr="006D40F0" w:rsidRDefault="00575AC3" w:rsidP="006D40F0"/>
        </w:tc>
      </w:tr>
      <w:tr w:rsidR="00DD49A7" w:rsidRPr="006D40F0" w14:paraId="620BB2D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F17E6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8BEEE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59869C"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8DF553" w14:textId="77777777" w:rsidR="00575AC3" w:rsidRPr="006D40F0" w:rsidRDefault="00575AC3" w:rsidP="006D40F0">
            <w:r w:rsidRPr="006D40F0">
              <w:t>134 849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09452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AE8E08"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8BB0D5" w14:textId="77777777" w:rsidR="00575AC3" w:rsidRPr="006D40F0" w:rsidRDefault="00575AC3" w:rsidP="006D40F0">
            <w:r w:rsidRPr="006D40F0">
              <w:t>136 349</w:t>
            </w:r>
          </w:p>
        </w:tc>
      </w:tr>
      <w:tr w:rsidR="00DD49A7" w:rsidRPr="006D40F0" w14:paraId="077DB9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D7FB27" w14:textId="77777777" w:rsidR="00575AC3" w:rsidRPr="006D40F0" w:rsidRDefault="00575AC3" w:rsidP="006D40F0">
            <w:r w:rsidRPr="006D40F0">
              <w:t>881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CAF15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997F47" w14:textId="77777777" w:rsidR="00575AC3" w:rsidRPr="006D40F0" w:rsidRDefault="00575AC3" w:rsidP="006D40F0">
            <w:r w:rsidRPr="006D40F0">
              <w:t>Tilskudd til trossamfunn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4BD8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8C6A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4ACFB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046ED" w14:textId="77777777" w:rsidR="00575AC3" w:rsidRPr="006D40F0" w:rsidRDefault="00575AC3" w:rsidP="006D40F0"/>
        </w:tc>
      </w:tr>
      <w:tr w:rsidR="00DD49A7" w:rsidRPr="006D40F0" w14:paraId="7399E5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32986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0CD4D0"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4CEC55" w14:textId="77777777" w:rsidR="00575AC3" w:rsidRPr="006D40F0" w:rsidRDefault="00575AC3" w:rsidP="006D40F0">
            <w:r w:rsidRPr="006D40F0">
              <w:t xml:space="preserve">Ymse faste 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133845" w14:textId="77777777" w:rsidR="00575AC3" w:rsidRPr="006D40F0" w:rsidRDefault="00575AC3" w:rsidP="006D40F0">
            <w:r w:rsidRPr="006D40F0">
              <w:t>17 761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627C2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4253F1"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B019E" w14:textId="77777777" w:rsidR="00575AC3" w:rsidRPr="006D40F0" w:rsidRDefault="00575AC3" w:rsidP="006D40F0">
            <w:r w:rsidRPr="006D40F0">
              <w:t>18 761</w:t>
            </w:r>
          </w:p>
        </w:tc>
      </w:tr>
      <w:tr w:rsidR="00DD49A7" w:rsidRPr="006D40F0" w14:paraId="48FBD8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0C675F" w14:textId="77777777" w:rsidR="00575AC3" w:rsidRPr="006D40F0" w:rsidRDefault="00575AC3" w:rsidP="006D40F0">
            <w:r w:rsidRPr="006D40F0">
              <w:t>882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E6A5C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722C98" w14:textId="77777777" w:rsidR="00575AC3" w:rsidRPr="006D40F0" w:rsidRDefault="00575AC3" w:rsidP="006D40F0">
            <w:r w:rsidRPr="006D40F0">
              <w:t>Kirkebygg og gravplasser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5754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10BEC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44CB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AFA93A" w14:textId="77777777" w:rsidR="00575AC3" w:rsidRPr="006D40F0" w:rsidRDefault="00575AC3" w:rsidP="006D40F0"/>
        </w:tc>
      </w:tr>
      <w:tr w:rsidR="00DD49A7" w:rsidRPr="006D40F0" w14:paraId="204B7BC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9A989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DBFCB2"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7A0279" w14:textId="2A60CA2A" w:rsidR="00575AC3" w:rsidRPr="006D40F0" w:rsidRDefault="00575AC3" w:rsidP="006D40F0">
            <w:r w:rsidRPr="006D40F0">
              <w:t>Rentekompensasjon – kirkebygg,</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D97AD" w14:textId="77777777" w:rsidR="00575AC3" w:rsidRPr="006D40F0" w:rsidRDefault="00575AC3" w:rsidP="006D40F0">
            <w:r w:rsidRPr="006D40F0">
              <w:t>111 497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098C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19DFF" w14:textId="77777777" w:rsidR="00575AC3" w:rsidRPr="006D40F0" w:rsidRDefault="00575AC3" w:rsidP="006D40F0">
            <w:r w:rsidRPr="006D40F0">
              <w:t>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373726" w14:textId="77777777" w:rsidR="00575AC3" w:rsidRPr="006D40F0" w:rsidRDefault="00575AC3" w:rsidP="006D40F0">
            <w:r w:rsidRPr="006D40F0">
              <w:t>119 497</w:t>
            </w:r>
          </w:p>
        </w:tc>
      </w:tr>
      <w:tr w:rsidR="00DD49A7" w:rsidRPr="006D40F0" w14:paraId="74E481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D86C5E" w14:textId="77777777" w:rsidR="00575AC3" w:rsidRPr="006D40F0" w:rsidRDefault="00575AC3" w:rsidP="006D40F0">
            <w:r w:rsidRPr="006D40F0">
              <w:t>883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C21B4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09D576C" w14:textId="77777777" w:rsidR="00575AC3" w:rsidRPr="006D40F0" w:rsidRDefault="00575AC3" w:rsidP="006D40F0">
            <w:r w:rsidRPr="006D40F0">
              <w:t>Kirkebevaringsfondet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FA1E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62E25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9167F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E3218" w14:textId="77777777" w:rsidR="00575AC3" w:rsidRPr="006D40F0" w:rsidRDefault="00575AC3" w:rsidP="006D40F0"/>
        </w:tc>
      </w:tr>
      <w:tr w:rsidR="00DD49A7" w:rsidRPr="006D40F0" w14:paraId="03BCAFC7"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493A4E"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4EB9B1" w14:textId="77777777" w:rsidR="00575AC3" w:rsidRPr="006D40F0" w:rsidRDefault="00575AC3" w:rsidP="006D40F0">
            <w:r w:rsidRPr="006D40F0">
              <w:t>60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036C924" w14:textId="77777777" w:rsidR="00575AC3" w:rsidRPr="006D40F0" w:rsidRDefault="00575AC3" w:rsidP="006D40F0">
            <w:r w:rsidRPr="006D40F0">
              <w:t xml:space="preserve">Tilskudd til kulturhistorisk verdifulle kirkebygg,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CF3E12" w14:textId="77777777" w:rsidR="00575AC3" w:rsidRPr="006D40F0" w:rsidRDefault="00575AC3" w:rsidP="006D40F0">
            <w:r w:rsidRPr="006D40F0">
              <w: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8D2A22"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961BEB" w14:textId="77777777" w:rsidR="00575AC3" w:rsidRPr="006D40F0" w:rsidRDefault="00575AC3" w:rsidP="006D40F0">
            <w:r w:rsidRPr="006D40F0">
              <w:t>100 000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B9B760" w14:textId="77777777" w:rsidR="00575AC3" w:rsidRPr="006D40F0" w:rsidRDefault="00575AC3" w:rsidP="006D40F0">
            <w:r w:rsidRPr="006D40F0">
              <w:t>100 000</w:t>
            </w:r>
          </w:p>
        </w:tc>
      </w:tr>
      <w:tr w:rsidR="00DD49A7" w:rsidRPr="006D40F0" w14:paraId="315328B1"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8B006DC" w14:textId="77777777" w:rsidR="00575AC3" w:rsidRPr="006D40F0" w:rsidRDefault="00575AC3" w:rsidP="006D40F0">
            <w:r w:rsidRPr="006D40F0">
              <w:t>Sum endringer Barne- og familiedepartementet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040E26"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9F94C1"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1A9EDB" w14:textId="77777777" w:rsidR="00575AC3" w:rsidRPr="006D40F0" w:rsidRDefault="00575AC3" w:rsidP="006D40F0">
            <w:r w:rsidRPr="006D40F0">
              <w:t>-617 419</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34D2362" w14:textId="77777777" w:rsidR="00575AC3" w:rsidRPr="006D40F0" w:rsidRDefault="00575AC3" w:rsidP="006D40F0"/>
        </w:tc>
      </w:tr>
      <w:tr w:rsidR="00DD49A7" w:rsidRPr="006D40F0" w14:paraId="1D062C9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4CC9B8" w14:textId="77777777" w:rsidR="00575AC3" w:rsidRPr="006D40F0" w:rsidRDefault="00575AC3" w:rsidP="006D40F0">
            <w:r w:rsidRPr="006D40F0">
              <w:t>900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E3734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C97588" w14:textId="77777777" w:rsidR="00575AC3" w:rsidRPr="006D40F0" w:rsidRDefault="00575AC3" w:rsidP="006D40F0">
            <w:r w:rsidRPr="006D40F0">
              <w:t>Nærings- og fiskeridepartementet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AEB1F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EC04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53325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BE350D" w14:textId="77777777" w:rsidR="00575AC3" w:rsidRPr="006D40F0" w:rsidRDefault="00575AC3" w:rsidP="006D40F0"/>
        </w:tc>
      </w:tr>
      <w:tr w:rsidR="00DD49A7" w:rsidRPr="006D40F0" w14:paraId="10EC831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E9298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EAA18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441D3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2EC39" w14:textId="77777777" w:rsidR="00575AC3" w:rsidRPr="006D40F0" w:rsidRDefault="00575AC3" w:rsidP="006D40F0">
            <w:r w:rsidRPr="006D40F0">
              <w:t>530 072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D4DF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45E3D" w14:textId="77777777" w:rsidR="00575AC3" w:rsidRPr="006D40F0" w:rsidRDefault="00575AC3" w:rsidP="006D40F0">
            <w:r w:rsidRPr="006D40F0">
              <w:t>-28 786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100068" w14:textId="77777777" w:rsidR="00575AC3" w:rsidRPr="006D40F0" w:rsidRDefault="00575AC3" w:rsidP="006D40F0">
            <w:r w:rsidRPr="006D40F0">
              <w:t>501 286</w:t>
            </w:r>
          </w:p>
        </w:tc>
      </w:tr>
      <w:tr w:rsidR="00DD49A7" w:rsidRPr="006D40F0" w14:paraId="3B1B36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6E56C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051F4A"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8E166D"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F2471" w14:textId="77777777" w:rsidR="00575AC3" w:rsidRPr="006D40F0" w:rsidRDefault="00575AC3" w:rsidP="006D40F0">
            <w:r w:rsidRPr="006D40F0">
              <w:t>71 855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602E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494715" w14:textId="77777777" w:rsidR="00575AC3" w:rsidRPr="006D40F0" w:rsidRDefault="00575AC3" w:rsidP="006D40F0">
            <w:r w:rsidRPr="006D40F0">
              <w:t>5 300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38C646" w14:textId="77777777" w:rsidR="00575AC3" w:rsidRPr="006D40F0" w:rsidRDefault="00575AC3" w:rsidP="006D40F0">
            <w:r w:rsidRPr="006D40F0">
              <w:t>77 155</w:t>
            </w:r>
          </w:p>
        </w:tc>
      </w:tr>
      <w:tr w:rsidR="00DD49A7" w:rsidRPr="006D40F0" w14:paraId="4D23B6A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06F33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AD6498"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5F8C601" w14:textId="77777777" w:rsidR="00575AC3" w:rsidRPr="006D40F0" w:rsidRDefault="00575AC3" w:rsidP="006D40F0">
            <w:r w:rsidRPr="006D40F0">
              <w:t xml:space="preserve">Nukleære utredninger og prosjektledelse,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D0E357" w14:textId="77777777" w:rsidR="00575AC3" w:rsidRPr="006D40F0" w:rsidRDefault="00575AC3" w:rsidP="006D40F0">
            <w:r w:rsidRPr="006D40F0">
              <w:t>7 060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E455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5FD8E" w14:textId="77777777" w:rsidR="00575AC3" w:rsidRPr="006D40F0" w:rsidRDefault="00575AC3" w:rsidP="006D40F0">
            <w:r w:rsidRPr="006D40F0">
              <w:t>-7 060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FD1538" w14:textId="77777777" w:rsidR="00575AC3" w:rsidRPr="006D40F0" w:rsidRDefault="00575AC3" w:rsidP="006D40F0">
            <w:r w:rsidRPr="006D40F0">
              <w:t>0</w:t>
            </w:r>
          </w:p>
        </w:tc>
      </w:tr>
      <w:tr w:rsidR="00DD49A7" w:rsidRPr="006D40F0" w14:paraId="7035923F"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22C5B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07B4ED"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DB4D1D3" w14:textId="77777777" w:rsidR="00575AC3" w:rsidRPr="006D40F0" w:rsidRDefault="00575AC3" w:rsidP="006D40F0">
            <w:r w:rsidRPr="006D40F0">
              <w:t xml:space="preserve">Spesielle driftsutgifter til administrasjon av statlig garantiordning for lån til små og mellomstore bedrifter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24A71"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EB32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3AF05A" w14:textId="77777777" w:rsidR="00575AC3" w:rsidRPr="006D40F0" w:rsidRDefault="00575AC3" w:rsidP="006D40F0">
            <w:r w:rsidRPr="006D40F0">
              <w:t>5 310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36DBC" w14:textId="77777777" w:rsidR="00575AC3" w:rsidRPr="006D40F0" w:rsidRDefault="00575AC3" w:rsidP="006D40F0">
            <w:r w:rsidRPr="006D40F0">
              <w:t>5 310</w:t>
            </w:r>
          </w:p>
        </w:tc>
      </w:tr>
      <w:tr w:rsidR="00DD49A7" w:rsidRPr="006D40F0" w14:paraId="12AAE2D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3869A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39314F" w14:textId="77777777" w:rsidR="00575AC3" w:rsidRPr="006D40F0" w:rsidRDefault="00575AC3" w:rsidP="006D40F0">
            <w:r w:rsidRPr="006D40F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2258C27" w14:textId="77777777" w:rsidR="00575AC3" w:rsidRPr="006D40F0" w:rsidRDefault="00575AC3" w:rsidP="006D40F0">
            <w:r w:rsidRPr="006D40F0">
              <w:t xml:space="preserve">Drift og forvaltning av kompensasjonsordninger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E6F95" w14:textId="77777777" w:rsidR="00575AC3" w:rsidRPr="006D40F0" w:rsidRDefault="00575AC3" w:rsidP="006D40F0">
            <w:r w:rsidRPr="006D40F0">
              <w:t>16 042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8BA8E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BADEA"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ABB77B" w14:textId="77777777" w:rsidR="00575AC3" w:rsidRPr="006D40F0" w:rsidRDefault="00575AC3" w:rsidP="006D40F0">
            <w:r w:rsidRPr="006D40F0">
              <w:t>12 042</w:t>
            </w:r>
          </w:p>
        </w:tc>
      </w:tr>
      <w:tr w:rsidR="00DD49A7" w:rsidRPr="006D40F0" w14:paraId="06BDB01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CD475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37C54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971BDD" w14:textId="77777777" w:rsidR="00575AC3" w:rsidRPr="006D40F0" w:rsidRDefault="00575AC3" w:rsidP="006D40F0">
            <w:r w:rsidRPr="006D40F0">
              <w:t xml:space="preserve">Tilskudd til internasjonale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4D18A" w14:textId="77777777" w:rsidR="00575AC3" w:rsidRPr="006D40F0" w:rsidRDefault="00575AC3" w:rsidP="006D40F0">
            <w:r w:rsidRPr="006D40F0">
              <w:t>48 000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7765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303CD" w14:textId="77777777" w:rsidR="00575AC3" w:rsidRPr="006D40F0" w:rsidRDefault="00575AC3" w:rsidP="006D40F0">
            <w:r w:rsidRPr="006D40F0">
              <w:t>10 500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F5AB69" w14:textId="77777777" w:rsidR="00575AC3" w:rsidRPr="006D40F0" w:rsidRDefault="00575AC3" w:rsidP="006D40F0">
            <w:r w:rsidRPr="006D40F0">
              <w:t>58 500</w:t>
            </w:r>
          </w:p>
        </w:tc>
      </w:tr>
      <w:tr w:rsidR="00DD49A7" w:rsidRPr="006D40F0" w14:paraId="7C13DE0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1A21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88CFD8"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9A4757" w14:textId="77777777" w:rsidR="00575AC3" w:rsidRPr="006D40F0" w:rsidRDefault="00575AC3" w:rsidP="006D40F0">
            <w:r w:rsidRPr="006D40F0">
              <w:t xml:space="preserve">Miljøtiltak Raufoss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AFC574" w14:textId="77777777" w:rsidR="00575AC3" w:rsidRPr="006D40F0" w:rsidRDefault="00575AC3" w:rsidP="006D40F0">
            <w:r w:rsidRPr="006D40F0">
              <w:t>2 600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36956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0DAAD2" w14:textId="77777777" w:rsidR="00575AC3" w:rsidRPr="006D40F0" w:rsidRDefault="00575AC3" w:rsidP="006D40F0">
            <w:r w:rsidRPr="006D40F0">
              <w:t>4 500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5EE214" w14:textId="77777777" w:rsidR="00575AC3" w:rsidRPr="006D40F0" w:rsidRDefault="00575AC3" w:rsidP="006D40F0">
            <w:r w:rsidRPr="006D40F0">
              <w:t>7 100</w:t>
            </w:r>
          </w:p>
        </w:tc>
      </w:tr>
      <w:tr w:rsidR="00DD49A7" w:rsidRPr="006D40F0" w14:paraId="5234F35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3A68D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D420DF"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FDEA05" w14:textId="39DA394C" w:rsidR="00575AC3" w:rsidRPr="006D40F0" w:rsidRDefault="00575AC3" w:rsidP="006D40F0">
            <w:r w:rsidRPr="006D40F0">
              <w:t>Tilskudd til særskilte prosjekter,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07A7F2" w14:textId="77777777" w:rsidR="00575AC3" w:rsidRPr="006D40F0" w:rsidRDefault="00575AC3" w:rsidP="006D40F0">
            <w:r w:rsidRPr="006D40F0">
              <w:t>20 534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C2B87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2CA1D9"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9E722" w14:textId="77777777" w:rsidR="00575AC3" w:rsidRPr="006D40F0" w:rsidRDefault="00575AC3" w:rsidP="006D40F0">
            <w:r w:rsidRPr="006D40F0">
              <w:t>17 534</w:t>
            </w:r>
          </w:p>
        </w:tc>
      </w:tr>
      <w:tr w:rsidR="00DD49A7" w:rsidRPr="006D40F0" w14:paraId="076D995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694C4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9FB4DA"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E9FB78" w14:textId="77777777" w:rsidR="00575AC3" w:rsidRPr="006D40F0" w:rsidRDefault="00575AC3" w:rsidP="006D40F0">
            <w:r w:rsidRPr="006D40F0">
              <w:t xml:space="preserve">Midlertidig kompensasjonsordning for foretak med stort omsetningsfall som følge av koronapandemien,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0F022"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8EB0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DE2A8"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D22D2" w14:textId="77777777" w:rsidR="00575AC3" w:rsidRPr="006D40F0" w:rsidRDefault="00575AC3" w:rsidP="006D40F0">
            <w:r w:rsidRPr="006D40F0">
              <w:t>5 000</w:t>
            </w:r>
          </w:p>
        </w:tc>
      </w:tr>
      <w:tr w:rsidR="00DD49A7" w:rsidRPr="006D40F0" w14:paraId="04E9F7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9FC020" w14:textId="77777777" w:rsidR="00575AC3" w:rsidRPr="006D40F0" w:rsidRDefault="00575AC3" w:rsidP="006D40F0">
            <w:r w:rsidRPr="006D40F0">
              <w:t>903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9A3D3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2BBD59" w14:textId="77777777" w:rsidR="00575AC3" w:rsidRPr="006D40F0" w:rsidRDefault="00575AC3" w:rsidP="006D40F0">
            <w:r w:rsidRPr="006D40F0">
              <w:t>Norsk akkreditering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0BF30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6F20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3040C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1CF4A" w14:textId="77777777" w:rsidR="00575AC3" w:rsidRPr="006D40F0" w:rsidRDefault="00575AC3" w:rsidP="006D40F0"/>
        </w:tc>
      </w:tr>
      <w:tr w:rsidR="00DD49A7" w:rsidRPr="006D40F0" w14:paraId="24669E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D4CDA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E2CA3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B73DF6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DE980" w14:textId="77777777" w:rsidR="00575AC3" w:rsidRPr="006D40F0" w:rsidRDefault="00575AC3" w:rsidP="006D40F0">
            <w:r w:rsidRPr="006D40F0">
              <w:t>65 050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3BC2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56DAAC"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FC789" w14:textId="77777777" w:rsidR="00575AC3" w:rsidRPr="006D40F0" w:rsidRDefault="00575AC3" w:rsidP="006D40F0">
            <w:r w:rsidRPr="006D40F0">
              <w:t>68 050</w:t>
            </w:r>
          </w:p>
        </w:tc>
      </w:tr>
      <w:tr w:rsidR="00DD49A7" w:rsidRPr="006D40F0" w14:paraId="5DE74AB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D966CA" w14:textId="77777777" w:rsidR="00575AC3" w:rsidRPr="006D40F0" w:rsidRDefault="00575AC3" w:rsidP="006D40F0">
            <w:r w:rsidRPr="006D40F0">
              <w:t>904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49120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454452" w14:textId="77777777" w:rsidR="00575AC3" w:rsidRPr="006D40F0" w:rsidRDefault="00575AC3" w:rsidP="006D40F0">
            <w:r w:rsidRPr="006D40F0">
              <w:t>Brønnøysundregistrene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5AFD5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4EC1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D2C64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DCFBC" w14:textId="77777777" w:rsidR="00575AC3" w:rsidRPr="006D40F0" w:rsidRDefault="00575AC3" w:rsidP="006D40F0"/>
        </w:tc>
      </w:tr>
      <w:tr w:rsidR="00DD49A7" w:rsidRPr="006D40F0" w14:paraId="0C1D2DE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2B470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4F74A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3B50F0"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CBCFC" w14:textId="77777777" w:rsidR="00575AC3" w:rsidRPr="006D40F0" w:rsidRDefault="00575AC3" w:rsidP="006D40F0">
            <w:r w:rsidRPr="006D40F0">
              <w:t>508 000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AF96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F70F6" w14:textId="77777777" w:rsidR="00575AC3" w:rsidRPr="006D40F0" w:rsidRDefault="00575AC3" w:rsidP="006D40F0">
            <w:r w:rsidRPr="006D40F0">
              <w:t>1 900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D6734" w14:textId="77777777" w:rsidR="00575AC3" w:rsidRPr="006D40F0" w:rsidRDefault="00575AC3" w:rsidP="006D40F0">
            <w:r w:rsidRPr="006D40F0">
              <w:t>509 900</w:t>
            </w:r>
          </w:p>
        </w:tc>
      </w:tr>
      <w:tr w:rsidR="00DD49A7" w:rsidRPr="006D40F0" w14:paraId="1EF78B7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77B6A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A66760"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D8B7C0"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0E0D7B" w14:textId="77777777" w:rsidR="00575AC3" w:rsidRPr="006D40F0" w:rsidRDefault="00575AC3" w:rsidP="006D40F0">
            <w:r w:rsidRPr="006D40F0">
              <w:t>77 700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7DB2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F8590" w14:textId="77777777" w:rsidR="00575AC3" w:rsidRPr="006D40F0" w:rsidRDefault="00575AC3" w:rsidP="006D40F0">
            <w:r w:rsidRPr="006D40F0">
              <w:t>14 271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3E511" w14:textId="77777777" w:rsidR="00575AC3" w:rsidRPr="006D40F0" w:rsidRDefault="00575AC3" w:rsidP="006D40F0">
            <w:r w:rsidRPr="006D40F0">
              <w:t>91 971</w:t>
            </w:r>
          </w:p>
        </w:tc>
      </w:tr>
      <w:tr w:rsidR="00DD49A7" w:rsidRPr="006D40F0" w14:paraId="23B0C10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AE9A0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585FDA"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620F75"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7A623" w14:textId="77777777" w:rsidR="00575AC3" w:rsidRPr="006D40F0" w:rsidRDefault="00575AC3" w:rsidP="006D40F0">
            <w:r w:rsidRPr="006D40F0">
              <w:t>243 563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D741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4C6FD9" w14:textId="77777777" w:rsidR="00575AC3" w:rsidRPr="006D40F0" w:rsidRDefault="00575AC3" w:rsidP="006D40F0">
            <w:r w:rsidRPr="006D40F0">
              <w:t>-30 600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6BC6A7" w14:textId="77777777" w:rsidR="00575AC3" w:rsidRPr="006D40F0" w:rsidRDefault="00575AC3" w:rsidP="006D40F0">
            <w:r w:rsidRPr="006D40F0">
              <w:t>212 963</w:t>
            </w:r>
          </w:p>
        </w:tc>
      </w:tr>
      <w:tr w:rsidR="00DD49A7" w:rsidRPr="006D40F0" w14:paraId="52E7945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E9BA2D" w14:textId="77777777" w:rsidR="00575AC3" w:rsidRPr="006D40F0" w:rsidRDefault="00575AC3" w:rsidP="006D40F0">
            <w:r w:rsidRPr="006D40F0">
              <w:t>907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98369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746FA5" w14:textId="77777777" w:rsidR="00575AC3" w:rsidRPr="006D40F0" w:rsidRDefault="00575AC3" w:rsidP="006D40F0">
            <w:r w:rsidRPr="006D40F0">
              <w:t>Norsk nukleær dekommisjonering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BC66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27903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D3B74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B65A8" w14:textId="77777777" w:rsidR="00575AC3" w:rsidRPr="006D40F0" w:rsidRDefault="00575AC3" w:rsidP="006D40F0"/>
        </w:tc>
      </w:tr>
      <w:tr w:rsidR="00DD49A7" w:rsidRPr="006D40F0" w14:paraId="666F137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3334F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847DCA"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DA8AD8"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0D5FDB" w14:textId="77777777" w:rsidR="00575AC3" w:rsidRPr="006D40F0" w:rsidRDefault="00575AC3" w:rsidP="006D40F0">
            <w:r w:rsidRPr="006D40F0">
              <w:t>504 200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310C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863CF" w14:textId="77777777" w:rsidR="00575AC3" w:rsidRPr="006D40F0" w:rsidRDefault="00575AC3" w:rsidP="006D40F0">
            <w:r w:rsidRPr="006D40F0">
              <w:t>-40 000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29E626" w14:textId="77777777" w:rsidR="00575AC3" w:rsidRPr="006D40F0" w:rsidRDefault="00575AC3" w:rsidP="006D40F0">
            <w:r w:rsidRPr="006D40F0">
              <w:t>464 200</w:t>
            </w:r>
          </w:p>
        </w:tc>
      </w:tr>
      <w:tr w:rsidR="00DD49A7" w:rsidRPr="006D40F0" w14:paraId="3274D1F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4BEB3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8B9564" w14:textId="77777777" w:rsidR="00575AC3" w:rsidRPr="006D40F0" w:rsidRDefault="00575AC3" w:rsidP="006D40F0">
            <w:r w:rsidRPr="006D40F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EEF331" w14:textId="77777777" w:rsidR="00575AC3" w:rsidRPr="006D40F0" w:rsidRDefault="00575AC3" w:rsidP="006D40F0">
            <w:r w:rsidRPr="006D40F0">
              <w:t xml:space="preserve">Opprydding </w:t>
            </w:r>
            <w:proofErr w:type="spellStart"/>
            <w:r w:rsidRPr="006D40F0">
              <w:t>Søve</w:t>
            </w:r>
            <w:proofErr w:type="spellEnd"/>
            <w:r w:rsidRPr="006D40F0">
              <w:t xml:space="preserv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F4A525" w14:textId="77777777" w:rsidR="00575AC3" w:rsidRPr="006D40F0" w:rsidRDefault="00575AC3" w:rsidP="006D40F0">
            <w:r w:rsidRPr="006D40F0">
              <w:t>35 000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0708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98EC90"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B83924" w14:textId="77777777" w:rsidR="00575AC3" w:rsidRPr="006D40F0" w:rsidRDefault="00575AC3" w:rsidP="006D40F0">
            <w:r w:rsidRPr="006D40F0">
              <w:t>20 000</w:t>
            </w:r>
          </w:p>
        </w:tc>
      </w:tr>
      <w:tr w:rsidR="00DD49A7" w:rsidRPr="006D40F0" w14:paraId="7CB6D0C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A82AA1" w14:textId="77777777" w:rsidR="00575AC3" w:rsidRPr="006D40F0" w:rsidRDefault="00575AC3" w:rsidP="006D40F0">
            <w:r w:rsidRPr="006D40F0">
              <w:t>908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782EE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ACAB56" w14:textId="77777777" w:rsidR="00575AC3" w:rsidRPr="006D40F0" w:rsidRDefault="00575AC3" w:rsidP="006D40F0">
            <w:r w:rsidRPr="006D40F0">
              <w:t>Institutt for energiteknikk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5E46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87F4F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CC43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0B684" w14:textId="77777777" w:rsidR="00575AC3" w:rsidRPr="006D40F0" w:rsidRDefault="00575AC3" w:rsidP="006D40F0"/>
        </w:tc>
      </w:tr>
      <w:tr w:rsidR="00DD49A7" w:rsidRPr="006D40F0" w14:paraId="66D42F5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75231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CEE78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949078" w14:textId="77777777" w:rsidR="00575AC3" w:rsidRPr="006D40F0" w:rsidRDefault="00575AC3" w:rsidP="006D40F0">
            <w:r w:rsidRPr="006D40F0">
              <w:t xml:space="preserve">Tilskudd til drift av atomanlegg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6F315" w14:textId="77777777" w:rsidR="00575AC3" w:rsidRPr="006D40F0" w:rsidRDefault="00575AC3" w:rsidP="006D40F0">
            <w:r w:rsidRPr="006D40F0">
              <w:t>415 395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83BE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EED80"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A2683" w14:textId="77777777" w:rsidR="00575AC3" w:rsidRPr="006D40F0" w:rsidRDefault="00575AC3" w:rsidP="006D40F0">
            <w:r w:rsidRPr="006D40F0">
              <w:t>420 395</w:t>
            </w:r>
          </w:p>
        </w:tc>
      </w:tr>
      <w:tr w:rsidR="00DD49A7" w:rsidRPr="006D40F0" w14:paraId="3ADDA3D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297FA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12784A"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9D9442" w14:textId="77777777" w:rsidR="00575AC3" w:rsidRPr="006D40F0" w:rsidRDefault="00575AC3" w:rsidP="006D40F0">
            <w:r w:rsidRPr="006D40F0">
              <w:t xml:space="preserve">Tilskudd til sikring av atomanlegg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4D9EF7" w14:textId="77777777" w:rsidR="00575AC3" w:rsidRPr="006D40F0" w:rsidRDefault="00575AC3" w:rsidP="006D40F0">
            <w:r w:rsidRPr="006D40F0">
              <w:t>49 259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D82E4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4AE71" w14:textId="77777777" w:rsidR="00575AC3" w:rsidRPr="006D40F0" w:rsidRDefault="00575AC3" w:rsidP="006D40F0">
            <w:r w:rsidRPr="006D40F0">
              <w:t>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4EB90" w14:textId="77777777" w:rsidR="00575AC3" w:rsidRPr="006D40F0" w:rsidRDefault="00575AC3" w:rsidP="006D40F0">
            <w:r w:rsidRPr="006D40F0">
              <w:t>57 259</w:t>
            </w:r>
          </w:p>
        </w:tc>
      </w:tr>
      <w:tr w:rsidR="00DD49A7" w:rsidRPr="006D40F0" w14:paraId="343E175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E44A1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FB81BD"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AD15A4" w14:textId="77777777" w:rsidR="00575AC3" w:rsidRPr="006D40F0" w:rsidRDefault="00575AC3" w:rsidP="006D40F0">
            <w:r w:rsidRPr="006D40F0">
              <w:t xml:space="preserve">Lån til flytting av laboratorier og infrastruktur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3F03A" w14:textId="77777777" w:rsidR="00575AC3" w:rsidRPr="006D40F0" w:rsidRDefault="00575AC3" w:rsidP="006D40F0">
            <w:r w:rsidRPr="006D40F0">
              <w:t>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384A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C52BF2" w14:textId="77777777" w:rsidR="00575AC3" w:rsidRPr="006D40F0" w:rsidRDefault="00575AC3" w:rsidP="006D40F0">
            <w:r w:rsidRPr="006D40F0">
              <w:t>-45 000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3D9F9" w14:textId="77777777" w:rsidR="00575AC3" w:rsidRPr="006D40F0" w:rsidRDefault="00575AC3" w:rsidP="006D40F0">
            <w:r w:rsidRPr="006D40F0">
              <w:t>35 000</w:t>
            </w:r>
          </w:p>
        </w:tc>
      </w:tr>
      <w:tr w:rsidR="00DD49A7" w:rsidRPr="006D40F0" w14:paraId="1A58985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128EC4" w14:textId="77777777" w:rsidR="00575AC3" w:rsidRPr="006D40F0" w:rsidRDefault="00575AC3" w:rsidP="006D40F0">
            <w:r w:rsidRPr="006D40F0">
              <w:t>909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FBE27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2B292C" w14:textId="77777777" w:rsidR="00575AC3" w:rsidRPr="006D40F0" w:rsidRDefault="00575AC3" w:rsidP="006D40F0">
            <w:r w:rsidRPr="006D40F0">
              <w:t>Tiltak for sysselsetting av sjøfolk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D75D3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1F035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CFA84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666F5" w14:textId="77777777" w:rsidR="00575AC3" w:rsidRPr="006D40F0" w:rsidRDefault="00575AC3" w:rsidP="006D40F0"/>
        </w:tc>
      </w:tr>
      <w:tr w:rsidR="00DD49A7" w:rsidRPr="006D40F0" w14:paraId="1DC3CE4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D8816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E8BFFB"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19D42F" w14:textId="1B185AF2" w:rsidR="00575AC3" w:rsidRPr="006D40F0" w:rsidRDefault="00575AC3" w:rsidP="006D40F0">
            <w:r w:rsidRPr="006D40F0">
              <w:t>Tilskudd til sysselsetting av sjøfolk,</w:t>
            </w:r>
            <w:r w:rsidR="006D40F0">
              <w:t xml:space="preserv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EDB3F1" w14:textId="77777777" w:rsidR="00575AC3" w:rsidRPr="006D40F0" w:rsidRDefault="00575AC3" w:rsidP="006D40F0">
            <w:r w:rsidRPr="006D40F0">
              <w:t>2 410 000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1CE61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B4D4E8" w14:textId="77777777" w:rsidR="00575AC3" w:rsidRPr="006D40F0" w:rsidRDefault="00575AC3" w:rsidP="006D40F0">
            <w:r w:rsidRPr="006D40F0">
              <w:t>-44 000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58911C" w14:textId="77777777" w:rsidR="00575AC3" w:rsidRPr="006D40F0" w:rsidRDefault="00575AC3" w:rsidP="006D40F0">
            <w:r w:rsidRPr="006D40F0">
              <w:t>2 366 000</w:t>
            </w:r>
          </w:p>
        </w:tc>
      </w:tr>
      <w:tr w:rsidR="00DD49A7" w:rsidRPr="006D40F0" w14:paraId="370342B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CDD508" w14:textId="77777777" w:rsidR="00575AC3" w:rsidRPr="006D40F0" w:rsidRDefault="00575AC3" w:rsidP="006D40F0">
            <w:r w:rsidRPr="006D40F0">
              <w:t>912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72802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DAC2A52" w14:textId="77777777" w:rsidR="00575AC3" w:rsidRPr="006D40F0" w:rsidRDefault="00575AC3" w:rsidP="006D40F0">
            <w:r w:rsidRPr="006D40F0">
              <w:t>Klagenemndssekretariatet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E05BC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2F141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305A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9DD50D" w14:textId="77777777" w:rsidR="00575AC3" w:rsidRPr="006D40F0" w:rsidRDefault="00575AC3" w:rsidP="006D40F0"/>
        </w:tc>
      </w:tr>
      <w:tr w:rsidR="00DD49A7" w:rsidRPr="006D40F0" w14:paraId="1DF0BB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225A9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FA27FA"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DC627C"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AFF86"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E96E4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969C5" w14:textId="77777777" w:rsidR="00575AC3" w:rsidRPr="006D40F0" w:rsidRDefault="00575AC3" w:rsidP="006D40F0">
            <w:r w:rsidRPr="006D40F0">
              <w:t>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B96B0" w14:textId="77777777" w:rsidR="00575AC3" w:rsidRPr="006D40F0" w:rsidRDefault="00575AC3" w:rsidP="006D40F0">
            <w:r w:rsidRPr="006D40F0">
              <w:t>200</w:t>
            </w:r>
          </w:p>
        </w:tc>
      </w:tr>
      <w:tr w:rsidR="00DD49A7" w:rsidRPr="006D40F0" w14:paraId="1D3B3FD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6537DA" w14:textId="77777777" w:rsidR="00575AC3" w:rsidRPr="006D40F0" w:rsidRDefault="00575AC3" w:rsidP="006D40F0">
            <w:r w:rsidRPr="006D40F0">
              <w:t>916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1C831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DE85A3" w14:textId="77777777" w:rsidR="00575AC3" w:rsidRPr="006D40F0" w:rsidRDefault="00575AC3" w:rsidP="006D40F0">
            <w:r w:rsidRPr="006D40F0">
              <w:t>Kystverket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B9AE7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669C3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4B2E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0A448" w14:textId="77777777" w:rsidR="00575AC3" w:rsidRPr="006D40F0" w:rsidRDefault="00575AC3" w:rsidP="006D40F0"/>
        </w:tc>
      </w:tr>
      <w:tr w:rsidR="00DD49A7" w:rsidRPr="006D40F0" w14:paraId="24EA3BF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0DD5B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CD359B"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8E70E0" w14:textId="77777777" w:rsidR="00575AC3" w:rsidRPr="006D40F0" w:rsidRDefault="00575AC3" w:rsidP="006D40F0">
            <w:r w:rsidRPr="006D40F0">
              <w:t xml:space="preserve">Driftsutgifter, </w:t>
            </w:r>
            <w:r w:rsidRPr="00575AC3">
              <w:rPr>
                <w:rStyle w:val="kursiv"/>
              </w:rPr>
              <w:t>kan nyttes under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CF4B3" w14:textId="77777777" w:rsidR="00575AC3" w:rsidRPr="006D40F0" w:rsidRDefault="00575AC3" w:rsidP="006D40F0">
            <w:r w:rsidRPr="006D40F0">
              <w:t>1 155 600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461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5EEA41" w14:textId="77777777" w:rsidR="00575AC3" w:rsidRPr="006D40F0" w:rsidRDefault="00575AC3" w:rsidP="006D40F0">
            <w:r w:rsidRPr="006D40F0">
              <w:t>44 413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DB374" w14:textId="77777777" w:rsidR="00575AC3" w:rsidRPr="006D40F0" w:rsidRDefault="00575AC3" w:rsidP="006D40F0">
            <w:r w:rsidRPr="006D40F0">
              <w:t>1 200 013</w:t>
            </w:r>
          </w:p>
        </w:tc>
      </w:tr>
      <w:tr w:rsidR="00DD49A7" w:rsidRPr="006D40F0" w14:paraId="0A094B4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0A350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A0913A"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F02F71" w14:textId="77777777" w:rsidR="00575AC3" w:rsidRPr="006D40F0" w:rsidRDefault="00575AC3" w:rsidP="006D40F0">
            <w:r w:rsidRPr="006D40F0">
              <w:t xml:space="preserve">Driftsutgifter brukerfinansierte tjenester, </w:t>
            </w:r>
            <w:r w:rsidRPr="00575AC3">
              <w:rPr>
                <w:rStyle w:val="kursiv"/>
              </w:rPr>
              <w:t>kan overføres, kan nyttes under post 46</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58E5ED" w14:textId="77777777" w:rsidR="00575AC3" w:rsidRPr="006D40F0" w:rsidRDefault="00575AC3" w:rsidP="006D40F0">
            <w:r w:rsidRPr="006D40F0">
              <w:t>1 050 434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9BA2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7F43D" w14:textId="77777777" w:rsidR="00575AC3" w:rsidRPr="006D40F0" w:rsidRDefault="00575AC3" w:rsidP="006D40F0">
            <w:r w:rsidRPr="006D40F0">
              <w:t>132 200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1A239" w14:textId="77777777" w:rsidR="00575AC3" w:rsidRPr="006D40F0" w:rsidRDefault="00575AC3" w:rsidP="006D40F0">
            <w:r w:rsidRPr="006D40F0">
              <w:t>1 182 634</w:t>
            </w:r>
          </w:p>
        </w:tc>
      </w:tr>
      <w:tr w:rsidR="00DD49A7" w:rsidRPr="006D40F0" w14:paraId="6AFDD44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99FC8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7A5636"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4A16CF" w14:textId="77777777" w:rsidR="00575AC3" w:rsidRPr="006D40F0" w:rsidRDefault="00575AC3" w:rsidP="006D40F0">
            <w:r w:rsidRPr="006D40F0">
              <w:t xml:space="preserve">Større utstyrsanskaffelser og vedlikehold, </w:t>
            </w:r>
            <w:r w:rsidRPr="00575AC3">
              <w:rPr>
                <w:rStyle w:val="kursiv"/>
              </w:rPr>
              <w:t>kan overføres, kan nyttes under post 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59B7BA" w14:textId="77777777" w:rsidR="00575AC3" w:rsidRPr="006D40F0" w:rsidRDefault="00575AC3" w:rsidP="006D40F0">
            <w:r w:rsidRPr="006D40F0">
              <w:t>191 479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EA1AB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0F7E2C" w14:textId="77777777" w:rsidR="00575AC3" w:rsidRPr="006D40F0" w:rsidRDefault="00575AC3" w:rsidP="006D40F0">
            <w:r w:rsidRPr="006D40F0">
              <w:t>9 800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6857D2" w14:textId="77777777" w:rsidR="00575AC3" w:rsidRPr="006D40F0" w:rsidRDefault="00575AC3" w:rsidP="006D40F0">
            <w:r w:rsidRPr="006D40F0">
              <w:t>201 279</w:t>
            </w:r>
          </w:p>
        </w:tc>
      </w:tr>
      <w:tr w:rsidR="00DD49A7" w:rsidRPr="006D40F0" w14:paraId="44F9399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C48799" w14:textId="77777777" w:rsidR="00575AC3" w:rsidRPr="006D40F0" w:rsidRDefault="00575AC3" w:rsidP="006D40F0">
            <w:r w:rsidRPr="006D40F0">
              <w:t>917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92C53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A561AC" w14:textId="77777777" w:rsidR="00575AC3" w:rsidRPr="006D40F0" w:rsidRDefault="00575AC3" w:rsidP="006D40F0">
            <w:r w:rsidRPr="006D40F0">
              <w:t>Fiskeridirektoratet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0B2E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C940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C77BE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A1375" w14:textId="77777777" w:rsidR="00575AC3" w:rsidRPr="006D40F0" w:rsidRDefault="00575AC3" w:rsidP="006D40F0"/>
        </w:tc>
      </w:tr>
      <w:tr w:rsidR="00DD49A7" w:rsidRPr="006D40F0" w14:paraId="5017A33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23E1C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9A3DE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469FBD"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6AEC0D" w14:textId="77777777" w:rsidR="00575AC3" w:rsidRPr="006D40F0" w:rsidRDefault="00575AC3" w:rsidP="006D40F0">
            <w:r w:rsidRPr="006D40F0">
              <w:t>499 900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E99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751167" w14:textId="77777777" w:rsidR="00575AC3" w:rsidRPr="006D40F0" w:rsidRDefault="00575AC3" w:rsidP="006D40F0">
            <w:r w:rsidRPr="006D40F0">
              <w:t>6 270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297FC6" w14:textId="77777777" w:rsidR="00575AC3" w:rsidRPr="006D40F0" w:rsidRDefault="00575AC3" w:rsidP="006D40F0">
            <w:r w:rsidRPr="006D40F0">
              <w:t>506 170</w:t>
            </w:r>
          </w:p>
        </w:tc>
      </w:tr>
      <w:tr w:rsidR="00DD49A7" w:rsidRPr="006D40F0" w14:paraId="3FF4B34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DDA8C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3A1E4A5"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CD4071" w14:textId="267C5A60" w:rsidR="00575AC3" w:rsidRPr="006D40F0" w:rsidRDefault="00575AC3" w:rsidP="006D40F0">
            <w:r w:rsidRPr="006D40F0">
              <w:t>Fiskeriforskning og -overvåking,</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2E193A" w14:textId="77777777" w:rsidR="00575AC3" w:rsidRPr="006D40F0" w:rsidRDefault="00575AC3" w:rsidP="006D40F0">
            <w:r w:rsidRPr="006D40F0">
              <w:t>127 900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8A884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C080E" w14:textId="77777777" w:rsidR="00575AC3" w:rsidRPr="006D40F0" w:rsidRDefault="00575AC3" w:rsidP="006D40F0">
            <w:r w:rsidRPr="006D40F0">
              <w:t>6 600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EDD441" w14:textId="77777777" w:rsidR="00575AC3" w:rsidRPr="006D40F0" w:rsidRDefault="00575AC3" w:rsidP="006D40F0">
            <w:r w:rsidRPr="006D40F0">
              <w:t>134 500</w:t>
            </w:r>
          </w:p>
        </w:tc>
      </w:tr>
      <w:tr w:rsidR="00DD49A7" w:rsidRPr="006D40F0" w14:paraId="2FD389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8E99C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ADA80D"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14EF3C" w14:textId="77777777" w:rsidR="00575AC3" w:rsidRPr="006D40F0" w:rsidRDefault="00575AC3" w:rsidP="006D40F0">
            <w:r w:rsidRPr="006D40F0">
              <w:t xml:space="preserve">Prisråd for havbruk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ABBF3"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9030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56A9A" w14:textId="77777777" w:rsidR="00575AC3" w:rsidRPr="006D40F0" w:rsidRDefault="00575AC3" w:rsidP="006D40F0">
            <w:r w:rsidRPr="006D40F0">
              <w:t>12 900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747A0" w14:textId="77777777" w:rsidR="00575AC3" w:rsidRPr="006D40F0" w:rsidRDefault="00575AC3" w:rsidP="006D40F0">
            <w:r w:rsidRPr="006D40F0">
              <w:t>12 900</w:t>
            </w:r>
          </w:p>
        </w:tc>
      </w:tr>
      <w:tr w:rsidR="00DD49A7" w:rsidRPr="006D40F0" w14:paraId="616C832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3C014B" w14:textId="77777777" w:rsidR="00575AC3" w:rsidRPr="006D40F0" w:rsidRDefault="00575AC3" w:rsidP="006D40F0">
            <w:r w:rsidRPr="006D40F0">
              <w:t>919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0A85D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CBD8303" w14:textId="77777777" w:rsidR="00575AC3" w:rsidRPr="006D40F0" w:rsidRDefault="00575AC3" w:rsidP="006D40F0">
            <w:r w:rsidRPr="006D40F0">
              <w:t>Diverse fiskeriformål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57F83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DAF03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F10D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65A22" w14:textId="77777777" w:rsidR="00575AC3" w:rsidRPr="006D40F0" w:rsidRDefault="00575AC3" w:rsidP="006D40F0"/>
        </w:tc>
      </w:tr>
      <w:tr w:rsidR="00DD49A7" w:rsidRPr="006D40F0" w14:paraId="69E8826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F0168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9C3A91"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7F8F24" w14:textId="77777777" w:rsidR="00575AC3" w:rsidRPr="006D40F0" w:rsidRDefault="00575AC3" w:rsidP="006D40F0">
            <w:r w:rsidRPr="006D40F0">
              <w:t xml:space="preserve">Tilskudd til kommuner og fylkeskommuner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30FFA" w14:textId="77777777" w:rsidR="00575AC3" w:rsidRPr="006D40F0" w:rsidRDefault="00575AC3" w:rsidP="006D40F0">
            <w:r w:rsidRPr="006D40F0">
              <w:t>1 197 000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8B0A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8CDCEA" w14:textId="77777777" w:rsidR="00575AC3" w:rsidRPr="006D40F0" w:rsidRDefault="00575AC3" w:rsidP="006D40F0">
            <w:r w:rsidRPr="006D40F0">
              <w:t>1 954 500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3E157" w14:textId="77777777" w:rsidR="00575AC3" w:rsidRPr="006D40F0" w:rsidRDefault="00575AC3" w:rsidP="006D40F0">
            <w:r w:rsidRPr="006D40F0">
              <w:t>3 151 500</w:t>
            </w:r>
          </w:p>
        </w:tc>
      </w:tr>
      <w:tr w:rsidR="00DD49A7" w:rsidRPr="006D40F0" w14:paraId="63FA05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DF5AF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B0E93A"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F044D1" w14:textId="77777777" w:rsidR="00575AC3" w:rsidRPr="006D40F0" w:rsidRDefault="00575AC3" w:rsidP="006D40F0">
            <w:r w:rsidRPr="006D40F0">
              <w:t xml:space="preserve">Tilskudd til fiskeriforskning,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CCB63" w14:textId="77777777" w:rsidR="00575AC3" w:rsidRPr="006D40F0" w:rsidRDefault="00575AC3" w:rsidP="006D40F0">
            <w:r w:rsidRPr="006D40F0">
              <w:t>7 300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63570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0F6F81" w14:textId="77777777" w:rsidR="00575AC3" w:rsidRPr="006D40F0" w:rsidRDefault="00575AC3" w:rsidP="006D40F0">
            <w:r w:rsidRPr="006D40F0">
              <w:t>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358347" w14:textId="77777777" w:rsidR="00575AC3" w:rsidRPr="006D40F0" w:rsidRDefault="00575AC3" w:rsidP="006D40F0">
            <w:r w:rsidRPr="006D40F0">
              <w:t>7 700</w:t>
            </w:r>
          </w:p>
        </w:tc>
      </w:tr>
      <w:tr w:rsidR="00DD49A7" w:rsidRPr="006D40F0" w14:paraId="30054F8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ABF6E9" w14:textId="77777777" w:rsidR="00575AC3" w:rsidRPr="006D40F0" w:rsidRDefault="00575AC3" w:rsidP="006D40F0">
            <w:r w:rsidRPr="006D40F0">
              <w:t>920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2BF86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2E44967" w14:textId="77777777" w:rsidR="00575AC3" w:rsidRPr="006D40F0" w:rsidRDefault="00575AC3" w:rsidP="006D40F0">
            <w:r w:rsidRPr="006D40F0">
              <w:t>Norges forskningsråd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0B5A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A6B61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38C8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41062" w14:textId="77777777" w:rsidR="00575AC3" w:rsidRPr="006D40F0" w:rsidRDefault="00575AC3" w:rsidP="006D40F0"/>
        </w:tc>
      </w:tr>
      <w:tr w:rsidR="00DD49A7" w:rsidRPr="006D40F0" w14:paraId="5C41DF2D"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C9A6C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109A08"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F1E80B" w14:textId="77777777" w:rsidR="00575AC3" w:rsidRPr="006D40F0" w:rsidRDefault="00575AC3" w:rsidP="006D40F0">
            <w:r w:rsidRPr="006D40F0">
              <w:t xml:space="preserve">Tilskudd til næringsrettet forskning og grunnbevilgning til teknisk-industrielle institutter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5FBE3F" w14:textId="77777777" w:rsidR="00575AC3" w:rsidRPr="006D40F0" w:rsidRDefault="00575AC3" w:rsidP="006D40F0">
            <w:r w:rsidRPr="006D40F0">
              <w:t>1 652 000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123EF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67FE5" w14:textId="77777777" w:rsidR="00575AC3" w:rsidRPr="006D40F0" w:rsidRDefault="00575AC3" w:rsidP="006D40F0">
            <w:r w:rsidRPr="006D40F0">
              <w:t>-7 200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6538D4" w14:textId="77777777" w:rsidR="00575AC3" w:rsidRPr="006D40F0" w:rsidRDefault="00575AC3" w:rsidP="006D40F0">
            <w:r w:rsidRPr="006D40F0">
              <w:t>1 644 800</w:t>
            </w:r>
          </w:p>
        </w:tc>
      </w:tr>
      <w:tr w:rsidR="00DD49A7" w:rsidRPr="006D40F0" w14:paraId="6047240A"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1BAA1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59585F"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A025CD" w14:textId="77777777" w:rsidR="00575AC3" w:rsidRPr="006D40F0" w:rsidRDefault="00575AC3" w:rsidP="006D40F0">
            <w:r w:rsidRPr="006D40F0">
              <w:t xml:space="preserve">Tilskudd til marin og maritim forskning og grunnbevilgning til primærnæringsinstitutter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D71BE4" w14:textId="77777777" w:rsidR="00575AC3" w:rsidRPr="006D40F0" w:rsidRDefault="00575AC3" w:rsidP="006D40F0">
            <w:r w:rsidRPr="006D40F0">
              <w:t>611 500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55BB5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FE2D4" w14:textId="77777777" w:rsidR="00575AC3" w:rsidRPr="006D40F0" w:rsidRDefault="00575AC3" w:rsidP="006D40F0">
            <w:r w:rsidRPr="006D40F0">
              <w:t>-2 800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AD8EAC" w14:textId="77777777" w:rsidR="00575AC3" w:rsidRPr="006D40F0" w:rsidRDefault="00575AC3" w:rsidP="006D40F0">
            <w:r w:rsidRPr="006D40F0">
              <w:t>608 700</w:t>
            </w:r>
          </w:p>
        </w:tc>
      </w:tr>
      <w:tr w:rsidR="00DD49A7" w:rsidRPr="006D40F0" w14:paraId="47F9EFF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3E7F62" w14:textId="77777777" w:rsidR="00575AC3" w:rsidRPr="006D40F0" w:rsidRDefault="00575AC3" w:rsidP="006D40F0">
            <w:r w:rsidRPr="006D40F0">
              <w:t>922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A98DB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AEB1BF" w14:textId="77777777" w:rsidR="00575AC3" w:rsidRPr="006D40F0" w:rsidRDefault="00575AC3" w:rsidP="006D40F0">
            <w:r w:rsidRPr="006D40F0">
              <w:t>Romvirksomhet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E5C76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206EA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42A0A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A6DFB" w14:textId="77777777" w:rsidR="00575AC3" w:rsidRPr="006D40F0" w:rsidRDefault="00575AC3" w:rsidP="006D40F0"/>
        </w:tc>
      </w:tr>
      <w:tr w:rsidR="00DD49A7" w:rsidRPr="006D40F0" w14:paraId="1D26A18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773F3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C08662"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F024F0" w14:textId="77777777" w:rsidR="00575AC3" w:rsidRPr="00D74A52" w:rsidRDefault="00575AC3" w:rsidP="006D40F0">
            <w:pPr>
              <w:rPr>
                <w:lang w:val="en-GB"/>
              </w:rPr>
            </w:pPr>
            <w:proofErr w:type="spellStart"/>
            <w:r w:rsidRPr="00D74A52">
              <w:rPr>
                <w:lang w:val="en-GB"/>
              </w:rPr>
              <w:t>Kontingent</w:t>
            </w:r>
            <w:proofErr w:type="spellEnd"/>
            <w:r w:rsidRPr="00D74A52">
              <w:rPr>
                <w:lang w:val="en-GB"/>
              </w:rPr>
              <w:t xml:space="preserve"> </w:t>
            </w:r>
            <w:proofErr w:type="spellStart"/>
            <w:r w:rsidRPr="00D74A52">
              <w:rPr>
                <w:lang w:val="en-GB"/>
              </w:rPr>
              <w:t>i</w:t>
            </w:r>
            <w:proofErr w:type="spellEnd"/>
            <w:r w:rsidRPr="00D74A52">
              <w:rPr>
                <w:lang w:val="en-GB"/>
              </w:rPr>
              <w:t xml:space="preserve"> European Space Agency (ESA)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C5BBAA" w14:textId="77777777" w:rsidR="00575AC3" w:rsidRPr="006D40F0" w:rsidRDefault="00575AC3" w:rsidP="006D40F0">
            <w:r w:rsidRPr="006D40F0">
              <w:t>291 400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BD569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036E0" w14:textId="77777777" w:rsidR="00575AC3" w:rsidRPr="006D40F0" w:rsidRDefault="00575AC3" w:rsidP="006D40F0">
            <w:r w:rsidRPr="006D40F0">
              <w:t>-24 930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5FC8D" w14:textId="77777777" w:rsidR="00575AC3" w:rsidRPr="006D40F0" w:rsidRDefault="00575AC3" w:rsidP="006D40F0">
            <w:r w:rsidRPr="006D40F0">
              <w:t>266 470</w:t>
            </w:r>
          </w:p>
        </w:tc>
      </w:tr>
      <w:tr w:rsidR="00DD49A7" w:rsidRPr="006D40F0" w14:paraId="40F703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0EF4D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D36BD7"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DCF6A4" w14:textId="77777777" w:rsidR="00575AC3" w:rsidRPr="006D40F0" w:rsidRDefault="00575AC3" w:rsidP="006D40F0">
            <w:r w:rsidRPr="006D40F0">
              <w:t xml:space="preserve">Internasjonal romvirksomhet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EEBBC1" w14:textId="77777777" w:rsidR="00575AC3" w:rsidRPr="006D40F0" w:rsidRDefault="00575AC3" w:rsidP="006D40F0">
            <w:r w:rsidRPr="006D40F0">
              <w:t>642 400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A5D49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8CFCF" w14:textId="77777777" w:rsidR="00575AC3" w:rsidRPr="006D40F0" w:rsidRDefault="00575AC3" w:rsidP="006D40F0">
            <w:r w:rsidRPr="006D40F0">
              <w:t>-133 800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A9322F" w14:textId="77777777" w:rsidR="00575AC3" w:rsidRPr="006D40F0" w:rsidRDefault="00575AC3" w:rsidP="006D40F0">
            <w:r w:rsidRPr="006D40F0">
              <w:t>508 600</w:t>
            </w:r>
          </w:p>
        </w:tc>
      </w:tr>
      <w:tr w:rsidR="00DD49A7" w:rsidRPr="006D40F0" w14:paraId="1F3875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5A8BD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B2CCC9"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66F828" w14:textId="77777777" w:rsidR="00575AC3" w:rsidRPr="006D40F0" w:rsidRDefault="00575AC3" w:rsidP="006D40F0">
            <w:r w:rsidRPr="006D40F0">
              <w:t xml:space="preserve">EUs romprogrammer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B1F1F" w14:textId="77777777" w:rsidR="00575AC3" w:rsidRPr="006D40F0" w:rsidRDefault="00575AC3" w:rsidP="006D40F0">
            <w:r w:rsidRPr="006D40F0">
              <w:t>886 700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F5ED9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7662F" w14:textId="77777777" w:rsidR="00575AC3" w:rsidRPr="006D40F0" w:rsidRDefault="00575AC3" w:rsidP="006D40F0">
            <w:r w:rsidRPr="006D40F0">
              <w:t>-62 300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7EDBE" w14:textId="77777777" w:rsidR="00575AC3" w:rsidRPr="006D40F0" w:rsidRDefault="00575AC3" w:rsidP="006D40F0">
            <w:r w:rsidRPr="006D40F0">
              <w:t>824 400</w:t>
            </w:r>
          </w:p>
        </w:tc>
      </w:tr>
      <w:tr w:rsidR="00DD49A7" w:rsidRPr="006D40F0" w14:paraId="50D7145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047E2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682C2E"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73B946" w14:textId="77777777" w:rsidR="00575AC3" w:rsidRPr="006D40F0" w:rsidRDefault="00575AC3" w:rsidP="006D40F0">
            <w:r w:rsidRPr="006D40F0">
              <w:t xml:space="preserve">Nasjonal infrastruktur og tekniske aktiviteter,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7A718" w14:textId="77777777" w:rsidR="00575AC3" w:rsidRPr="006D40F0" w:rsidRDefault="00575AC3" w:rsidP="006D40F0">
            <w:r w:rsidRPr="006D40F0">
              <w:t>133 221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2168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5694C7"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96736E" w14:textId="77777777" w:rsidR="00575AC3" w:rsidRPr="006D40F0" w:rsidRDefault="00575AC3" w:rsidP="006D40F0">
            <w:r w:rsidRPr="006D40F0">
              <w:t>128 221</w:t>
            </w:r>
          </w:p>
        </w:tc>
      </w:tr>
      <w:tr w:rsidR="00DD49A7" w:rsidRPr="006D40F0" w14:paraId="3E121559"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33E4C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DBC52F"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288CB1" w14:textId="77777777" w:rsidR="00575AC3" w:rsidRPr="006D40F0" w:rsidRDefault="00575AC3" w:rsidP="006D40F0">
            <w:r w:rsidRPr="006D40F0">
              <w:t xml:space="preserve">Tilskuddsordning tilknyttet nasjonalt senter for jordobservasjon i Tromsø,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AA3C70"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DD823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DA00DA"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5F88DA" w14:textId="77777777" w:rsidR="00575AC3" w:rsidRPr="006D40F0" w:rsidRDefault="00575AC3" w:rsidP="006D40F0">
            <w:r w:rsidRPr="006D40F0">
              <w:t>5 000</w:t>
            </w:r>
          </w:p>
        </w:tc>
      </w:tr>
      <w:tr w:rsidR="00DD49A7" w:rsidRPr="006D40F0" w14:paraId="0302752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C9BE70" w14:textId="77777777" w:rsidR="00575AC3" w:rsidRPr="006D40F0" w:rsidRDefault="00575AC3" w:rsidP="006D40F0">
            <w:r w:rsidRPr="006D40F0">
              <w:t>923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9BB6F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C7DBC2" w14:textId="77777777" w:rsidR="00575AC3" w:rsidRPr="006D40F0" w:rsidRDefault="00575AC3" w:rsidP="006D40F0">
            <w:r w:rsidRPr="006D40F0">
              <w:t>Havforskningsinstituttet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465EC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E756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D9943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176ECD" w14:textId="77777777" w:rsidR="00575AC3" w:rsidRPr="006D40F0" w:rsidRDefault="00575AC3" w:rsidP="006D40F0"/>
        </w:tc>
      </w:tr>
      <w:tr w:rsidR="00DD49A7" w:rsidRPr="006D40F0" w14:paraId="7F326ED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5457D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BABFAF"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584842" w14:textId="25EDCEFF" w:rsidR="00575AC3" w:rsidRPr="006D40F0" w:rsidRDefault="00575AC3" w:rsidP="006D40F0">
            <w:r w:rsidRPr="006D40F0">
              <w:t>Fiskeriforskning og -overvåking,</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D8E1D9" w14:textId="77777777" w:rsidR="00575AC3" w:rsidRPr="006D40F0" w:rsidRDefault="00575AC3" w:rsidP="006D40F0">
            <w:r w:rsidRPr="006D40F0">
              <w:t>230 200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5CFB7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75EC3" w14:textId="77777777" w:rsidR="00575AC3" w:rsidRPr="006D40F0" w:rsidRDefault="00575AC3" w:rsidP="006D40F0">
            <w:r w:rsidRPr="006D40F0">
              <w:t>11 800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6B65F0" w14:textId="77777777" w:rsidR="00575AC3" w:rsidRPr="006D40F0" w:rsidRDefault="00575AC3" w:rsidP="006D40F0">
            <w:r w:rsidRPr="006D40F0">
              <w:t>242 000</w:t>
            </w:r>
          </w:p>
        </w:tc>
      </w:tr>
      <w:tr w:rsidR="00DD49A7" w:rsidRPr="006D40F0" w14:paraId="22CCC0D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D33952" w14:textId="77777777" w:rsidR="00575AC3" w:rsidRPr="006D40F0" w:rsidRDefault="00575AC3" w:rsidP="006D40F0">
            <w:r w:rsidRPr="006D40F0">
              <w:t>926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4AEB8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39C991" w14:textId="77777777" w:rsidR="00575AC3" w:rsidRPr="006D40F0" w:rsidRDefault="00575AC3" w:rsidP="006D40F0">
            <w:r w:rsidRPr="006D40F0">
              <w:t>Havforskningsinstituttet, forskningsfartøy</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6BCB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331E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ED21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1DE450" w14:textId="77777777" w:rsidR="00575AC3" w:rsidRPr="006D40F0" w:rsidRDefault="00575AC3" w:rsidP="006D40F0"/>
        </w:tc>
      </w:tr>
      <w:tr w:rsidR="00DD49A7" w:rsidRPr="006D40F0" w14:paraId="4D3801D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0F6BB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A37935"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6DD585"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5457A"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67445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B4BFF4" w14:textId="77777777" w:rsidR="00575AC3" w:rsidRPr="006D40F0" w:rsidRDefault="00575AC3" w:rsidP="006D40F0">
            <w:r w:rsidRPr="006D40F0">
              <w:t>4 100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34B607" w14:textId="77777777" w:rsidR="00575AC3" w:rsidRPr="006D40F0" w:rsidRDefault="00575AC3" w:rsidP="006D40F0">
            <w:r w:rsidRPr="006D40F0">
              <w:t>4 100</w:t>
            </w:r>
          </w:p>
        </w:tc>
      </w:tr>
      <w:tr w:rsidR="00DD49A7" w:rsidRPr="006D40F0" w14:paraId="3219F3D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AB39AB" w14:textId="77777777" w:rsidR="00575AC3" w:rsidRPr="006D40F0" w:rsidRDefault="00575AC3" w:rsidP="006D40F0">
            <w:r w:rsidRPr="006D40F0">
              <w:t>928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D0478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553AB2" w14:textId="77777777" w:rsidR="00575AC3" w:rsidRPr="006D40F0" w:rsidRDefault="00575AC3" w:rsidP="006D40F0">
            <w:r w:rsidRPr="006D40F0">
              <w:t>Annen marin forskning og utvikling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B9960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D82C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4FE0C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EA76D" w14:textId="77777777" w:rsidR="00575AC3" w:rsidRPr="006D40F0" w:rsidRDefault="00575AC3" w:rsidP="006D40F0"/>
        </w:tc>
      </w:tr>
      <w:tr w:rsidR="00DD49A7" w:rsidRPr="006D40F0" w14:paraId="0B30E0B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AC408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33F7B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BB43487"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4FE64D" w14:textId="77777777" w:rsidR="00575AC3" w:rsidRPr="006D40F0" w:rsidRDefault="00575AC3" w:rsidP="006D40F0">
            <w:r w:rsidRPr="006D40F0">
              <w:t>38 100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42E7D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53B6F"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5F5BC" w14:textId="77777777" w:rsidR="00575AC3" w:rsidRPr="006D40F0" w:rsidRDefault="00575AC3" w:rsidP="006D40F0">
            <w:r w:rsidRPr="006D40F0">
              <w:t>43 100</w:t>
            </w:r>
          </w:p>
        </w:tc>
      </w:tr>
      <w:tr w:rsidR="00DD49A7" w:rsidRPr="006D40F0" w14:paraId="2D0CA45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28FDBB" w14:textId="77777777" w:rsidR="00575AC3" w:rsidRPr="006D40F0" w:rsidRDefault="00575AC3" w:rsidP="006D40F0">
            <w:r w:rsidRPr="006D40F0">
              <w:t>935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9AD7F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5B3B73" w14:textId="77777777" w:rsidR="00575AC3" w:rsidRPr="006D40F0" w:rsidRDefault="00575AC3" w:rsidP="006D40F0">
            <w:r w:rsidRPr="006D40F0">
              <w:t>Patentstyret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04912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407D7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1A66A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E1948D" w14:textId="77777777" w:rsidR="00575AC3" w:rsidRPr="006D40F0" w:rsidRDefault="00575AC3" w:rsidP="006D40F0"/>
        </w:tc>
      </w:tr>
      <w:tr w:rsidR="00DD49A7" w:rsidRPr="006D40F0" w14:paraId="6747F7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0868A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A3B57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759E86"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4F6408" w14:textId="77777777" w:rsidR="00575AC3" w:rsidRPr="006D40F0" w:rsidRDefault="00575AC3" w:rsidP="006D40F0">
            <w:r w:rsidRPr="006D40F0">
              <w:t>338 500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BD493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AEB9AB" w14:textId="77777777" w:rsidR="00575AC3" w:rsidRPr="006D40F0" w:rsidRDefault="00575AC3" w:rsidP="006D40F0">
            <w:r w:rsidRPr="006D40F0">
              <w:t>4 500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15A42B" w14:textId="77777777" w:rsidR="00575AC3" w:rsidRPr="006D40F0" w:rsidRDefault="00575AC3" w:rsidP="006D40F0">
            <w:r w:rsidRPr="006D40F0">
              <w:t>343 000</w:t>
            </w:r>
          </w:p>
        </w:tc>
      </w:tr>
      <w:tr w:rsidR="00DD49A7" w:rsidRPr="006D40F0" w14:paraId="2C4F18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F4F9C4" w14:textId="77777777" w:rsidR="00575AC3" w:rsidRPr="006D40F0" w:rsidRDefault="00575AC3" w:rsidP="006D40F0">
            <w:r w:rsidRPr="006D40F0">
              <w:t>950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1EB93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B3FA66" w14:textId="77777777" w:rsidR="00575AC3" w:rsidRPr="006D40F0" w:rsidRDefault="00575AC3" w:rsidP="006D40F0">
            <w:r w:rsidRPr="006D40F0">
              <w:t>Forvaltning av statlig eierskap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9F43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3AE80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42CB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94FA31" w14:textId="77777777" w:rsidR="00575AC3" w:rsidRPr="006D40F0" w:rsidRDefault="00575AC3" w:rsidP="006D40F0"/>
        </w:tc>
      </w:tr>
      <w:tr w:rsidR="00DD49A7" w:rsidRPr="006D40F0" w14:paraId="2950DA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5C38F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0168CA" w14:textId="77777777" w:rsidR="00575AC3" w:rsidRPr="006D40F0" w:rsidRDefault="00575AC3" w:rsidP="006D40F0">
            <w:r w:rsidRPr="006D40F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1DF54F" w14:textId="77777777" w:rsidR="00575AC3" w:rsidRPr="006D40F0" w:rsidRDefault="00575AC3" w:rsidP="006D40F0">
            <w:r w:rsidRPr="006D40F0">
              <w:t xml:space="preserve">Aksjer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8AF2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43D0F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397B9" w14:textId="77777777" w:rsidR="00575AC3" w:rsidRPr="006D40F0" w:rsidRDefault="00575AC3" w:rsidP="006D40F0">
            <w:r w:rsidRPr="006D40F0">
              <w:t>250 000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D07CCF" w14:textId="77777777" w:rsidR="00575AC3" w:rsidRPr="006D40F0" w:rsidRDefault="00575AC3" w:rsidP="006D40F0">
            <w:r w:rsidRPr="006D40F0">
              <w:t>250 000</w:t>
            </w:r>
          </w:p>
        </w:tc>
      </w:tr>
      <w:tr w:rsidR="00DD49A7" w:rsidRPr="006D40F0" w14:paraId="2CE38A3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DD4CC2" w14:textId="77777777" w:rsidR="00575AC3" w:rsidRPr="006D40F0" w:rsidRDefault="00575AC3" w:rsidP="006D40F0">
            <w:r w:rsidRPr="006D40F0">
              <w:t>951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D679C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0AB630" w14:textId="77777777" w:rsidR="00575AC3" w:rsidRPr="006D40F0" w:rsidRDefault="00575AC3" w:rsidP="006D40F0">
            <w:r w:rsidRPr="006D40F0">
              <w:t>Store Norske Spitsbergen Kulkompani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C22B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CB65D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EFA3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A2F024" w14:textId="77777777" w:rsidR="00575AC3" w:rsidRPr="006D40F0" w:rsidRDefault="00575AC3" w:rsidP="006D40F0"/>
        </w:tc>
      </w:tr>
      <w:tr w:rsidR="00DD49A7" w:rsidRPr="006D40F0" w14:paraId="37766C8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394FF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BDB297"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790800" w14:textId="77777777" w:rsidR="00575AC3" w:rsidRPr="006D40F0" w:rsidRDefault="00575AC3" w:rsidP="006D40F0">
            <w:r w:rsidRPr="006D40F0">
              <w:t xml:space="preserve">Lån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4A3DF"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F5A8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C0056B" w14:textId="77777777" w:rsidR="00575AC3" w:rsidRPr="006D40F0" w:rsidRDefault="00575AC3" w:rsidP="006D40F0">
            <w:r w:rsidRPr="006D40F0">
              <w:t>130 000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CABC5" w14:textId="77777777" w:rsidR="00575AC3" w:rsidRPr="006D40F0" w:rsidRDefault="00575AC3" w:rsidP="006D40F0">
            <w:r w:rsidRPr="006D40F0">
              <w:t>130 000</w:t>
            </w:r>
          </w:p>
        </w:tc>
      </w:tr>
      <w:tr w:rsidR="00DD49A7" w:rsidRPr="006D40F0" w14:paraId="15AB39E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2D2C5C" w14:textId="77777777" w:rsidR="00575AC3" w:rsidRPr="006D40F0" w:rsidRDefault="00575AC3" w:rsidP="006D40F0">
            <w:r w:rsidRPr="006D40F0">
              <w:t>952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0BB8A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B8132B" w14:textId="77777777" w:rsidR="00575AC3" w:rsidRPr="006D40F0" w:rsidRDefault="00575AC3" w:rsidP="006D40F0">
            <w:proofErr w:type="spellStart"/>
            <w:r w:rsidRPr="006D40F0">
              <w:t>Investinor</w:t>
            </w:r>
            <w:proofErr w:type="spellEnd"/>
            <w:r w:rsidRPr="006D40F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4486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1AE4A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C27B7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083377" w14:textId="77777777" w:rsidR="00575AC3" w:rsidRPr="006D40F0" w:rsidRDefault="00575AC3" w:rsidP="006D40F0"/>
        </w:tc>
      </w:tr>
      <w:tr w:rsidR="00DD49A7" w:rsidRPr="006D40F0" w14:paraId="270BD0C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4D8C71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5A2FA4"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E29D90" w14:textId="77777777" w:rsidR="00575AC3" w:rsidRPr="006D40F0" w:rsidRDefault="00575AC3" w:rsidP="006D40F0">
            <w:r w:rsidRPr="006D40F0">
              <w:t xml:space="preserve">Tapsfond såkornkapital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C3883B"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4E476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171484" w14:textId="77777777" w:rsidR="00575AC3" w:rsidRPr="006D40F0" w:rsidRDefault="00575AC3" w:rsidP="006D40F0">
            <w:r w:rsidRPr="006D40F0">
              <w:t>182 300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7ABF5A" w14:textId="77777777" w:rsidR="00575AC3" w:rsidRPr="006D40F0" w:rsidRDefault="00575AC3" w:rsidP="006D40F0">
            <w:r w:rsidRPr="006D40F0">
              <w:t>182 300</w:t>
            </w:r>
          </w:p>
        </w:tc>
      </w:tr>
      <w:tr w:rsidR="00DD49A7" w:rsidRPr="006D40F0" w14:paraId="791550E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54A65B" w14:textId="77777777" w:rsidR="00575AC3" w:rsidRPr="006D40F0" w:rsidRDefault="00575AC3" w:rsidP="006D40F0">
            <w:r w:rsidRPr="006D40F0">
              <w:t>954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7E988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AF0223" w14:textId="77777777" w:rsidR="00575AC3" w:rsidRPr="006D40F0" w:rsidRDefault="00575AC3" w:rsidP="006D40F0">
            <w:proofErr w:type="spellStart"/>
            <w:r w:rsidRPr="006D40F0">
              <w:t>Petoro</w:t>
            </w:r>
            <w:proofErr w:type="spellEnd"/>
            <w:r w:rsidRPr="006D40F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1B2F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A59D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5268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312CE" w14:textId="77777777" w:rsidR="00575AC3" w:rsidRPr="006D40F0" w:rsidRDefault="00575AC3" w:rsidP="006D40F0"/>
        </w:tc>
      </w:tr>
      <w:tr w:rsidR="00DD49A7" w:rsidRPr="006D40F0" w14:paraId="3AC338D0"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1CDDFF3"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21536EF" w14:textId="77777777" w:rsidR="00575AC3" w:rsidRPr="006D40F0" w:rsidRDefault="00575AC3" w:rsidP="006D40F0">
            <w:r w:rsidRPr="006D40F0">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2E93781" w14:textId="77777777" w:rsidR="00575AC3" w:rsidRPr="006D40F0" w:rsidRDefault="00575AC3" w:rsidP="006D40F0">
            <w:r w:rsidRPr="006D40F0">
              <w:t xml:space="preserve">Tilskudd til administrasjon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03310B" w14:textId="77777777" w:rsidR="00575AC3" w:rsidRPr="006D40F0" w:rsidRDefault="00575AC3" w:rsidP="006D40F0">
            <w:r w:rsidRPr="006D40F0">
              <w:t>396 108</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7D6364"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5AB87D" w14:textId="77777777" w:rsidR="00575AC3" w:rsidRPr="006D40F0" w:rsidRDefault="00575AC3" w:rsidP="006D40F0">
            <w:r w:rsidRPr="006D40F0">
              <w:t>3 000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645FFD" w14:textId="77777777" w:rsidR="00575AC3" w:rsidRPr="006D40F0" w:rsidRDefault="00575AC3" w:rsidP="006D40F0">
            <w:r w:rsidRPr="006D40F0">
              <w:t>399 108</w:t>
            </w:r>
          </w:p>
        </w:tc>
      </w:tr>
      <w:tr w:rsidR="00DD49A7" w:rsidRPr="006D40F0" w14:paraId="6A5F643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E675D79" w14:textId="77777777" w:rsidR="00575AC3" w:rsidRPr="006D40F0" w:rsidRDefault="00575AC3" w:rsidP="006D40F0">
            <w:r w:rsidRPr="006D40F0">
              <w:t>Sum endringer Nærings- og fiskeridepartementet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E79E9F7"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1157B5"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5EB6B0" w14:textId="77777777" w:rsidR="00575AC3" w:rsidRPr="006D40F0" w:rsidRDefault="00575AC3" w:rsidP="006D40F0">
            <w:r w:rsidRPr="006D40F0">
              <w:t>2 372 288</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934232" w14:textId="77777777" w:rsidR="00575AC3" w:rsidRPr="006D40F0" w:rsidRDefault="00575AC3" w:rsidP="006D40F0"/>
        </w:tc>
      </w:tr>
      <w:tr w:rsidR="00DD49A7" w:rsidRPr="006D40F0" w14:paraId="70FBB9D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94429B" w14:textId="77777777" w:rsidR="00575AC3" w:rsidRPr="006D40F0" w:rsidRDefault="00575AC3" w:rsidP="006D40F0">
            <w:r w:rsidRPr="006D40F0">
              <w:lastRenderedPageBreak/>
              <w:t>1100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CC301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65DBEE5" w14:textId="77777777" w:rsidR="00575AC3" w:rsidRPr="006D40F0" w:rsidRDefault="00575AC3" w:rsidP="006D40F0">
            <w:r w:rsidRPr="006D40F0">
              <w:t>Landbruks- og matdepartementet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1172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31E3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FA3FF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743AAC" w14:textId="77777777" w:rsidR="00575AC3" w:rsidRPr="006D40F0" w:rsidRDefault="00575AC3" w:rsidP="006D40F0"/>
        </w:tc>
      </w:tr>
      <w:tr w:rsidR="00DD49A7" w:rsidRPr="006D40F0" w14:paraId="611A36B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145EE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893443"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A6A33D"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D13E24" w14:textId="77777777" w:rsidR="00575AC3" w:rsidRPr="006D40F0" w:rsidRDefault="00575AC3" w:rsidP="006D40F0">
            <w:r w:rsidRPr="006D40F0">
              <w:t>15 988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49C2E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6A089"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97D57" w14:textId="77777777" w:rsidR="00575AC3" w:rsidRPr="006D40F0" w:rsidRDefault="00575AC3" w:rsidP="006D40F0">
            <w:r w:rsidRPr="006D40F0">
              <w:t>17 988</w:t>
            </w:r>
          </w:p>
        </w:tc>
      </w:tr>
      <w:tr w:rsidR="00DD49A7" w:rsidRPr="006D40F0" w14:paraId="787D969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B1E897" w14:textId="77777777" w:rsidR="00575AC3" w:rsidRPr="006D40F0" w:rsidRDefault="00575AC3" w:rsidP="006D40F0">
            <w:r w:rsidRPr="006D40F0">
              <w:t>1115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34C81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4ECEF06" w14:textId="77777777" w:rsidR="00575AC3" w:rsidRPr="006D40F0" w:rsidRDefault="00575AC3" w:rsidP="006D40F0">
            <w:r w:rsidRPr="006D40F0">
              <w:t>Mattilsynet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9A9CC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CA7A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39729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EDBD21" w14:textId="77777777" w:rsidR="00575AC3" w:rsidRPr="006D40F0" w:rsidRDefault="00575AC3" w:rsidP="006D40F0"/>
        </w:tc>
      </w:tr>
      <w:tr w:rsidR="00DD49A7" w:rsidRPr="006D40F0" w14:paraId="1C82888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08205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CE581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164F0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3D115" w14:textId="77777777" w:rsidR="00575AC3" w:rsidRPr="006D40F0" w:rsidRDefault="00575AC3" w:rsidP="006D40F0">
            <w:r w:rsidRPr="006D40F0">
              <w:t>1 570 528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8FC4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530E20"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51D5C3" w14:textId="77777777" w:rsidR="00575AC3" w:rsidRPr="006D40F0" w:rsidRDefault="00575AC3" w:rsidP="006D40F0">
            <w:r w:rsidRPr="006D40F0">
              <w:t>1 575 528</w:t>
            </w:r>
          </w:p>
        </w:tc>
      </w:tr>
      <w:tr w:rsidR="00DD49A7" w:rsidRPr="006D40F0" w14:paraId="39546F4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BBC7EE" w14:textId="77777777" w:rsidR="00575AC3" w:rsidRPr="006D40F0" w:rsidRDefault="00575AC3" w:rsidP="006D40F0">
            <w:r w:rsidRPr="006D40F0">
              <w:t>1136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F1D41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462865E" w14:textId="77777777" w:rsidR="00575AC3" w:rsidRPr="006D40F0" w:rsidRDefault="00575AC3" w:rsidP="006D40F0">
            <w:r w:rsidRPr="006D40F0">
              <w:t>Norsk institutt for bioøkonomi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C9A27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B3CD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0932F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F4C5C9" w14:textId="77777777" w:rsidR="00575AC3" w:rsidRPr="006D40F0" w:rsidRDefault="00575AC3" w:rsidP="006D40F0"/>
        </w:tc>
      </w:tr>
      <w:tr w:rsidR="00DD49A7" w:rsidRPr="006D40F0" w14:paraId="309DCAB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3D1C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7B5F6B"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089510" w14:textId="77777777" w:rsidR="00575AC3" w:rsidRPr="006D40F0" w:rsidRDefault="00575AC3" w:rsidP="006D40F0">
            <w:r w:rsidRPr="006D40F0">
              <w:t xml:space="preserve">Kunnskapsutvikling, formidling og beredskap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B7722" w14:textId="77777777" w:rsidR="00575AC3" w:rsidRPr="006D40F0" w:rsidRDefault="00575AC3" w:rsidP="006D40F0">
            <w:r w:rsidRPr="006D40F0">
              <w:t>271 785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26118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BD232"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3B93B1" w14:textId="77777777" w:rsidR="00575AC3" w:rsidRPr="006D40F0" w:rsidRDefault="00575AC3" w:rsidP="006D40F0">
            <w:r w:rsidRPr="006D40F0">
              <w:t>272 785</w:t>
            </w:r>
          </w:p>
        </w:tc>
      </w:tr>
      <w:tr w:rsidR="00DD49A7" w:rsidRPr="006D40F0" w14:paraId="4D86C89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777B8B" w14:textId="77777777" w:rsidR="00575AC3" w:rsidRPr="006D40F0" w:rsidRDefault="00575AC3" w:rsidP="006D40F0">
            <w:r w:rsidRPr="006D40F0">
              <w:t>1138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CB56E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D14908" w14:textId="77777777" w:rsidR="00575AC3" w:rsidRPr="006D40F0" w:rsidRDefault="00575AC3" w:rsidP="006D40F0">
            <w:r w:rsidRPr="006D40F0">
              <w:t>Støtte til organisasjoner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BC0C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04CE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3A20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C758F" w14:textId="77777777" w:rsidR="00575AC3" w:rsidRPr="006D40F0" w:rsidRDefault="00575AC3" w:rsidP="006D40F0"/>
        </w:tc>
      </w:tr>
      <w:tr w:rsidR="00DD49A7" w:rsidRPr="006D40F0" w14:paraId="6616063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C91F7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C817CE"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4606F1" w14:textId="77777777" w:rsidR="00575AC3" w:rsidRPr="006D40F0" w:rsidRDefault="00575AC3" w:rsidP="006D40F0">
            <w:r w:rsidRPr="006D40F0">
              <w:t xml:space="preserve">Støtte til organisasjoner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84FB82" w14:textId="77777777" w:rsidR="00575AC3" w:rsidRPr="006D40F0" w:rsidRDefault="00575AC3" w:rsidP="006D40F0">
            <w:r w:rsidRPr="006D40F0">
              <w:t>53 462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B1674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D48383"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C600B6" w14:textId="77777777" w:rsidR="00575AC3" w:rsidRPr="006D40F0" w:rsidRDefault="00575AC3" w:rsidP="006D40F0">
            <w:r w:rsidRPr="006D40F0">
              <w:t>56 462</w:t>
            </w:r>
          </w:p>
        </w:tc>
      </w:tr>
      <w:tr w:rsidR="00DD49A7" w:rsidRPr="006D40F0" w14:paraId="3869FB3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F96819" w14:textId="77777777" w:rsidR="00575AC3" w:rsidRPr="006D40F0" w:rsidRDefault="00575AC3" w:rsidP="006D40F0">
            <w:r w:rsidRPr="006D40F0">
              <w:t>1140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1B6FD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9E15D2" w14:textId="77777777" w:rsidR="00575AC3" w:rsidRPr="006D40F0" w:rsidRDefault="00575AC3" w:rsidP="006D40F0">
            <w:r w:rsidRPr="006D40F0">
              <w:t>Høstbare viltressurser – forvaltning og tilskudd til viltformål (Viltfondet)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B7F23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D48C3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13D81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600D1" w14:textId="77777777" w:rsidR="00575AC3" w:rsidRPr="006D40F0" w:rsidRDefault="00575AC3" w:rsidP="006D40F0"/>
        </w:tc>
      </w:tr>
      <w:tr w:rsidR="00DD49A7" w:rsidRPr="006D40F0" w14:paraId="5F9E6D1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D723A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80AB9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44AB55"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6DBB0A" w14:textId="77777777" w:rsidR="00575AC3" w:rsidRPr="006D40F0" w:rsidRDefault="00575AC3" w:rsidP="006D40F0">
            <w:r w:rsidRPr="006D40F0">
              <w:t>32 683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D3C5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F07094" w14:textId="77777777" w:rsidR="00575AC3" w:rsidRPr="006D40F0" w:rsidRDefault="00575AC3" w:rsidP="006D40F0">
            <w:r w:rsidRPr="006D40F0">
              <w:t>-4 500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BC697" w14:textId="77777777" w:rsidR="00575AC3" w:rsidRPr="006D40F0" w:rsidRDefault="00575AC3" w:rsidP="006D40F0">
            <w:r w:rsidRPr="006D40F0">
              <w:t>28 183</w:t>
            </w:r>
          </w:p>
        </w:tc>
      </w:tr>
      <w:tr w:rsidR="00DD49A7" w:rsidRPr="006D40F0" w14:paraId="4A4BC2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CCDEB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88922E"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B5CD30A" w14:textId="77777777" w:rsidR="00575AC3" w:rsidRPr="006D40F0" w:rsidRDefault="00575AC3" w:rsidP="006D40F0">
            <w:r w:rsidRPr="006D40F0">
              <w:t xml:space="preserve">Tilskudd til viltformål,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908CB" w14:textId="77777777" w:rsidR="00575AC3" w:rsidRPr="006D40F0" w:rsidRDefault="00575AC3" w:rsidP="006D40F0">
            <w:r w:rsidRPr="006D40F0">
              <w:t>39 778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73054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E2ABE"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A8C79" w14:textId="77777777" w:rsidR="00575AC3" w:rsidRPr="006D40F0" w:rsidRDefault="00575AC3" w:rsidP="006D40F0">
            <w:r w:rsidRPr="006D40F0">
              <w:t>38 278</w:t>
            </w:r>
          </w:p>
        </w:tc>
      </w:tr>
      <w:tr w:rsidR="00DD49A7" w:rsidRPr="006D40F0" w14:paraId="4051C75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6F43A3" w14:textId="77777777" w:rsidR="00575AC3" w:rsidRPr="006D40F0" w:rsidRDefault="00575AC3" w:rsidP="006D40F0">
            <w:r w:rsidRPr="006D40F0">
              <w:t>1142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82B53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B6E88CC" w14:textId="77777777" w:rsidR="00575AC3" w:rsidRPr="006D40F0" w:rsidRDefault="00575AC3" w:rsidP="006D40F0">
            <w:r w:rsidRPr="006D40F0">
              <w:t>Landbruksdirektoratet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82CC1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DC108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72EF2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D520E" w14:textId="77777777" w:rsidR="00575AC3" w:rsidRPr="006D40F0" w:rsidRDefault="00575AC3" w:rsidP="006D40F0"/>
        </w:tc>
      </w:tr>
      <w:tr w:rsidR="00DD49A7" w:rsidRPr="006D40F0" w14:paraId="62F6BD4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592FC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8B5AC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25A06B"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87D779" w14:textId="77777777" w:rsidR="00575AC3" w:rsidRPr="006D40F0" w:rsidRDefault="00575AC3" w:rsidP="006D40F0">
            <w:r w:rsidRPr="006D40F0">
              <w:t>272 544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23C6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460F0" w14:textId="77777777" w:rsidR="00575AC3" w:rsidRPr="006D40F0" w:rsidRDefault="00575AC3" w:rsidP="006D40F0">
            <w:r w:rsidRPr="006D40F0">
              <w:t>10 800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F79408" w14:textId="77777777" w:rsidR="00575AC3" w:rsidRPr="006D40F0" w:rsidRDefault="00575AC3" w:rsidP="006D40F0">
            <w:r w:rsidRPr="006D40F0">
              <w:t>283 344</w:t>
            </w:r>
          </w:p>
        </w:tc>
      </w:tr>
      <w:tr w:rsidR="00DD49A7" w:rsidRPr="006D40F0" w14:paraId="6072D11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C7A2A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B8EA44"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000129D"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D6D7B1" w14:textId="77777777" w:rsidR="00575AC3" w:rsidRPr="006D40F0" w:rsidRDefault="00575AC3" w:rsidP="006D40F0">
            <w:r w:rsidRPr="006D40F0">
              <w:t>12 976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1D862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072BE" w14:textId="77777777" w:rsidR="00575AC3" w:rsidRPr="006D40F0" w:rsidRDefault="00575AC3" w:rsidP="006D40F0">
            <w:r w:rsidRPr="006D40F0">
              <w:t>-800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2E9E11" w14:textId="77777777" w:rsidR="00575AC3" w:rsidRPr="006D40F0" w:rsidRDefault="00575AC3" w:rsidP="006D40F0">
            <w:r w:rsidRPr="006D40F0">
              <w:t>12 176</w:t>
            </w:r>
          </w:p>
        </w:tc>
      </w:tr>
      <w:tr w:rsidR="00DD49A7" w:rsidRPr="006D40F0" w14:paraId="54717D3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CCFE5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45D094"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5FA578" w14:textId="1B1250EB" w:rsidR="00575AC3" w:rsidRPr="006D40F0" w:rsidRDefault="00575AC3" w:rsidP="006D40F0">
            <w:r w:rsidRPr="006D40F0">
              <w:t>Tiltak for bærekraftig reindrift,</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5BAF0E" w14:textId="77777777" w:rsidR="00575AC3" w:rsidRPr="006D40F0" w:rsidRDefault="00575AC3" w:rsidP="006D40F0">
            <w:r w:rsidRPr="006D40F0">
              <w:t>5 286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78A5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633F24" w14:textId="77777777" w:rsidR="00575AC3" w:rsidRPr="006D40F0" w:rsidRDefault="00575AC3" w:rsidP="006D40F0">
            <w:r w:rsidRPr="006D40F0">
              <w:t>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7A1481" w14:textId="77777777" w:rsidR="00575AC3" w:rsidRPr="006D40F0" w:rsidRDefault="00575AC3" w:rsidP="006D40F0">
            <w:r w:rsidRPr="006D40F0">
              <w:t>5 786</w:t>
            </w:r>
          </w:p>
        </w:tc>
      </w:tr>
      <w:tr w:rsidR="00DD49A7" w:rsidRPr="006D40F0" w14:paraId="418D735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DCA2F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6468E5"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18F580" w14:textId="110F6DFF" w:rsidR="00575AC3" w:rsidRPr="006D40F0" w:rsidRDefault="00575AC3" w:rsidP="006D40F0">
            <w:r w:rsidRPr="006D40F0">
              <w:t>Stønad til jordbruks- og veksthusnæringen for ekstraordinære strømutgifter,</w:t>
            </w:r>
            <w:r w:rsidR="006D40F0">
              <w:t xml:space="preserv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8F274F" w14:textId="77777777" w:rsidR="00575AC3" w:rsidRPr="006D40F0" w:rsidRDefault="00575AC3" w:rsidP="006D40F0">
            <w:r w:rsidRPr="006D40F0">
              <w:t>102 300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E3EC8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F69172" w14:textId="77777777" w:rsidR="00575AC3" w:rsidRPr="006D40F0" w:rsidRDefault="00575AC3" w:rsidP="006D40F0">
            <w:r w:rsidRPr="006D40F0">
              <w:t>-37 500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36B369" w14:textId="77777777" w:rsidR="00575AC3" w:rsidRPr="006D40F0" w:rsidRDefault="00575AC3" w:rsidP="006D40F0">
            <w:r w:rsidRPr="006D40F0">
              <w:t>64 800</w:t>
            </w:r>
          </w:p>
        </w:tc>
      </w:tr>
      <w:tr w:rsidR="00DD49A7" w:rsidRPr="006D40F0" w14:paraId="2EF7BAF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8E091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600DF86" w14:textId="77777777" w:rsidR="00575AC3" w:rsidRPr="006D40F0" w:rsidRDefault="00575AC3" w:rsidP="006D40F0">
            <w:r w:rsidRPr="006D40F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8BFBC9" w14:textId="77777777" w:rsidR="00575AC3" w:rsidRPr="006D40F0" w:rsidRDefault="00575AC3" w:rsidP="006D40F0">
            <w:r w:rsidRPr="006D40F0">
              <w:t xml:space="preserve">Tilskudd til reindriften for andel av verdiskaping fra vindkraft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471B4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E0A5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EC721"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A00A6" w14:textId="77777777" w:rsidR="00575AC3" w:rsidRPr="006D40F0" w:rsidRDefault="00575AC3" w:rsidP="006D40F0">
            <w:r w:rsidRPr="006D40F0">
              <w:t>10 000</w:t>
            </w:r>
          </w:p>
        </w:tc>
      </w:tr>
      <w:tr w:rsidR="00DD49A7" w:rsidRPr="006D40F0" w14:paraId="4161C4D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CC8DB0" w14:textId="77777777" w:rsidR="00575AC3" w:rsidRPr="006D40F0" w:rsidRDefault="00575AC3" w:rsidP="006D40F0">
            <w:r w:rsidRPr="006D40F0">
              <w:t>1149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6491B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37388E" w14:textId="77777777" w:rsidR="00575AC3" w:rsidRPr="006D40F0" w:rsidRDefault="00575AC3" w:rsidP="006D40F0">
            <w:r w:rsidRPr="006D40F0">
              <w:t>Verdiskapings- og utviklingstiltak i landbruket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816B0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F4351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5F17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C9BCC" w14:textId="77777777" w:rsidR="00575AC3" w:rsidRPr="006D40F0" w:rsidRDefault="00575AC3" w:rsidP="006D40F0"/>
        </w:tc>
      </w:tr>
      <w:tr w:rsidR="00DD49A7" w:rsidRPr="006D40F0" w14:paraId="7D9FDC8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C93CE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31563B"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C6151D" w14:textId="77777777" w:rsidR="00575AC3" w:rsidRPr="006D40F0" w:rsidRDefault="00575AC3" w:rsidP="006D40F0">
            <w:r w:rsidRPr="006D40F0">
              <w:t xml:space="preserve">Tilskudd til skog-, klima- og energitiltak,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24C0CA" w14:textId="77777777" w:rsidR="00575AC3" w:rsidRPr="006D40F0" w:rsidRDefault="00575AC3" w:rsidP="006D40F0">
            <w:r w:rsidRPr="006D40F0">
              <w:t>55 852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4FB9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5CE5E"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3AAA30" w14:textId="77777777" w:rsidR="00575AC3" w:rsidRPr="006D40F0" w:rsidRDefault="00575AC3" w:rsidP="006D40F0">
            <w:r w:rsidRPr="006D40F0">
              <w:t>45 852</w:t>
            </w:r>
          </w:p>
        </w:tc>
      </w:tr>
      <w:tr w:rsidR="00DD49A7" w:rsidRPr="006D40F0" w14:paraId="33FF94D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DD5427" w14:textId="77777777" w:rsidR="00575AC3" w:rsidRPr="006D40F0" w:rsidRDefault="00575AC3" w:rsidP="006D40F0">
            <w:r w:rsidRPr="006D40F0">
              <w:t>1150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F2664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749E930" w14:textId="77777777" w:rsidR="00575AC3" w:rsidRPr="006D40F0" w:rsidRDefault="00575AC3" w:rsidP="006D40F0">
            <w:r w:rsidRPr="006D40F0">
              <w:t>Til gjennomføring av jordbruksavtalen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3AFE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00061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F74E2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E93FA" w14:textId="77777777" w:rsidR="00575AC3" w:rsidRPr="006D40F0" w:rsidRDefault="00575AC3" w:rsidP="006D40F0"/>
        </w:tc>
      </w:tr>
      <w:tr w:rsidR="00DD49A7" w:rsidRPr="006D40F0" w14:paraId="7EC49D5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FCFC3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642E67"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552B9D" w14:textId="77777777" w:rsidR="00575AC3" w:rsidRPr="006D40F0" w:rsidRDefault="00575AC3" w:rsidP="006D40F0">
            <w:r w:rsidRPr="006D40F0">
              <w:t xml:space="preserve">Tilskudd ved produksjonssvikt,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770C2A" w14:textId="77777777" w:rsidR="00575AC3" w:rsidRPr="006D40F0" w:rsidRDefault="00575AC3" w:rsidP="006D40F0">
            <w:r w:rsidRPr="006D40F0">
              <w:t>102 400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1A70E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A89AF" w14:textId="77777777" w:rsidR="00575AC3" w:rsidRPr="006D40F0" w:rsidRDefault="00575AC3" w:rsidP="006D40F0">
            <w:r w:rsidRPr="006D40F0">
              <w:t>697 700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10620" w14:textId="77777777" w:rsidR="00575AC3" w:rsidRPr="006D40F0" w:rsidRDefault="00575AC3" w:rsidP="006D40F0">
            <w:r w:rsidRPr="006D40F0">
              <w:t>800 100</w:t>
            </w:r>
          </w:p>
        </w:tc>
      </w:tr>
      <w:tr w:rsidR="00DD49A7" w:rsidRPr="006D40F0" w14:paraId="719F103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D5EB46" w14:textId="77777777" w:rsidR="00575AC3" w:rsidRPr="006D40F0" w:rsidRDefault="00575AC3" w:rsidP="006D40F0">
            <w:r w:rsidRPr="006D40F0">
              <w:t>1151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AFCB4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152287" w14:textId="77777777" w:rsidR="00575AC3" w:rsidRPr="006D40F0" w:rsidRDefault="00575AC3" w:rsidP="006D40F0">
            <w:r w:rsidRPr="006D40F0">
              <w:t>Til gjennomføring av reindriftsavtalen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A6B6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586BB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296F5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A18CB1" w14:textId="77777777" w:rsidR="00575AC3" w:rsidRPr="006D40F0" w:rsidRDefault="00575AC3" w:rsidP="006D40F0"/>
        </w:tc>
      </w:tr>
      <w:tr w:rsidR="00DD49A7" w:rsidRPr="006D40F0" w14:paraId="0632347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3E8E8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EEF536"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41F18F" w14:textId="77777777" w:rsidR="00575AC3" w:rsidRPr="006D40F0" w:rsidRDefault="00575AC3" w:rsidP="006D40F0">
            <w:r w:rsidRPr="006D40F0">
              <w:t xml:space="preserve">Tilskudd til Reindriftens utviklingsfond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CC5BA" w14:textId="77777777" w:rsidR="00575AC3" w:rsidRPr="006D40F0" w:rsidRDefault="00575AC3" w:rsidP="006D40F0">
            <w:r w:rsidRPr="006D40F0">
              <w:t>65 750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A550D" w14:textId="77777777" w:rsidR="00575AC3" w:rsidRPr="006D40F0" w:rsidRDefault="00575AC3" w:rsidP="006D40F0">
            <w:r w:rsidRPr="006D40F0">
              <w:t>3 500</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D9D73" w14:textId="77777777" w:rsidR="00575AC3" w:rsidRPr="006D40F0" w:rsidRDefault="00575AC3" w:rsidP="006D40F0">
            <w:r w:rsidRPr="006D40F0">
              <w:t>-</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E3ACA" w14:textId="77777777" w:rsidR="00575AC3" w:rsidRPr="006D40F0" w:rsidRDefault="00575AC3" w:rsidP="006D40F0">
            <w:r w:rsidRPr="006D40F0">
              <w:t>69 250</w:t>
            </w:r>
          </w:p>
        </w:tc>
      </w:tr>
      <w:tr w:rsidR="00DD49A7" w:rsidRPr="006D40F0" w14:paraId="4F280A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12C3D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EF10EE"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769326E" w14:textId="77777777" w:rsidR="00575AC3" w:rsidRPr="006D40F0" w:rsidRDefault="00575AC3" w:rsidP="006D40F0">
            <w:r w:rsidRPr="006D40F0">
              <w:t xml:space="preserve">Kostnadssenkende og direkte tilskudd,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C09A1A" w14:textId="77777777" w:rsidR="00575AC3" w:rsidRPr="006D40F0" w:rsidRDefault="00575AC3" w:rsidP="006D40F0">
            <w:r w:rsidRPr="006D40F0">
              <w:t>121 850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49FE8" w14:textId="77777777" w:rsidR="00575AC3" w:rsidRPr="006D40F0" w:rsidRDefault="00575AC3" w:rsidP="006D40F0">
            <w:r w:rsidRPr="006D40F0">
              <w:t>-666</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D72D32" w14:textId="77777777" w:rsidR="00575AC3" w:rsidRPr="006D40F0" w:rsidRDefault="00575AC3" w:rsidP="006D40F0">
            <w:r w:rsidRPr="006D40F0">
              <w:t>-</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DAD8F" w14:textId="77777777" w:rsidR="00575AC3" w:rsidRPr="006D40F0" w:rsidRDefault="00575AC3" w:rsidP="006D40F0">
            <w:r w:rsidRPr="006D40F0">
              <w:t>121 184</w:t>
            </w:r>
          </w:p>
        </w:tc>
      </w:tr>
      <w:tr w:rsidR="00DD49A7" w:rsidRPr="006D40F0" w14:paraId="3C929C4C"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E3A3CB0"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B370F4B" w14:textId="77777777" w:rsidR="00575AC3" w:rsidRPr="006D40F0" w:rsidRDefault="00575AC3" w:rsidP="006D40F0">
            <w:r w:rsidRPr="006D40F0">
              <w:t>79</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A52848A" w14:textId="77777777" w:rsidR="00575AC3" w:rsidRPr="006D40F0" w:rsidRDefault="00575AC3" w:rsidP="006D40F0">
            <w:r w:rsidRPr="006D40F0">
              <w:t xml:space="preserve">Velferdsordninger,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AB3893C" w14:textId="77777777" w:rsidR="00575AC3" w:rsidRPr="006D40F0" w:rsidRDefault="00575AC3" w:rsidP="006D40F0">
            <w:r w:rsidRPr="006D40F0">
              <w:t>4 300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A49A3C" w14:textId="77777777" w:rsidR="00575AC3" w:rsidRPr="006D40F0" w:rsidRDefault="00575AC3" w:rsidP="006D40F0">
            <w:r w:rsidRPr="006D40F0">
              <w:t>-834</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BDEF07" w14:textId="77777777" w:rsidR="00575AC3" w:rsidRPr="006D40F0" w:rsidRDefault="00575AC3" w:rsidP="006D40F0">
            <w:r w:rsidRPr="006D40F0">
              <w:t>-</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87A35B" w14:textId="77777777" w:rsidR="00575AC3" w:rsidRPr="006D40F0" w:rsidRDefault="00575AC3" w:rsidP="006D40F0">
            <w:r w:rsidRPr="006D40F0">
              <w:t>3 466</w:t>
            </w:r>
          </w:p>
        </w:tc>
      </w:tr>
      <w:tr w:rsidR="00DD49A7" w:rsidRPr="006D40F0" w14:paraId="14470921"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F82D8F6" w14:textId="77777777" w:rsidR="00575AC3" w:rsidRPr="006D40F0" w:rsidRDefault="00575AC3" w:rsidP="006D40F0">
            <w:r w:rsidRPr="006D40F0">
              <w:t>Sum endringer Landbruks- og matdepartementet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CA4EE7"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141BF39" w14:textId="77777777" w:rsidR="00575AC3" w:rsidRPr="006D40F0" w:rsidRDefault="00575AC3" w:rsidP="006D40F0">
            <w:r w:rsidRPr="006D40F0">
              <w:t>2 000</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251B63C" w14:textId="77777777" w:rsidR="00575AC3" w:rsidRPr="006D40F0" w:rsidRDefault="00575AC3" w:rsidP="006D40F0">
            <w:r w:rsidRPr="006D40F0">
              <w:t>675 700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C91568" w14:textId="77777777" w:rsidR="00575AC3" w:rsidRPr="006D40F0" w:rsidRDefault="00575AC3" w:rsidP="006D40F0"/>
        </w:tc>
      </w:tr>
      <w:tr w:rsidR="00DD49A7" w:rsidRPr="006D40F0" w14:paraId="054C706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36025F" w14:textId="77777777" w:rsidR="00575AC3" w:rsidRPr="006D40F0" w:rsidRDefault="00575AC3" w:rsidP="006D40F0">
            <w:r w:rsidRPr="006D40F0">
              <w:t>1300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059FA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DCA726E" w14:textId="77777777" w:rsidR="00575AC3" w:rsidRPr="006D40F0" w:rsidRDefault="00575AC3" w:rsidP="006D40F0">
            <w:r w:rsidRPr="006D40F0">
              <w:t>Samferdselsdepartementet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94B89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7AF99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C4C87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4BCEE1" w14:textId="77777777" w:rsidR="00575AC3" w:rsidRPr="006D40F0" w:rsidRDefault="00575AC3" w:rsidP="006D40F0"/>
        </w:tc>
      </w:tr>
      <w:tr w:rsidR="00DD49A7" w:rsidRPr="006D40F0" w14:paraId="670F04D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0819B2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2AF32C"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BFD96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4B011" w14:textId="77777777" w:rsidR="00575AC3" w:rsidRPr="006D40F0" w:rsidRDefault="00575AC3" w:rsidP="006D40F0">
            <w:r w:rsidRPr="006D40F0">
              <w:t>182 900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3600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E8D7CC" w14:textId="77777777" w:rsidR="00575AC3" w:rsidRPr="006D40F0" w:rsidRDefault="00575AC3" w:rsidP="006D40F0">
            <w:r w:rsidRPr="006D40F0">
              <w:t>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AB775D" w14:textId="77777777" w:rsidR="00575AC3" w:rsidRPr="006D40F0" w:rsidRDefault="00575AC3" w:rsidP="006D40F0">
            <w:r w:rsidRPr="006D40F0">
              <w:t>188 900</w:t>
            </w:r>
          </w:p>
        </w:tc>
      </w:tr>
      <w:tr w:rsidR="00DD49A7" w:rsidRPr="006D40F0" w14:paraId="35B8BE9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39DF69" w14:textId="77777777" w:rsidR="00575AC3" w:rsidRPr="006D40F0" w:rsidRDefault="00575AC3" w:rsidP="006D40F0">
            <w:r w:rsidRPr="006D40F0">
              <w:t>1301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3C8C2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DA4355" w14:textId="77777777" w:rsidR="00575AC3" w:rsidRPr="006D40F0" w:rsidRDefault="00575AC3" w:rsidP="006D40F0">
            <w:r w:rsidRPr="006D40F0">
              <w:t>Forskning og utvikling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55FB6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9B85F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707C1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54C93C" w14:textId="77777777" w:rsidR="00575AC3" w:rsidRPr="006D40F0" w:rsidRDefault="00575AC3" w:rsidP="006D40F0"/>
        </w:tc>
      </w:tr>
      <w:tr w:rsidR="00DD49A7" w:rsidRPr="006D40F0" w14:paraId="799E1A0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747EC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2F41B4"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2F8417A" w14:textId="77777777" w:rsidR="00575AC3" w:rsidRPr="006D40F0" w:rsidRDefault="00575AC3" w:rsidP="006D40F0">
            <w:r w:rsidRPr="006D40F0">
              <w:t xml:space="preserve">Utredninger </w:t>
            </w:r>
            <w:proofErr w:type="gramStart"/>
            <w:r w:rsidRPr="006D40F0">
              <w:t>vedrørende</w:t>
            </w:r>
            <w:proofErr w:type="gramEnd"/>
            <w:r w:rsidRPr="006D40F0">
              <w:t xml:space="preserve"> miljø, trafikksikkerhet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4A9CE" w14:textId="77777777" w:rsidR="00575AC3" w:rsidRPr="006D40F0" w:rsidRDefault="00575AC3" w:rsidP="006D40F0">
            <w:r w:rsidRPr="006D40F0">
              <w:t>11 900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231E6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3063A"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22B59D" w14:textId="77777777" w:rsidR="00575AC3" w:rsidRPr="006D40F0" w:rsidRDefault="00575AC3" w:rsidP="006D40F0">
            <w:r w:rsidRPr="006D40F0">
              <w:t>9 900</w:t>
            </w:r>
          </w:p>
        </w:tc>
      </w:tr>
      <w:tr w:rsidR="00DD49A7" w:rsidRPr="006D40F0" w14:paraId="177A657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588D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3E174D"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10DF8E" w14:textId="77777777" w:rsidR="00575AC3" w:rsidRPr="006D40F0" w:rsidRDefault="00575AC3" w:rsidP="006D40F0">
            <w:r w:rsidRPr="006D40F0">
              <w:t xml:space="preserve">Norges forskningsråd mv.,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5D2AB7" w14:textId="77777777" w:rsidR="00575AC3" w:rsidRPr="006D40F0" w:rsidRDefault="00575AC3" w:rsidP="006D40F0">
            <w:r w:rsidRPr="006D40F0">
              <w:t>145 200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3CB06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485E6C"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B2A80" w14:textId="77777777" w:rsidR="00575AC3" w:rsidRPr="006D40F0" w:rsidRDefault="00575AC3" w:rsidP="006D40F0">
            <w:r w:rsidRPr="006D40F0">
              <w:t>143 200</w:t>
            </w:r>
          </w:p>
        </w:tc>
      </w:tr>
      <w:tr w:rsidR="00DD49A7" w:rsidRPr="006D40F0" w14:paraId="0280740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934E89" w14:textId="77777777" w:rsidR="00575AC3" w:rsidRPr="006D40F0" w:rsidRDefault="00575AC3" w:rsidP="006D40F0">
            <w:r w:rsidRPr="006D40F0">
              <w:t>1310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38C27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897A97" w14:textId="77777777" w:rsidR="00575AC3" w:rsidRPr="006D40F0" w:rsidRDefault="00575AC3" w:rsidP="006D40F0">
            <w:r w:rsidRPr="006D40F0">
              <w:t>Flytransport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0DC8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881F0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BF59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A8743F" w14:textId="77777777" w:rsidR="00575AC3" w:rsidRPr="006D40F0" w:rsidRDefault="00575AC3" w:rsidP="006D40F0"/>
        </w:tc>
      </w:tr>
      <w:tr w:rsidR="00DD49A7" w:rsidRPr="006D40F0" w14:paraId="048EFE1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F0BE1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B82D2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A90AA2" w14:textId="26B0E368" w:rsidR="00575AC3" w:rsidRPr="006D40F0" w:rsidRDefault="00575AC3" w:rsidP="006D40F0">
            <w:r w:rsidRPr="006D40F0">
              <w:t>Kjøp av innenlandske flyruter,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09BE32" w14:textId="77777777" w:rsidR="00575AC3" w:rsidRPr="006D40F0" w:rsidRDefault="00575AC3" w:rsidP="006D40F0">
            <w:r w:rsidRPr="006D40F0">
              <w:t>1 934 600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259B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94567" w14:textId="77777777" w:rsidR="00575AC3" w:rsidRPr="006D40F0" w:rsidRDefault="00575AC3" w:rsidP="006D40F0">
            <w:r w:rsidRPr="006D40F0">
              <w:t>101 400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7884E5" w14:textId="77777777" w:rsidR="00575AC3" w:rsidRPr="006D40F0" w:rsidRDefault="00575AC3" w:rsidP="006D40F0">
            <w:r w:rsidRPr="006D40F0">
              <w:t>2 036 000</w:t>
            </w:r>
          </w:p>
        </w:tc>
      </w:tr>
      <w:tr w:rsidR="00DD49A7" w:rsidRPr="006D40F0" w14:paraId="38BF545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B5807A" w14:textId="77777777" w:rsidR="00575AC3" w:rsidRPr="006D40F0" w:rsidRDefault="00575AC3" w:rsidP="006D40F0">
            <w:r w:rsidRPr="006D40F0">
              <w:t>1314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0ED24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A53D9E" w14:textId="77777777" w:rsidR="00575AC3" w:rsidRPr="006D40F0" w:rsidRDefault="00575AC3" w:rsidP="006D40F0">
            <w:r w:rsidRPr="006D40F0">
              <w:t>Statens havarikommisjon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3991B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8FA7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CD9C4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F0D244" w14:textId="77777777" w:rsidR="00575AC3" w:rsidRPr="006D40F0" w:rsidRDefault="00575AC3" w:rsidP="006D40F0"/>
        </w:tc>
      </w:tr>
      <w:tr w:rsidR="00DD49A7" w:rsidRPr="006D40F0" w14:paraId="7DF0867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128A8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5A4F5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A289B6"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9BB12" w14:textId="77777777" w:rsidR="00575AC3" w:rsidRPr="006D40F0" w:rsidRDefault="00575AC3" w:rsidP="006D40F0">
            <w:r w:rsidRPr="006D40F0">
              <w:t>99 000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DA84F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2BF95B" w14:textId="77777777" w:rsidR="00575AC3" w:rsidRPr="006D40F0" w:rsidRDefault="00575AC3" w:rsidP="006D40F0">
            <w:r w:rsidRPr="006D40F0">
              <w:t>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09FB0A" w14:textId="77777777" w:rsidR="00575AC3" w:rsidRPr="006D40F0" w:rsidRDefault="00575AC3" w:rsidP="006D40F0">
            <w:r w:rsidRPr="006D40F0">
              <w:t>102 000</w:t>
            </w:r>
          </w:p>
        </w:tc>
      </w:tr>
      <w:tr w:rsidR="00DD49A7" w:rsidRPr="006D40F0" w14:paraId="17D314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62BF20" w14:textId="77777777" w:rsidR="00575AC3" w:rsidRPr="006D40F0" w:rsidRDefault="00575AC3" w:rsidP="006D40F0">
            <w:r w:rsidRPr="006D40F0">
              <w:t>1315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4ADDE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2FD85D" w14:textId="77777777" w:rsidR="00575AC3" w:rsidRPr="006D40F0" w:rsidRDefault="00575AC3" w:rsidP="006D40F0">
            <w:r w:rsidRPr="006D40F0">
              <w:t>Tilskudd til Avinor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8C1B6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46AC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803F4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7BC63" w14:textId="77777777" w:rsidR="00575AC3" w:rsidRPr="006D40F0" w:rsidRDefault="00575AC3" w:rsidP="006D40F0"/>
        </w:tc>
      </w:tr>
      <w:tr w:rsidR="00DD49A7" w:rsidRPr="006D40F0" w14:paraId="2E9D821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B355B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ECF24D"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18481D" w14:textId="015B1FB9" w:rsidR="00575AC3" w:rsidRPr="006D40F0" w:rsidRDefault="00575AC3" w:rsidP="006D40F0">
            <w:r w:rsidRPr="006D40F0">
              <w:t>Tilskudd til pålagte oppgaver,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938011" w14:textId="77777777" w:rsidR="00575AC3" w:rsidRPr="006D40F0" w:rsidRDefault="00575AC3" w:rsidP="006D40F0">
            <w:r w:rsidRPr="006D40F0">
              <w:t>2 887 300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A4C5A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3F30FF" w14:textId="77777777" w:rsidR="00575AC3" w:rsidRPr="006D40F0" w:rsidRDefault="00575AC3" w:rsidP="006D40F0">
            <w:r w:rsidRPr="006D40F0">
              <w:t>-312 000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47693F" w14:textId="77777777" w:rsidR="00575AC3" w:rsidRPr="006D40F0" w:rsidRDefault="00575AC3" w:rsidP="006D40F0">
            <w:r w:rsidRPr="006D40F0">
              <w:t>2 575 300</w:t>
            </w:r>
          </w:p>
        </w:tc>
      </w:tr>
      <w:tr w:rsidR="00DD49A7" w:rsidRPr="006D40F0" w14:paraId="54B16AA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94448E" w14:textId="77777777" w:rsidR="00575AC3" w:rsidRPr="006D40F0" w:rsidRDefault="00575AC3" w:rsidP="006D40F0">
            <w:r w:rsidRPr="006D40F0">
              <w:t>1320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16EF2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E07C10" w14:textId="77777777" w:rsidR="00575AC3" w:rsidRPr="006D40F0" w:rsidRDefault="00575AC3" w:rsidP="006D40F0">
            <w:r w:rsidRPr="006D40F0">
              <w:t>Statens vegvesen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438B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FD80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097A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6EA90" w14:textId="77777777" w:rsidR="00575AC3" w:rsidRPr="006D40F0" w:rsidRDefault="00575AC3" w:rsidP="006D40F0"/>
        </w:tc>
      </w:tr>
      <w:tr w:rsidR="00DD49A7" w:rsidRPr="006D40F0" w14:paraId="32ED4E1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56834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F7347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A5058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D3259B" w14:textId="77777777" w:rsidR="00575AC3" w:rsidRPr="006D40F0" w:rsidRDefault="00575AC3" w:rsidP="006D40F0">
            <w:r w:rsidRPr="006D40F0">
              <w:t>4 566 100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56591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A4A085" w14:textId="77777777" w:rsidR="00575AC3" w:rsidRPr="006D40F0" w:rsidRDefault="00575AC3" w:rsidP="006D40F0">
            <w:r w:rsidRPr="006D40F0">
              <w:t>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AEEE00" w14:textId="77777777" w:rsidR="00575AC3" w:rsidRPr="006D40F0" w:rsidRDefault="00575AC3" w:rsidP="006D40F0">
            <w:r w:rsidRPr="006D40F0">
              <w:t>4 616 100</w:t>
            </w:r>
          </w:p>
        </w:tc>
      </w:tr>
      <w:tr w:rsidR="00DD49A7" w:rsidRPr="006D40F0" w14:paraId="4B0DBD4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DA9FC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2F7432"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898E23" w14:textId="716C1150" w:rsidR="00575AC3" w:rsidRPr="006D40F0" w:rsidRDefault="00575AC3" w:rsidP="006D40F0">
            <w:r w:rsidRPr="006D40F0">
              <w:t>Drift og vedlikehold av riksveier,</w:t>
            </w:r>
            <w:r w:rsidR="006D40F0">
              <w:t xml:space="preserve"> </w:t>
            </w:r>
            <w:r w:rsidRPr="00575AC3">
              <w:rPr>
                <w:rStyle w:val="kursiv"/>
              </w:rPr>
              <w:t>kan overføres, kan nyttes under post 29 og post 30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1EA4BD" w14:textId="77777777" w:rsidR="00575AC3" w:rsidRPr="006D40F0" w:rsidRDefault="00575AC3" w:rsidP="006D40F0">
            <w:r w:rsidRPr="006D40F0">
              <w:t>9 720 700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A2C03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B440B1" w14:textId="77777777" w:rsidR="00575AC3" w:rsidRPr="006D40F0" w:rsidRDefault="00575AC3" w:rsidP="006D40F0">
            <w:r w:rsidRPr="006D40F0">
              <w:t>640 600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289CF" w14:textId="77777777" w:rsidR="00575AC3" w:rsidRPr="006D40F0" w:rsidRDefault="00575AC3" w:rsidP="006D40F0">
            <w:r w:rsidRPr="006D40F0">
              <w:t>10 361 300</w:t>
            </w:r>
          </w:p>
        </w:tc>
      </w:tr>
      <w:tr w:rsidR="00DD49A7" w:rsidRPr="006D40F0" w14:paraId="73CBE09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2399B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CD1FE2" w14:textId="77777777" w:rsidR="00575AC3" w:rsidRPr="006D40F0" w:rsidRDefault="00575AC3" w:rsidP="006D40F0">
            <w:r w:rsidRPr="006D40F0">
              <w:t>28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4CD420" w14:textId="77777777" w:rsidR="00575AC3" w:rsidRPr="006D40F0" w:rsidRDefault="00575AC3" w:rsidP="006D40F0">
            <w:r w:rsidRPr="006D40F0">
              <w:t xml:space="preserve">Trafikant- og kjøretøytilsyn,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2C437" w14:textId="77777777" w:rsidR="00575AC3" w:rsidRPr="006D40F0" w:rsidRDefault="00575AC3" w:rsidP="006D40F0">
            <w:r w:rsidRPr="006D40F0">
              <w:t>2 429 600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E3DB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32146" w14:textId="77777777" w:rsidR="00575AC3" w:rsidRPr="006D40F0" w:rsidRDefault="00575AC3" w:rsidP="006D40F0">
            <w:r w:rsidRPr="006D40F0">
              <w:t>-80 000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505B50" w14:textId="77777777" w:rsidR="00575AC3" w:rsidRPr="006D40F0" w:rsidRDefault="00575AC3" w:rsidP="006D40F0">
            <w:r w:rsidRPr="006D40F0">
              <w:t>2 349 600</w:t>
            </w:r>
          </w:p>
        </w:tc>
      </w:tr>
      <w:tr w:rsidR="00DD49A7" w:rsidRPr="006D40F0" w14:paraId="33478A1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7389C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793C15"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02D2A9" w14:textId="77777777" w:rsidR="00575AC3" w:rsidRPr="006D40F0" w:rsidRDefault="00575AC3" w:rsidP="006D40F0">
            <w:r w:rsidRPr="006D40F0">
              <w:t xml:space="preserve">Rentekompensasjon for transporttiltak i fylkene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587FDA" w14:textId="77777777" w:rsidR="00575AC3" w:rsidRPr="006D40F0" w:rsidRDefault="00575AC3" w:rsidP="006D40F0">
            <w:r w:rsidRPr="006D40F0">
              <w:t>376 000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2D9B9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B7086A" w14:textId="77777777" w:rsidR="00575AC3" w:rsidRPr="006D40F0" w:rsidRDefault="00575AC3" w:rsidP="006D40F0">
            <w:r w:rsidRPr="006D40F0">
              <w:t>125 300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A7717" w14:textId="77777777" w:rsidR="00575AC3" w:rsidRPr="006D40F0" w:rsidRDefault="00575AC3" w:rsidP="006D40F0">
            <w:r w:rsidRPr="006D40F0">
              <w:t>501 300</w:t>
            </w:r>
          </w:p>
        </w:tc>
      </w:tr>
      <w:tr w:rsidR="00DD49A7" w:rsidRPr="006D40F0" w14:paraId="4183E72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8A75C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D5BEDF" w14:textId="77777777" w:rsidR="00575AC3" w:rsidRPr="006D40F0" w:rsidRDefault="00575AC3" w:rsidP="006D40F0">
            <w:r w:rsidRPr="006D40F0">
              <w:t>65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08277B" w14:textId="77777777" w:rsidR="00575AC3" w:rsidRPr="006D40F0" w:rsidRDefault="00575AC3" w:rsidP="006D40F0">
            <w:r w:rsidRPr="006D40F0">
              <w:t xml:space="preserve">Tilskudd til fylkesveier,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DF9BE8" w14:textId="77777777" w:rsidR="00575AC3" w:rsidRPr="006D40F0" w:rsidRDefault="00575AC3" w:rsidP="006D40F0">
            <w:r w:rsidRPr="006D40F0">
              <w:t>415 300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6D07C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D0E1F9" w14:textId="77777777" w:rsidR="00575AC3" w:rsidRPr="006D40F0" w:rsidRDefault="00575AC3" w:rsidP="006D40F0">
            <w:r w:rsidRPr="006D40F0">
              <w:t>95 100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9BE3D" w14:textId="77777777" w:rsidR="00575AC3" w:rsidRPr="006D40F0" w:rsidRDefault="00575AC3" w:rsidP="006D40F0">
            <w:r w:rsidRPr="006D40F0">
              <w:t>510 400</w:t>
            </w:r>
          </w:p>
        </w:tc>
      </w:tr>
      <w:tr w:rsidR="00DD49A7" w:rsidRPr="006D40F0" w14:paraId="45BBB04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47977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8A70F7"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1CB18A" w14:textId="2B82F28F" w:rsidR="00575AC3" w:rsidRPr="006D40F0" w:rsidRDefault="00575AC3" w:rsidP="006D40F0">
            <w:r w:rsidRPr="006D40F0">
              <w:t>Tilskudd til riksveiferjedriften,</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D3ADA2" w14:textId="77777777" w:rsidR="00575AC3" w:rsidRPr="006D40F0" w:rsidRDefault="00575AC3" w:rsidP="006D40F0">
            <w:r w:rsidRPr="006D40F0">
              <w:t>3 284 000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B90A0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C270C7" w14:textId="77777777" w:rsidR="00575AC3" w:rsidRPr="006D40F0" w:rsidRDefault="00575AC3" w:rsidP="006D40F0">
            <w:r w:rsidRPr="006D40F0">
              <w:t>-79 000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D7204" w14:textId="77777777" w:rsidR="00575AC3" w:rsidRPr="006D40F0" w:rsidRDefault="00575AC3" w:rsidP="006D40F0">
            <w:r w:rsidRPr="006D40F0">
              <w:t>3 205 000</w:t>
            </w:r>
          </w:p>
        </w:tc>
      </w:tr>
      <w:tr w:rsidR="00DD49A7" w:rsidRPr="006D40F0" w14:paraId="0111674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65C5A4" w14:textId="77777777" w:rsidR="00575AC3" w:rsidRPr="006D40F0" w:rsidRDefault="00575AC3" w:rsidP="006D40F0">
            <w:r w:rsidRPr="006D40F0">
              <w:t>1330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5C137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263DC34" w14:textId="77777777" w:rsidR="00575AC3" w:rsidRPr="006D40F0" w:rsidRDefault="00575AC3" w:rsidP="006D40F0">
            <w:r w:rsidRPr="006D40F0">
              <w:t>Særskilte transporttiltak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3893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B4B48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EE1C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892B7" w14:textId="77777777" w:rsidR="00575AC3" w:rsidRPr="006D40F0" w:rsidRDefault="00575AC3" w:rsidP="006D40F0"/>
        </w:tc>
      </w:tr>
      <w:tr w:rsidR="00DD49A7" w:rsidRPr="006D40F0" w14:paraId="66F15CE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B2C3F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1499AC"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5830A4" w14:textId="77777777" w:rsidR="00575AC3" w:rsidRPr="006D40F0" w:rsidRDefault="00575AC3" w:rsidP="006D40F0">
            <w:r w:rsidRPr="006D40F0">
              <w:t xml:space="preserve">Tilskudd til kommersielle buss- og båtruter som følge av smitteverntiltak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EDAF2"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3247D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F9BE7E" w14:textId="77777777" w:rsidR="00575AC3" w:rsidRPr="006D40F0" w:rsidRDefault="00575AC3" w:rsidP="006D40F0">
            <w:r w:rsidRPr="006D40F0">
              <w:t>3 700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DD001" w14:textId="77777777" w:rsidR="00575AC3" w:rsidRPr="006D40F0" w:rsidRDefault="00575AC3" w:rsidP="006D40F0">
            <w:r w:rsidRPr="006D40F0">
              <w:t>3 700</w:t>
            </w:r>
          </w:p>
        </w:tc>
      </w:tr>
      <w:tr w:rsidR="00DD49A7" w:rsidRPr="006D40F0" w14:paraId="5505F81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84E527" w14:textId="77777777" w:rsidR="00575AC3" w:rsidRPr="006D40F0" w:rsidRDefault="00575AC3" w:rsidP="006D40F0">
            <w:r w:rsidRPr="006D40F0">
              <w:t>1332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57E99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CA98A05" w14:textId="77777777" w:rsidR="00575AC3" w:rsidRPr="006D40F0" w:rsidRDefault="00575AC3" w:rsidP="006D40F0">
            <w:r w:rsidRPr="006D40F0">
              <w:t>Transport i byområder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0A9D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1FCC7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479C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195A0" w14:textId="77777777" w:rsidR="00575AC3" w:rsidRPr="006D40F0" w:rsidRDefault="00575AC3" w:rsidP="006D40F0"/>
        </w:tc>
      </w:tr>
      <w:tr w:rsidR="00DD49A7" w:rsidRPr="006D40F0" w14:paraId="7F96EF4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0C33F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329D38" w14:textId="77777777" w:rsidR="00575AC3" w:rsidRPr="006D40F0" w:rsidRDefault="00575AC3" w:rsidP="006D40F0">
            <w:r w:rsidRPr="006D40F0">
              <w:t>63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C624F1" w14:textId="77777777" w:rsidR="00575AC3" w:rsidRPr="006D40F0" w:rsidRDefault="00575AC3" w:rsidP="006D40F0">
            <w:r w:rsidRPr="006D40F0">
              <w:t xml:space="preserve">Særskilt tilskudd til store kollektivprosjekter,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8402D9" w14:textId="77777777" w:rsidR="00575AC3" w:rsidRPr="006D40F0" w:rsidRDefault="00575AC3" w:rsidP="006D40F0">
            <w:r w:rsidRPr="006D40F0">
              <w:t>2 571 500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6E1BB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2B2ADB" w14:textId="77777777" w:rsidR="00575AC3" w:rsidRPr="006D40F0" w:rsidRDefault="00575AC3" w:rsidP="006D40F0">
            <w:r w:rsidRPr="006D40F0">
              <w:t>-440 000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17DD71" w14:textId="77777777" w:rsidR="00575AC3" w:rsidRPr="006D40F0" w:rsidRDefault="00575AC3" w:rsidP="006D40F0">
            <w:r w:rsidRPr="006D40F0">
              <w:t>2 131 500</w:t>
            </w:r>
          </w:p>
        </w:tc>
      </w:tr>
      <w:tr w:rsidR="00DD49A7" w:rsidRPr="006D40F0" w14:paraId="7FC2AE3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66253F" w14:textId="77777777" w:rsidR="00575AC3" w:rsidRPr="006D40F0" w:rsidRDefault="00575AC3" w:rsidP="006D40F0">
            <w:r w:rsidRPr="006D40F0">
              <w:t>1352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AFD36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4DF760" w14:textId="77777777" w:rsidR="00575AC3" w:rsidRPr="006D40F0" w:rsidRDefault="00575AC3" w:rsidP="006D40F0">
            <w:r w:rsidRPr="006D40F0">
              <w:t>Jernbanedirektoratet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7F95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C6364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1E402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FEEA2" w14:textId="77777777" w:rsidR="00575AC3" w:rsidRPr="006D40F0" w:rsidRDefault="00575AC3" w:rsidP="006D40F0"/>
        </w:tc>
      </w:tr>
      <w:tr w:rsidR="00DD49A7" w:rsidRPr="006D40F0" w14:paraId="71302B5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A26D7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4D4C7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7B1E7C" w14:textId="77777777" w:rsidR="00575AC3" w:rsidRPr="006D40F0" w:rsidRDefault="00575AC3" w:rsidP="006D40F0">
            <w:r w:rsidRPr="006D40F0">
              <w:t xml:space="preserve">Kjøp av persontransport med tog, </w:t>
            </w:r>
            <w:r w:rsidRPr="00575AC3">
              <w:rPr>
                <w:rStyle w:val="kursiv"/>
              </w:rPr>
              <w:t>kan overføres, 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4D702A" w14:textId="77777777" w:rsidR="00575AC3" w:rsidRPr="006D40F0" w:rsidRDefault="00575AC3" w:rsidP="006D40F0">
            <w:r w:rsidRPr="006D40F0">
              <w:t>5 368 800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D4AB1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B35A4E" w14:textId="77777777" w:rsidR="00575AC3" w:rsidRPr="006D40F0" w:rsidRDefault="00575AC3" w:rsidP="006D40F0">
            <w:r w:rsidRPr="006D40F0">
              <w:t>-3 700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C45D7" w14:textId="77777777" w:rsidR="00575AC3" w:rsidRPr="006D40F0" w:rsidRDefault="00575AC3" w:rsidP="006D40F0">
            <w:r w:rsidRPr="006D40F0">
              <w:t>5 365 100</w:t>
            </w:r>
          </w:p>
        </w:tc>
      </w:tr>
      <w:tr w:rsidR="00DD49A7" w:rsidRPr="006D40F0" w14:paraId="4DBCF84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FB611A" w14:textId="77777777" w:rsidR="00575AC3" w:rsidRPr="006D40F0" w:rsidRDefault="00575AC3" w:rsidP="006D40F0">
            <w:r w:rsidRPr="006D40F0">
              <w:t>1370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C8FAC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49D0C7" w14:textId="77777777" w:rsidR="00575AC3" w:rsidRPr="006D40F0" w:rsidRDefault="00575AC3" w:rsidP="006D40F0">
            <w:r w:rsidRPr="006D40F0">
              <w:t>Posttjenester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B416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7ECF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AD1E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3E676" w14:textId="77777777" w:rsidR="00575AC3" w:rsidRPr="006D40F0" w:rsidRDefault="00575AC3" w:rsidP="006D40F0"/>
        </w:tc>
      </w:tr>
      <w:tr w:rsidR="00DD49A7" w:rsidRPr="006D40F0" w14:paraId="09B75257"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58DE3EE"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F6E1262" w14:textId="77777777" w:rsidR="00575AC3" w:rsidRPr="006D40F0" w:rsidRDefault="00575AC3" w:rsidP="006D40F0">
            <w:r w:rsidRPr="006D40F0">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CC3E2D1" w14:textId="77777777" w:rsidR="00575AC3" w:rsidRPr="006D40F0" w:rsidRDefault="00575AC3" w:rsidP="006D40F0">
            <w:r w:rsidRPr="006D40F0">
              <w:t xml:space="preserve">Kjøp av posttjenester,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E11BA8" w14:textId="77777777" w:rsidR="00575AC3" w:rsidRPr="006D40F0" w:rsidRDefault="00575AC3" w:rsidP="006D40F0">
            <w:r w:rsidRPr="006D40F0">
              <w:t>1 680 600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EECA8E"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ADD9136" w14:textId="77777777" w:rsidR="00575AC3" w:rsidRPr="006D40F0" w:rsidRDefault="00575AC3" w:rsidP="006D40F0">
            <w:r w:rsidRPr="006D40F0">
              <w:t>32 950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18A679" w14:textId="77777777" w:rsidR="00575AC3" w:rsidRPr="006D40F0" w:rsidRDefault="00575AC3" w:rsidP="006D40F0">
            <w:r w:rsidRPr="006D40F0">
              <w:t>1 713 550</w:t>
            </w:r>
          </w:p>
        </w:tc>
      </w:tr>
      <w:tr w:rsidR="00DD49A7" w:rsidRPr="006D40F0" w14:paraId="1D75628F"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8DE9A09" w14:textId="77777777" w:rsidR="00575AC3" w:rsidRPr="006D40F0" w:rsidRDefault="00575AC3" w:rsidP="006D40F0">
            <w:r w:rsidRPr="006D40F0">
              <w:t>Sum endringer Samferdselsdepartementet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C84194"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88C3B4"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0C88A77" w14:textId="77777777" w:rsidR="00575AC3" w:rsidRPr="006D40F0" w:rsidRDefault="00575AC3" w:rsidP="006D40F0">
            <w:r w:rsidRPr="006D40F0">
              <w:t>139 350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74A1F1" w14:textId="77777777" w:rsidR="00575AC3" w:rsidRPr="006D40F0" w:rsidRDefault="00575AC3" w:rsidP="006D40F0"/>
        </w:tc>
      </w:tr>
      <w:tr w:rsidR="00DD49A7" w:rsidRPr="006D40F0" w14:paraId="619D049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52DC48" w14:textId="77777777" w:rsidR="00575AC3" w:rsidRPr="006D40F0" w:rsidRDefault="00575AC3" w:rsidP="006D40F0">
            <w:r w:rsidRPr="006D40F0">
              <w:t>1400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D98D8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188F8C" w14:textId="77777777" w:rsidR="00575AC3" w:rsidRPr="006D40F0" w:rsidRDefault="00575AC3" w:rsidP="006D40F0">
            <w:r w:rsidRPr="006D40F0">
              <w:t>Klima- og miljødepartementet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47DD9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0C49F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D477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2C754E" w14:textId="77777777" w:rsidR="00575AC3" w:rsidRPr="006D40F0" w:rsidRDefault="00575AC3" w:rsidP="006D40F0"/>
        </w:tc>
      </w:tr>
      <w:tr w:rsidR="00DD49A7" w:rsidRPr="006D40F0" w14:paraId="257F99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C59A6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C125D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D509A3"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DF80F6" w14:textId="77777777" w:rsidR="00575AC3" w:rsidRPr="006D40F0" w:rsidRDefault="00575AC3" w:rsidP="006D40F0">
            <w:r w:rsidRPr="006D40F0">
              <w:t>326 316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359E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7CA233" w14:textId="77777777" w:rsidR="00575AC3" w:rsidRPr="006D40F0" w:rsidRDefault="00575AC3" w:rsidP="006D40F0">
            <w:r w:rsidRPr="006D40F0">
              <w:t>-3 500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67499B" w14:textId="77777777" w:rsidR="00575AC3" w:rsidRPr="006D40F0" w:rsidRDefault="00575AC3" w:rsidP="006D40F0">
            <w:r w:rsidRPr="006D40F0">
              <w:t>322 816</w:t>
            </w:r>
          </w:p>
        </w:tc>
      </w:tr>
      <w:tr w:rsidR="00DD49A7" w:rsidRPr="006D40F0" w14:paraId="3571F0E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28D83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FBAD7D"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3B89BF"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04F75" w14:textId="77777777" w:rsidR="00575AC3" w:rsidRPr="006D40F0" w:rsidRDefault="00575AC3" w:rsidP="006D40F0">
            <w:r w:rsidRPr="006D40F0">
              <w:t>87 156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52B0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9F5D44" w14:textId="77777777" w:rsidR="00575AC3" w:rsidRPr="006D40F0" w:rsidRDefault="00575AC3" w:rsidP="006D40F0">
            <w:r w:rsidRPr="006D40F0">
              <w:t>15 650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C9D15F" w14:textId="77777777" w:rsidR="00575AC3" w:rsidRPr="006D40F0" w:rsidRDefault="00575AC3" w:rsidP="006D40F0">
            <w:r w:rsidRPr="006D40F0">
              <w:t>102 806</w:t>
            </w:r>
          </w:p>
        </w:tc>
      </w:tr>
      <w:tr w:rsidR="00DD49A7" w:rsidRPr="006D40F0" w14:paraId="2CFE40A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34452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4EDF6F"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DE8A8D" w14:textId="77777777" w:rsidR="00575AC3" w:rsidRPr="006D40F0" w:rsidRDefault="00575AC3" w:rsidP="006D40F0">
            <w:r w:rsidRPr="006D40F0">
              <w:t xml:space="preserve">Støtte til nasjonale og internasjonale miljøtiltak,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62C46" w14:textId="77777777" w:rsidR="00575AC3" w:rsidRPr="006D40F0" w:rsidRDefault="00575AC3" w:rsidP="006D40F0">
            <w:r w:rsidRPr="006D40F0">
              <w:t>103 744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D463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C263E" w14:textId="77777777" w:rsidR="00575AC3" w:rsidRPr="006D40F0" w:rsidRDefault="00575AC3" w:rsidP="006D40F0">
            <w:r w:rsidRPr="006D40F0">
              <w:t>3 650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E3E612" w14:textId="77777777" w:rsidR="00575AC3" w:rsidRPr="006D40F0" w:rsidRDefault="00575AC3" w:rsidP="006D40F0">
            <w:r w:rsidRPr="006D40F0">
              <w:t>107 394</w:t>
            </w:r>
          </w:p>
        </w:tc>
      </w:tr>
      <w:tr w:rsidR="00DD49A7" w:rsidRPr="006D40F0" w14:paraId="32E3BD7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03AAD3" w14:textId="77777777" w:rsidR="00575AC3" w:rsidRPr="006D40F0" w:rsidRDefault="00575AC3" w:rsidP="006D40F0">
            <w:r w:rsidRPr="006D40F0">
              <w:t>1410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BD3E2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069F1C" w14:textId="77777777" w:rsidR="00575AC3" w:rsidRPr="006D40F0" w:rsidRDefault="00575AC3" w:rsidP="006D40F0">
            <w:r w:rsidRPr="006D40F0">
              <w:t>Kunnskap om klima og miljø</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2C48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0A09D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9648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02C246" w14:textId="77777777" w:rsidR="00575AC3" w:rsidRPr="006D40F0" w:rsidRDefault="00575AC3" w:rsidP="006D40F0"/>
        </w:tc>
      </w:tr>
      <w:tr w:rsidR="00DD49A7" w:rsidRPr="006D40F0" w14:paraId="24139E3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E937E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1199EA"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4A846B" w14:textId="77777777" w:rsidR="00575AC3" w:rsidRPr="006D40F0" w:rsidRDefault="00575AC3" w:rsidP="006D40F0">
            <w:r w:rsidRPr="006D40F0">
              <w:t xml:space="preserve">Miljødata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6D19D" w14:textId="77777777" w:rsidR="00575AC3" w:rsidRPr="006D40F0" w:rsidRDefault="00575AC3" w:rsidP="006D40F0">
            <w:r w:rsidRPr="006D40F0">
              <w:t>445 396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45E9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8D5F36" w14:textId="77777777" w:rsidR="00575AC3" w:rsidRPr="006D40F0" w:rsidRDefault="00575AC3" w:rsidP="006D40F0">
            <w:r w:rsidRPr="006D40F0">
              <w:t>-5 380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A4F5F" w14:textId="77777777" w:rsidR="00575AC3" w:rsidRPr="006D40F0" w:rsidRDefault="00575AC3" w:rsidP="006D40F0">
            <w:r w:rsidRPr="006D40F0">
              <w:t>440 016</w:t>
            </w:r>
          </w:p>
        </w:tc>
      </w:tr>
      <w:tr w:rsidR="00DD49A7" w:rsidRPr="006D40F0" w14:paraId="65A54A7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FA89DD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BCD58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1580591" w14:textId="77777777" w:rsidR="00575AC3" w:rsidRPr="006D40F0" w:rsidRDefault="00575AC3" w:rsidP="006D40F0">
            <w:r w:rsidRPr="006D40F0">
              <w:t xml:space="preserve">Nasjonale oppgaver ved miljøinstituttene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A52A1" w14:textId="77777777" w:rsidR="00575AC3" w:rsidRPr="006D40F0" w:rsidRDefault="00575AC3" w:rsidP="006D40F0">
            <w:r w:rsidRPr="006D40F0">
              <w:t>55 883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A0EB3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6C7912" w14:textId="77777777" w:rsidR="00575AC3" w:rsidRPr="006D40F0" w:rsidRDefault="00575AC3" w:rsidP="006D40F0">
            <w:r w:rsidRPr="006D40F0">
              <w:t>380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D6415" w14:textId="77777777" w:rsidR="00575AC3" w:rsidRPr="006D40F0" w:rsidRDefault="00575AC3" w:rsidP="006D40F0">
            <w:r w:rsidRPr="006D40F0">
              <w:t>56 263</w:t>
            </w:r>
          </w:p>
        </w:tc>
      </w:tr>
      <w:tr w:rsidR="00DD49A7" w:rsidRPr="006D40F0" w14:paraId="572A9EE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2703CA" w14:textId="77777777" w:rsidR="00575AC3" w:rsidRPr="006D40F0" w:rsidRDefault="00575AC3" w:rsidP="006D40F0">
            <w:r w:rsidRPr="006D40F0">
              <w:t>1412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C90B3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BC0049C" w14:textId="77777777" w:rsidR="00575AC3" w:rsidRPr="006D40F0" w:rsidRDefault="00575AC3" w:rsidP="006D40F0">
            <w:r w:rsidRPr="006D40F0">
              <w:t>Meteorologiformål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DC76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6FE5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79C9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EEBF37" w14:textId="77777777" w:rsidR="00575AC3" w:rsidRPr="006D40F0" w:rsidRDefault="00575AC3" w:rsidP="006D40F0"/>
        </w:tc>
      </w:tr>
      <w:tr w:rsidR="00DD49A7" w:rsidRPr="006D40F0" w14:paraId="5B99B0E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201DB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02044EE"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011D53" w14:textId="77777777" w:rsidR="00575AC3" w:rsidRPr="006D40F0" w:rsidRDefault="00575AC3" w:rsidP="006D40F0">
            <w:r w:rsidRPr="006D40F0">
              <w:t xml:space="preserve">Meteorologisk 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EE234" w14:textId="77777777" w:rsidR="00575AC3" w:rsidRPr="006D40F0" w:rsidRDefault="00575AC3" w:rsidP="006D40F0">
            <w:r w:rsidRPr="006D40F0">
              <w:t>387 914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8C01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7D9B47" w14:textId="77777777" w:rsidR="00575AC3" w:rsidRPr="006D40F0" w:rsidRDefault="00575AC3" w:rsidP="006D40F0">
            <w:r w:rsidRPr="006D40F0">
              <w:t>-260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ACEBB" w14:textId="77777777" w:rsidR="00575AC3" w:rsidRPr="006D40F0" w:rsidRDefault="00575AC3" w:rsidP="006D40F0">
            <w:r w:rsidRPr="006D40F0">
              <w:t>387 654</w:t>
            </w:r>
          </w:p>
        </w:tc>
      </w:tr>
      <w:tr w:rsidR="00DD49A7" w:rsidRPr="006D40F0" w14:paraId="3DF32D5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24670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90907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021B49" w14:textId="77777777" w:rsidR="00575AC3" w:rsidRPr="006D40F0" w:rsidRDefault="00575AC3" w:rsidP="006D40F0">
            <w:r w:rsidRPr="006D40F0">
              <w:t xml:space="preserve">Internasjonale samarbeidsprosjekter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DB05D" w14:textId="77777777" w:rsidR="00575AC3" w:rsidRPr="006D40F0" w:rsidRDefault="00575AC3" w:rsidP="006D40F0">
            <w:r w:rsidRPr="006D40F0">
              <w:t>159 464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C3A88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259E48" w14:textId="77777777" w:rsidR="00575AC3" w:rsidRPr="006D40F0" w:rsidRDefault="00575AC3" w:rsidP="006D40F0">
            <w:r w:rsidRPr="006D40F0">
              <w:t>-15 300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361C94" w14:textId="77777777" w:rsidR="00575AC3" w:rsidRPr="006D40F0" w:rsidRDefault="00575AC3" w:rsidP="006D40F0">
            <w:r w:rsidRPr="006D40F0">
              <w:t>144 164</w:t>
            </w:r>
          </w:p>
        </w:tc>
      </w:tr>
      <w:tr w:rsidR="00DD49A7" w:rsidRPr="006D40F0" w14:paraId="4EF379C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1E1DD8" w14:textId="77777777" w:rsidR="00575AC3" w:rsidRPr="006D40F0" w:rsidRDefault="00575AC3" w:rsidP="006D40F0">
            <w:r w:rsidRPr="006D40F0">
              <w:t>1420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6BC1C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F50498" w14:textId="77777777" w:rsidR="00575AC3" w:rsidRPr="006D40F0" w:rsidRDefault="00575AC3" w:rsidP="006D40F0">
            <w:r w:rsidRPr="006D40F0">
              <w:t>Miljødirektoratet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BE223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349B5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8F56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2B80A7" w14:textId="77777777" w:rsidR="00575AC3" w:rsidRPr="006D40F0" w:rsidRDefault="00575AC3" w:rsidP="006D40F0"/>
        </w:tc>
      </w:tr>
      <w:tr w:rsidR="00DD49A7" w:rsidRPr="006D40F0" w14:paraId="636F8E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92E15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DAB21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EF429E"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BA9ED" w14:textId="77777777" w:rsidR="00575AC3" w:rsidRPr="006D40F0" w:rsidRDefault="00575AC3" w:rsidP="006D40F0">
            <w:r w:rsidRPr="006D40F0">
              <w:t>862 670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2ACC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7A6923" w14:textId="77777777" w:rsidR="00575AC3" w:rsidRPr="006D40F0" w:rsidRDefault="00575AC3" w:rsidP="006D40F0">
            <w:r w:rsidRPr="006D40F0">
              <w:t>21 250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05BD3" w14:textId="77777777" w:rsidR="00575AC3" w:rsidRPr="006D40F0" w:rsidRDefault="00575AC3" w:rsidP="006D40F0">
            <w:r w:rsidRPr="006D40F0">
              <w:t>883 920</w:t>
            </w:r>
          </w:p>
        </w:tc>
      </w:tr>
      <w:tr w:rsidR="00DD49A7" w:rsidRPr="006D40F0" w14:paraId="2427CCF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A7D33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5DF14B"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FE92B4"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4ECFAA" w14:textId="77777777" w:rsidR="00575AC3" w:rsidRPr="006D40F0" w:rsidRDefault="00575AC3" w:rsidP="006D40F0">
            <w:r w:rsidRPr="006D40F0">
              <w:t>635 824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1A98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50F111" w14:textId="77777777" w:rsidR="00575AC3" w:rsidRPr="006D40F0" w:rsidRDefault="00575AC3" w:rsidP="006D40F0">
            <w:r w:rsidRPr="006D40F0">
              <w:t>-750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3CD0EC" w14:textId="77777777" w:rsidR="00575AC3" w:rsidRPr="006D40F0" w:rsidRDefault="00575AC3" w:rsidP="006D40F0">
            <w:r w:rsidRPr="006D40F0">
              <w:t>635 074</w:t>
            </w:r>
          </w:p>
        </w:tc>
      </w:tr>
      <w:tr w:rsidR="00DD49A7" w:rsidRPr="006D40F0" w14:paraId="47FB419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EF1AC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E28E6B"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7E8811" w14:textId="77777777" w:rsidR="00575AC3" w:rsidRPr="006D40F0" w:rsidRDefault="00575AC3" w:rsidP="006D40F0">
            <w:r w:rsidRPr="006D40F0">
              <w:t xml:space="preserve">Oppdrags- og gebyrrelatert virksomhet,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36F548" w14:textId="77777777" w:rsidR="00575AC3" w:rsidRPr="006D40F0" w:rsidRDefault="00575AC3" w:rsidP="006D40F0">
            <w:r w:rsidRPr="006D40F0">
              <w:t>161 801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6C7D6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14E097"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F8F5D1" w14:textId="77777777" w:rsidR="00575AC3" w:rsidRPr="006D40F0" w:rsidRDefault="00575AC3" w:rsidP="006D40F0">
            <w:r w:rsidRPr="006D40F0">
              <w:t>165 801</w:t>
            </w:r>
          </w:p>
        </w:tc>
      </w:tr>
      <w:tr w:rsidR="00DD49A7" w:rsidRPr="006D40F0" w14:paraId="2CDC846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10490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CD443D" w14:textId="77777777" w:rsidR="00575AC3" w:rsidRPr="006D40F0" w:rsidRDefault="00575AC3" w:rsidP="006D40F0">
            <w:r w:rsidRPr="006D40F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BFBDB1" w14:textId="77777777" w:rsidR="00575AC3" w:rsidRPr="006D40F0" w:rsidRDefault="00575AC3" w:rsidP="006D40F0">
            <w:r w:rsidRPr="006D40F0">
              <w:t xml:space="preserve">Tiltak i verneområder og naturrestaurering,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DCE780" w14:textId="77777777" w:rsidR="00575AC3" w:rsidRPr="006D40F0" w:rsidRDefault="00575AC3" w:rsidP="006D40F0">
            <w:r w:rsidRPr="006D40F0">
              <w:t>145 452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A9D5D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7C953C" w14:textId="77777777" w:rsidR="00575AC3" w:rsidRPr="006D40F0" w:rsidRDefault="00575AC3" w:rsidP="006D40F0">
            <w:r w:rsidRPr="006D40F0">
              <w:t>-7 000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5DE44" w14:textId="77777777" w:rsidR="00575AC3" w:rsidRPr="006D40F0" w:rsidRDefault="00575AC3" w:rsidP="006D40F0">
            <w:r w:rsidRPr="006D40F0">
              <w:t>138 452</w:t>
            </w:r>
          </w:p>
        </w:tc>
      </w:tr>
      <w:tr w:rsidR="00DD49A7" w:rsidRPr="006D40F0" w14:paraId="01615CE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D0825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252769" w14:textId="77777777" w:rsidR="00575AC3" w:rsidRPr="006D40F0" w:rsidRDefault="00575AC3" w:rsidP="006D40F0">
            <w:r w:rsidRPr="006D40F0">
              <w:t>32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65BEE4" w14:textId="77777777" w:rsidR="00575AC3" w:rsidRPr="006D40F0" w:rsidRDefault="00575AC3" w:rsidP="006D40F0">
            <w:r w:rsidRPr="006D40F0">
              <w:t xml:space="preserve">Statlige erverv, vern av naturområder,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58D8D7" w14:textId="77777777" w:rsidR="00575AC3" w:rsidRPr="006D40F0" w:rsidRDefault="00575AC3" w:rsidP="006D40F0">
            <w:r w:rsidRPr="006D40F0">
              <w:t>815 265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389C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A1AD9" w14:textId="77777777" w:rsidR="00575AC3" w:rsidRPr="006D40F0" w:rsidRDefault="00575AC3" w:rsidP="006D40F0">
            <w:r w:rsidRPr="006D40F0">
              <w:t>-2 500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F4B219" w14:textId="77777777" w:rsidR="00575AC3" w:rsidRPr="006D40F0" w:rsidRDefault="00575AC3" w:rsidP="006D40F0">
            <w:r w:rsidRPr="006D40F0">
              <w:t>812 765</w:t>
            </w:r>
          </w:p>
        </w:tc>
      </w:tr>
      <w:tr w:rsidR="00DD49A7" w:rsidRPr="006D40F0" w14:paraId="3D655A5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369CA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259BF9" w14:textId="77777777" w:rsidR="00575AC3" w:rsidRPr="006D40F0" w:rsidRDefault="00575AC3" w:rsidP="006D40F0">
            <w:r w:rsidRPr="006D40F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DD7FDA" w14:textId="77777777" w:rsidR="00575AC3" w:rsidRPr="006D40F0" w:rsidRDefault="00575AC3" w:rsidP="006D40F0">
            <w:r w:rsidRPr="006D40F0">
              <w:t xml:space="preserve">Tilskudd til grønn skipsfart,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7EAF00" w14:textId="77777777" w:rsidR="00575AC3" w:rsidRPr="006D40F0" w:rsidRDefault="00575AC3" w:rsidP="006D40F0">
            <w:r w:rsidRPr="006D40F0">
              <w:t>56 625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0C86E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A098C7" w14:textId="77777777" w:rsidR="00575AC3" w:rsidRPr="006D40F0" w:rsidRDefault="00575AC3" w:rsidP="006D40F0">
            <w:r w:rsidRPr="006D40F0">
              <w:t>-26 000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11AEA2" w14:textId="77777777" w:rsidR="00575AC3" w:rsidRPr="006D40F0" w:rsidRDefault="00575AC3" w:rsidP="006D40F0">
            <w:r w:rsidRPr="006D40F0">
              <w:t>30 625</w:t>
            </w:r>
          </w:p>
        </w:tc>
      </w:tr>
      <w:tr w:rsidR="00DD49A7" w:rsidRPr="006D40F0" w14:paraId="5BEF0B9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487B2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A8CBAD" w14:textId="77777777" w:rsidR="00575AC3" w:rsidRPr="006D40F0" w:rsidRDefault="00575AC3" w:rsidP="006D40F0">
            <w:r w:rsidRPr="006D40F0">
              <w:t>69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9A7D4C" w14:textId="77777777" w:rsidR="00575AC3" w:rsidRPr="006D40F0" w:rsidRDefault="00575AC3" w:rsidP="006D40F0">
            <w:r w:rsidRPr="006D40F0">
              <w:t xml:space="preserve">Oppryddingstiltak, </w:t>
            </w:r>
            <w:r w:rsidRPr="00575AC3">
              <w:rPr>
                <w:rStyle w:val="kursiv"/>
              </w:rPr>
              <w:t>kan overføres, kan nyttes under postene 39 og 79</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C59119" w14:textId="77777777" w:rsidR="00575AC3" w:rsidRPr="006D40F0" w:rsidRDefault="00575AC3" w:rsidP="006D40F0">
            <w:r w:rsidRPr="006D40F0">
              <w:t>45 632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5C204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504155" w14:textId="77777777" w:rsidR="00575AC3" w:rsidRPr="006D40F0" w:rsidRDefault="00575AC3" w:rsidP="006D40F0">
            <w:r w:rsidRPr="006D40F0">
              <w:t>71 100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72123" w14:textId="77777777" w:rsidR="00575AC3" w:rsidRPr="006D40F0" w:rsidRDefault="00575AC3" w:rsidP="006D40F0">
            <w:r w:rsidRPr="006D40F0">
              <w:t>116 732</w:t>
            </w:r>
          </w:p>
        </w:tc>
      </w:tr>
      <w:tr w:rsidR="00DD49A7" w:rsidRPr="006D40F0" w14:paraId="01B1BF9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9C6B7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D34BE9"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13EC68" w14:textId="77777777" w:rsidR="00575AC3" w:rsidRPr="006D40F0" w:rsidRDefault="00575AC3" w:rsidP="006D40F0">
            <w:r w:rsidRPr="006D40F0">
              <w:t>CO</w:t>
            </w:r>
            <w:r w:rsidRPr="00575AC3">
              <w:rPr>
                <w:rStyle w:val="skrift-senket"/>
              </w:rPr>
              <w:t>2</w:t>
            </w:r>
            <w:r w:rsidRPr="006D40F0">
              <w:t xml:space="preserve">-kompensasjonsordning for industrien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61258D" w14:textId="77777777" w:rsidR="00575AC3" w:rsidRPr="006D40F0" w:rsidRDefault="00575AC3" w:rsidP="006D40F0">
            <w:r w:rsidRPr="006D40F0">
              <w:t>6 446 997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A6EE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ADAE92" w14:textId="77777777" w:rsidR="00575AC3" w:rsidRPr="006D40F0" w:rsidRDefault="00575AC3" w:rsidP="006D40F0">
            <w:r w:rsidRPr="006D40F0">
              <w:t>500 000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0EED48" w14:textId="77777777" w:rsidR="00575AC3" w:rsidRPr="006D40F0" w:rsidRDefault="00575AC3" w:rsidP="006D40F0">
            <w:r w:rsidRPr="006D40F0">
              <w:t>6 946 997</w:t>
            </w:r>
          </w:p>
        </w:tc>
      </w:tr>
      <w:tr w:rsidR="00DD49A7" w:rsidRPr="006D40F0" w14:paraId="1D14F28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10EFC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CBAE43"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E932AE" w14:textId="77777777" w:rsidR="00575AC3" w:rsidRPr="006D40F0" w:rsidRDefault="00575AC3" w:rsidP="006D40F0">
            <w:r w:rsidRPr="006D40F0">
              <w:t xml:space="preserve">Tilskudd til tiltak for å ta vare på natur,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4A1E3D" w14:textId="77777777" w:rsidR="00575AC3" w:rsidRPr="006D40F0" w:rsidRDefault="00575AC3" w:rsidP="006D40F0">
            <w:r w:rsidRPr="006D40F0">
              <w:t>165 942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7712F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1FF4BC"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FCAA0F" w14:textId="77777777" w:rsidR="00575AC3" w:rsidRPr="006D40F0" w:rsidRDefault="00575AC3" w:rsidP="006D40F0">
            <w:r w:rsidRPr="006D40F0">
              <w:t>180 942</w:t>
            </w:r>
          </w:p>
        </w:tc>
      </w:tr>
      <w:tr w:rsidR="00DD49A7" w:rsidRPr="006D40F0" w14:paraId="0467634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A88F7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949615" w14:textId="77777777" w:rsidR="00575AC3" w:rsidRPr="006D40F0" w:rsidRDefault="00575AC3" w:rsidP="006D40F0">
            <w:r w:rsidRPr="006D40F0">
              <w:t>87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4E72E7" w14:textId="77777777" w:rsidR="00575AC3" w:rsidRPr="006D40F0" w:rsidRDefault="00575AC3" w:rsidP="006D40F0">
            <w:r w:rsidRPr="006D40F0">
              <w:t xml:space="preserve">Tilskudd til natur og friluftsliv i områder berørt av landbaserte vindkraftverk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9AE880"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6558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B425A"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D66A4" w14:textId="77777777" w:rsidR="00575AC3" w:rsidRPr="006D40F0" w:rsidRDefault="00575AC3" w:rsidP="006D40F0">
            <w:r w:rsidRPr="006D40F0">
              <w:t>15 000</w:t>
            </w:r>
          </w:p>
        </w:tc>
      </w:tr>
      <w:tr w:rsidR="00DD49A7" w:rsidRPr="006D40F0" w14:paraId="3B9E7FB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58F330" w14:textId="77777777" w:rsidR="00575AC3" w:rsidRPr="006D40F0" w:rsidRDefault="00575AC3" w:rsidP="006D40F0">
            <w:r w:rsidRPr="006D40F0">
              <w:t>1429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76421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BD25B66" w14:textId="77777777" w:rsidR="00575AC3" w:rsidRPr="006D40F0" w:rsidRDefault="00575AC3" w:rsidP="006D40F0">
            <w:r w:rsidRPr="006D40F0">
              <w:t>Riksantikvaren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939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5A33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B253F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BD106" w14:textId="77777777" w:rsidR="00575AC3" w:rsidRPr="006D40F0" w:rsidRDefault="00575AC3" w:rsidP="006D40F0"/>
        </w:tc>
      </w:tr>
      <w:tr w:rsidR="00DD49A7" w:rsidRPr="006D40F0" w14:paraId="3B74B55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9558B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79D6F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37FA07"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7F988A" w14:textId="77777777" w:rsidR="00575AC3" w:rsidRPr="006D40F0" w:rsidRDefault="00575AC3" w:rsidP="006D40F0">
            <w:r w:rsidRPr="006D40F0">
              <w:t>161 243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BB03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74F74A"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FB7A3" w14:textId="77777777" w:rsidR="00575AC3" w:rsidRPr="006D40F0" w:rsidRDefault="00575AC3" w:rsidP="006D40F0">
            <w:r w:rsidRPr="006D40F0">
              <w:t>160 243</w:t>
            </w:r>
          </w:p>
        </w:tc>
      </w:tr>
      <w:tr w:rsidR="00DD49A7" w:rsidRPr="006D40F0" w14:paraId="5162059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5CBAB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74EE75"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ECB368" w14:textId="77777777" w:rsidR="00575AC3" w:rsidRPr="006D40F0" w:rsidRDefault="00575AC3" w:rsidP="006D40F0">
            <w:r w:rsidRPr="006D40F0">
              <w:t xml:space="preserve">Kulturminnekompetanse i kommunene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AB5966" w14:textId="77777777" w:rsidR="00575AC3" w:rsidRPr="006D40F0" w:rsidRDefault="00575AC3" w:rsidP="006D40F0">
            <w:r w:rsidRPr="006D40F0">
              <w:t>9 406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175E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63C15C"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FD95A1" w14:textId="77777777" w:rsidR="00575AC3" w:rsidRPr="006D40F0" w:rsidRDefault="00575AC3" w:rsidP="006D40F0">
            <w:r w:rsidRPr="006D40F0">
              <w:t>14 406</w:t>
            </w:r>
          </w:p>
        </w:tc>
      </w:tr>
      <w:tr w:rsidR="00DD49A7" w:rsidRPr="006D40F0" w14:paraId="76C482E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7D9CB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F11189"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3A8970" w14:textId="77777777" w:rsidR="00575AC3" w:rsidRPr="006D40F0" w:rsidRDefault="00575AC3" w:rsidP="006D40F0">
            <w:r w:rsidRPr="006D40F0">
              <w:t xml:space="preserve">Tilskudd til automatisk fredete og andre arkeologiske kulturminner,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77144" w14:textId="77777777" w:rsidR="00575AC3" w:rsidRPr="006D40F0" w:rsidRDefault="00575AC3" w:rsidP="006D40F0">
            <w:r w:rsidRPr="006D40F0">
              <w:t>41 522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8126E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BE46A9"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A97398" w14:textId="77777777" w:rsidR="00575AC3" w:rsidRPr="006D40F0" w:rsidRDefault="00575AC3" w:rsidP="006D40F0">
            <w:r w:rsidRPr="006D40F0">
              <w:t>43 522</w:t>
            </w:r>
          </w:p>
        </w:tc>
      </w:tr>
      <w:tr w:rsidR="00DD49A7" w:rsidRPr="006D40F0" w14:paraId="2FE37C77"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DDEAD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866882"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64248F" w14:textId="77777777" w:rsidR="00575AC3" w:rsidRPr="006D40F0" w:rsidRDefault="00575AC3" w:rsidP="006D40F0">
            <w:r w:rsidRPr="006D40F0">
              <w:t xml:space="preserve">Tilskudd til fredete kulturminner i privat eie, kulturmiljøer og kulturlandskap,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DB59EA" w14:textId="77777777" w:rsidR="00575AC3" w:rsidRPr="006D40F0" w:rsidRDefault="00575AC3" w:rsidP="006D40F0">
            <w:r w:rsidRPr="006D40F0">
              <w:t>151 889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5494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96935"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36017A" w14:textId="77777777" w:rsidR="00575AC3" w:rsidRPr="006D40F0" w:rsidRDefault="00575AC3" w:rsidP="006D40F0">
            <w:r w:rsidRPr="006D40F0">
              <w:t>149 889</w:t>
            </w:r>
          </w:p>
        </w:tc>
      </w:tr>
      <w:tr w:rsidR="00DD49A7" w:rsidRPr="006D40F0" w14:paraId="3E9BE4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2A9E39" w14:textId="77777777" w:rsidR="00575AC3" w:rsidRPr="006D40F0" w:rsidRDefault="00575AC3" w:rsidP="006D40F0">
            <w:r w:rsidRPr="006D40F0">
              <w:lastRenderedPageBreak/>
              <w:t>1432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04C50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06781A" w14:textId="77777777" w:rsidR="00575AC3" w:rsidRPr="006D40F0" w:rsidRDefault="00575AC3" w:rsidP="006D40F0">
            <w:r w:rsidRPr="006D40F0">
              <w:t>Norsk kulturminnefond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A54E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7615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DBDB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22F19E" w14:textId="77777777" w:rsidR="00575AC3" w:rsidRPr="006D40F0" w:rsidRDefault="00575AC3" w:rsidP="006D40F0"/>
        </w:tc>
      </w:tr>
      <w:tr w:rsidR="00DD49A7" w:rsidRPr="006D40F0" w14:paraId="2C66E3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946C7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1229A3"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D41760" w14:textId="77777777" w:rsidR="00575AC3" w:rsidRPr="006D40F0" w:rsidRDefault="00575AC3" w:rsidP="006D40F0">
            <w:r w:rsidRPr="006D40F0">
              <w:t xml:space="preserve">Til disposisjon for kulturminnetiltak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918A73" w14:textId="77777777" w:rsidR="00575AC3" w:rsidRPr="006D40F0" w:rsidRDefault="00575AC3" w:rsidP="006D40F0">
            <w:r w:rsidRPr="006D40F0">
              <w:t>132 298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79500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08FEA"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DB649" w14:textId="77777777" w:rsidR="00575AC3" w:rsidRPr="006D40F0" w:rsidRDefault="00575AC3" w:rsidP="006D40F0">
            <w:r w:rsidRPr="006D40F0">
              <w:t>127 298</w:t>
            </w:r>
          </w:p>
        </w:tc>
      </w:tr>
      <w:tr w:rsidR="00DD49A7" w:rsidRPr="006D40F0" w14:paraId="3F8C0A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3D8AFD" w14:textId="77777777" w:rsidR="00575AC3" w:rsidRPr="006D40F0" w:rsidRDefault="00575AC3" w:rsidP="006D40F0">
            <w:r w:rsidRPr="006D40F0">
              <w:t>1471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E09ADC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5C8908" w14:textId="77777777" w:rsidR="00575AC3" w:rsidRPr="006D40F0" w:rsidRDefault="00575AC3" w:rsidP="006D40F0">
            <w:r w:rsidRPr="006D40F0">
              <w:t>Norsk Polarinstitutt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01CB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1292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5AC3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DD9AE5" w14:textId="77777777" w:rsidR="00575AC3" w:rsidRPr="006D40F0" w:rsidRDefault="00575AC3" w:rsidP="006D40F0"/>
        </w:tc>
      </w:tr>
      <w:tr w:rsidR="00DD49A7" w:rsidRPr="006D40F0" w14:paraId="7177469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8AECD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AE269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A0C3BC3"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5D82CF" w14:textId="77777777" w:rsidR="00575AC3" w:rsidRPr="006D40F0" w:rsidRDefault="00575AC3" w:rsidP="006D40F0">
            <w:r w:rsidRPr="006D40F0">
              <w:t>254 830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6FDFF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EF08DA" w14:textId="77777777" w:rsidR="00575AC3" w:rsidRPr="006D40F0" w:rsidRDefault="00575AC3" w:rsidP="006D40F0">
            <w:r w:rsidRPr="006D40F0">
              <w:t>8 220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337E0B" w14:textId="77777777" w:rsidR="00575AC3" w:rsidRPr="006D40F0" w:rsidRDefault="00575AC3" w:rsidP="006D40F0">
            <w:r w:rsidRPr="006D40F0">
              <w:t>263 050</w:t>
            </w:r>
          </w:p>
        </w:tc>
      </w:tr>
      <w:tr w:rsidR="00DD49A7" w:rsidRPr="006D40F0" w14:paraId="154D8A3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DBB32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7382CF"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6DEACE"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D5D619" w14:textId="77777777" w:rsidR="00575AC3" w:rsidRPr="006D40F0" w:rsidRDefault="00575AC3" w:rsidP="006D40F0">
            <w:r w:rsidRPr="006D40F0">
              <w:t>145 706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83614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371B8F" w14:textId="77777777" w:rsidR="00575AC3" w:rsidRPr="006D40F0" w:rsidRDefault="00575AC3" w:rsidP="006D40F0">
            <w:r w:rsidRPr="006D40F0">
              <w:t>-25 000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291D16" w14:textId="77777777" w:rsidR="00575AC3" w:rsidRPr="006D40F0" w:rsidRDefault="00575AC3" w:rsidP="006D40F0">
            <w:r w:rsidRPr="006D40F0">
              <w:t>120 706</w:t>
            </w:r>
          </w:p>
        </w:tc>
      </w:tr>
      <w:tr w:rsidR="00DD49A7" w:rsidRPr="006D40F0" w14:paraId="69037D3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BB524A" w14:textId="77777777" w:rsidR="00575AC3" w:rsidRPr="006D40F0" w:rsidRDefault="00575AC3" w:rsidP="006D40F0">
            <w:r w:rsidRPr="006D40F0">
              <w:t>1482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50CE9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A11DA9C" w14:textId="77777777" w:rsidR="00575AC3" w:rsidRPr="006D40F0" w:rsidRDefault="00575AC3" w:rsidP="006D40F0">
            <w:r w:rsidRPr="006D40F0">
              <w:t>Internasjonale klima- og utviklingstiltak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C5A2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1B6EF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C1F8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D1F07B" w14:textId="77777777" w:rsidR="00575AC3" w:rsidRPr="006D40F0" w:rsidRDefault="00575AC3" w:rsidP="006D40F0"/>
        </w:tc>
      </w:tr>
      <w:tr w:rsidR="00DD49A7" w:rsidRPr="006D40F0" w14:paraId="065D2E0A"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5E89634"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6D72B33" w14:textId="77777777" w:rsidR="00575AC3" w:rsidRPr="006D40F0" w:rsidRDefault="00575AC3" w:rsidP="006D40F0">
            <w:r w:rsidRPr="006D40F0">
              <w:t>73</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7A102FF" w14:textId="77777777" w:rsidR="00575AC3" w:rsidRPr="006D40F0" w:rsidRDefault="00575AC3" w:rsidP="006D40F0">
            <w:r w:rsidRPr="006D40F0">
              <w:t xml:space="preserve">Klima- og skogsatsingen,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FC9E58" w14:textId="77777777" w:rsidR="00575AC3" w:rsidRPr="006D40F0" w:rsidRDefault="00575AC3" w:rsidP="006D40F0">
            <w:r w:rsidRPr="006D40F0">
              <w:t>4 100 835</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453682A"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CFF70F" w14:textId="77777777" w:rsidR="00575AC3" w:rsidRPr="006D40F0" w:rsidRDefault="00575AC3" w:rsidP="006D40F0">
            <w:r w:rsidRPr="006D40F0">
              <w:t>-59 600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45F88E" w14:textId="77777777" w:rsidR="00575AC3" w:rsidRPr="006D40F0" w:rsidRDefault="00575AC3" w:rsidP="006D40F0">
            <w:r w:rsidRPr="006D40F0">
              <w:t>4 041 235</w:t>
            </w:r>
          </w:p>
        </w:tc>
      </w:tr>
      <w:tr w:rsidR="00DD49A7" w:rsidRPr="006D40F0" w14:paraId="26E51C6A"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FBBEFED" w14:textId="77777777" w:rsidR="00575AC3" w:rsidRPr="006D40F0" w:rsidRDefault="00575AC3" w:rsidP="006D40F0">
            <w:r w:rsidRPr="006D40F0">
              <w:t>Sum endringer Klima- og miljødepartementet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7F03D14"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663E3E9"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12B2B9A" w14:textId="77777777" w:rsidR="00575AC3" w:rsidRPr="006D40F0" w:rsidRDefault="00575AC3" w:rsidP="006D40F0">
            <w:r w:rsidRPr="006D40F0">
              <w:t>507 960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347122" w14:textId="77777777" w:rsidR="00575AC3" w:rsidRPr="006D40F0" w:rsidRDefault="00575AC3" w:rsidP="006D40F0"/>
        </w:tc>
      </w:tr>
      <w:tr w:rsidR="00DD49A7" w:rsidRPr="006D40F0" w14:paraId="526D628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7FE5A6" w14:textId="77777777" w:rsidR="00575AC3" w:rsidRPr="006D40F0" w:rsidRDefault="00575AC3" w:rsidP="006D40F0">
            <w:r w:rsidRPr="006D40F0">
              <w:t>1500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99F4A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C4BCBB0" w14:textId="77777777" w:rsidR="00575AC3" w:rsidRPr="006D40F0" w:rsidRDefault="00575AC3" w:rsidP="006D40F0">
            <w:r w:rsidRPr="006D40F0">
              <w:t>Digitaliserings- og forvaltningsdepartementet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D2060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E851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8402C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B0361" w14:textId="77777777" w:rsidR="00575AC3" w:rsidRPr="006D40F0" w:rsidRDefault="00575AC3" w:rsidP="006D40F0"/>
        </w:tc>
      </w:tr>
      <w:tr w:rsidR="00DD49A7" w:rsidRPr="006D40F0" w14:paraId="25A656F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6A8B8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77848E9"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C91DE52" w14:textId="77777777" w:rsidR="00575AC3" w:rsidRPr="006D40F0" w:rsidRDefault="00575AC3" w:rsidP="006D40F0">
            <w:r w:rsidRPr="006D40F0">
              <w:t xml:space="preserve">Spesielle driftsutgifter, </w:t>
            </w:r>
            <w:r w:rsidRPr="00575AC3">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0ADB2A" w14:textId="77777777" w:rsidR="00575AC3" w:rsidRPr="006D40F0" w:rsidRDefault="00575AC3" w:rsidP="006D40F0">
            <w:r w:rsidRPr="006D40F0">
              <w:t>24 251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698F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76393" w14:textId="77777777" w:rsidR="00575AC3" w:rsidRPr="006D40F0" w:rsidRDefault="00575AC3" w:rsidP="006D40F0">
            <w:r w:rsidRPr="006D40F0">
              <w:t>10 310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A3C417" w14:textId="77777777" w:rsidR="00575AC3" w:rsidRPr="006D40F0" w:rsidRDefault="00575AC3" w:rsidP="006D40F0">
            <w:r w:rsidRPr="006D40F0">
              <w:t>34 561</w:t>
            </w:r>
          </w:p>
        </w:tc>
      </w:tr>
      <w:tr w:rsidR="00DD49A7" w:rsidRPr="006D40F0" w14:paraId="19427B2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63D6F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3AA9C6"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8FB952" w14:textId="77777777" w:rsidR="00575AC3" w:rsidRPr="006D40F0" w:rsidRDefault="00575AC3" w:rsidP="006D40F0">
            <w:r w:rsidRPr="006D40F0">
              <w:t xml:space="preserve">Forskningsmidler til Norges forskningsråd m.m.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C52E99" w14:textId="77777777" w:rsidR="00575AC3" w:rsidRPr="006D40F0" w:rsidRDefault="00575AC3" w:rsidP="006D40F0">
            <w:r w:rsidRPr="006D40F0">
              <w:t>101 700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9952B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6F39F" w14:textId="77777777" w:rsidR="00575AC3" w:rsidRPr="006D40F0" w:rsidRDefault="00575AC3" w:rsidP="006D40F0">
            <w:r w:rsidRPr="006D40F0">
              <w:t>-500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BCFCFF" w14:textId="77777777" w:rsidR="00575AC3" w:rsidRPr="006D40F0" w:rsidRDefault="00575AC3" w:rsidP="006D40F0">
            <w:r w:rsidRPr="006D40F0">
              <w:t>101 200</w:t>
            </w:r>
          </w:p>
        </w:tc>
      </w:tr>
      <w:tr w:rsidR="00DD49A7" w:rsidRPr="006D40F0" w14:paraId="57E4A91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7A9F8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47695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A02FC0" w14:textId="77777777" w:rsidR="00575AC3" w:rsidRPr="006D40F0" w:rsidRDefault="00575AC3" w:rsidP="006D40F0">
            <w:r w:rsidRPr="006D40F0">
              <w:t xml:space="preserve">Diverse formål, </w:t>
            </w:r>
            <w:r w:rsidRPr="00575AC3">
              <w:rPr>
                <w:rStyle w:val="kursiv"/>
              </w:rPr>
              <w:t>kan overføres, kan nyttes under post 21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54C519" w14:textId="77777777" w:rsidR="00575AC3" w:rsidRPr="006D40F0" w:rsidRDefault="00575AC3" w:rsidP="006D40F0">
            <w:r w:rsidRPr="006D40F0">
              <w:t>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1A1C9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76B6D" w14:textId="77777777" w:rsidR="00575AC3" w:rsidRPr="006D40F0" w:rsidRDefault="00575AC3" w:rsidP="006D40F0">
            <w:r w:rsidRPr="006D40F0">
              <w:t>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112A2" w14:textId="77777777" w:rsidR="00575AC3" w:rsidRPr="006D40F0" w:rsidRDefault="00575AC3" w:rsidP="006D40F0">
            <w:r w:rsidRPr="006D40F0">
              <w:t>1 000</w:t>
            </w:r>
          </w:p>
        </w:tc>
      </w:tr>
      <w:tr w:rsidR="00DD49A7" w:rsidRPr="006D40F0" w14:paraId="726A735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38BCAF" w14:textId="77777777" w:rsidR="00575AC3" w:rsidRPr="006D40F0" w:rsidRDefault="00575AC3" w:rsidP="006D40F0">
            <w:r w:rsidRPr="006D40F0">
              <w:t>1510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AB8F2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99F44CC" w14:textId="77777777" w:rsidR="00575AC3" w:rsidRPr="006D40F0" w:rsidRDefault="00575AC3" w:rsidP="006D40F0">
            <w:r w:rsidRPr="006D40F0">
              <w:t>Departementenes sikkerhets- og serviceorganisasjon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F358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5559B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F2A2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1EDBF" w14:textId="77777777" w:rsidR="00575AC3" w:rsidRPr="006D40F0" w:rsidRDefault="00575AC3" w:rsidP="006D40F0"/>
        </w:tc>
      </w:tr>
      <w:tr w:rsidR="00DD49A7" w:rsidRPr="006D40F0" w14:paraId="21F0034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D8420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69C39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821302"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201DAC" w14:textId="77777777" w:rsidR="00575AC3" w:rsidRPr="006D40F0" w:rsidRDefault="00575AC3" w:rsidP="006D40F0">
            <w:r w:rsidRPr="006D40F0">
              <w:t>762 891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1F498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552F4B" w14:textId="77777777" w:rsidR="00575AC3" w:rsidRPr="006D40F0" w:rsidRDefault="00575AC3" w:rsidP="006D40F0">
            <w:r w:rsidRPr="006D40F0">
              <w:t>48 962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402E6" w14:textId="77777777" w:rsidR="00575AC3" w:rsidRPr="006D40F0" w:rsidRDefault="00575AC3" w:rsidP="006D40F0">
            <w:r w:rsidRPr="006D40F0">
              <w:t>811 853</w:t>
            </w:r>
          </w:p>
        </w:tc>
      </w:tr>
      <w:tr w:rsidR="00DD49A7" w:rsidRPr="006D40F0" w14:paraId="398B34C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BB815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5D63FC"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D186AD"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8634E" w14:textId="77777777" w:rsidR="00575AC3" w:rsidRPr="006D40F0" w:rsidRDefault="00575AC3" w:rsidP="006D40F0">
            <w:r w:rsidRPr="006D40F0">
              <w:t>66 510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6739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3E246F" w14:textId="77777777" w:rsidR="00575AC3" w:rsidRPr="006D40F0" w:rsidRDefault="00575AC3" w:rsidP="006D40F0">
            <w:r w:rsidRPr="006D40F0">
              <w:t>128 186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853FE" w14:textId="77777777" w:rsidR="00575AC3" w:rsidRPr="006D40F0" w:rsidRDefault="00575AC3" w:rsidP="006D40F0">
            <w:r w:rsidRPr="006D40F0">
              <w:t>194 696</w:t>
            </w:r>
          </w:p>
        </w:tc>
      </w:tr>
      <w:tr w:rsidR="00DD49A7" w:rsidRPr="006D40F0" w14:paraId="4E92A59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74A81C" w14:textId="77777777" w:rsidR="00575AC3" w:rsidRPr="006D40F0" w:rsidRDefault="00575AC3" w:rsidP="006D40F0">
            <w:r w:rsidRPr="006D40F0">
              <w:t>1512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6210A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252E95" w14:textId="77777777" w:rsidR="00575AC3" w:rsidRPr="006D40F0" w:rsidRDefault="00575AC3" w:rsidP="006D40F0">
            <w:r w:rsidRPr="006D40F0">
              <w:t>Diverse fellestjenester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78DD2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C8DE8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DFE8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EAECFF" w14:textId="77777777" w:rsidR="00575AC3" w:rsidRPr="006D40F0" w:rsidRDefault="00575AC3" w:rsidP="006D40F0"/>
        </w:tc>
      </w:tr>
      <w:tr w:rsidR="00DD49A7" w:rsidRPr="006D40F0" w14:paraId="3DC4F1E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E7591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527D69" w14:textId="77777777" w:rsidR="00575AC3" w:rsidRPr="006D40F0" w:rsidRDefault="00575AC3" w:rsidP="006D40F0">
            <w:r w:rsidRPr="006D40F0">
              <w:t>27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A1F0E6" w14:textId="77777777" w:rsidR="00575AC3" w:rsidRPr="006D40F0" w:rsidRDefault="00575AC3" w:rsidP="006D40F0">
            <w:r w:rsidRPr="006D40F0">
              <w:t xml:space="preserve">Sak- og arkivløsning,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37389" w14:textId="77777777" w:rsidR="00575AC3" w:rsidRPr="006D40F0" w:rsidRDefault="00575AC3" w:rsidP="006D40F0">
            <w:r w:rsidRPr="006D40F0">
              <w:t>66 447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94094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353068" w14:textId="77777777" w:rsidR="00575AC3" w:rsidRPr="006D40F0" w:rsidRDefault="00575AC3" w:rsidP="006D40F0">
            <w:r w:rsidRPr="006D40F0">
              <w:t>-23 300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8EB510" w14:textId="77777777" w:rsidR="00575AC3" w:rsidRPr="006D40F0" w:rsidRDefault="00575AC3" w:rsidP="006D40F0">
            <w:r w:rsidRPr="006D40F0">
              <w:t>43 147</w:t>
            </w:r>
          </w:p>
        </w:tc>
      </w:tr>
      <w:tr w:rsidR="00DD49A7" w:rsidRPr="006D40F0" w14:paraId="330F3F5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8091D1" w14:textId="77777777" w:rsidR="00575AC3" w:rsidRPr="006D40F0" w:rsidRDefault="00575AC3" w:rsidP="006D40F0">
            <w:r w:rsidRPr="006D40F0">
              <w:lastRenderedPageBreak/>
              <w:t>1520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66DE8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73FEEB" w14:textId="77777777" w:rsidR="00575AC3" w:rsidRPr="006D40F0" w:rsidRDefault="00575AC3" w:rsidP="006D40F0">
            <w:r w:rsidRPr="006D40F0">
              <w:t>Statsforvalterne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074C5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08B70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62EA1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CB242" w14:textId="77777777" w:rsidR="00575AC3" w:rsidRPr="006D40F0" w:rsidRDefault="00575AC3" w:rsidP="006D40F0"/>
        </w:tc>
      </w:tr>
      <w:tr w:rsidR="00DD49A7" w:rsidRPr="006D40F0" w14:paraId="58E0673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FE546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FA000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DF5D43"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09BBF2" w14:textId="77777777" w:rsidR="00575AC3" w:rsidRPr="006D40F0" w:rsidRDefault="00575AC3" w:rsidP="006D40F0">
            <w:r w:rsidRPr="006D40F0">
              <w:t>2 271 829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BD5E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C9F875" w14:textId="77777777" w:rsidR="00575AC3" w:rsidRPr="006D40F0" w:rsidRDefault="00575AC3" w:rsidP="006D40F0">
            <w:r w:rsidRPr="006D40F0">
              <w:t>17 000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D5C72" w14:textId="77777777" w:rsidR="00575AC3" w:rsidRPr="006D40F0" w:rsidRDefault="00575AC3" w:rsidP="006D40F0">
            <w:r w:rsidRPr="006D40F0">
              <w:t>2 288 829</w:t>
            </w:r>
          </w:p>
        </w:tc>
      </w:tr>
      <w:tr w:rsidR="00DD49A7" w:rsidRPr="006D40F0" w14:paraId="72CB9FF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3E58998" w14:textId="77777777" w:rsidR="00575AC3" w:rsidRPr="006D40F0" w:rsidRDefault="00575AC3" w:rsidP="006D40F0">
            <w:r w:rsidRPr="006D40F0">
              <w:t>1530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DC5E6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1EEC50" w14:textId="77777777" w:rsidR="00575AC3" w:rsidRPr="006D40F0" w:rsidRDefault="00575AC3" w:rsidP="006D40F0">
            <w:r w:rsidRPr="006D40F0">
              <w:t>Byggeprosjekter utenfor husleieordningen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C90C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BFD3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DDA4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CCCC6F" w14:textId="77777777" w:rsidR="00575AC3" w:rsidRPr="006D40F0" w:rsidRDefault="00575AC3" w:rsidP="006D40F0"/>
        </w:tc>
      </w:tr>
      <w:tr w:rsidR="00DD49A7" w:rsidRPr="006D40F0" w14:paraId="4E3B70D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C4477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F70CA0" w14:textId="77777777" w:rsidR="00575AC3" w:rsidRPr="006D40F0" w:rsidRDefault="00575AC3" w:rsidP="006D40F0">
            <w:r w:rsidRPr="006D40F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AC5940" w14:textId="77777777" w:rsidR="00575AC3" w:rsidRPr="006D40F0" w:rsidRDefault="00575AC3" w:rsidP="006D40F0">
            <w:r w:rsidRPr="006D40F0">
              <w:t xml:space="preserve">Prosjektering av bygg,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8C14B"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4C3A4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596EE"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5C0512" w14:textId="77777777" w:rsidR="00575AC3" w:rsidRPr="006D40F0" w:rsidRDefault="00575AC3" w:rsidP="006D40F0">
            <w:r w:rsidRPr="006D40F0">
              <w:t>10 000</w:t>
            </w:r>
          </w:p>
        </w:tc>
      </w:tr>
      <w:tr w:rsidR="00DD49A7" w:rsidRPr="006D40F0" w14:paraId="774C66C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65825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46E67B" w14:textId="77777777" w:rsidR="00575AC3" w:rsidRPr="006D40F0" w:rsidRDefault="00575AC3" w:rsidP="006D40F0">
            <w:r w:rsidRPr="006D40F0">
              <w:t>33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04B51C" w14:textId="6D3EF69E" w:rsidR="00575AC3" w:rsidRPr="006D40F0" w:rsidRDefault="00575AC3" w:rsidP="006D40F0">
            <w:r w:rsidRPr="006D40F0">
              <w:t>Videreføring av byggeprosjekter,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A49E09" w14:textId="77777777" w:rsidR="00575AC3" w:rsidRPr="006D40F0" w:rsidRDefault="00575AC3" w:rsidP="006D40F0">
            <w:r w:rsidRPr="006D40F0">
              <w:t>4 385 000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F6ED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5C61C9" w14:textId="77777777" w:rsidR="00575AC3" w:rsidRPr="006D40F0" w:rsidRDefault="00575AC3" w:rsidP="006D40F0">
            <w:r w:rsidRPr="006D40F0">
              <w:t>-150 000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02587" w14:textId="77777777" w:rsidR="00575AC3" w:rsidRPr="006D40F0" w:rsidRDefault="00575AC3" w:rsidP="006D40F0">
            <w:r w:rsidRPr="006D40F0">
              <w:t>4 235 000</w:t>
            </w:r>
          </w:p>
        </w:tc>
      </w:tr>
      <w:tr w:rsidR="00DD49A7" w:rsidRPr="006D40F0" w14:paraId="6C2FE19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10167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39DCC6"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D744BE"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74D1F6" w14:textId="77777777" w:rsidR="00575AC3" w:rsidRPr="006D40F0" w:rsidRDefault="00575AC3" w:rsidP="006D40F0">
            <w:r w:rsidRPr="006D40F0">
              <w:t>1 146 900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A7B94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B1296" w14:textId="77777777" w:rsidR="00575AC3" w:rsidRPr="006D40F0" w:rsidRDefault="00575AC3" w:rsidP="006D40F0">
            <w:r w:rsidRPr="006D40F0">
              <w:t>65 000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4D6C3" w14:textId="77777777" w:rsidR="00575AC3" w:rsidRPr="006D40F0" w:rsidRDefault="00575AC3" w:rsidP="006D40F0">
            <w:r w:rsidRPr="006D40F0">
              <w:t>1 211 900</w:t>
            </w:r>
          </w:p>
        </w:tc>
      </w:tr>
      <w:tr w:rsidR="00DD49A7" w:rsidRPr="006D40F0" w14:paraId="36D51D3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EF17BC" w14:textId="77777777" w:rsidR="00575AC3" w:rsidRPr="006D40F0" w:rsidRDefault="00575AC3" w:rsidP="006D40F0">
            <w:r w:rsidRPr="006D40F0">
              <w:t>1540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6E36B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365696" w14:textId="77777777" w:rsidR="00575AC3" w:rsidRPr="006D40F0" w:rsidRDefault="00575AC3" w:rsidP="006D40F0">
            <w:r w:rsidRPr="006D40F0">
              <w:t>Digitaliseringsdirektoratet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A48A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58268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CA866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93A95D" w14:textId="77777777" w:rsidR="00575AC3" w:rsidRPr="006D40F0" w:rsidRDefault="00575AC3" w:rsidP="006D40F0"/>
        </w:tc>
      </w:tr>
      <w:tr w:rsidR="00DD49A7" w:rsidRPr="006D40F0" w14:paraId="4AE3D5F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CF9FC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3251D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7B75AE"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5E91B7" w14:textId="77777777" w:rsidR="00575AC3" w:rsidRPr="006D40F0" w:rsidRDefault="00575AC3" w:rsidP="006D40F0">
            <w:r w:rsidRPr="006D40F0">
              <w:t>11 370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8FCD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D87209" w14:textId="77777777" w:rsidR="00575AC3" w:rsidRPr="006D40F0" w:rsidRDefault="00575AC3" w:rsidP="006D40F0">
            <w:r w:rsidRPr="006D40F0">
              <w:t>5 450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9BAA60" w14:textId="77777777" w:rsidR="00575AC3" w:rsidRPr="006D40F0" w:rsidRDefault="00575AC3" w:rsidP="006D40F0">
            <w:r w:rsidRPr="006D40F0">
              <w:t>16 820</w:t>
            </w:r>
          </w:p>
        </w:tc>
      </w:tr>
      <w:tr w:rsidR="00DD49A7" w:rsidRPr="006D40F0" w14:paraId="5ADB5BB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193CA8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CCA10A"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4ABEDE" w14:textId="77777777" w:rsidR="00575AC3" w:rsidRPr="006D40F0" w:rsidRDefault="00575AC3" w:rsidP="006D40F0">
            <w:r w:rsidRPr="006D40F0">
              <w:t xml:space="preserve">Utvikling og forvaltning av nasjonale fellesløsninger,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893A5E" w14:textId="77777777" w:rsidR="00575AC3" w:rsidRPr="006D40F0" w:rsidRDefault="00575AC3" w:rsidP="006D40F0">
            <w:r w:rsidRPr="006D40F0">
              <w:t>422 308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0FB6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0923F6" w14:textId="77777777" w:rsidR="00575AC3" w:rsidRPr="006D40F0" w:rsidRDefault="00575AC3" w:rsidP="006D40F0">
            <w:r w:rsidRPr="006D40F0">
              <w:t>108 448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57F23" w14:textId="77777777" w:rsidR="00575AC3" w:rsidRPr="006D40F0" w:rsidRDefault="00575AC3" w:rsidP="006D40F0">
            <w:r w:rsidRPr="006D40F0">
              <w:t>530 756</w:t>
            </w:r>
          </w:p>
        </w:tc>
      </w:tr>
      <w:tr w:rsidR="00DD49A7" w:rsidRPr="006D40F0" w14:paraId="46361FF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59B0C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DF9877" w14:textId="77777777" w:rsidR="00575AC3" w:rsidRPr="006D40F0" w:rsidRDefault="00575AC3" w:rsidP="006D40F0">
            <w:r w:rsidRPr="006D40F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E8BC5D" w14:textId="77777777" w:rsidR="00575AC3" w:rsidRPr="006D40F0" w:rsidRDefault="00575AC3" w:rsidP="006D40F0">
            <w:r w:rsidRPr="006D40F0">
              <w:t xml:space="preserve">Medfinansieringsordning for digitaliseringsprosjekter,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8EF8EE" w14:textId="77777777" w:rsidR="00575AC3" w:rsidRPr="006D40F0" w:rsidRDefault="00575AC3" w:rsidP="006D40F0">
            <w:r w:rsidRPr="006D40F0">
              <w:t>136 329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07E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2B3B61" w14:textId="77777777" w:rsidR="00575AC3" w:rsidRPr="006D40F0" w:rsidRDefault="00575AC3" w:rsidP="006D40F0">
            <w:r w:rsidRPr="006D40F0">
              <w:t>-6 200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1AA11" w14:textId="77777777" w:rsidR="00575AC3" w:rsidRPr="006D40F0" w:rsidRDefault="00575AC3" w:rsidP="006D40F0">
            <w:r w:rsidRPr="006D40F0">
              <w:t>130 129</w:t>
            </w:r>
          </w:p>
        </w:tc>
      </w:tr>
      <w:tr w:rsidR="00DD49A7" w:rsidRPr="006D40F0" w14:paraId="7E6D429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7660F7" w14:textId="77777777" w:rsidR="00575AC3" w:rsidRPr="006D40F0" w:rsidRDefault="00575AC3" w:rsidP="006D40F0">
            <w:r w:rsidRPr="006D40F0">
              <w:t>1541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72A9B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EE59DFB" w14:textId="77777777" w:rsidR="00575AC3" w:rsidRPr="006D40F0" w:rsidRDefault="00575AC3" w:rsidP="006D40F0">
            <w:r w:rsidRPr="006D40F0">
              <w:t xml:space="preserve">IT- og </w:t>
            </w:r>
            <w:proofErr w:type="spellStart"/>
            <w:r w:rsidRPr="006D40F0">
              <w:t>ekompolitikk</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EA917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DBF9B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07E01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2D6AF7" w14:textId="77777777" w:rsidR="00575AC3" w:rsidRPr="006D40F0" w:rsidRDefault="00575AC3" w:rsidP="006D40F0"/>
        </w:tc>
      </w:tr>
      <w:tr w:rsidR="00DD49A7" w:rsidRPr="006D40F0" w14:paraId="47DE6BA4"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9FC7C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BF4CE5"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F5CADA" w14:textId="77777777" w:rsidR="00575AC3" w:rsidRPr="006D40F0" w:rsidRDefault="00575AC3" w:rsidP="006D40F0">
            <w:r w:rsidRPr="006D40F0">
              <w:t xml:space="preserve">Utvikling, gjennomføring og samordning av IT- og </w:t>
            </w:r>
            <w:proofErr w:type="spellStart"/>
            <w:r w:rsidRPr="006D40F0">
              <w:t>ekompolitikken</w:t>
            </w:r>
            <w:proofErr w:type="spellEnd"/>
            <w:r w:rsidRPr="006D40F0">
              <w:t xml:space="preserve">, </w:t>
            </w:r>
            <w:r w:rsidRPr="00575AC3">
              <w:rPr>
                <w:rStyle w:val="kursiv"/>
              </w:rPr>
              <w:t>kan overføres, kan nyttes under post 70</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3E8FC" w14:textId="77777777" w:rsidR="00575AC3" w:rsidRPr="006D40F0" w:rsidRDefault="00575AC3" w:rsidP="006D40F0">
            <w:r w:rsidRPr="006D40F0">
              <w:t>15 924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BDD29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45919" w14:textId="77777777" w:rsidR="00575AC3" w:rsidRPr="006D40F0" w:rsidRDefault="00575AC3" w:rsidP="006D40F0">
            <w:r w:rsidRPr="006D40F0">
              <w:t>5 600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1AEC0C" w14:textId="77777777" w:rsidR="00575AC3" w:rsidRPr="006D40F0" w:rsidRDefault="00575AC3" w:rsidP="006D40F0">
            <w:r w:rsidRPr="006D40F0">
              <w:t>21 524</w:t>
            </w:r>
          </w:p>
        </w:tc>
      </w:tr>
      <w:tr w:rsidR="00DD49A7" w:rsidRPr="006D40F0" w14:paraId="63E62D5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D43FF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A74C02"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1BE209" w14:textId="77777777" w:rsidR="00575AC3" w:rsidRPr="006D40F0" w:rsidRDefault="00575AC3" w:rsidP="006D40F0">
            <w:r w:rsidRPr="006D40F0">
              <w:t xml:space="preserve">Forvaltningsutvikling, IT- og </w:t>
            </w:r>
            <w:proofErr w:type="spellStart"/>
            <w:r w:rsidRPr="006D40F0">
              <w:t>ekompolitikk</w:t>
            </w:r>
            <w:proofErr w:type="spellEnd"/>
            <w:r w:rsidRPr="006D40F0">
              <w:t xml:space="preserve">, </w:t>
            </w:r>
            <w:r w:rsidRPr="00575AC3">
              <w:rPr>
                <w:rStyle w:val="kursiv"/>
              </w:rPr>
              <w:t>kan nyttes under post 22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BB501B" w14:textId="77777777" w:rsidR="00575AC3" w:rsidRPr="006D40F0" w:rsidRDefault="00575AC3" w:rsidP="006D40F0">
            <w:r w:rsidRPr="006D40F0">
              <w:t>34 908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CF7A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B64F7C" w14:textId="77777777" w:rsidR="00575AC3" w:rsidRPr="006D40F0" w:rsidRDefault="00575AC3" w:rsidP="006D40F0">
            <w:r w:rsidRPr="006D40F0">
              <w:t>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142543" w14:textId="77777777" w:rsidR="00575AC3" w:rsidRPr="006D40F0" w:rsidRDefault="00575AC3" w:rsidP="006D40F0">
            <w:r w:rsidRPr="006D40F0">
              <w:t>36 708</w:t>
            </w:r>
          </w:p>
        </w:tc>
      </w:tr>
      <w:tr w:rsidR="00DD49A7" w:rsidRPr="006D40F0" w14:paraId="27B599E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655C30" w14:textId="77777777" w:rsidR="00575AC3" w:rsidRPr="006D40F0" w:rsidRDefault="00575AC3" w:rsidP="006D40F0">
            <w:r w:rsidRPr="006D40F0">
              <w:t>1542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8E562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8C29A1" w14:textId="77777777" w:rsidR="00575AC3" w:rsidRPr="006D40F0" w:rsidRDefault="00575AC3" w:rsidP="006D40F0">
            <w:r w:rsidRPr="006D40F0">
              <w:t>Internasjonalt samarbeid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5CAF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E78E5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4D679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B0117" w14:textId="77777777" w:rsidR="00575AC3" w:rsidRPr="006D40F0" w:rsidRDefault="00575AC3" w:rsidP="006D40F0"/>
        </w:tc>
      </w:tr>
      <w:tr w:rsidR="00DD49A7" w:rsidRPr="006D40F0" w14:paraId="7371384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DE4F3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791ED6F"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4EB04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CDCF30" w14:textId="77777777" w:rsidR="00575AC3" w:rsidRPr="006D40F0" w:rsidRDefault="00575AC3" w:rsidP="006D40F0">
            <w:r w:rsidRPr="006D40F0">
              <w:t>5 100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2492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0CC8B6"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7CD7D6" w14:textId="77777777" w:rsidR="00575AC3" w:rsidRPr="006D40F0" w:rsidRDefault="00575AC3" w:rsidP="006D40F0">
            <w:r w:rsidRPr="006D40F0">
              <w:t>3 600</w:t>
            </w:r>
          </w:p>
        </w:tc>
      </w:tr>
      <w:tr w:rsidR="00DD49A7" w:rsidRPr="006D40F0" w14:paraId="6445DE1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881E35" w14:textId="77777777" w:rsidR="00575AC3" w:rsidRPr="006D40F0" w:rsidRDefault="00575AC3" w:rsidP="006D40F0">
            <w:r w:rsidRPr="006D40F0">
              <w:t>1543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FBB63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892E99" w14:textId="77777777" w:rsidR="00575AC3" w:rsidRPr="006D40F0" w:rsidRDefault="00575AC3" w:rsidP="006D40F0">
            <w:r w:rsidRPr="006D40F0">
              <w:t>Nasjonal kommunikasjonsmyndighet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D714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7FBED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C9C06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64DDC" w14:textId="77777777" w:rsidR="00575AC3" w:rsidRPr="006D40F0" w:rsidRDefault="00575AC3" w:rsidP="006D40F0"/>
        </w:tc>
      </w:tr>
      <w:tr w:rsidR="00DD49A7" w:rsidRPr="006D40F0" w14:paraId="547E15D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660B3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C94EA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DAC79D" w14:textId="77777777" w:rsidR="00575AC3" w:rsidRPr="006D40F0" w:rsidRDefault="00575AC3" w:rsidP="006D40F0">
            <w:r w:rsidRPr="006D40F0">
              <w:t xml:space="preserve">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8AA4D" w14:textId="77777777" w:rsidR="00575AC3" w:rsidRPr="006D40F0" w:rsidRDefault="00575AC3" w:rsidP="006D40F0">
            <w:r w:rsidRPr="006D40F0">
              <w:t>260 092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A24C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1300C" w14:textId="77777777" w:rsidR="00575AC3" w:rsidRPr="006D40F0" w:rsidRDefault="00575AC3" w:rsidP="006D40F0">
            <w:r w:rsidRPr="006D40F0">
              <w:t>1 321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9D02B7" w14:textId="77777777" w:rsidR="00575AC3" w:rsidRPr="006D40F0" w:rsidRDefault="00575AC3" w:rsidP="006D40F0">
            <w:r w:rsidRPr="006D40F0">
              <w:t>261 413</w:t>
            </w:r>
          </w:p>
        </w:tc>
      </w:tr>
      <w:tr w:rsidR="00DD49A7" w:rsidRPr="006D40F0" w14:paraId="3C35C7F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418165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1E0DE1"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B073765" w14:textId="77777777" w:rsidR="00575AC3" w:rsidRPr="006D40F0" w:rsidRDefault="00575AC3" w:rsidP="006D40F0">
            <w:r w:rsidRPr="006D40F0">
              <w:t xml:space="preserve">Funksjonell internettilgang til alle,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E5028C" w14:textId="77777777" w:rsidR="00575AC3" w:rsidRPr="006D40F0" w:rsidRDefault="00575AC3" w:rsidP="006D40F0">
            <w:r w:rsidRPr="006D40F0">
              <w:t>10 573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9F7B1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411C95"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F25F11" w14:textId="77777777" w:rsidR="00575AC3" w:rsidRPr="006D40F0" w:rsidRDefault="00575AC3" w:rsidP="006D40F0">
            <w:r w:rsidRPr="006D40F0">
              <w:t>573</w:t>
            </w:r>
          </w:p>
        </w:tc>
      </w:tr>
      <w:tr w:rsidR="00DD49A7" w:rsidRPr="006D40F0" w14:paraId="4EE9D3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456928" w14:textId="77777777" w:rsidR="00575AC3" w:rsidRPr="006D40F0" w:rsidRDefault="00575AC3" w:rsidP="006D40F0">
            <w:r w:rsidRPr="006D40F0">
              <w:t>1560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E00B3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1BBF42" w14:textId="77777777" w:rsidR="00575AC3" w:rsidRPr="006D40F0" w:rsidRDefault="00575AC3" w:rsidP="006D40F0">
            <w:proofErr w:type="spellStart"/>
            <w:r w:rsidRPr="006D40F0">
              <w:t>Tariffavtalte</w:t>
            </w:r>
            <w:proofErr w:type="spellEnd"/>
            <w:r w:rsidRPr="006D40F0">
              <w:t xml:space="preserve"> avsetninger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8525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25BF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F058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3A3A5" w14:textId="77777777" w:rsidR="00575AC3" w:rsidRPr="006D40F0" w:rsidRDefault="00575AC3" w:rsidP="006D40F0"/>
        </w:tc>
      </w:tr>
      <w:tr w:rsidR="00DD49A7" w:rsidRPr="006D40F0" w14:paraId="0EDABA3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543DF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DA55C4"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193803" w14:textId="77777777" w:rsidR="00575AC3" w:rsidRPr="006D40F0" w:rsidRDefault="00575AC3" w:rsidP="006D40F0">
            <w:r w:rsidRPr="006D40F0">
              <w:t xml:space="preserve">Pensjonskostnader tjenestemannsorganisasjonene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6B5EF" w14:textId="77777777" w:rsidR="00575AC3" w:rsidRPr="006D40F0" w:rsidRDefault="00575AC3" w:rsidP="006D40F0">
            <w:r w:rsidRPr="006D40F0">
              <w:t>43 000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E92E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5766BC"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0D35EE" w14:textId="77777777" w:rsidR="00575AC3" w:rsidRPr="006D40F0" w:rsidRDefault="00575AC3" w:rsidP="006D40F0">
            <w:r w:rsidRPr="006D40F0">
              <w:t>44 500</w:t>
            </w:r>
          </w:p>
        </w:tc>
      </w:tr>
      <w:tr w:rsidR="00DD49A7" w:rsidRPr="006D40F0" w14:paraId="00311D8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8267FC8" w14:textId="77777777" w:rsidR="00575AC3" w:rsidRPr="006D40F0" w:rsidRDefault="00575AC3" w:rsidP="006D40F0">
            <w:r w:rsidRPr="006D40F0">
              <w:t>1565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01178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EFE02B" w14:textId="77777777" w:rsidR="00575AC3" w:rsidRPr="006D40F0" w:rsidRDefault="00575AC3" w:rsidP="006D40F0">
            <w:r w:rsidRPr="006D40F0">
              <w:t>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7BAE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49C4E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13800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24EAD" w14:textId="77777777" w:rsidR="00575AC3" w:rsidRPr="006D40F0" w:rsidRDefault="00575AC3" w:rsidP="006D40F0"/>
        </w:tc>
      </w:tr>
      <w:tr w:rsidR="00DD49A7" w:rsidRPr="006D40F0" w14:paraId="0AF1BD6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473E1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26D43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A7FB01"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55119B" w14:textId="77777777" w:rsidR="00575AC3" w:rsidRPr="006D40F0" w:rsidRDefault="00575AC3" w:rsidP="006D40F0">
            <w:r w:rsidRPr="006D40F0">
              <w:t>52 000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9159A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8BA2C"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7B22C5" w14:textId="77777777" w:rsidR="00575AC3" w:rsidRPr="006D40F0" w:rsidRDefault="00575AC3" w:rsidP="006D40F0">
            <w:r w:rsidRPr="006D40F0">
              <w:t>57 000</w:t>
            </w:r>
          </w:p>
        </w:tc>
      </w:tr>
      <w:tr w:rsidR="00DD49A7" w:rsidRPr="006D40F0" w14:paraId="6DB037E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FAF59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ACD3BD"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43B587" w14:textId="77777777" w:rsidR="00575AC3" w:rsidRPr="006D40F0" w:rsidRDefault="00575AC3" w:rsidP="006D40F0">
            <w:r w:rsidRPr="006D40F0">
              <w:t xml:space="preserve">Utlån,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7DAE7" w14:textId="77777777" w:rsidR="00575AC3" w:rsidRPr="006D40F0" w:rsidRDefault="00575AC3" w:rsidP="006D40F0">
            <w:r w:rsidRPr="006D40F0">
              <w:t>19 400 000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B5A81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F0BFE" w14:textId="77777777" w:rsidR="00575AC3" w:rsidRPr="006D40F0" w:rsidRDefault="00575AC3" w:rsidP="006D40F0">
            <w:r w:rsidRPr="006D40F0">
              <w:t>2 800 000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BF699" w14:textId="77777777" w:rsidR="00575AC3" w:rsidRPr="006D40F0" w:rsidRDefault="00575AC3" w:rsidP="006D40F0">
            <w:r w:rsidRPr="006D40F0">
              <w:t>22 200 000</w:t>
            </w:r>
          </w:p>
        </w:tc>
      </w:tr>
      <w:tr w:rsidR="00DD49A7" w:rsidRPr="006D40F0" w14:paraId="1CAAC5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5E71F7" w14:textId="77777777" w:rsidR="00575AC3" w:rsidRPr="006D40F0" w:rsidRDefault="00575AC3" w:rsidP="006D40F0">
            <w:r w:rsidRPr="006D40F0">
              <w:t>1567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E46D5B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8298AA" w14:textId="77777777" w:rsidR="00575AC3" w:rsidRPr="006D40F0" w:rsidRDefault="00575AC3" w:rsidP="006D40F0">
            <w:r w:rsidRPr="006D40F0">
              <w:t>Gruppelivsforsikring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2785E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48C81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30AD5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75AE40" w14:textId="77777777" w:rsidR="00575AC3" w:rsidRPr="006D40F0" w:rsidRDefault="00575AC3" w:rsidP="006D40F0"/>
        </w:tc>
      </w:tr>
      <w:tr w:rsidR="00DD49A7" w:rsidRPr="006D40F0" w14:paraId="5D4FCE15"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E651AA6"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7BC3EA6"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BBC592C" w14:textId="77777777" w:rsidR="00575AC3" w:rsidRPr="006D40F0" w:rsidRDefault="00575AC3" w:rsidP="006D40F0">
            <w:r w:rsidRPr="006D40F0">
              <w:t xml:space="preserve">Driftsutgifter, </w:t>
            </w:r>
            <w:r w:rsidRPr="00575AC3">
              <w:rPr>
                <w:rStyle w:val="kursiv"/>
              </w:rPr>
              <w:t>overslagsbevilgning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B5B1EB" w14:textId="77777777" w:rsidR="00575AC3" w:rsidRPr="006D40F0" w:rsidRDefault="00575AC3" w:rsidP="006D40F0">
            <w:r w:rsidRPr="006D40F0">
              <w:t>240 000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776268"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B07080B" w14:textId="77777777" w:rsidR="00575AC3" w:rsidRPr="006D40F0" w:rsidRDefault="00575AC3" w:rsidP="006D40F0">
            <w:r w:rsidRPr="006D40F0">
              <w:t>16 000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CC8D26" w14:textId="77777777" w:rsidR="00575AC3" w:rsidRPr="006D40F0" w:rsidRDefault="00575AC3" w:rsidP="006D40F0">
            <w:r w:rsidRPr="006D40F0">
              <w:t>256 000</w:t>
            </w:r>
          </w:p>
        </w:tc>
      </w:tr>
      <w:tr w:rsidR="00DD49A7" w:rsidRPr="006D40F0" w14:paraId="04191BF9" w14:textId="77777777">
        <w:trPr>
          <w:trHeight w:val="380"/>
        </w:trPr>
        <w:tc>
          <w:tcPr>
            <w:tcW w:w="6280" w:type="dxa"/>
            <w:gridSpan w:val="4"/>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9A1EF51" w14:textId="77777777" w:rsidR="00575AC3" w:rsidRPr="006D40F0" w:rsidRDefault="00575AC3" w:rsidP="006D40F0">
            <w:r w:rsidRPr="006D40F0">
              <w:t>Sum endringer Digitaliserings- og forvaltningsdepartementet</w:t>
            </w:r>
          </w:p>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466E1A6"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9EB745E" w14:textId="77777777" w:rsidR="00575AC3" w:rsidRPr="006D40F0" w:rsidRDefault="00575AC3" w:rsidP="006D40F0">
            <w:r w:rsidRPr="006D40F0">
              <w:t>3 033 477</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8DC3CE7" w14:textId="77777777" w:rsidR="00575AC3" w:rsidRPr="006D40F0" w:rsidRDefault="00575AC3" w:rsidP="006D40F0"/>
        </w:tc>
      </w:tr>
      <w:tr w:rsidR="00DD49A7" w:rsidRPr="006D40F0" w14:paraId="4521D4A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52DFD2" w14:textId="77777777" w:rsidR="00575AC3" w:rsidRPr="006D40F0" w:rsidRDefault="00575AC3" w:rsidP="006D40F0">
            <w:r w:rsidRPr="006D40F0">
              <w:t>1600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61564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136C2B8" w14:textId="77777777" w:rsidR="00575AC3" w:rsidRPr="006D40F0" w:rsidRDefault="00575AC3" w:rsidP="006D40F0">
            <w:r w:rsidRPr="006D40F0">
              <w:t>Finansdepartementet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D8F52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41604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7B44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ACC06" w14:textId="77777777" w:rsidR="00575AC3" w:rsidRPr="006D40F0" w:rsidRDefault="00575AC3" w:rsidP="006D40F0"/>
        </w:tc>
      </w:tr>
      <w:tr w:rsidR="00DD49A7" w:rsidRPr="006D40F0" w14:paraId="4273B39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E8CA2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A07484"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A2BBD3"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C7F9F" w14:textId="77777777" w:rsidR="00575AC3" w:rsidRPr="006D40F0" w:rsidRDefault="00575AC3" w:rsidP="006D40F0">
            <w:r w:rsidRPr="006D40F0">
              <w:t>70 821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8B4E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8FE578" w14:textId="77777777" w:rsidR="00575AC3" w:rsidRPr="006D40F0" w:rsidRDefault="00575AC3" w:rsidP="006D40F0">
            <w:r w:rsidRPr="006D40F0">
              <w:t>-1 300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62FC3D" w14:textId="77777777" w:rsidR="00575AC3" w:rsidRPr="006D40F0" w:rsidRDefault="00575AC3" w:rsidP="006D40F0">
            <w:r w:rsidRPr="006D40F0">
              <w:t>69 521</w:t>
            </w:r>
          </w:p>
        </w:tc>
      </w:tr>
      <w:tr w:rsidR="00DD49A7" w:rsidRPr="006D40F0" w14:paraId="2AE9182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BD4C0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1B37EF" w14:textId="77777777" w:rsidR="00575AC3" w:rsidRPr="006D40F0" w:rsidRDefault="00575AC3" w:rsidP="006D40F0">
            <w:r w:rsidRPr="006D40F0">
              <w:t>95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3DA212" w14:textId="77777777" w:rsidR="00575AC3" w:rsidRPr="006D40F0" w:rsidRDefault="00575AC3" w:rsidP="006D40F0">
            <w:r w:rsidRPr="006D40F0">
              <w:t xml:space="preserve">Kapitalinnskudd Statens fond i Tromsø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F42A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2C469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D3E31" w14:textId="77777777" w:rsidR="00575AC3" w:rsidRPr="006D40F0" w:rsidRDefault="00575AC3" w:rsidP="006D40F0">
            <w:r w:rsidRPr="006D40F0">
              <w:t>15 000 000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67A9C7" w14:textId="77777777" w:rsidR="00575AC3" w:rsidRPr="006D40F0" w:rsidRDefault="00575AC3" w:rsidP="006D40F0">
            <w:r w:rsidRPr="006D40F0">
              <w:t>15 000 000</w:t>
            </w:r>
          </w:p>
        </w:tc>
      </w:tr>
      <w:tr w:rsidR="00DD49A7" w:rsidRPr="006D40F0" w14:paraId="16019BF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514ADE" w14:textId="77777777" w:rsidR="00575AC3" w:rsidRPr="006D40F0" w:rsidRDefault="00575AC3" w:rsidP="006D40F0">
            <w:r w:rsidRPr="006D40F0">
              <w:t>1605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B1FC4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F289453" w14:textId="77777777" w:rsidR="00575AC3" w:rsidRPr="006D40F0" w:rsidRDefault="00575AC3" w:rsidP="006D40F0">
            <w:r w:rsidRPr="006D40F0">
              <w:t>Direktoratet for forvaltning og økonomistyring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CF0E2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E5AB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C9E31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991F7" w14:textId="77777777" w:rsidR="00575AC3" w:rsidRPr="006D40F0" w:rsidRDefault="00575AC3" w:rsidP="006D40F0"/>
        </w:tc>
      </w:tr>
      <w:tr w:rsidR="00DD49A7" w:rsidRPr="006D40F0" w14:paraId="00E05B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6C8B6B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161A2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F5AF7F"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A5B81" w14:textId="77777777" w:rsidR="00575AC3" w:rsidRPr="006D40F0" w:rsidRDefault="00575AC3" w:rsidP="006D40F0">
            <w:r w:rsidRPr="006D40F0">
              <w:t>973 804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75187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385456" w14:textId="77777777" w:rsidR="00575AC3" w:rsidRPr="006D40F0" w:rsidRDefault="00575AC3" w:rsidP="006D40F0">
            <w:r w:rsidRPr="006D40F0">
              <w:t>114 450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084F8B" w14:textId="77777777" w:rsidR="00575AC3" w:rsidRPr="006D40F0" w:rsidRDefault="00575AC3" w:rsidP="006D40F0">
            <w:r w:rsidRPr="006D40F0">
              <w:t>1 088 254</w:t>
            </w:r>
          </w:p>
        </w:tc>
      </w:tr>
      <w:tr w:rsidR="00DD49A7" w:rsidRPr="006D40F0" w14:paraId="248B224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1CFC43" w14:textId="77777777" w:rsidR="00575AC3" w:rsidRPr="006D40F0" w:rsidRDefault="00575AC3" w:rsidP="006D40F0">
            <w:r w:rsidRPr="006D40F0">
              <w:t>1610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506602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A34D85" w14:textId="77777777" w:rsidR="00575AC3" w:rsidRPr="006D40F0" w:rsidRDefault="00575AC3" w:rsidP="006D40F0">
            <w:r w:rsidRPr="006D40F0">
              <w:t>Tolletaten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1DE9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59A6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A04C6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F40F1" w14:textId="77777777" w:rsidR="00575AC3" w:rsidRPr="006D40F0" w:rsidRDefault="00575AC3" w:rsidP="006D40F0"/>
        </w:tc>
      </w:tr>
      <w:tr w:rsidR="00DD49A7" w:rsidRPr="006D40F0" w14:paraId="67C3D75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AE2D7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13393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871761"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988549" w14:textId="77777777" w:rsidR="00575AC3" w:rsidRPr="006D40F0" w:rsidRDefault="00575AC3" w:rsidP="006D40F0">
            <w:r w:rsidRPr="006D40F0">
              <w:t>1 872 504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3DF8F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850574" w14:textId="77777777" w:rsidR="00575AC3" w:rsidRPr="006D40F0" w:rsidRDefault="00575AC3" w:rsidP="006D40F0">
            <w:r w:rsidRPr="006D40F0">
              <w:t>79 500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F184B" w14:textId="77777777" w:rsidR="00575AC3" w:rsidRPr="006D40F0" w:rsidRDefault="00575AC3" w:rsidP="006D40F0">
            <w:r w:rsidRPr="006D40F0">
              <w:t>1 952 004</w:t>
            </w:r>
          </w:p>
        </w:tc>
      </w:tr>
      <w:tr w:rsidR="00DD49A7" w:rsidRPr="006D40F0" w14:paraId="790E091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28827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020E31F"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B5ED55"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EC43F" w14:textId="77777777" w:rsidR="00575AC3" w:rsidRPr="006D40F0" w:rsidRDefault="00575AC3" w:rsidP="006D40F0">
            <w:r w:rsidRPr="006D40F0">
              <w:t>124 292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B942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8F9254" w14:textId="77777777" w:rsidR="00575AC3" w:rsidRPr="006D40F0" w:rsidRDefault="00575AC3" w:rsidP="006D40F0">
            <w:r w:rsidRPr="006D40F0">
              <w:t>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D8B84" w14:textId="77777777" w:rsidR="00575AC3" w:rsidRPr="006D40F0" w:rsidRDefault="00575AC3" w:rsidP="006D40F0">
            <w:r w:rsidRPr="006D40F0">
              <w:t>174 292</w:t>
            </w:r>
          </w:p>
        </w:tc>
      </w:tr>
      <w:tr w:rsidR="00DD49A7" w:rsidRPr="006D40F0" w14:paraId="5AA9844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808649" w14:textId="77777777" w:rsidR="00575AC3" w:rsidRPr="006D40F0" w:rsidRDefault="00575AC3" w:rsidP="006D40F0">
            <w:r w:rsidRPr="006D40F0">
              <w:t>1618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AC75F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36373C" w14:textId="77777777" w:rsidR="00575AC3" w:rsidRPr="006D40F0" w:rsidRDefault="00575AC3" w:rsidP="006D40F0">
            <w:r w:rsidRPr="006D40F0">
              <w:t>Skatteetaten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F1BC9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DD6EE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4A9F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A952B" w14:textId="77777777" w:rsidR="00575AC3" w:rsidRPr="006D40F0" w:rsidRDefault="00575AC3" w:rsidP="006D40F0"/>
        </w:tc>
      </w:tr>
      <w:tr w:rsidR="00DD49A7" w:rsidRPr="006D40F0" w14:paraId="7A2F4B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44D37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723CA0"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C8C9446"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12C93" w14:textId="77777777" w:rsidR="00575AC3" w:rsidRPr="006D40F0" w:rsidRDefault="00575AC3" w:rsidP="006D40F0">
            <w:r w:rsidRPr="006D40F0">
              <w:t>7 856 709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B7FA0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F3389" w14:textId="77777777" w:rsidR="00575AC3" w:rsidRPr="006D40F0" w:rsidRDefault="00575AC3" w:rsidP="006D40F0">
            <w:r w:rsidRPr="006D40F0">
              <w:t>87 471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68DE91" w14:textId="77777777" w:rsidR="00575AC3" w:rsidRPr="006D40F0" w:rsidRDefault="00575AC3" w:rsidP="006D40F0">
            <w:r w:rsidRPr="006D40F0">
              <w:t>7 944 180</w:t>
            </w:r>
          </w:p>
        </w:tc>
      </w:tr>
      <w:tr w:rsidR="00DD49A7" w:rsidRPr="006D40F0" w14:paraId="3C7C918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76EE0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95AB8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CE31E7B"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1541DB" w14:textId="77777777" w:rsidR="00575AC3" w:rsidRPr="006D40F0" w:rsidRDefault="00575AC3" w:rsidP="006D40F0">
            <w:r w:rsidRPr="006D40F0">
              <w:t>178 563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8C3B1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C299BF" w14:textId="77777777" w:rsidR="00575AC3" w:rsidRPr="006D40F0" w:rsidRDefault="00575AC3" w:rsidP="006D40F0">
            <w:r w:rsidRPr="006D40F0">
              <w:t>-65 563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91126C" w14:textId="77777777" w:rsidR="00575AC3" w:rsidRPr="006D40F0" w:rsidRDefault="00575AC3" w:rsidP="006D40F0">
            <w:r w:rsidRPr="006D40F0">
              <w:t>113 000</w:t>
            </w:r>
          </w:p>
        </w:tc>
      </w:tr>
      <w:tr w:rsidR="00DD49A7" w:rsidRPr="006D40F0" w14:paraId="037771A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E6B44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9F5E16"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E95EB7" w14:textId="77777777" w:rsidR="00575AC3" w:rsidRPr="006D40F0" w:rsidRDefault="00575AC3" w:rsidP="006D40F0">
            <w:r w:rsidRPr="006D40F0">
              <w:t xml:space="preserve">Større IT-prosjekter,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35B76" w14:textId="77777777" w:rsidR="00575AC3" w:rsidRPr="006D40F0" w:rsidRDefault="00575AC3" w:rsidP="006D40F0">
            <w:r w:rsidRPr="006D40F0">
              <w:t>522 100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8948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A811DC" w14:textId="77777777" w:rsidR="00575AC3" w:rsidRPr="006D40F0" w:rsidRDefault="00575AC3" w:rsidP="006D40F0">
            <w:r w:rsidRPr="006D40F0">
              <w:t>20 761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1EB95" w14:textId="77777777" w:rsidR="00575AC3" w:rsidRPr="006D40F0" w:rsidRDefault="00575AC3" w:rsidP="006D40F0">
            <w:r w:rsidRPr="006D40F0">
              <w:t>542 861</w:t>
            </w:r>
          </w:p>
        </w:tc>
      </w:tr>
      <w:tr w:rsidR="00DD49A7" w:rsidRPr="006D40F0" w14:paraId="373951F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4EA6F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685981"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A3E626F" w14:textId="77777777" w:rsidR="00575AC3" w:rsidRPr="006D40F0" w:rsidRDefault="00575AC3" w:rsidP="006D40F0">
            <w:r w:rsidRPr="006D40F0">
              <w:t xml:space="preserve">Skatte- og </w:t>
            </w:r>
            <w:proofErr w:type="spellStart"/>
            <w:r w:rsidRPr="006D40F0">
              <w:t>avgiftsforskning</w:t>
            </w:r>
            <w:proofErr w:type="spellEnd"/>
            <w:r w:rsidRPr="006D40F0">
              <w:t xml:space="preserve">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31B7B" w14:textId="77777777" w:rsidR="00575AC3" w:rsidRPr="006D40F0" w:rsidRDefault="00575AC3" w:rsidP="006D40F0">
            <w:r w:rsidRPr="006D40F0">
              <w:t>6 824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5231B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B542B" w14:textId="77777777" w:rsidR="00575AC3" w:rsidRPr="006D40F0" w:rsidRDefault="00575AC3" w:rsidP="006D40F0">
            <w:r w:rsidRPr="006D40F0">
              <w:t>-700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898C3" w14:textId="77777777" w:rsidR="00575AC3" w:rsidRPr="006D40F0" w:rsidRDefault="00575AC3" w:rsidP="006D40F0">
            <w:r w:rsidRPr="006D40F0">
              <w:t>6 124</w:t>
            </w:r>
          </w:p>
        </w:tc>
      </w:tr>
      <w:tr w:rsidR="00DD49A7" w:rsidRPr="006D40F0" w14:paraId="43CC5DF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099A57" w14:textId="77777777" w:rsidR="00575AC3" w:rsidRPr="006D40F0" w:rsidRDefault="00575AC3" w:rsidP="006D40F0">
            <w:r w:rsidRPr="006D40F0">
              <w:t>1620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72C4E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F804AB" w14:textId="77777777" w:rsidR="00575AC3" w:rsidRPr="006D40F0" w:rsidRDefault="00575AC3" w:rsidP="006D40F0">
            <w:r w:rsidRPr="006D40F0">
              <w:t>Statistisk sentralbyrå</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D7E38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413A0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5B823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F855F" w14:textId="77777777" w:rsidR="00575AC3" w:rsidRPr="006D40F0" w:rsidRDefault="00575AC3" w:rsidP="006D40F0"/>
        </w:tc>
      </w:tr>
      <w:tr w:rsidR="00DD49A7" w:rsidRPr="006D40F0" w14:paraId="7E5D36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3E698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63703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D4670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0BC21" w14:textId="77777777" w:rsidR="00575AC3" w:rsidRPr="006D40F0" w:rsidRDefault="00575AC3" w:rsidP="006D40F0">
            <w:r w:rsidRPr="006D40F0">
              <w:t>751 006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BDEFE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8D69F" w14:textId="77777777" w:rsidR="00575AC3" w:rsidRPr="006D40F0" w:rsidRDefault="00575AC3" w:rsidP="006D40F0">
            <w:r w:rsidRPr="006D40F0">
              <w:t>9 718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3E4EAD" w14:textId="77777777" w:rsidR="00575AC3" w:rsidRPr="006D40F0" w:rsidRDefault="00575AC3" w:rsidP="006D40F0">
            <w:r w:rsidRPr="006D40F0">
              <w:t>760 724</w:t>
            </w:r>
          </w:p>
        </w:tc>
      </w:tr>
      <w:tr w:rsidR="00DD49A7" w:rsidRPr="006D40F0" w14:paraId="10479F6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0210FE" w14:textId="77777777" w:rsidR="00575AC3" w:rsidRPr="006D40F0" w:rsidRDefault="00575AC3" w:rsidP="006D40F0">
            <w:r w:rsidRPr="006D40F0">
              <w:t>1645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52B76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5340DC" w14:textId="77777777" w:rsidR="00575AC3" w:rsidRPr="006D40F0" w:rsidRDefault="00575AC3" w:rsidP="006D40F0">
            <w:r w:rsidRPr="006D40F0">
              <w:t>Statlig garantiordning for lån til små og mellomstore 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EC329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5D3ED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1A21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4254B" w14:textId="77777777" w:rsidR="00575AC3" w:rsidRPr="006D40F0" w:rsidRDefault="00575AC3" w:rsidP="006D40F0"/>
        </w:tc>
      </w:tr>
      <w:tr w:rsidR="00DD49A7" w:rsidRPr="006D40F0" w14:paraId="2E7A6F3C"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BA7D9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7107E2"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4856E0" w14:textId="77777777" w:rsidR="00575AC3" w:rsidRPr="006D40F0" w:rsidRDefault="00575AC3" w:rsidP="006D40F0">
            <w:r w:rsidRPr="006D40F0">
              <w:t xml:space="preserve">Spesielle driftsutgifter til administrasjon av statlig garantiordning for små og mellomstore bedrifter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3986D2" w14:textId="77777777" w:rsidR="00575AC3" w:rsidRPr="006D40F0" w:rsidRDefault="00575AC3" w:rsidP="006D40F0">
            <w:r w:rsidRPr="006D40F0">
              <w:t>5 310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6100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D1283E" w14:textId="77777777" w:rsidR="00575AC3" w:rsidRPr="006D40F0" w:rsidRDefault="00575AC3" w:rsidP="006D40F0">
            <w:r w:rsidRPr="006D40F0">
              <w:t>-5 310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01B49A" w14:textId="77777777" w:rsidR="00575AC3" w:rsidRPr="006D40F0" w:rsidRDefault="00575AC3" w:rsidP="006D40F0">
            <w:r w:rsidRPr="006D40F0">
              <w:t>0</w:t>
            </w:r>
          </w:p>
        </w:tc>
      </w:tr>
      <w:tr w:rsidR="00DD49A7" w:rsidRPr="006D40F0" w14:paraId="78C0DC2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0A0ADE" w14:textId="77777777" w:rsidR="00575AC3" w:rsidRPr="006D40F0" w:rsidRDefault="00575AC3" w:rsidP="006D40F0">
            <w:r w:rsidRPr="006D40F0">
              <w:t>1650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4FB7B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347FC37" w14:textId="77777777" w:rsidR="00575AC3" w:rsidRPr="006D40F0" w:rsidRDefault="00575AC3" w:rsidP="006D40F0">
            <w:r w:rsidRPr="006D40F0">
              <w:t>Statsgjeld, renter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A392C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43FE5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8051A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9409F" w14:textId="77777777" w:rsidR="00575AC3" w:rsidRPr="006D40F0" w:rsidRDefault="00575AC3" w:rsidP="006D40F0"/>
        </w:tc>
      </w:tr>
      <w:tr w:rsidR="00DD49A7" w:rsidRPr="006D40F0" w14:paraId="3A380BB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CA3CC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896C56" w14:textId="77777777" w:rsidR="00575AC3" w:rsidRPr="006D40F0" w:rsidRDefault="00575AC3" w:rsidP="006D40F0">
            <w:r w:rsidRPr="006D40F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0E103B" w14:textId="77777777" w:rsidR="00575AC3" w:rsidRPr="006D40F0" w:rsidRDefault="00575AC3" w:rsidP="006D40F0">
            <w:r w:rsidRPr="006D40F0">
              <w:t xml:space="preserve">Renter og provisjon mv. på innenlandsk statsgjeld,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91A457" w14:textId="77777777" w:rsidR="00575AC3" w:rsidRPr="006D40F0" w:rsidRDefault="00575AC3" w:rsidP="006D40F0">
            <w:r w:rsidRPr="006D40F0">
              <w:t>12 454 300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A6FA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7A2F89" w14:textId="77777777" w:rsidR="00575AC3" w:rsidRPr="006D40F0" w:rsidRDefault="00575AC3" w:rsidP="006D40F0">
            <w:r w:rsidRPr="006D40F0">
              <w:t>1 520 800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7E7AC1" w14:textId="77777777" w:rsidR="00575AC3" w:rsidRPr="006D40F0" w:rsidRDefault="00575AC3" w:rsidP="006D40F0">
            <w:r w:rsidRPr="006D40F0">
              <w:t>13 975 100</w:t>
            </w:r>
          </w:p>
        </w:tc>
      </w:tr>
      <w:tr w:rsidR="00DD49A7" w:rsidRPr="006D40F0" w14:paraId="3C3563E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273265" w14:textId="77777777" w:rsidR="00575AC3" w:rsidRPr="006D40F0" w:rsidRDefault="00575AC3" w:rsidP="006D40F0">
            <w:r w:rsidRPr="006D40F0">
              <w:t>1651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C5134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814250" w14:textId="77777777" w:rsidR="00575AC3" w:rsidRPr="006D40F0" w:rsidRDefault="00575AC3" w:rsidP="006D40F0">
            <w:r w:rsidRPr="006D40F0">
              <w:t>Statsgjeld, avdrag og innløsning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9E7C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CB82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5145E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F355F5" w14:textId="77777777" w:rsidR="00575AC3" w:rsidRPr="006D40F0" w:rsidRDefault="00575AC3" w:rsidP="006D40F0"/>
        </w:tc>
      </w:tr>
      <w:tr w:rsidR="00DD49A7" w:rsidRPr="006D40F0" w14:paraId="6C5186BD"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7469531"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9D677CF" w14:textId="77777777" w:rsidR="00575AC3" w:rsidRPr="006D40F0" w:rsidRDefault="00575AC3" w:rsidP="006D40F0">
            <w:r w:rsidRPr="006D40F0">
              <w:t>98</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3BEEF1A" w14:textId="3523856A" w:rsidR="00575AC3" w:rsidRPr="006D40F0" w:rsidRDefault="00575AC3" w:rsidP="006D40F0">
            <w:r w:rsidRPr="006D40F0">
              <w:t>Avdrag på innenlandsk statsgjeld,</w:t>
            </w:r>
            <w:r w:rsidR="006D40F0">
              <w:t xml:space="preserve"> </w:t>
            </w:r>
            <w:r w:rsidRPr="00575AC3">
              <w:rPr>
                <w:rStyle w:val="kursiv"/>
              </w:rPr>
              <w:t>overslagsbevilgning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E7AD68" w14:textId="77777777" w:rsidR="00575AC3" w:rsidRPr="006D40F0" w:rsidRDefault="00575AC3" w:rsidP="006D40F0">
            <w:r w:rsidRPr="006D40F0">
              <w:t>68 000 000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F45D5F"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AF099C" w14:textId="77777777" w:rsidR="00575AC3" w:rsidRPr="006D40F0" w:rsidRDefault="00575AC3" w:rsidP="006D40F0">
            <w:r w:rsidRPr="006D40F0">
              <w:t>-5 175 000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3108881" w14:textId="77777777" w:rsidR="00575AC3" w:rsidRPr="006D40F0" w:rsidRDefault="00575AC3" w:rsidP="006D40F0">
            <w:r w:rsidRPr="006D40F0">
              <w:t>62 825 000</w:t>
            </w:r>
          </w:p>
        </w:tc>
      </w:tr>
      <w:tr w:rsidR="00DD49A7" w:rsidRPr="006D40F0" w14:paraId="641DF64B"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EAB049D" w14:textId="77777777" w:rsidR="00575AC3" w:rsidRPr="006D40F0" w:rsidRDefault="00575AC3" w:rsidP="006D40F0">
            <w:r w:rsidRPr="006D40F0">
              <w:t>Sum endringer Finansdepartementet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1DCA991"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61F1CD"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85FBF2" w14:textId="77777777" w:rsidR="00575AC3" w:rsidRPr="006D40F0" w:rsidRDefault="00575AC3" w:rsidP="006D40F0">
            <w:r w:rsidRPr="006D40F0">
              <w:t>11 634 827</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1F4EC6" w14:textId="77777777" w:rsidR="00575AC3" w:rsidRPr="006D40F0" w:rsidRDefault="00575AC3" w:rsidP="006D40F0"/>
        </w:tc>
      </w:tr>
      <w:tr w:rsidR="00DD49A7" w:rsidRPr="006D40F0" w14:paraId="5ADB5C1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C7E7888" w14:textId="77777777" w:rsidR="00575AC3" w:rsidRPr="006D40F0" w:rsidRDefault="00575AC3" w:rsidP="006D40F0">
            <w:r w:rsidRPr="006D40F0">
              <w:t>1700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E2D8B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A0C01D" w14:textId="77777777" w:rsidR="00575AC3" w:rsidRPr="006D40F0" w:rsidRDefault="00575AC3" w:rsidP="006D40F0">
            <w:r w:rsidRPr="006D40F0">
              <w:t>Forsvarsdepartementet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71E5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5472C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C447C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3B248" w14:textId="77777777" w:rsidR="00575AC3" w:rsidRPr="006D40F0" w:rsidRDefault="00575AC3" w:rsidP="006D40F0"/>
        </w:tc>
      </w:tr>
      <w:tr w:rsidR="00DD49A7" w:rsidRPr="006D40F0" w14:paraId="7EA89BA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6868F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90D08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9CDFB4"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EBE42" w14:textId="77777777" w:rsidR="00575AC3" w:rsidRPr="006D40F0" w:rsidRDefault="00575AC3" w:rsidP="006D40F0">
            <w:r w:rsidRPr="006D40F0">
              <w:t>719 231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5907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4F32F" w14:textId="77777777" w:rsidR="00575AC3" w:rsidRPr="006D40F0" w:rsidRDefault="00575AC3" w:rsidP="006D40F0">
            <w:r w:rsidRPr="006D40F0">
              <w:t>25 935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0241F1" w14:textId="77777777" w:rsidR="00575AC3" w:rsidRPr="006D40F0" w:rsidRDefault="00575AC3" w:rsidP="006D40F0">
            <w:r w:rsidRPr="006D40F0">
              <w:t>745 166</w:t>
            </w:r>
          </w:p>
        </w:tc>
      </w:tr>
      <w:tr w:rsidR="00DD49A7" w:rsidRPr="006D40F0" w14:paraId="3C504A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68657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10902DC" w14:textId="77777777" w:rsidR="00575AC3" w:rsidRPr="006D40F0" w:rsidRDefault="00575AC3" w:rsidP="006D40F0">
            <w:r w:rsidRPr="006D40F0">
              <w:t>22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1BF8518" w14:textId="77777777" w:rsidR="00575AC3" w:rsidRPr="006D40F0" w:rsidRDefault="00575AC3" w:rsidP="006D40F0">
            <w:r w:rsidRPr="006D40F0">
              <w:t xml:space="preserve">IKT-virksomhet,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1B505" w14:textId="77777777" w:rsidR="00575AC3" w:rsidRPr="006D40F0" w:rsidRDefault="00575AC3" w:rsidP="006D40F0">
            <w:r w:rsidRPr="006D40F0">
              <w:t>881 024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A6FB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C6C5C" w14:textId="77777777" w:rsidR="00575AC3" w:rsidRPr="006D40F0" w:rsidRDefault="00575AC3" w:rsidP="006D40F0">
            <w:r w:rsidRPr="006D40F0">
              <w:t>-51 800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E5FE0F" w14:textId="77777777" w:rsidR="00575AC3" w:rsidRPr="006D40F0" w:rsidRDefault="00575AC3" w:rsidP="006D40F0">
            <w:r w:rsidRPr="006D40F0">
              <w:t>829 224</w:t>
            </w:r>
          </w:p>
        </w:tc>
      </w:tr>
      <w:tr w:rsidR="00DD49A7" w:rsidRPr="006D40F0" w14:paraId="050E764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34104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618707" w14:textId="77777777" w:rsidR="00575AC3" w:rsidRPr="006D40F0" w:rsidRDefault="00575AC3" w:rsidP="006D40F0">
            <w:r w:rsidRPr="006D40F0">
              <w:t>43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85EE89" w14:textId="77777777" w:rsidR="00575AC3" w:rsidRPr="006D40F0" w:rsidRDefault="00575AC3" w:rsidP="006D40F0">
            <w:r w:rsidRPr="006D40F0">
              <w:t xml:space="preserve">Til disposisjon for Forsvarsdepartementet,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1CD330" w14:textId="77777777" w:rsidR="00575AC3" w:rsidRPr="006D40F0" w:rsidRDefault="00575AC3" w:rsidP="006D40F0">
            <w:r w:rsidRPr="006D40F0">
              <w:t>6 402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DEB4F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D19ACF" w14:textId="77777777" w:rsidR="00575AC3" w:rsidRPr="006D40F0" w:rsidRDefault="00575AC3" w:rsidP="006D40F0">
            <w:r w:rsidRPr="006D40F0">
              <w:t>-2 200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2CD5AF" w14:textId="77777777" w:rsidR="00575AC3" w:rsidRPr="006D40F0" w:rsidRDefault="00575AC3" w:rsidP="006D40F0">
            <w:r w:rsidRPr="006D40F0">
              <w:t>4 202</w:t>
            </w:r>
          </w:p>
        </w:tc>
      </w:tr>
      <w:tr w:rsidR="00DD49A7" w:rsidRPr="006D40F0" w14:paraId="7E47DC0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6DCB4F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168D5E" w14:textId="77777777" w:rsidR="00575AC3" w:rsidRPr="006D40F0" w:rsidRDefault="00575AC3" w:rsidP="006D40F0">
            <w:r w:rsidRPr="006D40F0">
              <w:t>52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3A26BD" w14:textId="77777777" w:rsidR="00575AC3" w:rsidRPr="006D40F0" w:rsidRDefault="00575AC3" w:rsidP="006D40F0">
            <w:r w:rsidRPr="006D40F0">
              <w:t xml:space="preserve">Overføringer til statlige forvaltningsorganer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ED0776" w14:textId="77777777" w:rsidR="00575AC3" w:rsidRPr="006D40F0" w:rsidRDefault="00575AC3" w:rsidP="006D40F0">
            <w:r w:rsidRPr="006D40F0">
              <w:t>25 585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441BC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B4A75"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94532E" w14:textId="77777777" w:rsidR="00575AC3" w:rsidRPr="006D40F0" w:rsidRDefault="00575AC3" w:rsidP="006D40F0">
            <w:r w:rsidRPr="006D40F0">
              <w:t>27 085</w:t>
            </w:r>
          </w:p>
        </w:tc>
      </w:tr>
      <w:tr w:rsidR="00DD49A7" w:rsidRPr="006D40F0" w14:paraId="48F7B9C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D1145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05598A"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48F57A" w14:textId="77777777" w:rsidR="00575AC3" w:rsidRPr="006D40F0" w:rsidRDefault="00575AC3" w:rsidP="006D40F0">
            <w:r w:rsidRPr="006D40F0">
              <w:t xml:space="preserve">Overføringer til andre,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FE03D6" w14:textId="77777777" w:rsidR="00575AC3" w:rsidRPr="006D40F0" w:rsidRDefault="00575AC3" w:rsidP="006D40F0">
            <w:r w:rsidRPr="006D40F0">
              <w:t>91 517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6239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186C6" w14:textId="77777777" w:rsidR="00575AC3" w:rsidRPr="006D40F0" w:rsidRDefault="00575AC3" w:rsidP="006D40F0">
            <w:r w:rsidRPr="006D40F0">
              <w:t>-2 550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CBFEB8" w14:textId="77777777" w:rsidR="00575AC3" w:rsidRPr="006D40F0" w:rsidRDefault="00575AC3" w:rsidP="006D40F0">
            <w:r w:rsidRPr="006D40F0">
              <w:t>88 967</w:t>
            </w:r>
          </w:p>
        </w:tc>
      </w:tr>
      <w:tr w:rsidR="00DD49A7" w:rsidRPr="006D40F0" w14:paraId="07446C8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9FD4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A5231B"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407D8D" w14:textId="77777777" w:rsidR="00575AC3" w:rsidRPr="006D40F0" w:rsidRDefault="00575AC3" w:rsidP="006D40F0">
            <w:r w:rsidRPr="006D40F0">
              <w:t xml:space="preserve">Forskning og utvikling,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D73A5" w14:textId="77777777" w:rsidR="00575AC3" w:rsidRPr="006D40F0" w:rsidRDefault="00575AC3" w:rsidP="006D40F0">
            <w:r w:rsidRPr="006D40F0">
              <w:t>125 958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EA709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DF6B2" w14:textId="77777777" w:rsidR="00575AC3" w:rsidRPr="006D40F0" w:rsidRDefault="00575AC3" w:rsidP="006D40F0">
            <w:r w:rsidRPr="006D40F0">
              <w:t>1 612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1DDA17" w14:textId="77777777" w:rsidR="00575AC3" w:rsidRPr="006D40F0" w:rsidRDefault="00575AC3" w:rsidP="006D40F0">
            <w:r w:rsidRPr="006D40F0">
              <w:t>127 570</w:t>
            </w:r>
          </w:p>
        </w:tc>
      </w:tr>
      <w:tr w:rsidR="00DD49A7" w:rsidRPr="006D40F0" w14:paraId="4256799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03B45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2AEDF0"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DF6D2B9" w14:textId="64E30860" w:rsidR="00575AC3" w:rsidRPr="006D40F0" w:rsidRDefault="00575AC3" w:rsidP="006D40F0">
            <w:r w:rsidRPr="006D40F0">
              <w:t>Norges tilskudd til NATOs og internasjonale driftsbudsjetter,</w:t>
            </w:r>
            <w:r w:rsidR="006D40F0">
              <w:t xml:space="preserv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EE870" w14:textId="77777777" w:rsidR="00575AC3" w:rsidRPr="006D40F0" w:rsidRDefault="00575AC3" w:rsidP="006D40F0">
            <w:r w:rsidRPr="006D40F0">
              <w:t>1 068 330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7D36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E4D6AC" w14:textId="77777777" w:rsidR="00575AC3" w:rsidRPr="006D40F0" w:rsidRDefault="00575AC3" w:rsidP="006D40F0">
            <w:r w:rsidRPr="006D40F0">
              <w:t>1 038 500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0C8BA7" w14:textId="77777777" w:rsidR="00575AC3" w:rsidRPr="006D40F0" w:rsidRDefault="00575AC3" w:rsidP="006D40F0">
            <w:r w:rsidRPr="006D40F0">
              <w:t>2 106 830</w:t>
            </w:r>
          </w:p>
        </w:tc>
      </w:tr>
      <w:tr w:rsidR="00DD49A7" w:rsidRPr="006D40F0" w14:paraId="50C2FDA4"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8322F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E155C4" w14:textId="77777777" w:rsidR="00575AC3" w:rsidRPr="006D40F0" w:rsidRDefault="00575AC3" w:rsidP="006D40F0">
            <w:r w:rsidRPr="006D40F0">
              <w:t>79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A41997" w14:textId="77777777" w:rsidR="00575AC3" w:rsidRPr="006D40F0" w:rsidRDefault="00575AC3" w:rsidP="006D40F0">
            <w:r w:rsidRPr="006D40F0">
              <w:t xml:space="preserve">Militær støtte til Ukraina, </w:t>
            </w:r>
            <w:r w:rsidRPr="00575AC3">
              <w:rPr>
                <w:rStyle w:val="kursiv"/>
              </w:rPr>
              <w:t>kan overføres</w:t>
            </w:r>
            <w:r w:rsidRPr="006D40F0">
              <w:t>,</w:t>
            </w:r>
            <w:r w:rsidRPr="00575AC3">
              <w:rPr>
                <w:rStyle w:val="kursiv"/>
              </w:rPr>
              <w:t xml:space="preserve"> kan nyttes under kap. 1710, post 1 og 47, kap. 1720, post 1 og kap. 1760, post 1 og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76AA71" w14:textId="77777777" w:rsidR="00575AC3" w:rsidRPr="006D40F0" w:rsidRDefault="00575AC3" w:rsidP="006D40F0">
            <w:r w:rsidRPr="006D40F0">
              <w:t>4 450 000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75A32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174AD" w14:textId="77777777" w:rsidR="00575AC3" w:rsidRPr="006D40F0" w:rsidRDefault="00575AC3" w:rsidP="006D40F0">
            <w:r w:rsidRPr="006D40F0">
              <w:t>3 575 750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E5D257" w14:textId="77777777" w:rsidR="00575AC3" w:rsidRPr="006D40F0" w:rsidRDefault="00575AC3" w:rsidP="006D40F0">
            <w:r w:rsidRPr="006D40F0">
              <w:t>8 025 750</w:t>
            </w:r>
          </w:p>
        </w:tc>
      </w:tr>
      <w:tr w:rsidR="00DD49A7" w:rsidRPr="006D40F0" w14:paraId="4D8C26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895298" w14:textId="77777777" w:rsidR="00575AC3" w:rsidRPr="006D40F0" w:rsidRDefault="00575AC3" w:rsidP="006D40F0">
            <w:r w:rsidRPr="006D40F0">
              <w:t>1710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6327F2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444D75" w14:textId="77777777" w:rsidR="00575AC3" w:rsidRPr="006D40F0" w:rsidRDefault="00575AC3" w:rsidP="006D40F0">
            <w:r w:rsidRPr="006D40F0">
              <w:t>Forsvarsbygg og nybygg og nyanlegg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5C895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0E014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515B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2E8AB6" w14:textId="77777777" w:rsidR="00575AC3" w:rsidRPr="006D40F0" w:rsidRDefault="00575AC3" w:rsidP="006D40F0"/>
        </w:tc>
      </w:tr>
      <w:tr w:rsidR="00DD49A7" w:rsidRPr="006D40F0" w14:paraId="07E4885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A6756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F2959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615292" w14:textId="77777777" w:rsidR="00575AC3" w:rsidRPr="006D40F0" w:rsidRDefault="00575AC3" w:rsidP="006D40F0">
            <w:r w:rsidRPr="006D40F0">
              <w:t xml:space="preserve">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A94B90" w14:textId="77777777" w:rsidR="00575AC3" w:rsidRPr="006D40F0" w:rsidRDefault="00575AC3" w:rsidP="006D40F0">
            <w:r w:rsidRPr="006D40F0">
              <w:t>6 236 577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C4805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7C902D" w14:textId="77777777" w:rsidR="00575AC3" w:rsidRPr="006D40F0" w:rsidRDefault="00575AC3" w:rsidP="006D40F0">
            <w:r w:rsidRPr="006D40F0">
              <w:t>112 960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3FC59" w14:textId="77777777" w:rsidR="00575AC3" w:rsidRPr="006D40F0" w:rsidRDefault="00575AC3" w:rsidP="006D40F0">
            <w:r w:rsidRPr="006D40F0">
              <w:t>6 349 537</w:t>
            </w:r>
          </w:p>
        </w:tc>
      </w:tr>
      <w:tr w:rsidR="00DD49A7" w:rsidRPr="006D40F0" w14:paraId="4B25603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4E8F2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D68B16" w14:textId="77777777" w:rsidR="00575AC3" w:rsidRPr="006D40F0" w:rsidRDefault="00575AC3" w:rsidP="006D40F0">
            <w:r w:rsidRPr="006D40F0">
              <w:t>47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A27C25" w14:textId="77777777" w:rsidR="00575AC3" w:rsidRPr="006D40F0" w:rsidRDefault="00575AC3" w:rsidP="006D40F0">
            <w:r w:rsidRPr="006D40F0">
              <w:t xml:space="preserve">Nybygg og nyanlegg,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817746" w14:textId="77777777" w:rsidR="00575AC3" w:rsidRPr="006D40F0" w:rsidRDefault="00575AC3" w:rsidP="006D40F0">
            <w:r w:rsidRPr="006D40F0">
              <w:t>4 736 401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C99E9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D49D87" w14:textId="77777777" w:rsidR="00575AC3" w:rsidRPr="006D40F0" w:rsidRDefault="00575AC3" w:rsidP="006D40F0">
            <w:r w:rsidRPr="006D40F0">
              <w:t>667 500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AC2C1E" w14:textId="77777777" w:rsidR="00575AC3" w:rsidRPr="006D40F0" w:rsidRDefault="00575AC3" w:rsidP="006D40F0">
            <w:r w:rsidRPr="006D40F0">
              <w:t>5 403 901</w:t>
            </w:r>
          </w:p>
        </w:tc>
      </w:tr>
      <w:tr w:rsidR="00DD49A7" w:rsidRPr="006D40F0" w14:paraId="290B642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E8748B" w14:textId="77777777" w:rsidR="00575AC3" w:rsidRPr="006D40F0" w:rsidRDefault="00575AC3" w:rsidP="006D40F0">
            <w:r w:rsidRPr="006D40F0">
              <w:t>1716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7CBE78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7E7A77" w14:textId="77777777" w:rsidR="00575AC3" w:rsidRPr="006D40F0" w:rsidRDefault="00575AC3" w:rsidP="006D40F0">
            <w:r w:rsidRPr="006D40F0">
              <w:t>Forsvarets forskningsinstitutt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2CFF3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47047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8256B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67BE3" w14:textId="77777777" w:rsidR="00575AC3" w:rsidRPr="006D40F0" w:rsidRDefault="00575AC3" w:rsidP="006D40F0"/>
        </w:tc>
      </w:tr>
      <w:tr w:rsidR="00DD49A7" w:rsidRPr="006D40F0" w14:paraId="506DA37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0EA20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69FF25"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6DEECE" w14:textId="77777777" w:rsidR="00575AC3" w:rsidRPr="006D40F0" w:rsidRDefault="00575AC3" w:rsidP="006D40F0">
            <w:r w:rsidRPr="006D40F0">
              <w:t xml:space="preserve">Tilskudd til Forsvarets forskningsinstitutt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6F2FCD" w14:textId="77777777" w:rsidR="00575AC3" w:rsidRPr="006D40F0" w:rsidRDefault="00575AC3" w:rsidP="006D40F0">
            <w:r w:rsidRPr="006D40F0">
              <w:t>273 357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9929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C92011" w14:textId="77777777" w:rsidR="00575AC3" w:rsidRPr="006D40F0" w:rsidRDefault="00575AC3" w:rsidP="006D40F0">
            <w:r w:rsidRPr="006D40F0">
              <w:t>25 800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E00005" w14:textId="77777777" w:rsidR="00575AC3" w:rsidRPr="006D40F0" w:rsidRDefault="00575AC3" w:rsidP="006D40F0">
            <w:r w:rsidRPr="006D40F0">
              <w:t>299 157</w:t>
            </w:r>
          </w:p>
        </w:tc>
      </w:tr>
      <w:tr w:rsidR="00DD49A7" w:rsidRPr="006D40F0" w14:paraId="4DAF23E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2522EA" w14:textId="77777777" w:rsidR="00575AC3" w:rsidRPr="006D40F0" w:rsidRDefault="00575AC3" w:rsidP="006D40F0">
            <w:r w:rsidRPr="006D40F0">
              <w:t>1720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B9293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6E5A3A" w14:textId="77777777" w:rsidR="00575AC3" w:rsidRPr="006D40F0" w:rsidRDefault="00575AC3" w:rsidP="006D40F0">
            <w:r w:rsidRPr="006D40F0">
              <w:t>Forsvaret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882E9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0810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263B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879D6C" w14:textId="77777777" w:rsidR="00575AC3" w:rsidRPr="006D40F0" w:rsidRDefault="00575AC3" w:rsidP="006D40F0"/>
        </w:tc>
      </w:tr>
      <w:tr w:rsidR="00DD49A7" w:rsidRPr="006D40F0" w14:paraId="4CEBCD3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0155C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4536C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52FE3A"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FEF2E" w14:textId="77777777" w:rsidR="00575AC3" w:rsidRPr="006D40F0" w:rsidRDefault="00575AC3" w:rsidP="006D40F0">
            <w:r w:rsidRPr="006D40F0">
              <w:t>40 164 620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7982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49483" w14:textId="77777777" w:rsidR="00575AC3" w:rsidRPr="006D40F0" w:rsidRDefault="00575AC3" w:rsidP="006D40F0">
            <w:r w:rsidRPr="006D40F0">
              <w:t>2 525 453</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253F6" w14:textId="77777777" w:rsidR="00575AC3" w:rsidRPr="006D40F0" w:rsidRDefault="00575AC3" w:rsidP="006D40F0">
            <w:r w:rsidRPr="006D40F0">
              <w:t>42 690 073</w:t>
            </w:r>
          </w:p>
        </w:tc>
      </w:tr>
      <w:tr w:rsidR="00DD49A7" w:rsidRPr="006D40F0" w14:paraId="62EB77A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2BE649" w14:textId="77777777" w:rsidR="00575AC3" w:rsidRPr="006D40F0" w:rsidRDefault="00575AC3" w:rsidP="006D40F0">
            <w:r w:rsidRPr="006D40F0">
              <w:t>1735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2E404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65DC9B" w14:textId="77777777" w:rsidR="00575AC3" w:rsidRPr="006D40F0" w:rsidRDefault="00575AC3" w:rsidP="006D40F0">
            <w:r w:rsidRPr="006D40F0">
              <w:t>Etterretningstjenesten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CD123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40445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89685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756D35" w14:textId="77777777" w:rsidR="00575AC3" w:rsidRPr="006D40F0" w:rsidRDefault="00575AC3" w:rsidP="006D40F0"/>
        </w:tc>
      </w:tr>
      <w:tr w:rsidR="00DD49A7" w:rsidRPr="006D40F0" w14:paraId="5C63C69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59FCA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3DD12E"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8EB525" w14:textId="77777777" w:rsidR="00575AC3" w:rsidRPr="006D40F0" w:rsidRDefault="00575AC3" w:rsidP="006D40F0">
            <w:r w:rsidRPr="006D40F0">
              <w:t xml:space="preserve">Spesielle 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C80158" w14:textId="77777777" w:rsidR="00575AC3" w:rsidRPr="006D40F0" w:rsidRDefault="00575AC3" w:rsidP="006D40F0">
            <w:r w:rsidRPr="006D40F0">
              <w:t>3 345 180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E8499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BD74F" w14:textId="77777777" w:rsidR="00575AC3" w:rsidRPr="006D40F0" w:rsidRDefault="00575AC3" w:rsidP="006D40F0">
            <w:r w:rsidRPr="006D40F0">
              <w:t>-5 497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FC70C" w14:textId="77777777" w:rsidR="00575AC3" w:rsidRPr="006D40F0" w:rsidRDefault="00575AC3" w:rsidP="006D40F0">
            <w:r w:rsidRPr="006D40F0">
              <w:t>3 339 683</w:t>
            </w:r>
          </w:p>
        </w:tc>
      </w:tr>
      <w:tr w:rsidR="00DD49A7" w:rsidRPr="006D40F0" w14:paraId="322CE8C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C56CC8" w14:textId="77777777" w:rsidR="00575AC3" w:rsidRPr="006D40F0" w:rsidRDefault="00575AC3" w:rsidP="006D40F0">
            <w:r w:rsidRPr="006D40F0">
              <w:lastRenderedPageBreak/>
              <w:t>1760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EB392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FB863A" w14:textId="77777777" w:rsidR="00575AC3" w:rsidRPr="006D40F0" w:rsidRDefault="00575AC3" w:rsidP="006D40F0">
            <w:r w:rsidRPr="006D40F0">
              <w:t>Forsvarsmateriell og større anskaffelser og vedlikehold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590D6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3167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6166A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AB56C6" w14:textId="77777777" w:rsidR="00575AC3" w:rsidRPr="006D40F0" w:rsidRDefault="00575AC3" w:rsidP="006D40F0"/>
        </w:tc>
      </w:tr>
      <w:tr w:rsidR="00DD49A7" w:rsidRPr="006D40F0" w14:paraId="00D11B3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EB2E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60E968"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E72482" w14:textId="77777777" w:rsidR="00575AC3" w:rsidRPr="006D40F0" w:rsidRDefault="00575AC3" w:rsidP="006D40F0">
            <w:r w:rsidRPr="006D40F0">
              <w:t xml:space="preserve">Driftsutgifter, </w:t>
            </w:r>
            <w:r w:rsidRPr="00575AC3">
              <w:rPr>
                <w:rStyle w:val="kursiv"/>
              </w:rPr>
              <w:t>kan nyttes under kap. 1760, post 45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704E18" w14:textId="77777777" w:rsidR="00575AC3" w:rsidRPr="006D40F0" w:rsidRDefault="00575AC3" w:rsidP="006D40F0">
            <w:r w:rsidRPr="006D40F0">
              <w:t>2 308 484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0B16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52AF95" w14:textId="77777777" w:rsidR="00575AC3" w:rsidRPr="006D40F0" w:rsidRDefault="00575AC3" w:rsidP="006D40F0">
            <w:r w:rsidRPr="006D40F0">
              <w:t>273 260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26C7F1" w14:textId="77777777" w:rsidR="00575AC3" w:rsidRPr="006D40F0" w:rsidRDefault="00575AC3" w:rsidP="006D40F0">
            <w:r w:rsidRPr="006D40F0">
              <w:t>2 581 744</w:t>
            </w:r>
          </w:p>
        </w:tc>
      </w:tr>
      <w:tr w:rsidR="00DD49A7" w:rsidRPr="006D40F0" w14:paraId="623DF5E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0D6BA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E72C93" w14:textId="77777777" w:rsidR="00575AC3" w:rsidRPr="006D40F0" w:rsidRDefault="00575AC3" w:rsidP="006D40F0">
            <w:r w:rsidRPr="006D40F0">
              <w:t>44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1A5D90D" w14:textId="77777777" w:rsidR="00575AC3" w:rsidRPr="006D40F0" w:rsidRDefault="00575AC3" w:rsidP="006D40F0">
            <w:r w:rsidRPr="006D40F0">
              <w:t xml:space="preserve">Fellesfinansierte investeringer, nasjonalfinansiert andel,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46C70" w14:textId="77777777" w:rsidR="00575AC3" w:rsidRPr="006D40F0" w:rsidRDefault="00575AC3" w:rsidP="006D40F0">
            <w:r w:rsidRPr="006D40F0">
              <w:t>165 312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40DEA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AB7DEB"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0A8FDD" w14:textId="77777777" w:rsidR="00575AC3" w:rsidRPr="006D40F0" w:rsidRDefault="00575AC3" w:rsidP="006D40F0">
            <w:r w:rsidRPr="006D40F0">
              <w:t>180 312</w:t>
            </w:r>
          </w:p>
        </w:tc>
      </w:tr>
      <w:tr w:rsidR="00DD49A7" w:rsidRPr="006D40F0" w14:paraId="7E6C936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0FE9A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845941"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60F080"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F728D4" w14:textId="77777777" w:rsidR="00575AC3" w:rsidRPr="006D40F0" w:rsidRDefault="00575AC3" w:rsidP="006D40F0">
            <w:r w:rsidRPr="006D40F0">
              <w:t>24 812 572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E62E0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164E3" w14:textId="77777777" w:rsidR="00575AC3" w:rsidRPr="006D40F0" w:rsidRDefault="00575AC3" w:rsidP="006D40F0">
            <w:r w:rsidRPr="006D40F0">
              <w:t>4 833 422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085332" w14:textId="77777777" w:rsidR="00575AC3" w:rsidRPr="006D40F0" w:rsidRDefault="00575AC3" w:rsidP="006D40F0">
            <w:r w:rsidRPr="006D40F0">
              <w:t>29 645 994</w:t>
            </w:r>
          </w:p>
        </w:tc>
      </w:tr>
      <w:tr w:rsidR="00DD49A7" w:rsidRPr="006D40F0" w14:paraId="6AA1122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5EF7E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5A63DE" w14:textId="77777777" w:rsidR="00575AC3" w:rsidRPr="006D40F0" w:rsidRDefault="00575AC3" w:rsidP="006D40F0">
            <w:r w:rsidRPr="006D40F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AB5FF89" w14:textId="77777777" w:rsidR="00575AC3" w:rsidRPr="006D40F0" w:rsidRDefault="00575AC3" w:rsidP="006D40F0">
            <w:r w:rsidRPr="006D40F0">
              <w:t xml:space="preserve">Fellesfinansierte investeringer, fellesfinansiert andel,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8F3F9" w14:textId="77777777" w:rsidR="00575AC3" w:rsidRPr="006D40F0" w:rsidRDefault="00575AC3" w:rsidP="006D40F0">
            <w:r w:rsidRPr="006D40F0">
              <w:t>390 000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54830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483A2" w14:textId="77777777" w:rsidR="00575AC3" w:rsidRPr="006D40F0" w:rsidRDefault="00575AC3" w:rsidP="006D40F0">
            <w:r w:rsidRPr="006D40F0">
              <w:t>255 400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AAA5A2" w14:textId="77777777" w:rsidR="00575AC3" w:rsidRPr="006D40F0" w:rsidRDefault="00575AC3" w:rsidP="006D40F0">
            <w:r w:rsidRPr="006D40F0">
              <w:t>645 400</w:t>
            </w:r>
          </w:p>
        </w:tc>
      </w:tr>
      <w:tr w:rsidR="00DD49A7" w:rsidRPr="006D40F0" w14:paraId="0BFA9F88" w14:textId="77777777">
        <w:trPr>
          <w:trHeight w:val="11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041C43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109931"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D1BD46" w14:textId="77777777" w:rsidR="00575AC3" w:rsidRPr="006D40F0" w:rsidRDefault="00575AC3" w:rsidP="006D40F0">
            <w:r w:rsidRPr="006D40F0">
              <w:t xml:space="preserve">Fellesfinansierte investeringer, Norges tilskudd til NATOs investeringsprogram for sikkerhet, </w:t>
            </w:r>
            <w:r w:rsidRPr="00575AC3">
              <w:rPr>
                <w:rStyle w:val="kursiv"/>
              </w:rPr>
              <w:t>kan overføres, kan nyttes under kap. 1760, post 44</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7036A" w14:textId="77777777" w:rsidR="00575AC3" w:rsidRPr="006D40F0" w:rsidRDefault="00575AC3" w:rsidP="006D40F0">
            <w:r w:rsidRPr="006D40F0">
              <w:t>158 165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AE34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F1376" w14:textId="77777777" w:rsidR="00575AC3" w:rsidRPr="006D40F0" w:rsidRDefault="00575AC3" w:rsidP="006D40F0">
            <w:r w:rsidRPr="006D40F0">
              <w:t>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7A4D77" w14:textId="77777777" w:rsidR="00575AC3" w:rsidRPr="006D40F0" w:rsidRDefault="00575AC3" w:rsidP="006D40F0">
            <w:r w:rsidRPr="006D40F0">
              <w:t>238 165</w:t>
            </w:r>
          </w:p>
        </w:tc>
      </w:tr>
      <w:tr w:rsidR="00DD49A7" w:rsidRPr="006D40F0" w14:paraId="44A301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8C6DAF5" w14:textId="77777777" w:rsidR="00575AC3" w:rsidRPr="006D40F0" w:rsidRDefault="00575AC3" w:rsidP="006D40F0">
            <w:r w:rsidRPr="006D40F0">
              <w:t>1791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CAA57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3ADCD6" w14:textId="77777777" w:rsidR="00575AC3" w:rsidRPr="006D40F0" w:rsidRDefault="00575AC3" w:rsidP="006D40F0">
            <w:r w:rsidRPr="006D40F0">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36DB7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8EBA1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85542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FB240E" w14:textId="77777777" w:rsidR="00575AC3" w:rsidRPr="006D40F0" w:rsidRDefault="00575AC3" w:rsidP="006D40F0"/>
        </w:tc>
      </w:tr>
      <w:tr w:rsidR="00DD49A7" w:rsidRPr="006D40F0" w14:paraId="59413020"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C7E8D15"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DF72DD4"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EA5F7A1" w14:textId="77777777" w:rsidR="00575AC3" w:rsidRPr="006D40F0" w:rsidRDefault="00575AC3" w:rsidP="006D40F0">
            <w:r w:rsidRPr="006D40F0">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19BE9E" w14:textId="77777777" w:rsidR="00575AC3" w:rsidRPr="006D40F0" w:rsidRDefault="00575AC3" w:rsidP="006D40F0">
            <w:r w:rsidRPr="006D40F0">
              <w:t>643 151</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6B2993A"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AD1A37" w14:textId="77777777" w:rsidR="00575AC3" w:rsidRPr="006D40F0" w:rsidRDefault="00575AC3" w:rsidP="006D40F0">
            <w:r w:rsidRPr="006D40F0">
              <w:t>29 429</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D38926" w14:textId="77777777" w:rsidR="00575AC3" w:rsidRPr="006D40F0" w:rsidRDefault="00575AC3" w:rsidP="006D40F0">
            <w:r w:rsidRPr="006D40F0">
              <w:t>672 580</w:t>
            </w:r>
          </w:p>
        </w:tc>
      </w:tr>
      <w:tr w:rsidR="00DD49A7" w:rsidRPr="006D40F0" w14:paraId="2D45355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4E013BE" w14:textId="77777777" w:rsidR="00575AC3" w:rsidRPr="006D40F0" w:rsidRDefault="00575AC3" w:rsidP="006D40F0">
            <w:r w:rsidRPr="006D40F0">
              <w:t>Sum endringer Forsvarsdepartementet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622AE1"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13BED3"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88C6A42" w14:textId="77777777" w:rsidR="00575AC3" w:rsidRPr="006D40F0" w:rsidRDefault="00575AC3" w:rsidP="006D40F0">
            <w:r w:rsidRPr="006D40F0">
              <w:t>13 399 474</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D55C5C" w14:textId="77777777" w:rsidR="00575AC3" w:rsidRPr="006D40F0" w:rsidRDefault="00575AC3" w:rsidP="006D40F0"/>
        </w:tc>
      </w:tr>
      <w:tr w:rsidR="00DD49A7" w:rsidRPr="006D40F0" w14:paraId="3A0C93C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1B8D63" w14:textId="77777777" w:rsidR="00575AC3" w:rsidRPr="006D40F0" w:rsidRDefault="00575AC3" w:rsidP="006D40F0">
            <w:r w:rsidRPr="006D40F0">
              <w:t>1810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0BFFC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E6170CE" w14:textId="77777777" w:rsidR="00575AC3" w:rsidRPr="006D40F0" w:rsidRDefault="00575AC3" w:rsidP="006D40F0">
            <w:r w:rsidRPr="006D40F0">
              <w:t>Sokkeldirektoratet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31690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7E5E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5A872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FFFFFF" w14:textId="77777777" w:rsidR="00575AC3" w:rsidRPr="006D40F0" w:rsidRDefault="00575AC3" w:rsidP="006D40F0"/>
        </w:tc>
      </w:tr>
      <w:tr w:rsidR="00DD49A7" w:rsidRPr="006D40F0" w14:paraId="1160DF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8E37B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FB91E9" w14:textId="77777777" w:rsidR="00575AC3" w:rsidRPr="006D40F0" w:rsidRDefault="00575AC3" w:rsidP="006D40F0">
            <w:r w:rsidRPr="006D40F0">
              <w:t>21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198737" w14:textId="77777777" w:rsidR="00575AC3" w:rsidRPr="006D40F0" w:rsidRDefault="00575AC3" w:rsidP="006D40F0">
            <w:r w:rsidRPr="006D40F0">
              <w:t xml:space="preserve">Spesielle driftsutgifter,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650E37" w14:textId="77777777" w:rsidR="00575AC3" w:rsidRPr="006D40F0" w:rsidRDefault="00575AC3" w:rsidP="006D40F0">
            <w:r w:rsidRPr="006D40F0">
              <w:t>102 500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DF278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FC2DD3" w14:textId="77777777" w:rsidR="00575AC3" w:rsidRPr="006D40F0" w:rsidRDefault="00575AC3" w:rsidP="006D40F0">
            <w:r w:rsidRPr="006D40F0">
              <w:t>-400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76D1F1" w14:textId="77777777" w:rsidR="00575AC3" w:rsidRPr="006D40F0" w:rsidRDefault="00575AC3" w:rsidP="006D40F0">
            <w:r w:rsidRPr="006D40F0">
              <w:t>102 100</w:t>
            </w:r>
          </w:p>
        </w:tc>
      </w:tr>
      <w:tr w:rsidR="00DD49A7" w:rsidRPr="006D40F0" w14:paraId="20963A0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718A26" w14:textId="77777777" w:rsidR="00575AC3" w:rsidRPr="006D40F0" w:rsidRDefault="00575AC3" w:rsidP="006D40F0">
            <w:r w:rsidRPr="006D40F0">
              <w:t>1820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CDA44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2414C7" w14:textId="77777777" w:rsidR="00575AC3" w:rsidRPr="006D40F0" w:rsidRDefault="00575AC3" w:rsidP="006D40F0">
            <w:r w:rsidRPr="006D40F0">
              <w:t>Norges vassdrags- og energidirektorat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3E001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965E7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B34C4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823774" w14:textId="77777777" w:rsidR="00575AC3" w:rsidRPr="006D40F0" w:rsidRDefault="00575AC3" w:rsidP="006D40F0"/>
        </w:tc>
      </w:tr>
      <w:tr w:rsidR="00DD49A7" w:rsidRPr="006D40F0" w14:paraId="140AEDF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3DE78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E8FC77" w14:textId="77777777" w:rsidR="00575AC3" w:rsidRPr="006D40F0" w:rsidRDefault="00575AC3" w:rsidP="006D40F0">
            <w:r w:rsidRPr="006D40F0">
              <w:t>23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02A3ED0" w14:textId="77777777" w:rsidR="00575AC3" w:rsidRPr="006D40F0" w:rsidRDefault="00575AC3" w:rsidP="006D40F0">
            <w:r w:rsidRPr="006D40F0">
              <w:t xml:space="preserve">Oppdrags- og samarbeidsvirksomhet,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B8ACBF" w14:textId="77777777" w:rsidR="00575AC3" w:rsidRPr="006D40F0" w:rsidRDefault="00575AC3" w:rsidP="006D40F0">
            <w:r w:rsidRPr="006D40F0">
              <w:t>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C7E68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E41D17" w14:textId="77777777" w:rsidR="00575AC3" w:rsidRPr="006D40F0" w:rsidRDefault="00575AC3" w:rsidP="006D40F0">
            <w:r w:rsidRPr="006D40F0">
              <w:t>-11 000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CD6D9" w14:textId="77777777" w:rsidR="00575AC3" w:rsidRPr="006D40F0" w:rsidRDefault="00575AC3" w:rsidP="006D40F0">
            <w:r w:rsidRPr="006D40F0">
              <w:t>59 000</w:t>
            </w:r>
          </w:p>
        </w:tc>
      </w:tr>
      <w:tr w:rsidR="00DD49A7" w:rsidRPr="006D40F0" w14:paraId="5DD3F6D4"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58F4B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B15A0A" w14:textId="77777777" w:rsidR="00575AC3" w:rsidRPr="006D40F0" w:rsidRDefault="00575AC3" w:rsidP="006D40F0">
            <w:r w:rsidRPr="006D40F0">
              <w:t>25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D7FCA4" w14:textId="77777777" w:rsidR="00575AC3" w:rsidRPr="006D40F0" w:rsidRDefault="00575AC3" w:rsidP="006D40F0">
            <w:r w:rsidRPr="006D40F0">
              <w:t xml:space="preserve">Krise- og hastetiltak i forbindelse med flom- og skredhendelser, </w:t>
            </w:r>
            <w:r w:rsidRPr="00575AC3">
              <w:rPr>
                <w:rStyle w:val="kursiv"/>
              </w:rPr>
              <w:t>kan overføres, kan nyttes under post 61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3E33D" w14:textId="77777777" w:rsidR="00575AC3" w:rsidRPr="006D40F0" w:rsidRDefault="00575AC3" w:rsidP="006D40F0">
            <w:r w:rsidRPr="006D40F0">
              <w:t>200 000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175D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81F140" w14:textId="77777777" w:rsidR="00575AC3" w:rsidRPr="006D40F0" w:rsidRDefault="00575AC3" w:rsidP="006D40F0">
            <w:r w:rsidRPr="006D40F0">
              <w:t>-100 000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10F6AD" w14:textId="77777777" w:rsidR="00575AC3" w:rsidRPr="006D40F0" w:rsidRDefault="00575AC3" w:rsidP="006D40F0">
            <w:r w:rsidRPr="006D40F0">
              <w:t>100 000</w:t>
            </w:r>
          </w:p>
        </w:tc>
      </w:tr>
      <w:tr w:rsidR="00DD49A7" w:rsidRPr="006D40F0" w14:paraId="00F5F747"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B114C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7625FA" w14:textId="77777777" w:rsidR="00575AC3" w:rsidRPr="006D40F0" w:rsidRDefault="00575AC3" w:rsidP="006D40F0">
            <w:r w:rsidRPr="006D40F0">
              <w:t>61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29BB6F3" w14:textId="77777777" w:rsidR="00575AC3" w:rsidRPr="006D40F0" w:rsidRDefault="00575AC3" w:rsidP="006D40F0">
            <w:r w:rsidRPr="006D40F0">
              <w:t xml:space="preserve">Tilskudd til krise- og hastetiltak i forbindelse med flom- og skredhendelser, </w:t>
            </w:r>
            <w:r w:rsidRPr="00575AC3">
              <w:rPr>
                <w:rStyle w:val="kursiv"/>
              </w:rPr>
              <w:t>kan overføres, kan nyttes under post 25</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C63490"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DB393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2E55E9" w14:textId="77777777" w:rsidR="00575AC3" w:rsidRPr="006D40F0" w:rsidRDefault="00575AC3" w:rsidP="006D40F0">
            <w:r w:rsidRPr="006D40F0">
              <w:t>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A29334" w14:textId="77777777" w:rsidR="00575AC3" w:rsidRPr="006D40F0" w:rsidRDefault="00575AC3" w:rsidP="006D40F0">
            <w:r w:rsidRPr="006D40F0">
              <w:t>100 000</w:t>
            </w:r>
          </w:p>
        </w:tc>
      </w:tr>
      <w:tr w:rsidR="00DD49A7" w:rsidRPr="006D40F0" w14:paraId="6E241DD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1C19E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1AE58D" w14:textId="77777777" w:rsidR="00575AC3" w:rsidRPr="006D40F0" w:rsidRDefault="00575AC3" w:rsidP="006D40F0">
            <w:r w:rsidRPr="006D40F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E5126F" w14:textId="77777777" w:rsidR="00575AC3" w:rsidRPr="006D40F0" w:rsidRDefault="00575AC3" w:rsidP="006D40F0">
            <w:r w:rsidRPr="006D40F0">
              <w:t xml:space="preserve">Tilbakeføring av produksjonsavgift fra landbasert vindkraft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11FB7" w14:textId="77777777" w:rsidR="00575AC3" w:rsidRPr="006D40F0" w:rsidRDefault="00575AC3" w:rsidP="006D40F0">
            <w:r w:rsidRPr="006D40F0">
              <w:t>338 000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2A7ED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07292" w14:textId="77777777" w:rsidR="00575AC3" w:rsidRPr="006D40F0" w:rsidRDefault="00575AC3" w:rsidP="006D40F0">
            <w:r w:rsidRPr="006D40F0">
              <w:t>-59 370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47FF91" w14:textId="77777777" w:rsidR="00575AC3" w:rsidRPr="006D40F0" w:rsidRDefault="00575AC3" w:rsidP="006D40F0">
            <w:r w:rsidRPr="006D40F0">
              <w:t>278 630</w:t>
            </w:r>
          </w:p>
        </w:tc>
      </w:tr>
      <w:tr w:rsidR="00DD49A7" w:rsidRPr="006D40F0" w14:paraId="29902CD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98A0F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64B717"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ED0DB93" w14:textId="77777777" w:rsidR="00575AC3" w:rsidRPr="006D40F0" w:rsidRDefault="00575AC3" w:rsidP="006D40F0">
            <w:r w:rsidRPr="006D40F0">
              <w:t xml:space="preserve">Stønad til husholdninger for ekstraordinære strømutgifter,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8477A9" w14:textId="77777777" w:rsidR="00575AC3" w:rsidRPr="006D40F0" w:rsidRDefault="00575AC3" w:rsidP="006D40F0">
            <w:r w:rsidRPr="006D40F0">
              <w:t>9 750 000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F5F6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2B66BC" w14:textId="77777777" w:rsidR="00575AC3" w:rsidRPr="006D40F0" w:rsidRDefault="00575AC3" w:rsidP="006D40F0">
            <w:r w:rsidRPr="006D40F0">
              <w:t>-4 950 000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0E0E3" w14:textId="77777777" w:rsidR="00575AC3" w:rsidRPr="006D40F0" w:rsidRDefault="00575AC3" w:rsidP="006D40F0">
            <w:r w:rsidRPr="006D40F0">
              <w:t>4 800 000</w:t>
            </w:r>
          </w:p>
        </w:tc>
      </w:tr>
      <w:tr w:rsidR="00DD49A7" w:rsidRPr="006D40F0" w14:paraId="38B3DBD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155D2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A325E4"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F16051" w14:textId="77777777" w:rsidR="00575AC3" w:rsidRPr="006D40F0" w:rsidRDefault="00575AC3" w:rsidP="006D40F0">
            <w:r w:rsidRPr="006D40F0">
              <w:t xml:space="preserve">Stønad til husholdningskunder av nærvarmeanlegg,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08B7A7" w14:textId="77777777" w:rsidR="00575AC3" w:rsidRPr="006D40F0" w:rsidRDefault="00575AC3" w:rsidP="006D40F0">
            <w:r w:rsidRPr="006D40F0">
              <w:t>22 500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A4C4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CDD627" w14:textId="77777777" w:rsidR="00575AC3" w:rsidRPr="006D40F0" w:rsidRDefault="00575AC3" w:rsidP="006D40F0">
            <w:r w:rsidRPr="006D40F0">
              <w:t>-12 500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9D6837" w14:textId="77777777" w:rsidR="00575AC3" w:rsidRPr="006D40F0" w:rsidRDefault="00575AC3" w:rsidP="006D40F0">
            <w:r w:rsidRPr="006D40F0">
              <w:t>10 000</w:t>
            </w:r>
          </w:p>
        </w:tc>
      </w:tr>
      <w:tr w:rsidR="00DD49A7" w:rsidRPr="006D40F0" w14:paraId="7D108E1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05F3D0" w14:textId="77777777" w:rsidR="00575AC3" w:rsidRPr="006D40F0" w:rsidRDefault="00575AC3" w:rsidP="006D40F0">
            <w:r w:rsidRPr="006D40F0">
              <w:t>1850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67668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D60FF5" w14:textId="77777777" w:rsidR="00575AC3" w:rsidRPr="006D40F0" w:rsidRDefault="00575AC3" w:rsidP="006D40F0">
            <w:r w:rsidRPr="006D40F0">
              <w:t>Klima, industri og teknologi</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2EF09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D0886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0CBBA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876A95" w14:textId="77777777" w:rsidR="00575AC3" w:rsidRPr="006D40F0" w:rsidRDefault="00575AC3" w:rsidP="006D40F0"/>
        </w:tc>
      </w:tr>
      <w:tr w:rsidR="00DD49A7" w:rsidRPr="006D40F0" w14:paraId="4FD3A108"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F2856DF"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999B880" w14:textId="77777777" w:rsidR="00575AC3" w:rsidRPr="006D40F0" w:rsidRDefault="00575AC3" w:rsidP="006D40F0">
            <w:r w:rsidRPr="006D40F0">
              <w:t>72</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947DA59" w14:textId="77777777" w:rsidR="00575AC3" w:rsidRPr="006D40F0" w:rsidRDefault="00575AC3" w:rsidP="006D40F0">
            <w:r w:rsidRPr="006D40F0">
              <w:t>Langskip – fangst og lagring av CO</w:t>
            </w:r>
            <w:r w:rsidRPr="00575AC3">
              <w:rPr>
                <w:rStyle w:val="skrift-senket"/>
              </w:rPr>
              <w:t>2</w:t>
            </w:r>
            <w:r w:rsidRPr="006D40F0">
              <w:t xml:space="preserve">,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49045A0" w14:textId="77777777" w:rsidR="00575AC3" w:rsidRPr="006D40F0" w:rsidRDefault="00575AC3" w:rsidP="006D40F0">
            <w:r w:rsidRPr="006D40F0">
              <w:t>2 600 000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CBD4ED"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FB48514" w14:textId="77777777" w:rsidR="00575AC3" w:rsidRPr="006D40F0" w:rsidRDefault="00575AC3" w:rsidP="006D40F0">
            <w:r w:rsidRPr="006D40F0">
              <w:t>-900 000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B622936" w14:textId="77777777" w:rsidR="00575AC3" w:rsidRPr="006D40F0" w:rsidRDefault="00575AC3" w:rsidP="006D40F0">
            <w:r w:rsidRPr="006D40F0">
              <w:t>1 700 000</w:t>
            </w:r>
          </w:p>
        </w:tc>
      </w:tr>
      <w:tr w:rsidR="00DD49A7" w:rsidRPr="006D40F0" w14:paraId="6FC59B48"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4D59464" w14:textId="77777777" w:rsidR="00575AC3" w:rsidRPr="006D40F0" w:rsidRDefault="00575AC3" w:rsidP="006D40F0">
            <w:r w:rsidRPr="006D40F0">
              <w:t>Sum endringer Energidepartementet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0AA63B3"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3BF734F"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B7A120" w14:textId="77777777" w:rsidR="00575AC3" w:rsidRPr="006D40F0" w:rsidRDefault="00575AC3" w:rsidP="006D40F0">
            <w:r w:rsidRPr="006D40F0">
              <w:t>-5 933 270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9AD132E" w14:textId="77777777" w:rsidR="00575AC3" w:rsidRPr="006D40F0" w:rsidRDefault="00575AC3" w:rsidP="006D40F0"/>
        </w:tc>
      </w:tr>
      <w:tr w:rsidR="00DD49A7" w:rsidRPr="006D40F0" w14:paraId="6BF673B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E3159E" w14:textId="77777777" w:rsidR="00575AC3" w:rsidRPr="006D40F0" w:rsidRDefault="00575AC3" w:rsidP="006D40F0">
            <w:r w:rsidRPr="006D40F0">
              <w:t>2309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C0F6A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C29372" w14:textId="77777777" w:rsidR="00575AC3" w:rsidRPr="006D40F0" w:rsidRDefault="00575AC3" w:rsidP="006D40F0">
            <w:r w:rsidRPr="006D40F0">
              <w:t>Tilfeldige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F5A2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52469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69C56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C5BD27" w14:textId="77777777" w:rsidR="00575AC3" w:rsidRPr="006D40F0" w:rsidRDefault="00575AC3" w:rsidP="006D40F0"/>
        </w:tc>
      </w:tr>
      <w:tr w:rsidR="00DD49A7" w:rsidRPr="006D40F0" w14:paraId="1CEA0AB3"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8C2C2CB"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2B7DB50" w14:textId="77777777" w:rsidR="00575AC3" w:rsidRPr="006D40F0" w:rsidRDefault="00575AC3" w:rsidP="006D40F0">
            <w:r w:rsidRPr="006D40F0">
              <w:t>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2653F51" w14:textId="77777777" w:rsidR="00575AC3" w:rsidRPr="006D40F0" w:rsidRDefault="00575AC3" w:rsidP="006D40F0">
            <w:r w:rsidRPr="006D40F0">
              <w:t xml:space="preserve">Driftsutgifter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13AC331" w14:textId="77777777" w:rsidR="00575AC3" w:rsidRPr="006D40F0" w:rsidRDefault="00575AC3" w:rsidP="006D40F0">
            <w:r w:rsidRPr="006D40F0">
              <w:t>6 950 000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5F148D"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A458D6" w14:textId="77777777" w:rsidR="00575AC3" w:rsidRPr="006D40F0" w:rsidRDefault="00575AC3" w:rsidP="006D40F0">
            <w:r w:rsidRPr="006D40F0">
              <w:t>-1 250 000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3F0EE13" w14:textId="77777777" w:rsidR="00575AC3" w:rsidRPr="006D40F0" w:rsidRDefault="00575AC3" w:rsidP="006D40F0">
            <w:r w:rsidRPr="006D40F0">
              <w:t>5 700 000</w:t>
            </w:r>
          </w:p>
        </w:tc>
      </w:tr>
      <w:tr w:rsidR="00DD49A7" w:rsidRPr="006D40F0" w14:paraId="070064DE"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9A9268E" w14:textId="77777777" w:rsidR="00575AC3" w:rsidRPr="006D40F0" w:rsidRDefault="00575AC3" w:rsidP="006D40F0">
            <w:r w:rsidRPr="006D40F0">
              <w:t>Sum endringer Ymse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38F1E6"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8A4D601"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6B2A8D9" w14:textId="77777777" w:rsidR="00575AC3" w:rsidRPr="006D40F0" w:rsidRDefault="00575AC3" w:rsidP="006D40F0">
            <w:r w:rsidRPr="006D40F0">
              <w:t>-1 250 000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04676C" w14:textId="77777777" w:rsidR="00575AC3" w:rsidRPr="006D40F0" w:rsidRDefault="00575AC3" w:rsidP="006D40F0"/>
        </w:tc>
      </w:tr>
      <w:tr w:rsidR="00DD49A7" w:rsidRPr="006D40F0" w14:paraId="0D3A532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2A48D4" w14:textId="77777777" w:rsidR="00575AC3" w:rsidRPr="006D40F0" w:rsidRDefault="00575AC3" w:rsidP="006D40F0">
            <w:r w:rsidRPr="006D40F0">
              <w:t>2410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238BEF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03BECF" w14:textId="77777777" w:rsidR="00575AC3" w:rsidRPr="006D40F0" w:rsidRDefault="00575AC3" w:rsidP="006D40F0">
            <w:r w:rsidRPr="006D40F0">
              <w:t>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BBEF4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D8509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986EC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DD70BA" w14:textId="77777777" w:rsidR="00575AC3" w:rsidRPr="006D40F0" w:rsidRDefault="00575AC3" w:rsidP="006D40F0"/>
        </w:tc>
      </w:tr>
      <w:tr w:rsidR="00DD49A7" w:rsidRPr="006D40F0" w14:paraId="0FB8776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94F93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29FBC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AD466E"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3BFD3" w14:textId="77777777" w:rsidR="00575AC3" w:rsidRPr="006D40F0" w:rsidRDefault="00575AC3" w:rsidP="006D40F0">
            <w:r w:rsidRPr="006D40F0">
              <w:t>440 597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9307F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6B5B4" w14:textId="77777777" w:rsidR="00575AC3" w:rsidRPr="006D40F0" w:rsidRDefault="00575AC3" w:rsidP="006D40F0">
            <w:r w:rsidRPr="006D40F0">
              <w:t>1 400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957BBA" w14:textId="77777777" w:rsidR="00575AC3" w:rsidRPr="006D40F0" w:rsidRDefault="00575AC3" w:rsidP="006D40F0">
            <w:r w:rsidRPr="006D40F0">
              <w:t>441 997</w:t>
            </w:r>
          </w:p>
        </w:tc>
      </w:tr>
      <w:tr w:rsidR="00DD49A7" w:rsidRPr="006D40F0" w14:paraId="51BE61C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2C93BF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0DC672"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82F634" w14:textId="4AC22AC8" w:rsidR="00575AC3" w:rsidRPr="006D40F0" w:rsidRDefault="00575AC3" w:rsidP="006D40F0">
            <w:r w:rsidRPr="006D40F0">
              <w:t>Avsetning til utdanningsstipend,</w:t>
            </w:r>
            <w:r w:rsidR="006D40F0">
              <w:t xml:space="preserv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2C0D38" w14:textId="77777777" w:rsidR="00575AC3" w:rsidRPr="006D40F0" w:rsidRDefault="00575AC3" w:rsidP="006D40F0">
            <w:r w:rsidRPr="006D40F0">
              <w:t>9 079 641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03FF8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6DA98B" w14:textId="77777777" w:rsidR="00575AC3" w:rsidRPr="006D40F0" w:rsidRDefault="00575AC3" w:rsidP="006D40F0">
            <w:r w:rsidRPr="006D40F0">
              <w:t>-191 000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0DFD62" w14:textId="77777777" w:rsidR="00575AC3" w:rsidRPr="006D40F0" w:rsidRDefault="00575AC3" w:rsidP="006D40F0">
            <w:r w:rsidRPr="006D40F0">
              <w:t>8 888 641</w:t>
            </w:r>
          </w:p>
        </w:tc>
      </w:tr>
      <w:tr w:rsidR="00DD49A7" w:rsidRPr="006D40F0" w14:paraId="62661E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FBB077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1900DF"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4332CA" w14:textId="77777777" w:rsidR="00575AC3" w:rsidRPr="006D40F0" w:rsidRDefault="00575AC3" w:rsidP="006D40F0">
            <w:r w:rsidRPr="006D40F0">
              <w:t xml:space="preserve">Utdanningsstipend,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07009" w14:textId="77777777" w:rsidR="00575AC3" w:rsidRPr="006D40F0" w:rsidRDefault="00575AC3" w:rsidP="006D40F0">
            <w:r w:rsidRPr="006D40F0">
              <w:t>4 139 022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6DE7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142DD" w14:textId="77777777" w:rsidR="00575AC3" w:rsidRPr="006D40F0" w:rsidRDefault="00575AC3" w:rsidP="006D40F0">
            <w:r w:rsidRPr="006D40F0">
              <w:t>-190 860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0EE4A2" w14:textId="77777777" w:rsidR="00575AC3" w:rsidRPr="006D40F0" w:rsidRDefault="00575AC3" w:rsidP="006D40F0">
            <w:r w:rsidRPr="006D40F0">
              <w:t>3 948 162</w:t>
            </w:r>
          </w:p>
        </w:tc>
      </w:tr>
      <w:tr w:rsidR="00DD49A7" w:rsidRPr="006D40F0" w14:paraId="1807854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2AFD3D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5E5178"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68402F" w14:textId="77777777" w:rsidR="00575AC3" w:rsidRPr="006D40F0" w:rsidRDefault="00575AC3" w:rsidP="006D40F0">
            <w:r w:rsidRPr="006D40F0">
              <w:t xml:space="preserve">Andre stipend,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7348E2" w14:textId="77777777" w:rsidR="00575AC3" w:rsidRPr="006D40F0" w:rsidRDefault="00575AC3" w:rsidP="006D40F0">
            <w:r w:rsidRPr="006D40F0">
              <w:t>585 756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BFB8A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1CB5FD" w14:textId="77777777" w:rsidR="00575AC3" w:rsidRPr="006D40F0" w:rsidRDefault="00575AC3" w:rsidP="006D40F0">
            <w:r w:rsidRPr="006D40F0">
              <w:t>-26 954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E9ADA" w14:textId="77777777" w:rsidR="00575AC3" w:rsidRPr="006D40F0" w:rsidRDefault="00575AC3" w:rsidP="006D40F0">
            <w:r w:rsidRPr="006D40F0">
              <w:t>558 802</w:t>
            </w:r>
          </w:p>
        </w:tc>
      </w:tr>
      <w:tr w:rsidR="00DD49A7" w:rsidRPr="006D40F0" w14:paraId="2DA609A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908D5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8C3F2B"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601D61" w14:textId="77777777" w:rsidR="00575AC3" w:rsidRPr="006D40F0" w:rsidRDefault="00575AC3" w:rsidP="006D40F0">
            <w:r w:rsidRPr="006D40F0">
              <w:t xml:space="preserve">Rentestøtte,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3D406" w14:textId="77777777" w:rsidR="00575AC3" w:rsidRPr="006D40F0" w:rsidRDefault="00575AC3" w:rsidP="006D40F0">
            <w:r w:rsidRPr="006D40F0">
              <w:t>2 822 961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9D67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4E5AC" w14:textId="77777777" w:rsidR="00575AC3" w:rsidRPr="006D40F0" w:rsidRDefault="00575AC3" w:rsidP="006D40F0">
            <w:r w:rsidRPr="006D40F0">
              <w:t>664 431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BE6E7" w14:textId="77777777" w:rsidR="00575AC3" w:rsidRPr="006D40F0" w:rsidRDefault="00575AC3" w:rsidP="006D40F0">
            <w:r w:rsidRPr="006D40F0">
              <w:t>3 487 392</w:t>
            </w:r>
          </w:p>
        </w:tc>
      </w:tr>
      <w:tr w:rsidR="00DD49A7" w:rsidRPr="006D40F0" w14:paraId="2CF2D0D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CD2E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7ACE82"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5132EE" w14:textId="77777777" w:rsidR="00575AC3" w:rsidRPr="006D40F0" w:rsidRDefault="00575AC3" w:rsidP="006D40F0">
            <w:r w:rsidRPr="006D40F0">
              <w:t xml:space="preserve">Avskrivninger,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1BCF44" w14:textId="77777777" w:rsidR="00575AC3" w:rsidRPr="006D40F0" w:rsidRDefault="00575AC3" w:rsidP="006D40F0">
            <w:r w:rsidRPr="006D40F0">
              <w:t>904 593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B58D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BB2019" w14:textId="77777777" w:rsidR="00575AC3" w:rsidRPr="006D40F0" w:rsidRDefault="00575AC3" w:rsidP="006D40F0">
            <w:r w:rsidRPr="006D40F0">
              <w:t>67 562</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CB0E5C" w14:textId="77777777" w:rsidR="00575AC3" w:rsidRPr="006D40F0" w:rsidRDefault="00575AC3" w:rsidP="006D40F0">
            <w:r w:rsidRPr="006D40F0">
              <w:t>972 155</w:t>
            </w:r>
          </w:p>
        </w:tc>
      </w:tr>
      <w:tr w:rsidR="00DD49A7" w:rsidRPr="006D40F0" w14:paraId="2587719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4388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D584C8"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53B5B7" w14:textId="77777777" w:rsidR="00575AC3" w:rsidRPr="006D40F0" w:rsidRDefault="00575AC3" w:rsidP="006D40F0">
            <w:r w:rsidRPr="006D40F0">
              <w:t xml:space="preserve">Tap på utlån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6EE4C7" w14:textId="77777777" w:rsidR="00575AC3" w:rsidRPr="006D40F0" w:rsidRDefault="00575AC3" w:rsidP="006D40F0">
            <w:r w:rsidRPr="006D40F0">
              <w:t>380 500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4B821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CA26A8" w14:textId="77777777" w:rsidR="00575AC3" w:rsidRPr="006D40F0" w:rsidRDefault="00575AC3" w:rsidP="006D40F0">
            <w:r w:rsidRPr="006D40F0">
              <w:t>-70 000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3A02BA" w14:textId="77777777" w:rsidR="00575AC3" w:rsidRPr="006D40F0" w:rsidRDefault="00575AC3" w:rsidP="006D40F0">
            <w:r w:rsidRPr="006D40F0">
              <w:t>310 500</w:t>
            </w:r>
          </w:p>
        </w:tc>
      </w:tr>
      <w:tr w:rsidR="00DD49A7" w:rsidRPr="006D40F0" w14:paraId="5F66664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1E57E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F1FC1F1"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5FFFC9" w14:textId="77777777" w:rsidR="00575AC3" w:rsidRPr="006D40F0" w:rsidRDefault="00575AC3" w:rsidP="006D40F0">
            <w:r w:rsidRPr="006D40F0">
              <w:t xml:space="preserve">Økt lån og rentegjeld,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49591" w14:textId="77777777" w:rsidR="00575AC3" w:rsidRPr="006D40F0" w:rsidRDefault="00575AC3" w:rsidP="006D40F0">
            <w:r w:rsidRPr="006D40F0">
              <w:t>39 751 273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4AA37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6D99CA" w14:textId="77777777" w:rsidR="00575AC3" w:rsidRPr="006D40F0" w:rsidRDefault="00575AC3" w:rsidP="006D40F0">
            <w:r w:rsidRPr="006D40F0">
              <w:t>763 156</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B1D5DE" w14:textId="77777777" w:rsidR="00575AC3" w:rsidRPr="006D40F0" w:rsidRDefault="00575AC3" w:rsidP="006D40F0">
            <w:r w:rsidRPr="006D40F0">
              <w:t>40 514 429</w:t>
            </w:r>
          </w:p>
        </w:tc>
      </w:tr>
      <w:tr w:rsidR="00DD49A7" w:rsidRPr="006D40F0" w14:paraId="1B467AC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6FDB88" w14:textId="77777777" w:rsidR="00575AC3" w:rsidRPr="006D40F0" w:rsidRDefault="00575AC3" w:rsidP="006D40F0">
            <w:r w:rsidRPr="006D40F0">
              <w:t>2412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45F3C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A51CFC" w14:textId="77777777" w:rsidR="00575AC3" w:rsidRPr="006D40F0" w:rsidRDefault="00575AC3" w:rsidP="006D40F0">
            <w:r w:rsidRPr="006D40F0">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55E2A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E4610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6C27D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40F6BD" w14:textId="77777777" w:rsidR="00575AC3" w:rsidRPr="006D40F0" w:rsidRDefault="00575AC3" w:rsidP="006D40F0"/>
        </w:tc>
      </w:tr>
      <w:tr w:rsidR="00DD49A7" w:rsidRPr="006D40F0" w14:paraId="138E40B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E07D5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34EE56"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A82597" w14:textId="77777777" w:rsidR="00575AC3" w:rsidRPr="006D40F0" w:rsidRDefault="00575AC3" w:rsidP="006D40F0">
            <w:r w:rsidRPr="006D40F0">
              <w:t xml:space="preserve">Driftsutgifter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71594" w14:textId="77777777" w:rsidR="00575AC3" w:rsidRPr="006D40F0" w:rsidRDefault="00575AC3" w:rsidP="006D40F0">
            <w:r w:rsidRPr="006D40F0">
              <w:t>382 678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C3B53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0AFE41"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8DB34" w14:textId="77777777" w:rsidR="00575AC3" w:rsidRPr="006D40F0" w:rsidRDefault="00575AC3" w:rsidP="006D40F0">
            <w:r w:rsidRPr="006D40F0">
              <w:t>384 178</w:t>
            </w:r>
          </w:p>
        </w:tc>
      </w:tr>
      <w:tr w:rsidR="00DD49A7" w:rsidRPr="006D40F0" w14:paraId="57D687A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54A83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C6C8C8"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118954" w14:textId="77777777" w:rsidR="00575AC3" w:rsidRPr="006D40F0" w:rsidRDefault="00575AC3" w:rsidP="006D40F0">
            <w:r w:rsidRPr="006D40F0">
              <w:t xml:space="preserve">Nye lån,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E5247" w14:textId="77777777" w:rsidR="00575AC3" w:rsidRPr="006D40F0" w:rsidRDefault="00575AC3" w:rsidP="006D40F0">
            <w:r w:rsidRPr="006D40F0">
              <w:t>24 155 000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3743E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3429FE" w14:textId="77777777" w:rsidR="00575AC3" w:rsidRPr="006D40F0" w:rsidRDefault="00575AC3" w:rsidP="006D40F0">
            <w:r w:rsidRPr="006D40F0">
              <w:t>697 000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BB689" w14:textId="77777777" w:rsidR="00575AC3" w:rsidRPr="006D40F0" w:rsidRDefault="00575AC3" w:rsidP="006D40F0">
            <w:r w:rsidRPr="006D40F0">
              <w:t>24 852 000</w:t>
            </w:r>
          </w:p>
        </w:tc>
      </w:tr>
      <w:tr w:rsidR="00DD49A7" w:rsidRPr="006D40F0" w14:paraId="0F7D305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1DE781" w14:textId="77777777" w:rsidR="00575AC3" w:rsidRPr="006D40F0" w:rsidRDefault="00575AC3" w:rsidP="006D40F0">
            <w:r w:rsidRPr="006D40F0">
              <w:t>2421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2472CA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891F57" w14:textId="77777777" w:rsidR="00575AC3" w:rsidRPr="006D40F0" w:rsidRDefault="00575AC3" w:rsidP="006D40F0">
            <w:r w:rsidRPr="006D40F0">
              <w:t>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4458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6CB67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1E72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2E764D" w14:textId="77777777" w:rsidR="00575AC3" w:rsidRPr="006D40F0" w:rsidRDefault="00575AC3" w:rsidP="006D40F0"/>
        </w:tc>
      </w:tr>
      <w:tr w:rsidR="00DD49A7" w:rsidRPr="006D40F0" w14:paraId="46B421C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B4D85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DD68A9" w14:textId="77777777" w:rsidR="00575AC3" w:rsidRPr="006D40F0" w:rsidRDefault="00575AC3" w:rsidP="006D40F0">
            <w:r w:rsidRPr="006D40F0">
              <w:t>55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D05056A" w14:textId="77777777" w:rsidR="00575AC3" w:rsidRPr="006D40F0" w:rsidRDefault="00575AC3" w:rsidP="006D40F0">
            <w:r w:rsidRPr="006D40F0">
              <w:t xml:space="preserve">Grønn industrifinansiering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DB489"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F3BD8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A514F" w14:textId="77777777" w:rsidR="00575AC3" w:rsidRPr="006D40F0" w:rsidRDefault="00575AC3" w:rsidP="006D40F0">
            <w:r w:rsidRPr="006D40F0">
              <w:t>1 750 000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CE342C" w14:textId="77777777" w:rsidR="00575AC3" w:rsidRPr="006D40F0" w:rsidRDefault="00575AC3" w:rsidP="006D40F0">
            <w:r w:rsidRPr="006D40F0">
              <w:t>1 750 000</w:t>
            </w:r>
          </w:p>
        </w:tc>
      </w:tr>
      <w:tr w:rsidR="00DD49A7" w:rsidRPr="006D40F0" w14:paraId="4D05E8A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7F8B3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0C3C88"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7B03CC" w14:textId="77777777" w:rsidR="00575AC3" w:rsidRPr="006D40F0" w:rsidRDefault="00575AC3" w:rsidP="006D40F0">
            <w:r w:rsidRPr="006D40F0">
              <w:t xml:space="preserve">Innovative næringsmiljøer,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D9382" w14:textId="77777777" w:rsidR="00575AC3" w:rsidRPr="006D40F0" w:rsidRDefault="00575AC3" w:rsidP="006D40F0">
            <w:r w:rsidRPr="006D40F0">
              <w:t>126 320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20B95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42E81" w14:textId="77777777" w:rsidR="00575AC3" w:rsidRPr="006D40F0" w:rsidRDefault="00575AC3" w:rsidP="006D40F0">
            <w:r w:rsidRPr="006D40F0">
              <w:t>35 000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28DF29" w14:textId="77777777" w:rsidR="00575AC3" w:rsidRPr="006D40F0" w:rsidRDefault="00575AC3" w:rsidP="006D40F0">
            <w:r w:rsidRPr="006D40F0">
              <w:t>161 320</w:t>
            </w:r>
          </w:p>
        </w:tc>
      </w:tr>
      <w:tr w:rsidR="00DD49A7" w:rsidRPr="006D40F0" w14:paraId="72BF557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BA664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7F3241C"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BD307E" w14:textId="77777777" w:rsidR="00575AC3" w:rsidRPr="006D40F0" w:rsidRDefault="00575AC3" w:rsidP="006D40F0">
            <w:r w:rsidRPr="006D40F0">
              <w:t xml:space="preserve">Reiseliv, profilering og kompetanse,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FA484F" w14:textId="77777777" w:rsidR="00575AC3" w:rsidRPr="006D40F0" w:rsidRDefault="00575AC3" w:rsidP="006D40F0">
            <w:r w:rsidRPr="006D40F0">
              <w:t>574 429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4E6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F4E015"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56EFB" w14:textId="77777777" w:rsidR="00575AC3" w:rsidRPr="006D40F0" w:rsidRDefault="00575AC3" w:rsidP="006D40F0">
            <w:r w:rsidRPr="006D40F0">
              <w:t>576 429</w:t>
            </w:r>
          </w:p>
        </w:tc>
      </w:tr>
      <w:tr w:rsidR="00DD49A7" w:rsidRPr="006D40F0" w14:paraId="68D4174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3FB976" w14:textId="77777777" w:rsidR="00575AC3" w:rsidRPr="006D40F0" w:rsidRDefault="00575AC3" w:rsidP="006D40F0">
            <w:r w:rsidRPr="006D40F0">
              <w:t>2426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BAB2E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96EAD0D" w14:textId="77777777" w:rsidR="00575AC3" w:rsidRPr="006D40F0" w:rsidRDefault="00575AC3" w:rsidP="006D40F0">
            <w:r w:rsidRPr="006D40F0">
              <w:t>Siva SF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F190E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4FFAA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50B11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77F86" w14:textId="77777777" w:rsidR="00575AC3" w:rsidRPr="006D40F0" w:rsidRDefault="00575AC3" w:rsidP="006D40F0"/>
        </w:tc>
      </w:tr>
      <w:tr w:rsidR="00DD49A7" w:rsidRPr="006D40F0" w14:paraId="3EA6896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8E430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AE58E2"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A949AD0" w14:textId="77777777" w:rsidR="00575AC3" w:rsidRPr="006D40F0" w:rsidRDefault="00575AC3" w:rsidP="006D40F0">
            <w:r w:rsidRPr="006D40F0">
              <w:t xml:space="preserve">Tilskudd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03E6B1" w14:textId="77777777" w:rsidR="00575AC3" w:rsidRPr="006D40F0" w:rsidRDefault="00575AC3" w:rsidP="006D40F0">
            <w:r w:rsidRPr="006D40F0">
              <w:t>48 063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5F8E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1B9A34" w14:textId="77777777" w:rsidR="00575AC3" w:rsidRPr="006D40F0" w:rsidRDefault="00575AC3" w:rsidP="006D40F0">
            <w:r w:rsidRPr="006D40F0">
              <w:t>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F78B45" w14:textId="77777777" w:rsidR="00575AC3" w:rsidRPr="006D40F0" w:rsidRDefault="00575AC3" w:rsidP="006D40F0">
            <w:r w:rsidRPr="006D40F0">
              <w:t>50 063</w:t>
            </w:r>
          </w:p>
        </w:tc>
      </w:tr>
      <w:tr w:rsidR="00DD49A7" w:rsidRPr="006D40F0" w14:paraId="5BAF6FFC"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5F1AB6E"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34A563A" w14:textId="77777777" w:rsidR="00575AC3" w:rsidRPr="006D40F0" w:rsidRDefault="00575AC3" w:rsidP="006D40F0">
            <w:r w:rsidRPr="006D40F0">
              <w:t>71</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5DAE2EA" w14:textId="77777777" w:rsidR="00575AC3" w:rsidRPr="006D40F0" w:rsidRDefault="00575AC3" w:rsidP="006D40F0">
            <w:r w:rsidRPr="006D40F0">
              <w:t xml:space="preserve">Tilskudd til testfasiliteter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3FD797" w14:textId="77777777" w:rsidR="00575AC3" w:rsidRPr="006D40F0" w:rsidRDefault="00575AC3" w:rsidP="006D40F0">
            <w:r w:rsidRPr="006D40F0">
              <w:t>214 342</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3E989D"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71BA4B" w14:textId="77777777" w:rsidR="00575AC3" w:rsidRPr="006D40F0" w:rsidRDefault="00575AC3" w:rsidP="006D40F0">
            <w:r w:rsidRPr="006D40F0">
              <w:t>-2 000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B04A15E" w14:textId="77777777" w:rsidR="00575AC3" w:rsidRPr="006D40F0" w:rsidRDefault="00575AC3" w:rsidP="006D40F0">
            <w:r w:rsidRPr="006D40F0">
              <w:t>212 342</w:t>
            </w:r>
          </w:p>
        </w:tc>
      </w:tr>
      <w:tr w:rsidR="00DD49A7" w:rsidRPr="006D40F0" w14:paraId="227D9369"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467F268" w14:textId="77777777" w:rsidR="00575AC3" w:rsidRPr="006D40F0" w:rsidRDefault="00575AC3" w:rsidP="006D40F0">
            <w:r w:rsidRPr="006D40F0">
              <w:t>Sum endringer Statsbankene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2CB7425"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2338CBA"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AA9AE0" w14:textId="77777777" w:rsidR="00575AC3" w:rsidRPr="006D40F0" w:rsidRDefault="00575AC3" w:rsidP="006D40F0">
            <w:r w:rsidRPr="006D40F0">
              <w:t>3 503 235</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048561" w14:textId="77777777" w:rsidR="00575AC3" w:rsidRPr="006D40F0" w:rsidRDefault="00575AC3" w:rsidP="006D40F0"/>
        </w:tc>
      </w:tr>
      <w:tr w:rsidR="00DD49A7" w:rsidRPr="006D40F0" w14:paraId="29593F3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68CED53" w14:textId="77777777" w:rsidR="00575AC3" w:rsidRPr="006D40F0" w:rsidRDefault="00575AC3" w:rsidP="006D40F0">
            <w:r w:rsidRPr="006D40F0">
              <w:t>2440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795C4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D4C795" w14:textId="77777777" w:rsidR="00575AC3" w:rsidRPr="006D40F0" w:rsidRDefault="00575AC3" w:rsidP="006D40F0">
            <w:r w:rsidRPr="006D40F0">
              <w:t>Statens direkte økonomiske engasjement i petroleumsvirksomheten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9922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68686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797AC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8E656" w14:textId="77777777" w:rsidR="00575AC3" w:rsidRPr="006D40F0" w:rsidRDefault="00575AC3" w:rsidP="006D40F0"/>
        </w:tc>
      </w:tr>
      <w:tr w:rsidR="00DD49A7" w:rsidRPr="006D40F0" w14:paraId="6283E093"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FDC0ABC"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794A6A4" w14:textId="77777777" w:rsidR="00575AC3" w:rsidRPr="006D40F0" w:rsidRDefault="00575AC3" w:rsidP="006D40F0">
            <w:r w:rsidRPr="006D40F0">
              <w:t>30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CC99AF9" w14:textId="77777777" w:rsidR="00575AC3" w:rsidRPr="006D40F0" w:rsidRDefault="00575AC3" w:rsidP="006D40F0">
            <w:r w:rsidRPr="006D40F0">
              <w:t xml:space="preserve">Investeringer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D4B218B" w14:textId="77777777" w:rsidR="00575AC3" w:rsidRPr="006D40F0" w:rsidRDefault="00575AC3" w:rsidP="006D40F0">
            <w:r w:rsidRPr="006D40F0">
              <w:t>26 000 000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52983A"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9A6D4E5" w14:textId="77777777" w:rsidR="00575AC3" w:rsidRPr="006D40F0" w:rsidRDefault="00575AC3" w:rsidP="006D40F0">
            <w:r w:rsidRPr="006D40F0">
              <w:t>4 100 000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0421747" w14:textId="77777777" w:rsidR="00575AC3" w:rsidRPr="006D40F0" w:rsidRDefault="00575AC3" w:rsidP="006D40F0">
            <w:r w:rsidRPr="006D40F0">
              <w:t>30 100 000</w:t>
            </w:r>
          </w:p>
        </w:tc>
      </w:tr>
      <w:tr w:rsidR="00DD49A7" w:rsidRPr="006D40F0" w14:paraId="770B1AAE"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84B42D0" w14:textId="77777777" w:rsidR="00575AC3" w:rsidRPr="006D40F0" w:rsidRDefault="00575AC3" w:rsidP="006D40F0">
            <w:r w:rsidRPr="006D40F0">
              <w:t>Sum endringer Statlig petroleumsvirksomhet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4F167A"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71E3C55"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DFD6603" w14:textId="77777777" w:rsidR="00575AC3" w:rsidRPr="006D40F0" w:rsidRDefault="00575AC3" w:rsidP="006D40F0">
            <w:r w:rsidRPr="006D40F0">
              <w:t>4 100 000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3F78D4" w14:textId="77777777" w:rsidR="00575AC3" w:rsidRPr="006D40F0" w:rsidRDefault="00575AC3" w:rsidP="006D40F0"/>
        </w:tc>
      </w:tr>
      <w:tr w:rsidR="00DD49A7" w:rsidRPr="006D40F0" w14:paraId="3D9525A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0B71DC" w14:textId="77777777" w:rsidR="00575AC3" w:rsidRPr="006D40F0" w:rsidRDefault="00575AC3" w:rsidP="006D40F0">
            <w:r w:rsidRPr="006D40F0">
              <w:lastRenderedPageBreak/>
              <w:t>2445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1BC715"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EB15962" w14:textId="77777777" w:rsidR="00575AC3" w:rsidRPr="006D40F0" w:rsidRDefault="00575AC3" w:rsidP="006D40F0">
            <w:r w:rsidRPr="006D40F0">
              <w:t>Statsbygg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BEC32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5215C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B106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0D200" w14:textId="77777777" w:rsidR="00575AC3" w:rsidRPr="006D40F0" w:rsidRDefault="00575AC3" w:rsidP="006D40F0"/>
        </w:tc>
      </w:tr>
      <w:tr w:rsidR="00DD49A7" w:rsidRPr="006D40F0" w14:paraId="49D491F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D1BDA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665910" w14:textId="77777777" w:rsidR="00575AC3" w:rsidRPr="006D40F0" w:rsidRDefault="00575AC3" w:rsidP="006D40F0">
            <w:r w:rsidRPr="006D40F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736BAA" w14:textId="77777777" w:rsidR="00575AC3" w:rsidRPr="006D40F0" w:rsidRDefault="00575AC3" w:rsidP="006D40F0">
            <w:r w:rsidRPr="006D40F0">
              <w:t xml:space="preserve">Prosjektering av bygg,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F64315" w14:textId="77777777" w:rsidR="00575AC3" w:rsidRPr="006D40F0" w:rsidRDefault="00575AC3" w:rsidP="006D40F0">
            <w:r w:rsidRPr="006D40F0">
              <w:t>439 000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784CE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2A1BD1" w14:textId="77777777" w:rsidR="00575AC3" w:rsidRPr="006D40F0" w:rsidRDefault="00575AC3" w:rsidP="006D40F0">
            <w:r w:rsidRPr="006D40F0">
              <w:t>18 000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7A1717" w14:textId="77777777" w:rsidR="00575AC3" w:rsidRPr="006D40F0" w:rsidRDefault="00575AC3" w:rsidP="006D40F0">
            <w:r w:rsidRPr="006D40F0">
              <w:t>457 000</w:t>
            </w:r>
          </w:p>
        </w:tc>
      </w:tr>
      <w:tr w:rsidR="00DD49A7" w:rsidRPr="006D40F0" w14:paraId="20EF384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F17F6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B2AE14" w14:textId="77777777" w:rsidR="00575AC3" w:rsidRPr="006D40F0" w:rsidRDefault="00575AC3" w:rsidP="006D40F0">
            <w:r w:rsidRPr="006D40F0">
              <w:t>31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ACCE657" w14:textId="77777777" w:rsidR="00575AC3" w:rsidRPr="006D40F0" w:rsidRDefault="00575AC3" w:rsidP="006D40F0">
            <w:r w:rsidRPr="006D40F0">
              <w:t xml:space="preserve">Igangsetting av ordinære byggeprosjekter,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AD96D5" w14:textId="77777777" w:rsidR="00575AC3" w:rsidRPr="006D40F0" w:rsidRDefault="00575AC3" w:rsidP="006D40F0">
            <w:r w:rsidRPr="006D40F0">
              <w:t>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8053B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17F090" w14:textId="77777777" w:rsidR="00575AC3" w:rsidRPr="006D40F0" w:rsidRDefault="00575AC3" w:rsidP="006D40F0">
            <w:r w:rsidRPr="006D40F0">
              <w:t>280 000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4ABCB" w14:textId="77777777" w:rsidR="00575AC3" w:rsidRPr="006D40F0" w:rsidRDefault="00575AC3" w:rsidP="006D40F0">
            <w:r w:rsidRPr="006D40F0">
              <w:t>380 000</w:t>
            </w:r>
          </w:p>
        </w:tc>
      </w:tr>
      <w:tr w:rsidR="00DD49A7" w:rsidRPr="006D40F0" w14:paraId="73705E0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4FCC9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68CF44" w14:textId="77777777" w:rsidR="00575AC3" w:rsidRPr="006D40F0" w:rsidRDefault="00575AC3" w:rsidP="006D40F0">
            <w:r w:rsidRPr="006D40F0">
              <w:t>33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E43AB2" w14:textId="77777777" w:rsidR="00575AC3" w:rsidRPr="006D40F0" w:rsidRDefault="00575AC3" w:rsidP="006D40F0">
            <w:r w:rsidRPr="006D40F0">
              <w:t xml:space="preserve">Videreføring av ordinære byggeprosjekter,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C9414" w14:textId="77777777" w:rsidR="00575AC3" w:rsidRPr="006D40F0" w:rsidRDefault="00575AC3" w:rsidP="006D40F0">
            <w:r w:rsidRPr="006D40F0">
              <w:t>5 306 140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9C62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F41FB0" w14:textId="77777777" w:rsidR="00575AC3" w:rsidRPr="006D40F0" w:rsidRDefault="00575AC3" w:rsidP="006D40F0">
            <w:r w:rsidRPr="006D40F0">
              <w:t>155 000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06219" w14:textId="77777777" w:rsidR="00575AC3" w:rsidRPr="006D40F0" w:rsidRDefault="00575AC3" w:rsidP="006D40F0">
            <w:r w:rsidRPr="006D40F0">
              <w:t>5 461 140</w:t>
            </w:r>
          </w:p>
        </w:tc>
      </w:tr>
      <w:tr w:rsidR="00DD49A7" w:rsidRPr="006D40F0" w14:paraId="447A2A9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D32F3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C65B1F" w14:textId="77777777" w:rsidR="00575AC3" w:rsidRPr="006D40F0" w:rsidRDefault="00575AC3" w:rsidP="006D40F0">
            <w:r w:rsidRPr="006D40F0">
              <w:t>34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CA27275" w14:textId="77777777" w:rsidR="00575AC3" w:rsidRPr="006D40F0" w:rsidRDefault="00575AC3" w:rsidP="006D40F0">
            <w:r w:rsidRPr="006D40F0">
              <w:t xml:space="preserve">Videreføring av brukerfinansierte byggeprosjekter,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0D9CD6" w14:textId="77777777" w:rsidR="00575AC3" w:rsidRPr="006D40F0" w:rsidRDefault="00575AC3" w:rsidP="006D40F0">
            <w:r w:rsidRPr="006D40F0">
              <w:t>850 000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46AFA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CCB74A" w14:textId="77777777" w:rsidR="00575AC3" w:rsidRPr="006D40F0" w:rsidRDefault="00575AC3" w:rsidP="006D40F0">
            <w:r w:rsidRPr="006D40F0">
              <w:t>-50 000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A058C5" w14:textId="77777777" w:rsidR="00575AC3" w:rsidRPr="006D40F0" w:rsidRDefault="00575AC3" w:rsidP="006D40F0">
            <w:r w:rsidRPr="006D40F0">
              <w:t>800 000</w:t>
            </w:r>
          </w:p>
        </w:tc>
      </w:tr>
      <w:tr w:rsidR="00DD49A7" w:rsidRPr="006D40F0" w14:paraId="4E2F01E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C10FC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879AEB" w14:textId="77777777" w:rsidR="00575AC3" w:rsidRPr="006D40F0" w:rsidRDefault="00575AC3" w:rsidP="006D40F0">
            <w:r w:rsidRPr="006D40F0">
              <w:t>49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74ED760" w14:textId="77777777" w:rsidR="00575AC3" w:rsidRPr="006D40F0" w:rsidRDefault="00575AC3" w:rsidP="006D40F0">
            <w:r w:rsidRPr="006D40F0">
              <w:t xml:space="preserve">Kjøp av eiendommer, </w:t>
            </w:r>
            <w:r w:rsidRPr="00575AC3">
              <w:rPr>
                <w:rStyle w:val="kursiv"/>
              </w:rPr>
              <w:t>kan overføres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A96BF2" w14:textId="77777777" w:rsidR="00575AC3" w:rsidRPr="006D40F0" w:rsidRDefault="00575AC3" w:rsidP="006D40F0">
            <w:r w:rsidRPr="006D40F0">
              <w:t>77 019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EF64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5C14E9" w14:textId="77777777" w:rsidR="00575AC3" w:rsidRPr="006D40F0" w:rsidRDefault="00575AC3" w:rsidP="006D40F0">
            <w:r w:rsidRPr="006D40F0">
              <w:t>-55 700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9AEAD0" w14:textId="77777777" w:rsidR="00575AC3" w:rsidRPr="006D40F0" w:rsidRDefault="00575AC3" w:rsidP="006D40F0">
            <w:r w:rsidRPr="006D40F0">
              <w:t>21 319</w:t>
            </w:r>
          </w:p>
        </w:tc>
      </w:tr>
      <w:tr w:rsidR="00DD49A7" w:rsidRPr="006D40F0" w14:paraId="612ECCF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69F587" w14:textId="77777777" w:rsidR="00575AC3" w:rsidRPr="006D40F0" w:rsidRDefault="00575AC3" w:rsidP="006D40F0">
            <w:r w:rsidRPr="006D40F0">
              <w:t>2460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FD35B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02F9D0" w14:textId="77777777" w:rsidR="00575AC3" w:rsidRPr="006D40F0" w:rsidRDefault="00575AC3" w:rsidP="006D40F0">
            <w:r w:rsidRPr="006D40F0">
              <w:t>Eksportfinansiering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660D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2E5F3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06A60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1C4279" w14:textId="77777777" w:rsidR="00575AC3" w:rsidRPr="006D40F0" w:rsidRDefault="00575AC3" w:rsidP="006D40F0"/>
        </w:tc>
      </w:tr>
      <w:tr w:rsidR="00DD49A7" w:rsidRPr="006D40F0" w14:paraId="6464ABC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79CB4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77B7A2" w14:textId="77777777" w:rsidR="00575AC3" w:rsidRPr="006D40F0" w:rsidRDefault="00575AC3" w:rsidP="006D40F0">
            <w:r w:rsidRPr="006D40F0">
              <w:t>58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DCCAA15" w14:textId="77777777" w:rsidR="00575AC3" w:rsidRPr="006D40F0" w:rsidRDefault="00575AC3" w:rsidP="006D40F0">
            <w:r w:rsidRPr="006D40F0">
              <w:t xml:space="preserve">Grønn industrifinansiering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58E23" w14:textId="77777777" w:rsidR="00575AC3" w:rsidRPr="006D40F0" w:rsidRDefault="00575AC3" w:rsidP="006D40F0">
            <w:r w:rsidRPr="006D40F0">
              <w:t>1 750 000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4AE2D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EDB511" w14:textId="77777777" w:rsidR="00575AC3" w:rsidRPr="006D40F0" w:rsidRDefault="00575AC3" w:rsidP="006D40F0">
            <w:r w:rsidRPr="006D40F0">
              <w:t>-1 750 000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4807EC" w14:textId="77777777" w:rsidR="00575AC3" w:rsidRPr="006D40F0" w:rsidRDefault="00575AC3" w:rsidP="006D40F0">
            <w:r w:rsidRPr="006D40F0">
              <w:t>0</w:t>
            </w:r>
          </w:p>
        </w:tc>
      </w:tr>
      <w:tr w:rsidR="00DD49A7" w:rsidRPr="006D40F0" w14:paraId="195F485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51F7A6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A71A88"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B1A2D4" w14:textId="77777777" w:rsidR="00575AC3" w:rsidRPr="006D40F0" w:rsidRDefault="00575AC3" w:rsidP="006D40F0">
            <w:r w:rsidRPr="006D40F0">
              <w:t xml:space="preserve">Utbetaling ifølge trekkfullmakt – Alminnelig garantiordning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C08D89" w14:textId="77777777" w:rsidR="00575AC3" w:rsidRPr="006D40F0" w:rsidRDefault="00575AC3" w:rsidP="006D40F0">
            <w:r w:rsidRPr="006D40F0">
              <w:t>1 100 000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2978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7C49A5" w14:textId="77777777" w:rsidR="00575AC3" w:rsidRPr="006D40F0" w:rsidRDefault="00575AC3" w:rsidP="006D40F0">
            <w:r w:rsidRPr="006D40F0">
              <w:t>-1 100 000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2227D7" w14:textId="77777777" w:rsidR="00575AC3" w:rsidRPr="006D40F0" w:rsidRDefault="00575AC3" w:rsidP="006D40F0">
            <w:r w:rsidRPr="006D40F0">
              <w:t>0</w:t>
            </w:r>
          </w:p>
        </w:tc>
      </w:tr>
      <w:tr w:rsidR="00DD49A7" w:rsidRPr="006D40F0" w14:paraId="7C0CFCC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66CDED" w14:textId="77777777" w:rsidR="00575AC3" w:rsidRPr="006D40F0" w:rsidRDefault="00575AC3" w:rsidP="006D40F0">
            <w:r w:rsidRPr="006D40F0">
              <w:t>2470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DF6F04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6C1B39" w14:textId="77777777" w:rsidR="00575AC3" w:rsidRPr="006D40F0" w:rsidRDefault="00575AC3" w:rsidP="006D40F0">
            <w:r w:rsidRPr="006D40F0">
              <w:t>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D2E3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C33CB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FD039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E5EF1" w14:textId="77777777" w:rsidR="00575AC3" w:rsidRPr="006D40F0" w:rsidRDefault="00575AC3" w:rsidP="006D40F0"/>
        </w:tc>
      </w:tr>
      <w:tr w:rsidR="00DD49A7" w:rsidRPr="006D40F0" w14:paraId="79569526"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94AEF42"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AC98606" w14:textId="77777777" w:rsidR="00575AC3" w:rsidRPr="006D40F0" w:rsidRDefault="00575AC3" w:rsidP="006D40F0">
            <w:r w:rsidRPr="006D40F0">
              <w:t>45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0278638" w14:textId="77777777" w:rsidR="00575AC3" w:rsidRPr="006D40F0" w:rsidRDefault="00575AC3" w:rsidP="006D40F0">
            <w:r w:rsidRPr="006D40F0">
              <w:t xml:space="preserve">Større utstyrsanskaffelser og vedlikehold, </w:t>
            </w:r>
            <w:r w:rsidRPr="00575AC3">
              <w:rPr>
                <w:rStyle w:val="kursiv"/>
              </w:rPr>
              <w:t>kan overføres</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54FDDE" w14:textId="77777777" w:rsidR="00575AC3" w:rsidRPr="006D40F0" w:rsidRDefault="00575AC3" w:rsidP="006D40F0">
            <w:r w:rsidRPr="006D40F0">
              <w:t>212 327</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29BFA3A"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4DB4EFA" w14:textId="77777777" w:rsidR="00575AC3" w:rsidRPr="006D40F0" w:rsidRDefault="00575AC3" w:rsidP="006D40F0">
            <w:r w:rsidRPr="006D40F0">
              <w:t>-10 000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C718060" w14:textId="77777777" w:rsidR="00575AC3" w:rsidRPr="006D40F0" w:rsidRDefault="00575AC3" w:rsidP="006D40F0">
            <w:r w:rsidRPr="006D40F0">
              <w:t>202 327</w:t>
            </w:r>
          </w:p>
        </w:tc>
      </w:tr>
      <w:tr w:rsidR="00DD49A7" w:rsidRPr="006D40F0" w14:paraId="1028834E"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9A4CE71" w14:textId="77777777" w:rsidR="00575AC3" w:rsidRPr="006D40F0" w:rsidRDefault="00575AC3" w:rsidP="006D40F0">
            <w:r w:rsidRPr="006D40F0">
              <w:t>Sum endringer Statens forvaltningsbedrifter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906D71"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C337DB"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42A20D" w14:textId="77777777" w:rsidR="00575AC3" w:rsidRPr="006D40F0" w:rsidRDefault="00575AC3" w:rsidP="006D40F0">
            <w:r w:rsidRPr="006D40F0">
              <w:t>-2 512 700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44FB03A" w14:textId="77777777" w:rsidR="00575AC3" w:rsidRPr="006D40F0" w:rsidRDefault="00575AC3" w:rsidP="006D40F0"/>
        </w:tc>
      </w:tr>
      <w:tr w:rsidR="00DD49A7" w:rsidRPr="006D40F0" w14:paraId="2240753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41FFD4" w14:textId="77777777" w:rsidR="00575AC3" w:rsidRPr="006D40F0" w:rsidRDefault="00575AC3" w:rsidP="006D40F0">
            <w:r w:rsidRPr="006D40F0">
              <w:t>2530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00669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6BC0EF" w14:textId="77777777" w:rsidR="00575AC3" w:rsidRPr="006D40F0" w:rsidRDefault="00575AC3" w:rsidP="006D40F0">
            <w:r w:rsidRPr="006D40F0">
              <w:t>Foreldrepenger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D57F1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A8A1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11BA8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CA846" w14:textId="77777777" w:rsidR="00575AC3" w:rsidRPr="006D40F0" w:rsidRDefault="00575AC3" w:rsidP="006D40F0"/>
        </w:tc>
      </w:tr>
      <w:tr w:rsidR="00DD49A7" w:rsidRPr="006D40F0" w14:paraId="253EA95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DDDE5D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C77D03"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13CB5C" w14:textId="77777777" w:rsidR="00575AC3" w:rsidRPr="006D40F0" w:rsidRDefault="00575AC3" w:rsidP="006D40F0">
            <w:r w:rsidRPr="006D40F0">
              <w:t xml:space="preserve">Foreldrepenger ved fødsel,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6D5826" w14:textId="77777777" w:rsidR="00575AC3" w:rsidRPr="006D40F0" w:rsidRDefault="00575AC3" w:rsidP="006D40F0">
            <w:r w:rsidRPr="006D40F0">
              <w:t>24 250 000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B677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D533E" w14:textId="77777777" w:rsidR="00575AC3" w:rsidRPr="006D40F0" w:rsidRDefault="00575AC3" w:rsidP="006D40F0">
            <w:r w:rsidRPr="006D40F0">
              <w:t>510 000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0F33B0" w14:textId="77777777" w:rsidR="00575AC3" w:rsidRPr="006D40F0" w:rsidRDefault="00575AC3" w:rsidP="006D40F0">
            <w:r w:rsidRPr="006D40F0">
              <w:t>24 760 000</w:t>
            </w:r>
          </w:p>
        </w:tc>
      </w:tr>
      <w:tr w:rsidR="00DD49A7" w:rsidRPr="006D40F0" w14:paraId="21C3F2D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F2AC7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CE5C58"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B96805" w14:textId="77777777" w:rsidR="00575AC3" w:rsidRPr="006D40F0" w:rsidRDefault="00575AC3" w:rsidP="006D40F0">
            <w:r w:rsidRPr="006D40F0">
              <w:t xml:space="preserve">Engangsstønad ved fødsel og adopsjon,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D86FAB" w14:textId="77777777" w:rsidR="00575AC3" w:rsidRPr="006D40F0" w:rsidRDefault="00575AC3" w:rsidP="006D40F0">
            <w:r w:rsidRPr="006D40F0">
              <w:t>715 000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40C38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999B56"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8F9CD" w14:textId="77777777" w:rsidR="00575AC3" w:rsidRPr="006D40F0" w:rsidRDefault="00575AC3" w:rsidP="006D40F0">
            <w:r w:rsidRPr="006D40F0">
              <w:t>705 000</w:t>
            </w:r>
          </w:p>
        </w:tc>
      </w:tr>
      <w:tr w:rsidR="00DD49A7" w:rsidRPr="006D40F0" w14:paraId="56DEA64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489D0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BD6E88"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4658CE" w14:textId="77777777" w:rsidR="00575AC3" w:rsidRPr="006D40F0" w:rsidRDefault="00575AC3" w:rsidP="006D40F0">
            <w:r w:rsidRPr="006D40F0">
              <w:t xml:space="preserve">Feriepenger av foreldrepenger,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C9CB5A" w14:textId="77777777" w:rsidR="00575AC3" w:rsidRPr="006D40F0" w:rsidRDefault="00575AC3" w:rsidP="006D40F0">
            <w:r w:rsidRPr="006D40F0">
              <w:t>595 000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8B007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E3EC7"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B5F2B" w14:textId="77777777" w:rsidR="00575AC3" w:rsidRPr="006D40F0" w:rsidRDefault="00575AC3" w:rsidP="006D40F0">
            <w:r w:rsidRPr="006D40F0">
              <w:t>615 000</w:t>
            </w:r>
          </w:p>
        </w:tc>
      </w:tr>
      <w:tr w:rsidR="00DD49A7" w:rsidRPr="006D40F0" w14:paraId="1CE3090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9E9BD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CE1020"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4D8738" w14:textId="77777777" w:rsidR="00575AC3" w:rsidRPr="006D40F0" w:rsidRDefault="00575AC3" w:rsidP="006D40F0">
            <w:r w:rsidRPr="006D40F0">
              <w:t xml:space="preserve">Foreldrepenger ved adopsjon,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496940" w14:textId="77777777" w:rsidR="00575AC3" w:rsidRPr="006D40F0" w:rsidRDefault="00575AC3" w:rsidP="006D40F0">
            <w:r w:rsidRPr="006D40F0">
              <w:t>41 000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57AA6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30BEFB" w14:textId="77777777" w:rsidR="00575AC3" w:rsidRPr="006D40F0" w:rsidRDefault="00575AC3" w:rsidP="006D40F0">
            <w:r w:rsidRPr="006D40F0">
              <w:t>-19 000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1B784E" w14:textId="77777777" w:rsidR="00575AC3" w:rsidRPr="006D40F0" w:rsidRDefault="00575AC3" w:rsidP="006D40F0">
            <w:r w:rsidRPr="006D40F0">
              <w:t>22 000</w:t>
            </w:r>
          </w:p>
        </w:tc>
      </w:tr>
      <w:tr w:rsidR="00DD49A7" w:rsidRPr="006D40F0" w14:paraId="74FD726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DD1579" w14:textId="77777777" w:rsidR="00575AC3" w:rsidRPr="006D40F0" w:rsidRDefault="00575AC3" w:rsidP="006D40F0">
            <w:r w:rsidRPr="006D40F0">
              <w:t>2541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8D9FF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C3DCA59" w14:textId="77777777" w:rsidR="00575AC3" w:rsidRPr="006D40F0" w:rsidRDefault="00575AC3" w:rsidP="006D40F0">
            <w:r w:rsidRPr="006D40F0">
              <w:t>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88A47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19D41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EABAE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0A7AE" w14:textId="77777777" w:rsidR="00575AC3" w:rsidRPr="006D40F0" w:rsidRDefault="00575AC3" w:rsidP="006D40F0"/>
        </w:tc>
      </w:tr>
      <w:tr w:rsidR="00DD49A7" w:rsidRPr="006D40F0" w14:paraId="232CBE1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1BFD5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D1E2F7"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FD1611" w14:textId="77777777" w:rsidR="00575AC3" w:rsidRPr="006D40F0" w:rsidRDefault="00575AC3" w:rsidP="006D40F0">
            <w:r w:rsidRPr="006D40F0">
              <w:t xml:space="preserve">Dagpenger,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445913" w14:textId="77777777" w:rsidR="00575AC3" w:rsidRPr="006D40F0" w:rsidRDefault="00575AC3" w:rsidP="006D40F0">
            <w:r w:rsidRPr="006D40F0">
              <w:t>12 818 000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A120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1A3FB" w14:textId="77777777" w:rsidR="00575AC3" w:rsidRPr="006D40F0" w:rsidRDefault="00575AC3" w:rsidP="006D40F0">
            <w:r w:rsidRPr="006D40F0">
              <w:t>-608 000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6C9214" w14:textId="77777777" w:rsidR="00575AC3" w:rsidRPr="006D40F0" w:rsidRDefault="00575AC3" w:rsidP="006D40F0">
            <w:r w:rsidRPr="006D40F0">
              <w:t>12 210 000</w:t>
            </w:r>
          </w:p>
        </w:tc>
      </w:tr>
      <w:tr w:rsidR="00DD49A7" w:rsidRPr="006D40F0" w14:paraId="2303F0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85545F" w14:textId="77777777" w:rsidR="00575AC3" w:rsidRPr="006D40F0" w:rsidRDefault="00575AC3" w:rsidP="006D40F0">
            <w:r w:rsidRPr="006D40F0">
              <w:t>2542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02761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78FEF6" w14:textId="77777777" w:rsidR="00575AC3" w:rsidRPr="006D40F0" w:rsidRDefault="00575AC3" w:rsidP="006D40F0">
            <w:r w:rsidRPr="006D40F0">
              <w:t>Statsgaranti for lønnskrav ved konkurs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D9FC7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B6ED3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B7599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F4739C" w14:textId="77777777" w:rsidR="00575AC3" w:rsidRPr="006D40F0" w:rsidRDefault="00575AC3" w:rsidP="006D40F0"/>
        </w:tc>
      </w:tr>
      <w:tr w:rsidR="00DD49A7" w:rsidRPr="006D40F0" w14:paraId="54EDAA4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25AE0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59150E0"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D88C87" w14:textId="77777777" w:rsidR="00575AC3" w:rsidRPr="006D40F0" w:rsidRDefault="00575AC3" w:rsidP="006D40F0">
            <w:r w:rsidRPr="006D40F0">
              <w:t xml:space="preserve">Statsgaranti for lønnskrav ved konkurs mv.,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3C0C8" w14:textId="77777777" w:rsidR="00575AC3" w:rsidRPr="006D40F0" w:rsidRDefault="00575AC3" w:rsidP="006D40F0">
            <w:r w:rsidRPr="006D40F0">
              <w:t>865 000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5772C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DBFA83" w14:textId="77777777" w:rsidR="00575AC3" w:rsidRPr="006D40F0" w:rsidRDefault="00575AC3" w:rsidP="006D40F0">
            <w:r w:rsidRPr="006D40F0">
              <w:t>35 000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265DEA" w14:textId="77777777" w:rsidR="00575AC3" w:rsidRPr="006D40F0" w:rsidRDefault="00575AC3" w:rsidP="006D40F0">
            <w:r w:rsidRPr="006D40F0">
              <w:t>900 000</w:t>
            </w:r>
          </w:p>
        </w:tc>
      </w:tr>
      <w:tr w:rsidR="00DD49A7" w:rsidRPr="006D40F0" w14:paraId="099261F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A96E0F" w14:textId="77777777" w:rsidR="00575AC3" w:rsidRPr="006D40F0" w:rsidRDefault="00575AC3" w:rsidP="006D40F0">
            <w:r w:rsidRPr="006D40F0">
              <w:t>2620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F0053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062CE2" w14:textId="77777777" w:rsidR="00575AC3" w:rsidRPr="006D40F0" w:rsidRDefault="00575AC3" w:rsidP="006D40F0">
            <w:r w:rsidRPr="006D40F0">
              <w:t>Stønad til enslig mor eller far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4C2A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DB5CF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89B48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DFD8F1" w14:textId="77777777" w:rsidR="00575AC3" w:rsidRPr="006D40F0" w:rsidRDefault="00575AC3" w:rsidP="006D40F0"/>
        </w:tc>
      </w:tr>
      <w:tr w:rsidR="00DD49A7" w:rsidRPr="006D40F0" w14:paraId="4DEE84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C5982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6ACBF5"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1F7443" w14:textId="77777777" w:rsidR="00575AC3" w:rsidRPr="006D40F0" w:rsidRDefault="00575AC3" w:rsidP="006D40F0">
            <w:r w:rsidRPr="006D40F0">
              <w:t xml:space="preserve">Overgangsstønad,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BBE44A" w14:textId="77777777" w:rsidR="00575AC3" w:rsidRPr="006D40F0" w:rsidRDefault="00575AC3" w:rsidP="006D40F0">
            <w:r w:rsidRPr="006D40F0">
              <w:t>1 570 000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31BC5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12CD5E" w14:textId="77777777" w:rsidR="00575AC3" w:rsidRPr="006D40F0" w:rsidRDefault="00575AC3" w:rsidP="006D40F0">
            <w:r w:rsidRPr="006D40F0">
              <w:t>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5D4360" w14:textId="77777777" w:rsidR="00575AC3" w:rsidRPr="006D40F0" w:rsidRDefault="00575AC3" w:rsidP="006D40F0">
            <w:r w:rsidRPr="006D40F0">
              <w:t>1 600 000</w:t>
            </w:r>
          </w:p>
        </w:tc>
      </w:tr>
      <w:tr w:rsidR="00DD49A7" w:rsidRPr="006D40F0" w14:paraId="67E06B0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5E1F6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E7AAC0"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8E7D03" w14:textId="77777777" w:rsidR="00575AC3" w:rsidRPr="006D40F0" w:rsidRDefault="00575AC3" w:rsidP="006D40F0">
            <w:r w:rsidRPr="006D40F0">
              <w:t xml:space="preserve">Stønad til barnetilsyn til enslig mor eller far i arbeid,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EC044" w14:textId="77777777" w:rsidR="00575AC3" w:rsidRPr="006D40F0" w:rsidRDefault="00575AC3" w:rsidP="006D40F0">
            <w:r w:rsidRPr="006D40F0">
              <w:t>97 000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02EB5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0C0F9A" w14:textId="77777777" w:rsidR="00575AC3" w:rsidRPr="006D40F0" w:rsidRDefault="00575AC3" w:rsidP="006D40F0">
            <w:r w:rsidRPr="006D40F0">
              <w:t>-14 000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F3EFD" w14:textId="77777777" w:rsidR="00575AC3" w:rsidRPr="006D40F0" w:rsidRDefault="00575AC3" w:rsidP="006D40F0">
            <w:r w:rsidRPr="006D40F0">
              <w:t>83 000</w:t>
            </w:r>
          </w:p>
        </w:tc>
      </w:tr>
      <w:tr w:rsidR="00DD49A7" w:rsidRPr="006D40F0" w14:paraId="7041615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76631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C3BBF4"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0E3046" w14:textId="77777777" w:rsidR="00575AC3" w:rsidRPr="006D40F0" w:rsidRDefault="00575AC3" w:rsidP="006D40F0">
            <w:r w:rsidRPr="006D40F0">
              <w:t xml:space="preserve">Tilleggsstønader og stønad til skolepenger,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5E9C7C" w14:textId="77777777" w:rsidR="00575AC3" w:rsidRPr="006D40F0" w:rsidRDefault="00575AC3" w:rsidP="006D40F0">
            <w:r w:rsidRPr="006D40F0">
              <w:t>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61D9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C9C37C"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5D242B" w14:textId="77777777" w:rsidR="00575AC3" w:rsidRPr="006D40F0" w:rsidRDefault="00575AC3" w:rsidP="006D40F0">
            <w:r w:rsidRPr="006D40F0">
              <w:t>14 000</w:t>
            </w:r>
          </w:p>
        </w:tc>
      </w:tr>
      <w:tr w:rsidR="00DD49A7" w:rsidRPr="006D40F0" w14:paraId="05E08EE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3FE04F" w14:textId="77777777" w:rsidR="00575AC3" w:rsidRPr="006D40F0" w:rsidRDefault="00575AC3" w:rsidP="006D40F0">
            <w:r w:rsidRPr="006D40F0">
              <w:t>2650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8CF5D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2C0FDD9" w14:textId="77777777" w:rsidR="00575AC3" w:rsidRPr="006D40F0" w:rsidRDefault="00575AC3" w:rsidP="006D40F0">
            <w:r w:rsidRPr="006D40F0">
              <w:t>Sykepenger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D72A2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78D61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BAD5F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B09211" w14:textId="77777777" w:rsidR="00575AC3" w:rsidRPr="006D40F0" w:rsidRDefault="00575AC3" w:rsidP="006D40F0"/>
        </w:tc>
      </w:tr>
      <w:tr w:rsidR="00DD49A7" w:rsidRPr="006D40F0" w14:paraId="6CAA189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D665E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10BED7"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76091D" w14:textId="358BA69B" w:rsidR="00575AC3" w:rsidRPr="006D40F0" w:rsidRDefault="00575AC3" w:rsidP="006D40F0">
            <w:r w:rsidRPr="006D40F0">
              <w:t>Sykepenger for arbeidstakere mv.,</w:t>
            </w:r>
            <w:r w:rsidR="006D40F0">
              <w:t xml:space="preserv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484A31" w14:textId="77777777" w:rsidR="00575AC3" w:rsidRPr="006D40F0" w:rsidRDefault="00575AC3" w:rsidP="006D40F0">
            <w:r w:rsidRPr="006D40F0">
              <w:t>54 350 000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531D8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A0BB2D" w14:textId="77777777" w:rsidR="00575AC3" w:rsidRPr="006D40F0" w:rsidRDefault="00575AC3" w:rsidP="006D40F0">
            <w:r w:rsidRPr="006D40F0">
              <w:t>3 040 000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39A636" w14:textId="77777777" w:rsidR="00575AC3" w:rsidRPr="006D40F0" w:rsidRDefault="00575AC3" w:rsidP="006D40F0">
            <w:r w:rsidRPr="006D40F0">
              <w:t>57 390 000</w:t>
            </w:r>
          </w:p>
        </w:tc>
      </w:tr>
      <w:tr w:rsidR="00DD49A7" w:rsidRPr="006D40F0" w14:paraId="3C13441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7D604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8E4138E"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CF2786" w14:textId="77777777" w:rsidR="00575AC3" w:rsidRPr="006D40F0" w:rsidRDefault="00575AC3" w:rsidP="006D40F0">
            <w:r w:rsidRPr="006D40F0">
              <w:t xml:space="preserve">Sykepenger for selvstendige,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BF999" w14:textId="77777777" w:rsidR="00575AC3" w:rsidRPr="006D40F0" w:rsidRDefault="00575AC3" w:rsidP="006D40F0">
            <w:r w:rsidRPr="006D40F0">
              <w:t>1 660 000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134C1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5A91E0" w14:textId="77777777" w:rsidR="00575AC3" w:rsidRPr="006D40F0" w:rsidRDefault="00575AC3" w:rsidP="006D40F0">
            <w:r w:rsidRPr="006D40F0">
              <w:t>140 000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9B2CD1" w14:textId="77777777" w:rsidR="00575AC3" w:rsidRPr="006D40F0" w:rsidRDefault="00575AC3" w:rsidP="006D40F0">
            <w:r w:rsidRPr="006D40F0">
              <w:t>1 800 000</w:t>
            </w:r>
          </w:p>
        </w:tc>
      </w:tr>
      <w:tr w:rsidR="00DD49A7" w:rsidRPr="006D40F0" w14:paraId="7535250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27EAF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6ED46F"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ED88F13" w14:textId="77777777" w:rsidR="00575AC3" w:rsidRPr="006D40F0" w:rsidRDefault="00575AC3" w:rsidP="006D40F0">
            <w:r w:rsidRPr="006D40F0">
              <w:t xml:space="preserve">Pleie-, opplærings- og omsorgspenger mv.,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F5A357" w14:textId="77777777" w:rsidR="00575AC3" w:rsidRPr="006D40F0" w:rsidRDefault="00575AC3" w:rsidP="006D40F0">
            <w:r w:rsidRPr="006D40F0">
              <w:t>2 890 000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883FD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5B88E"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85E1D2" w14:textId="77777777" w:rsidR="00575AC3" w:rsidRPr="006D40F0" w:rsidRDefault="00575AC3" w:rsidP="006D40F0">
            <w:r w:rsidRPr="006D40F0">
              <w:t>2 910 000</w:t>
            </w:r>
          </w:p>
        </w:tc>
      </w:tr>
      <w:tr w:rsidR="00DD49A7" w:rsidRPr="006D40F0" w14:paraId="6AC5BD7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2D990E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989302"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B4C8A31" w14:textId="77777777" w:rsidR="00575AC3" w:rsidRPr="006D40F0" w:rsidRDefault="00575AC3" w:rsidP="006D40F0">
            <w:r w:rsidRPr="006D40F0">
              <w:t xml:space="preserve">Feriepenger av sykepenger,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5E6B2B" w14:textId="77777777" w:rsidR="00575AC3" w:rsidRPr="006D40F0" w:rsidRDefault="00575AC3" w:rsidP="006D40F0">
            <w:r w:rsidRPr="006D40F0">
              <w:t>3 240 000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4223A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E2E4F" w14:textId="77777777" w:rsidR="00575AC3" w:rsidRPr="006D40F0" w:rsidRDefault="00575AC3" w:rsidP="006D40F0">
            <w:r w:rsidRPr="006D40F0">
              <w:t>150 000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235D78" w14:textId="77777777" w:rsidR="00575AC3" w:rsidRPr="006D40F0" w:rsidRDefault="00575AC3" w:rsidP="006D40F0">
            <w:r w:rsidRPr="006D40F0">
              <w:t>3 390 000</w:t>
            </w:r>
          </w:p>
        </w:tc>
      </w:tr>
      <w:tr w:rsidR="00DD49A7" w:rsidRPr="006D40F0" w14:paraId="2F666AA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01E475" w14:textId="77777777" w:rsidR="00575AC3" w:rsidRPr="006D40F0" w:rsidRDefault="00575AC3" w:rsidP="006D40F0">
            <w:r w:rsidRPr="006D40F0">
              <w:t>2651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6A623C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B6BFB6" w14:textId="77777777" w:rsidR="00575AC3" w:rsidRPr="006D40F0" w:rsidRDefault="00575AC3" w:rsidP="006D40F0">
            <w:r w:rsidRPr="006D40F0">
              <w:t>Arbeidsavklaringspenger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59B1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B591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1650F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D5D6F" w14:textId="77777777" w:rsidR="00575AC3" w:rsidRPr="006D40F0" w:rsidRDefault="00575AC3" w:rsidP="006D40F0"/>
        </w:tc>
      </w:tr>
      <w:tr w:rsidR="00DD49A7" w:rsidRPr="006D40F0" w14:paraId="3EC566A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7156D4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C0DAE2E"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E00ACF" w14:textId="77777777" w:rsidR="00575AC3" w:rsidRPr="006D40F0" w:rsidRDefault="00575AC3" w:rsidP="006D40F0">
            <w:r w:rsidRPr="006D40F0">
              <w:t xml:space="preserve">Arbeidsavklaringspenger,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0B507D" w14:textId="77777777" w:rsidR="00575AC3" w:rsidRPr="006D40F0" w:rsidRDefault="00575AC3" w:rsidP="006D40F0">
            <w:r w:rsidRPr="006D40F0">
              <w:t>44 233 200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1B82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B3694" w14:textId="77777777" w:rsidR="00575AC3" w:rsidRPr="006D40F0" w:rsidRDefault="00575AC3" w:rsidP="006D40F0">
            <w:r w:rsidRPr="006D40F0">
              <w:t>1 516 800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98D7B" w14:textId="77777777" w:rsidR="00575AC3" w:rsidRPr="006D40F0" w:rsidRDefault="00575AC3" w:rsidP="006D40F0">
            <w:r w:rsidRPr="006D40F0">
              <w:t>45 750 000</w:t>
            </w:r>
          </w:p>
        </w:tc>
      </w:tr>
      <w:tr w:rsidR="00DD49A7" w:rsidRPr="006D40F0" w14:paraId="24DA084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FED1C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C2AE57"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A6FA6D" w14:textId="77777777" w:rsidR="00575AC3" w:rsidRPr="006D40F0" w:rsidRDefault="00575AC3" w:rsidP="006D40F0">
            <w:r w:rsidRPr="006D40F0">
              <w:t xml:space="preserve">Tilleggsstønad,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E1F1A1" w14:textId="77777777" w:rsidR="00575AC3" w:rsidRPr="006D40F0" w:rsidRDefault="00575AC3" w:rsidP="006D40F0">
            <w:r w:rsidRPr="006D40F0">
              <w:t>145 000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FF72A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DE16E2" w14:textId="77777777" w:rsidR="00575AC3" w:rsidRPr="006D40F0" w:rsidRDefault="00575AC3" w:rsidP="006D40F0">
            <w:r w:rsidRPr="006D40F0">
              <w:t>-13 000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0A800" w14:textId="77777777" w:rsidR="00575AC3" w:rsidRPr="006D40F0" w:rsidRDefault="00575AC3" w:rsidP="006D40F0">
            <w:r w:rsidRPr="006D40F0">
              <w:t>132 000</w:t>
            </w:r>
          </w:p>
        </w:tc>
      </w:tr>
      <w:tr w:rsidR="00DD49A7" w:rsidRPr="006D40F0" w14:paraId="3ECD1CD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7C646F" w14:textId="77777777" w:rsidR="00575AC3" w:rsidRPr="006D40F0" w:rsidRDefault="00575AC3" w:rsidP="006D40F0">
            <w:r w:rsidRPr="006D40F0">
              <w:t>2655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25CB9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0054D2" w14:textId="77777777" w:rsidR="00575AC3" w:rsidRPr="006D40F0" w:rsidRDefault="00575AC3" w:rsidP="006D40F0">
            <w:r w:rsidRPr="006D40F0">
              <w:t>Uførhet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2C48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FA000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E0D58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D7277" w14:textId="77777777" w:rsidR="00575AC3" w:rsidRPr="006D40F0" w:rsidRDefault="00575AC3" w:rsidP="006D40F0"/>
        </w:tc>
      </w:tr>
      <w:tr w:rsidR="00DD49A7" w:rsidRPr="006D40F0" w14:paraId="24E1EAD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D752B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8E348B"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827316" w14:textId="77777777" w:rsidR="00575AC3" w:rsidRPr="006D40F0" w:rsidRDefault="00575AC3" w:rsidP="006D40F0">
            <w:r w:rsidRPr="006D40F0">
              <w:t xml:space="preserve">Uføretrygd,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8614D9" w14:textId="77777777" w:rsidR="00575AC3" w:rsidRPr="006D40F0" w:rsidRDefault="00575AC3" w:rsidP="006D40F0">
            <w:r w:rsidRPr="006D40F0">
              <w:t>125 980 000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DA741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A38298" w14:textId="77777777" w:rsidR="00575AC3" w:rsidRPr="006D40F0" w:rsidRDefault="00575AC3" w:rsidP="006D40F0">
            <w:r w:rsidRPr="006D40F0">
              <w:t>-1 180 000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D5F9ED" w14:textId="77777777" w:rsidR="00575AC3" w:rsidRPr="006D40F0" w:rsidRDefault="00575AC3" w:rsidP="006D40F0">
            <w:r w:rsidRPr="006D40F0">
              <w:t>124 800 000</w:t>
            </w:r>
          </w:p>
        </w:tc>
      </w:tr>
      <w:tr w:rsidR="00DD49A7" w:rsidRPr="006D40F0" w14:paraId="71DE1E3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FB099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AC4E6E"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349CAF9" w14:textId="77777777" w:rsidR="00575AC3" w:rsidRPr="006D40F0" w:rsidRDefault="00575AC3" w:rsidP="006D40F0">
            <w:r w:rsidRPr="006D40F0">
              <w:t xml:space="preserve">Menerstatning ved yrkesskade,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FC736C" w14:textId="77777777" w:rsidR="00575AC3" w:rsidRPr="006D40F0" w:rsidRDefault="00575AC3" w:rsidP="006D40F0">
            <w:r w:rsidRPr="006D40F0">
              <w:t>94 000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4BC3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157CD8" w14:textId="77777777" w:rsidR="00575AC3" w:rsidRPr="006D40F0" w:rsidRDefault="00575AC3" w:rsidP="006D40F0">
            <w:r w:rsidRPr="006D40F0">
              <w:t>-16 000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6355C5" w14:textId="77777777" w:rsidR="00575AC3" w:rsidRPr="006D40F0" w:rsidRDefault="00575AC3" w:rsidP="006D40F0">
            <w:r w:rsidRPr="006D40F0">
              <w:t>78 000</w:t>
            </w:r>
          </w:p>
        </w:tc>
      </w:tr>
      <w:tr w:rsidR="00DD49A7" w:rsidRPr="006D40F0" w14:paraId="6D084C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3AE26C" w14:textId="77777777" w:rsidR="00575AC3" w:rsidRPr="006D40F0" w:rsidRDefault="00575AC3" w:rsidP="006D40F0">
            <w:r w:rsidRPr="006D40F0">
              <w:t>2661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B0D488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7A4A0FC" w14:textId="77777777" w:rsidR="00575AC3" w:rsidRPr="006D40F0" w:rsidRDefault="00575AC3" w:rsidP="006D40F0">
            <w:r w:rsidRPr="006D40F0">
              <w:t>Grunn- og hjelpestønad, hjelpemidler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C0CF1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D4B21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C1F4C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93664" w14:textId="77777777" w:rsidR="00575AC3" w:rsidRPr="006D40F0" w:rsidRDefault="00575AC3" w:rsidP="006D40F0"/>
        </w:tc>
      </w:tr>
      <w:tr w:rsidR="00DD49A7" w:rsidRPr="006D40F0" w14:paraId="3948E96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6FAB9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161B84"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82A6D33" w14:textId="77777777" w:rsidR="00575AC3" w:rsidRPr="006D40F0" w:rsidRDefault="00575AC3" w:rsidP="006D40F0">
            <w:r w:rsidRPr="006D40F0">
              <w:t xml:space="preserve">Grunnstønad,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ABF3A0" w14:textId="77777777" w:rsidR="00575AC3" w:rsidRPr="006D40F0" w:rsidRDefault="00575AC3" w:rsidP="006D40F0">
            <w:r w:rsidRPr="006D40F0">
              <w:t>1 770 000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AE208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21FDD6"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13AFB8" w14:textId="77777777" w:rsidR="00575AC3" w:rsidRPr="006D40F0" w:rsidRDefault="00575AC3" w:rsidP="006D40F0">
            <w:r w:rsidRPr="006D40F0">
              <w:t>1 790 000</w:t>
            </w:r>
          </w:p>
        </w:tc>
      </w:tr>
      <w:tr w:rsidR="00DD49A7" w:rsidRPr="006D40F0" w14:paraId="646076E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2FF4A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C9A6BF"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0EE5CD" w14:textId="77777777" w:rsidR="00575AC3" w:rsidRPr="006D40F0" w:rsidRDefault="00575AC3" w:rsidP="006D40F0">
            <w:r w:rsidRPr="006D40F0">
              <w:t xml:space="preserve">Hjelpestønad,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92990D" w14:textId="77777777" w:rsidR="00575AC3" w:rsidRPr="006D40F0" w:rsidRDefault="00575AC3" w:rsidP="006D40F0">
            <w:r w:rsidRPr="006D40F0">
              <w:t>2 150 000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066EA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D0AC5B" w14:textId="77777777" w:rsidR="00575AC3" w:rsidRPr="006D40F0" w:rsidRDefault="00575AC3" w:rsidP="006D40F0">
            <w:r w:rsidRPr="006D40F0">
              <w:t>60 000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70D9CD" w14:textId="77777777" w:rsidR="00575AC3" w:rsidRPr="006D40F0" w:rsidRDefault="00575AC3" w:rsidP="006D40F0">
            <w:r w:rsidRPr="006D40F0">
              <w:t>2 210 000</w:t>
            </w:r>
          </w:p>
        </w:tc>
      </w:tr>
      <w:tr w:rsidR="00DD49A7" w:rsidRPr="006D40F0" w14:paraId="28804CF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BE2A4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699029"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CC339D" w14:textId="77777777" w:rsidR="00575AC3" w:rsidRPr="006D40F0" w:rsidRDefault="00575AC3" w:rsidP="006D40F0">
            <w:r w:rsidRPr="006D40F0">
              <w:t xml:space="preserve">Hjelpemidler mv. under arbeid og utdanning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E4C2C9" w14:textId="77777777" w:rsidR="00575AC3" w:rsidRPr="006D40F0" w:rsidRDefault="00575AC3" w:rsidP="006D40F0">
            <w:r w:rsidRPr="006D40F0">
              <w:t>122 100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16E1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B83BDE" w14:textId="77777777" w:rsidR="00575AC3" w:rsidRPr="006D40F0" w:rsidRDefault="00575AC3" w:rsidP="006D40F0">
            <w:r w:rsidRPr="006D40F0">
              <w:t>12 900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DDAE9B" w14:textId="77777777" w:rsidR="00575AC3" w:rsidRPr="006D40F0" w:rsidRDefault="00575AC3" w:rsidP="006D40F0">
            <w:r w:rsidRPr="006D40F0">
              <w:t>135 000</w:t>
            </w:r>
          </w:p>
        </w:tc>
      </w:tr>
      <w:tr w:rsidR="00DD49A7" w:rsidRPr="006D40F0" w14:paraId="244992C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16A09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1A8A8E"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D42460C" w14:textId="77777777" w:rsidR="00575AC3" w:rsidRPr="006D40F0" w:rsidRDefault="00575AC3" w:rsidP="006D40F0">
            <w:r w:rsidRPr="006D40F0">
              <w:t xml:space="preserve">Tilskudd til biler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619BF" w14:textId="77777777" w:rsidR="00575AC3" w:rsidRPr="006D40F0" w:rsidRDefault="00575AC3" w:rsidP="006D40F0">
            <w:r w:rsidRPr="006D40F0">
              <w:t>815 000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670A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BABD3"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ABA79B" w14:textId="77777777" w:rsidR="00575AC3" w:rsidRPr="006D40F0" w:rsidRDefault="00575AC3" w:rsidP="006D40F0">
            <w:r w:rsidRPr="006D40F0">
              <w:t>810 000</w:t>
            </w:r>
          </w:p>
        </w:tc>
      </w:tr>
      <w:tr w:rsidR="00DD49A7" w:rsidRPr="006D40F0" w14:paraId="3116A3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591330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5FD071"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CC2F4E" w14:textId="77777777" w:rsidR="00575AC3" w:rsidRPr="006D40F0" w:rsidRDefault="00575AC3" w:rsidP="006D40F0">
            <w:r w:rsidRPr="006D40F0">
              <w:t xml:space="preserve">Bedring av funksjonsevnen,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F9C47" w14:textId="77777777" w:rsidR="00575AC3" w:rsidRPr="006D40F0" w:rsidRDefault="00575AC3" w:rsidP="006D40F0">
            <w:r w:rsidRPr="006D40F0">
              <w:t>4 425 000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5B1A9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73785" w14:textId="77777777" w:rsidR="00575AC3" w:rsidRPr="006D40F0" w:rsidRDefault="00575AC3" w:rsidP="006D40F0">
            <w:r w:rsidRPr="006D40F0">
              <w:t>385 000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9B30C" w14:textId="77777777" w:rsidR="00575AC3" w:rsidRPr="006D40F0" w:rsidRDefault="00575AC3" w:rsidP="006D40F0">
            <w:r w:rsidRPr="006D40F0">
              <w:t>4 810 000</w:t>
            </w:r>
          </w:p>
        </w:tc>
      </w:tr>
      <w:tr w:rsidR="00DD49A7" w:rsidRPr="006D40F0" w14:paraId="61D1A4F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7860C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25EFC9"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6CDA05" w14:textId="77777777" w:rsidR="00575AC3" w:rsidRPr="006D40F0" w:rsidRDefault="00575AC3" w:rsidP="006D40F0">
            <w:r w:rsidRPr="006D40F0">
              <w:t xml:space="preserve">Bedring av funksjonsevnen, hjelpemidler som tjenester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F4D026" w14:textId="77777777" w:rsidR="00575AC3" w:rsidRPr="006D40F0" w:rsidRDefault="00575AC3" w:rsidP="006D40F0">
            <w:r w:rsidRPr="006D40F0">
              <w:t>417 400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E235F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3C4D39" w14:textId="77777777" w:rsidR="00575AC3" w:rsidRPr="006D40F0" w:rsidRDefault="00575AC3" w:rsidP="006D40F0">
            <w:r w:rsidRPr="006D40F0">
              <w:t>12 600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6B420C" w14:textId="77777777" w:rsidR="00575AC3" w:rsidRPr="006D40F0" w:rsidRDefault="00575AC3" w:rsidP="006D40F0">
            <w:r w:rsidRPr="006D40F0">
              <w:t>430 000</w:t>
            </w:r>
          </w:p>
        </w:tc>
      </w:tr>
      <w:tr w:rsidR="00DD49A7" w:rsidRPr="006D40F0" w14:paraId="47FFFF8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B38DE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5874EA" w14:textId="77777777" w:rsidR="00575AC3" w:rsidRPr="006D40F0" w:rsidRDefault="00575AC3" w:rsidP="006D40F0">
            <w:r w:rsidRPr="006D40F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8A4193" w14:textId="77777777" w:rsidR="00575AC3" w:rsidRPr="006D40F0" w:rsidRDefault="00575AC3" w:rsidP="006D40F0">
            <w:r w:rsidRPr="006D40F0">
              <w:t xml:space="preserve">Ortopediske hjelpemidler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274F3" w14:textId="77777777" w:rsidR="00575AC3" w:rsidRPr="006D40F0" w:rsidRDefault="00575AC3" w:rsidP="006D40F0">
            <w:r w:rsidRPr="006D40F0">
              <w:t>2 370 600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4D723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24271D" w14:textId="77777777" w:rsidR="00575AC3" w:rsidRPr="006D40F0" w:rsidRDefault="00575AC3" w:rsidP="006D40F0">
            <w:r w:rsidRPr="006D40F0">
              <w:t>159 400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FD49AC" w14:textId="77777777" w:rsidR="00575AC3" w:rsidRPr="006D40F0" w:rsidRDefault="00575AC3" w:rsidP="006D40F0">
            <w:r w:rsidRPr="006D40F0">
              <w:t>2 530 000</w:t>
            </w:r>
          </w:p>
        </w:tc>
      </w:tr>
      <w:tr w:rsidR="00DD49A7" w:rsidRPr="006D40F0" w14:paraId="6596DB8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2FBF40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6CCA926"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481E808" w14:textId="77777777" w:rsidR="00575AC3" w:rsidRPr="006D40F0" w:rsidRDefault="00575AC3" w:rsidP="006D40F0">
            <w:r w:rsidRPr="006D40F0">
              <w:t xml:space="preserve">Høreapparater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AF2A7D" w14:textId="77777777" w:rsidR="00575AC3" w:rsidRPr="006D40F0" w:rsidRDefault="00575AC3" w:rsidP="006D40F0">
            <w:r w:rsidRPr="006D40F0">
              <w:t>965 000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FDBE0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ECF82" w14:textId="77777777" w:rsidR="00575AC3" w:rsidRPr="006D40F0" w:rsidRDefault="00575AC3" w:rsidP="006D40F0">
            <w:r w:rsidRPr="006D40F0">
              <w:t>45 000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1B68F8" w14:textId="77777777" w:rsidR="00575AC3" w:rsidRPr="006D40F0" w:rsidRDefault="00575AC3" w:rsidP="006D40F0">
            <w:r w:rsidRPr="006D40F0">
              <w:t>1 010 000</w:t>
            </w:r>
          </w:p>
        </w:tc>
      </w:tr>
      <w:tr w:rsidR="00DD49A7" w:rsidRPr="006D40F0" w14:paraId="69DA7A7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7046AB" w14:textId="77777777" w:rsidR="00575AC3" w:rsidRPr="006D40F0" w:rsidRDefault="00575AC3" w:rsidP="006D40F0">
            <w:r w:rsidRPr="006D40F0">
              <w:t>2670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5407A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B68357" w14:textId="77777777" w:rsidR="00575AC3" w:rsidRPr="006D40F0" w:rsidRDefault="00575AC3" w:rsidP="006D40F0">
            <w:r w:rsidRPr="006D40F0">
              <w:t>Alderdom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D942C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E3792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AC85B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1C90A" w14:textId="77777777" w:rsidR="00575AC3" w:rsidRPr="006D40F0" w:rsidRDefault="00575AC3" w:rsidP="006D40F0"/>
        </w:tc>
      </w:tr>
      <w:tr w:rsidR="00DD49A7" w:rsidRPr="006D40F0" w14:paraId="1037F59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D9A295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30A1DC"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BE31B0" w14:textId="77777777" w:rsidR="00575AC3" w:rsidRPr="006D40F0" w:rsidRDefault="00575AC3" w:rsidP="006D40F0">
            <w:r w:rsidRPr="006D40F0">
              <w:t xml:space="preserve">Grunnpensjon,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512B0" w14:textId="77777777" w:rsidR="00575AC3" w:rsidRPr="006D40F0" w:rsidRDefault="00575AC3" w:rsidP="006D40F0">
            <w:r w:rsidRPr="006D40F0">
              <w:t>94 080 000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ADD6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7C8ED0" w14:textId="77777777" w:rsidR="00575AC3" w:rsidRPr="006D40F0" w:rsidRDefault="00575AC3" w:rsidP="006D40F0">
            <w:r w:rsidRPr="006D40F0">
              <w:t>-470 000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F85AC" w14:textId="77777777" w:rsidR="00575AC3" w:rsidRPr="006D40F0" w:rsidRDefault="00575AC3" w:rsidP="006D40F0">
            <w:r w:rsidRPr="006D40F0">
              <w:t>93 610 000</w:t>
            </w:r>
          </w:p>
        </w:tc>
      </w:tr>
      <w:tr w:rsidR="00DD49A7" w:rsidRPr="006D40F0" w14:paraId="22A825F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D5A77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85E1D0"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34A5C7" w14:textId="77777777" w:rsidR="00575AC3" w:rsidRPr="006D40F0" w:rsidRDefault="00575AC3" w:rsidP="006D40F0">
            <w:r w:rsidRPr="006D40F0">
              <w:t xml:space="preserve">Tilleggspensjon,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C8AC7D" w14:textId="77777777" w:rsidR="00575AC3" w:rsidRPr="006D40F0" w:rsidRDefault="00575AC3" w:rsidP="006D40F0">
            <w:r w:rsidRPr="006D40F0">
              <w:t>189 940 000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8E388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1AD23B" w14:textId="77777777" w:rsidR="00575AC3" w:rsidRPr="006D40F0" w:rsidRDefault="00575AC3" w:rsidP="006D40F0">
            <w:r w:rsidRPr="006D40F0">
              <w:t>-230 000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FFF6B4" w14:textId="77777777" w:rsidR="00575AC3" w:rsidRPr="006D40F0" w:rsidRDefault="00575AC3" w:rsidP="006D40F0">
            <w:r w:rsidRPr="006D40F0">
              <w:t>189 710 000</w:t>
            </w:r>
          </w:p>
        </w:tc>
      </w:tr>
      <w:tr w:rsidR="00DD49A7" w:rsidRPr="006D40F0" w14:paraId="302403E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C6498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FEB798"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2D64B56" w14:textId="77777777" w:rsidR="00575AC3" w:rsidRPr="006D40F0" w:rsidRDefault="00575AC3" w:rsidP="006D40F0">
            <w:r w:rsidRPr="006D40F0">
              <w:t xml:space="preserve">Inntektspensjon,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150BAC" w14:textId="77777777" w:rsidR="00575AC3" w:rsidRPr="006D40F0" w:rsidRDefault="00575AC3" w:rsidP="006D40F0">
            <w:r w:rsidRPr="006D40F0">
              <w:t>24 480 000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D686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4B03A0" w14:textId="77777777" w:rsidR="00575AC3" w:rsidRPr="006D40F0" w:rsidRDefault="00575AC3" w:rsidP="006D40F0">
            <w:r w:rsidRPr="006D40F0">
              <w:t>-80 000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6D131" w14:textId="77777777" w:rsidR="00575AC3" w:rsidRPr="006D40F0" w:rsidRDefault="00575AC3" w:rsidP="006D40F0">
            <w:r w:rsidRPr="006D40F0">
              <w:t>24 400 000</w:t>
            </w:r>
          </w:p>
        </w:tc>
      </w:tr>
      <w:tr w:rsidR="00DD49A7" w:rsidRPr="006D40F0" w14:paraId="3813F3B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B6196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FA04AD"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921C6A" w14:textId="77777777" w:rsidR="00575AC3" w:rsidRPr="006D40F0" w:rsidRDefault="00575AC3" w:rsidP="006D40F0">
            <w:r w:rsidRPr="006D40F0">
              <w:t xml:space="preserve">Særtillegg, pensjonstillegg mv.,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8F7DB" w14:textId="77777777" w:rsidR="00575AC3" w:rsidRPr="006D40F0" w:rsidRDefault="00575AC3" w:rsidP="006D40F0">
            <w:r w:rsidRPr="006D40F0">
              <w:t>8 240 000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9753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834F1F" w14:textId="77777777" w:rsidR="00575AC3" w:rsidRPr="006D40F0" w:rsidRDefault="00575AC3" w:rsidP="006D40F0">
            <w:r w:rsidRPr="006D40F0">
              <w:t>960 000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7F274F" w14:textId="77777777" w:rsidR="00575AC3" w:rsidRPr="006D40F0" w:rsidRDefault="00575AC3" w:rsidP="006D40F0">
            <w:r w:rsidRPr="006D40F0">
              <w:t>9 200 000</w:t>
            </w:r>
          </w:p>
        </w:tc>
      </w:tr>
      <w:tr w:rsidR="00DD49A7" w:rsidRPr="006D40F0" w14:paraId="39F436E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7A8508" w14:textId="77777777" w:rsidR="00575AC3" w:rsidRPr="006D40F0" w:rsidRDefault="00575AC3" w:rsidP="006D40F0">
            <w:r w:rsidRPr="006D40F0">
              <w:t>2680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4E68E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61B86CB" w14:textId="77777777" w:rsidR="00575AC3" w:rsidRPr="006D40F0" w:rsidRDefault="00575AC3" w:rsidP="006D40F0">
            <w:r w:rsidRPr="006D40F0">
              <w:t>Etterlatte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0ECC8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C9F68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040A9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17F3E4" w14:textId="77777777" w:rsidR="00575AC3" w:rsidRPr="006D40F0" w:rsidRDefault="00575AC3" w:rsidP="006D40F0"/>
        </w:tc>
      </w:tr>
      <w:tr w:rsidR="00DD49A7" w:rsidRPr="006D40F0" w14:paraId="2774FCF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8EB749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E5A16C"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6E85C7" w14:textId="77777777" w:rsidR="00575AC3" w:rsidRPr="006D40F0" w:rsidRDefault="00575AC3" w:rsidP="006D40F0">
            <w:r w:rsidRPr="006D40F0">
              <w:t xml:space="preserve">Omstillingsstønad mv.,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0ED917" w14:textId="77777777" w:rsidR="00575AC3" w:rsidRPr="006D40F0" w:rsidRDefault="00575AC3" w:rsidP="006D40F0">
            <w:r w:rsidRPr="006D40F0">
              <w:t>1 730 000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AB313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8C7129" w14:textId="77777777" w:rsidR="00575AC3" w:rsidRPr="006D40F0" w:rsidRDefault="00575AC3" w:rsidP="006D40F0">
            <w:r w:rsidRPr="006D40F0">
              <w:t>-40 000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E0BBB" w14:textId="77777777" w:rsidR="00575AC3" w:rsidRPr="006D40F0" w:rsidRDefault="00575AC3" w:rsidP="006D40F0">
            <w:r w:rsidRPr="006D40F0">
              <w:t>1 690 000</w:t>
            </w:r>
          </w:p>
        </w:tc>
      </w:tr>
      <w:tr w:rsidR="00DD49A7" w:rsidRPr="006D40F0" w14:paraId="37BAC91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198FA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A81603"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615AF6" w14:textId="77777777" w:rsidR="00575AC3" w:rsidRPr="006D40F0" w:rsidRDefault="00575AC3" w:rsidP="006D40F0">
            <w:r w:rsidRPr="006D40F0">
              <w:t xml:space="preserve">Barnepensjon,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EB8276" w14:textId="77777777" w:rsidR="00575AC3" w:rsidRPr="006D40F0" w:rsidRDefault="00575AC3" w:rsidP="006D40F0">
            <w:r w:rsidRPr="006D40F0">
              <w:t>1 596 000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F89C5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92ADA4" w14:textId="77777777" w:rsidR="00575AC3" w:rsidRPr="006D40F0" w:rsidRDefault="00575AC3" w:rsidP="006D40F0">
            <w:r w:rsidRPr="006D40F0">
              <w:t>34 000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1C461E" w14:textId="77777777" w:rsidR="00575AC3" w:rsidRPr="006D40F0" w:rsidRDefault="00575AC3" w:rsidP="006D40F0">
            <w:r w:rsidRPr="006D40F0">
              <w:t>1 630 000</w:t>
            </w:r>
          </w:p>
        </w:tc>
      </w:tr>
      <w:tr w:rsidR="00DD49A7" w:rsidRPr="006D40F0" w14:paraId="01E0B91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C02E53" w14:textId="77777777" w:rsidR="00575AC3" w:rsidRPr="006D40F0" w:rsidRDefault="00575AC3" w:rsidP="006D40F0">
            <w:r w:rsidRPr="006D40F0">
              <w:t>2686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BDF2E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1B7B93" w14:textId="77777777" w:rsidR="00575AC3" w:rsidRPr="006D40F0" w:rsidRDefault="00575AC3" w:rsidP="006D40F0">
            <w:r w:rsidRPr="006D40F0">
              <w:t>Stønad ved gravferd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0AE7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10D81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3E457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FCCA11" w14:textId="77777777" w:rsidR="00575AC3" w:rsidRPr="006D40F0" w:rsidRDefault="00575AC3" w:rsidP="006D40F0"/>
        </w:tc>
      </w:tr>
      <w:tr w:rsidR="00DD49A7" w:rsidRPr="006D40F0" w14:paraId="3047D9A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52A0CD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93C3BC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CE0254" w14:textId="77777777" w:rsidR="00575AC3" w:rsidRPr="006D40F0" w:rsidRDefault="00575AC3" w:rsidP="006D40F0">
            <w:r w:rsidRPr="006D40F0">
              <w:t xml:space="preserve">Stønad ved gravferd, </w:t>
            </w:r>
            <w:r w:rsidRPr="00575AC3">
              <w:rPr>
                <w:rStyle w:val="kursiv"/>
              </w:rPr>
              <w:t>overslagsbevilgning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C43D4" w14:textId="77777777" w:rsidR="00575AC3" w:rsidRPr="006D40F0" w:rsidRDefault="00575AC3" w:rsidP="006D40F0">
            <w:r w:rsidRPr="006D40F0">
              <w:t>315 000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030AD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C38005"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131636" w14:textId="77777777" w:rsidR="00575AC3" w:rsidRPr="006D40F0" w:rsidRDefault="00575AC3" w:rsidP="006D40F0">
            <w:r w:rsidRPr="006D40F0">
              <w:t>305 000</w:t>
            </w:r>
          </w:p>
        </w:tc>
      </w:tr>
      <w:tr w:rsidR="00DD49A7" w:rsidRPr="006D40F0" w14:paraId="3D07B5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75B2CF" w14:textId="77777777" w:rsidR="00575AC3" w:rsidRPr="006D40F0" w:rsidRDefault="00575AC3" w:rsidP="006D40F0">
            <w:r w:rsidRPr="006D40F0">
              <w:t>2711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59928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5825E2" w14:textId="77777777" w:rsidR="00575AC3" w:rsidRPr="006D40F0" w:rsidRDefault="00575AC3" w:rsidP="006D40F0">
            <w:r w:rsidRPr="006D40F0">
              <w:t>Spesialisthelsetjeneste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B20FE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19626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E1779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B6AC96" w14:textId="77777777" w:rsidR="00575AC3" w:rsidRPr="006D40F0" w:rsidRDefault="00575AC3" w:rsidP="006D40F0"/>
        </w:tc>
      </w:tr>
      <w:tr w:rsidR="00DD49A7" w:rsidRPr="006D40F0" w14:paraId="1453077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BC54D1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2BF7FA"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0D4EC57" w14:textId="77777777" w:rsidR="00575AC3" w:rsidRPr="006D40F0" w:rsidRDefault="00575AC3" w:rsidP="006D40F0">
            <w:r w:rsidRPr="006D40F0">
              <w:t xml:space="preserve">Spesialisthjelp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7B9A1F" w14:textId="77777777" w:rsidR="00575AC3" w:rsidRPr="006D40F0" w:rsidRDefault="00575AC3" w:rsidP="006D40F0">
            <w:r w:rsidRPr="006D40F0">
              <w:t>2 932 000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D4934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228938" w14:textId="77777777" w:rsidR="00575AC3" w:rsidRPr="006D40F0" w:rsidRDefault="00575AC3" w:rsidP="006D40F0">
            <w:r w:rsidRPr="006D40F0">
              <w:t>-52 000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70A4E" w14:textId="77777777" w:rsidR="00575AC3" w:rsidRPr="006D40F0" w:rsidRDefault="00575AC3" w:rsidP="006D40F0">
            <w:r w:rsidRPr="006D40F0">
              <w:t>2 880 000</w:t>
            </w:r>
          </w:p>
        </w:tc>
      </w:tr>
      <w:tr w:rsidR="00DD49A7" w:rsidRPr="006D40F0" w14:paraId="2102AAB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0520B6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8BC6C7"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B55BD1F" w14:textId="77777777" w:rsidR="00575AC3" w:rsidRPr="006D40F0" w:rsidRDefault="00575AC3" w:rsidP="006D40F0">
            <w:r w:rsidRPr="006D40F0">
              <w:t xml:space="preserve">Psykologhjelp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453FC7" w14:textId="77777777" w:rsidR="00575AC3" w:rsidRPr="006D40F0" w:rsidRDefault="00575AC3" w:rsidP="006D40F0">
            <w:r w:rsidRPr="006D40F0">
              <w:t>467 000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AC965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0FD09B" w14:textId="77777777" w:rsidR="00575AC3" w:rsidRPr="006D40F0" w:rsidRDefault="00575AC3" w:rsidP="006D40F0">
            <w:r w:rsidRPr="006D40F0">
              <w:t>-19 000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C2BE13" w14:textId="77777777" w:rsidR="00575AC3" w:rsidRPr="006D40F0" w:rsidRDefault="00575AC3" w:rsidP="006D40F0">
            <w:r w:rsidRPr="006D40F0">
              <w:t>448 000</w:t>
            </w:r>
          </w:p>
        </w:tc>
      </w:tr>
      <w:tr w:rsidR="00DD49A7" w:rsidRPr="006D40F0" w14:paraId="7D9FED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5C9AE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AE8680"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6AB18B" w14:textId="77777777" w:rsidR="00575AC3" w:rsidRPr="006D40F0" w:rsidRDefault="00575AC3" w:rsidP="006D40F0">
            <w:r w:rsidRPr="006D40F0">
              <w:t xml:space="preserve">Tannbehandling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A018F" w14:textId="77777777" w:rsidR="00575AC3" w:rsidRPr="006D40F0" w:rsidRDefault="00575AC3" w:rsidP="006D40F0">
            <w:r w:rsidRPr="006D40F0">
              <w:t>2 890 000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A792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7B653"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FA551B" w14:textId="77777777" w:rsidR="00575AC3" w:rsidRPr="006D40F0" w:rsidRDefault="00575AC3" w:rsidP="006D40F0">
            <w:r w:rsidRPr="006D40F0">
              <w:t>2 880 000</w:t>
            </w:r>
          </w:p>
        </w:tc>
      </w:tr>
      <w:tr w:rsidR="00DD49A7" w:rsidRPr="006D40F0" w14:paraId="2D6CB80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687D0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908047"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9619CE" w14:textId="77777777" w:rsidR="00575AC3" w:rsidRPr="006D40F0" w:rsidRDefault="00575AC3" w:rsidP="006D40F0">
            <w:r w:rsidRPr="006D40F0">
              <w:t xml:space="preserve">Private laboratorier og røntgeninstitutt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68D0FA" w14:textId="77777777" w:rsidR="00575AC3" w:rsidRPr="006D40F0" w:rsidRDefault="00575AC3" w:rsidP="006D40F0">
            <w:r w:rsidRPr="006D40F0">
              <w:t>1 280 600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25B1D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3F5E5" w14:textId="77777777" w:rsidR="00575AC3" w:rsidRPr="006D40F0" w:rsidRDefault="00575AC3" w:rsidP="006D40F0">
            <w:r w:rsidRPr="006D40F0">
              <w:t>74 400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9D30FA" w14:textId="77777777" w:rsidR="00575AC3" w:rsidRPr="006D40F0" w:rsidRDefault="00575AC3" w:rsidP="006D40F0">
            <w:r w:rsidRPr="006D40F0">
              <w:t>1 355 000</w:t>
            </w:r>
          </w:p>
        </w:tc>
      </w:tr>
      <w:tr w:rsidR="00DD49A7" w:rsidRPr="006D40F0" w14:paraId="42044C0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DD53F0" w14:textId="77777777" w:rsidR="00575AC3" w:rsidRPr="006D40F0" w:rsidRDefault="00575AC3" w:rsidP="006D40F0">
            <w:r w:rsidRPr="006D40F0">
              <w:t>2751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EA052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BD3FF95" w14:textId="77777777" w:rsidR="00575AC3" w:rsidRPr="006D40F0" w:rsidRDefault="00575AC3" w:rsidP="006D40F0">
            <w:r w:rsidRPr="006D40F0">
              <w:t>Legemidler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0D83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745F3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75D6F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5741D" w14:textId="77777777" w:rsidR="00575AC3" w:rsidRPr="006D40F0" w:rsidRDefault="00575AC3" w:rsidP="006D40F0"/>
        </w:tc>
      </w:tr>
      <w:tr w:rsidR="00DD49A7" w:rsidRPr="006D40F0" w14:paraId="243E86E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E5C46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AC295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BAAF7E" w14:textId="77777777" w:rsidR="00575AC3" w:rsidRPr="006D40F0" w:rsidRDefault="00575AC3" w:rsidP="006D40F0">
            <w:r w:rsidRPr="006D40F0">
              <w:t xml:space="preserve">Legemidler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EB5A27" w14:textId="77777777" w:rsidR="00575AC3" w:rsidRPr="006D40F0" w:rsidRDefault="00575AC3" w:rsidP="006D40F0">
            <w:r w:rsidRPr="006D40F0">
              <w:t>13 875 500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EE5AD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20C22E" w14:textId="77777777" w:rsidR="00575AC3" w:rsidRPr="006D40F0" w:rsidRDefault="00575AC3" w:rsidP="006D40F0">
            <w:r w:rsidRPr="006D40F0">
              <w:t>324 400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615C9" w14:textId="77777777" w:rsidR="00575AC3" w:rsidRPr="006D40F0" w:rsidRDefault="00575AC3" w:rsidP="006D40F0">
            <w:r w:rsidRPr="006D40F0">
              <w:t>14 199 900</w:t>
            </w:r>
          </w:p>
        </w:tc>
      </w:tr>
      <w:tr w:rsidR="00DD49A7" w:rsidRPr="006D40F0" w14:paraId="18E80CF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CA1F5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202046"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182D999" w14:textId="77777777" w:rsidR="00575AC3" w:rsidRPr="006D40F0" w:rsidRDefault="00575AC3" w:rsidP="006D40F0">
            <w:r w:rsidRPr="006D40F0">
              <w:t xml:space="preserve">Legeerklæringer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E296F4" w14:textId="77777777" w:rsidR="00575AC3" w:rsidRPr="006D40F0" w:rsidRDefault="00575AC3" w:rsidP="006D40F0">
            <w:r w:rsidRPr="006D40F0">
              <w:t>20 000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C5D65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BCE7A7"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0FCAE9" w14:textId="77777777" w:rsidR="00575AC3" w:rsidRPr="006D40F0" w:rsidRDefault="00575AC3" w:rsidP="006D40F0">
            <w:r w:rsidRPr="006D40F0">
              <w:t>16 000</w:t>
            </w:r>
          </w:p>
        </w:tc>
      </w:tr>
      <w:tr w:rsidR="00DD49A7" w:rsidRPr="006D40F0" w14:paraId="69E17F5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4500D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3D4385"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45406E1" w14:textId="77777777" w:rsidR="00575AC3" w:rsidRPr="006D40F0" w:rsidRDefault="00575AC3" w:rsidP="006D40F0">
            <w:r w:rsidRPr="006D40F0">
              <w:t xml:space="preserve">Medisinsk forbruksmateriell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98BD1B" w14:textId="77777777" w:rsidR="00575AC3" w:rsidRPr="006D40F0" w:rsidRDefault="00575AC3" w:rsidP="006D40F0">
            <w:r w:rsidRPr="006D40F0">
              <w:t>2 350 000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B86B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8B95B0" w14:textId="77777777" w:rsidR="00575AC3" w:rsidRPr="006D40F0" w:rsidRDefault="00575AC3" w:rsidP="006D40F0">
            <w:r w:rsidRPr="006D40F0">
              <w:t>70 000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FA42CD" w14:textId="77777777" w:rsidR="00575AC3" w:rsidRPr="006D40F0" w:rsidRDefault="00575AC3" w:rsidP="006D40F0">
            <w:r w:rsidRPr="006D40F0">
              <w:t>2 420 000</w:t>
            </w:r>
          </w:p>
        </w:tc>
      </w:tr>
      <w:tr w:rsidR="00DD49A7" w:rsidRPr="006D40F0" w14:paraId="545037B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DF611C" w14:textId="77777777" w:rsidR="00575AC3" w:rsidRPr="006D40F0" w:rsidRDefault="00575AC3" w:rsidP="006D40F0">
            <w:r w:rsidRPr="006D40F0">
              <w:t>2752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9D389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914615" w14:textId="77777777" w:rsidR="00575AC3" w:rsidRPr="006D40F0" w:rsidRDefault="00575AC3" w:rsidP="006D40F0">
            <w:r w:rsidRPr="006D40F0">
              <w:t>Refusjon av egenbetaling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3A812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7A644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64E15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58445" w14:textId="77777777" w:rsidR="00575AC3" w:rsidRPr="006D40F0" w:rsidRDefault="00575AC3" w:rsidP="006D40F0"/>
        </w:tc>
      </w:tr>
      <w:tr w:rsidR="00DD49A7" w:rsidRPr="006D40F0" w14:paraId="6353099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76297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422A196"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F9DD707" w14:textId="77777777" w:rsidR="00575AC3" w:rsidRPr="006D40F0" w:rsidRDefault="00575AC3" w:rsidP="006D40F0">
            <w:r w:rsidRPr="006D40F0">
              <w:t xml:space="preserve">Egenandelstak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4EF1BA" w14:textId="77777777" w:rsidR="00575AC3" w:rsidRPr="006D40F0" w:rsidRDefault="00575AC3" w:rsidP="006D40F0">
            <w:r w:rsidRPr="006D40F0">
              <w:t>8 390 200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C194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8389AC" w14:textId="77777777" w:rsidR="00575AC3" w:rsidRPr="006D40F0" w:rsidRDefault="00575AC3" w:rsidP="006D40F0">
            <w:r w:rsidRPr="006D40F0">
              <w:t>129 800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455823" w14:textId="77777777" w:rsidR="00575AC3" w:rsidRPr="006D40F0" w:rsidRDefault="00575AC3" w:rsidP="006D40F0">
            <w:r w:rsidRPr="006D40F0">
              <w:t>8 520 000</w:t>
            </w:r>
          </w:p>
        </w:tc>
      </w:tr>
      <w:tr w:rsidR="00DD49A7" w:rsidRPr="006D40F0" w14:paraId="14DE82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A3954A" w14:textId="77777777" w:rsidR="00575AC3" w:rsidRPr="006D40F0" w:rsidRDefault="00575AC3" w:rsidP="006D40F0">
            <w:r w:rsidRPr="006D40F0">
              <w:t>2755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A2EA8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0C5B84" w14:textId="77777777" w:rsidR="00575AC3" w:rsidRPr="006D40F0" w:rsidRDefault="00575AC3" w:rsidP="006D40F0">
            <w:r w:rsidRPr="006D40F0">
              <w:t>Helsetjenester i kommunene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FB74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8422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F37B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A8934" w14:textId="77777777" w:rsidR="00575AC3" w:rsidRPr="006D40F0" w:rsidRDefault="00575AC3" w:rsidP="006D40F0"/>
        </w:tc>
      </w:tr>
      <w:tr w:rsidR="00DD49A7" w:rsidRPr="006D40F0" w14:paraId="1E412A1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4271C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B148983" w14:textId="77777777" w:rsidR="00575AC3" w:rsidRPr="006D40F0" w:rsidRDefault="00575AC3" w:rsidP="006D40F0">
            <w:r w:rsidRPr="006D40F0">
              <w:t>62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EC175F" w14:textId="4C488C4B" w:rsidR="00575AC3" w:rsidRPr="006D40F0" w:rsidRDefault="00575AC3" w:rsidP="006D40F0">
            <w:r w:rsidRPr="006D40F0">
              <w:t>Fastlønnsordning fysioterapeuter,</w:t>
            </w:r>
            <w:r w:rsidR="006D40F0">
              <w:t xml:space="preserve"> </w:t>
            </w:r>
            <w:r w:rsidRPr="00575AC3">
              <w:rPr>
                <w:rStyle w:val="kursiv"/>
              </w:rPr>
              <w:t>kan nyttes under post 71</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495481" w14:textId="77777777" w:rsidR="00575AC3" w:rsidRPr="006D40F0" w:rsidRDefault="00575AC3" w:rsidP="006D40F0">
            <w:r w:rsidRPr="006D40F0">
              <w:t>545 000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3BAD2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6EBEA3" w14:textId="77777777" w:rsidR="00575AC3" w:rsidRPr="006D40F0" w:rsidRDefault="00575AC3" w:rsidP="006D40F0">
            <w:r w:rsidRPr="006D40F0">
              <w:t>58 000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94244C" w14:textId="77777777" w:rsidR="00575AC3" w:rsidRPr="006D40F0" w:rsidRDefault="00575AC3" w:rsidP="006D40F0">
            <w:r w:rsidRPr="006D40F0">
              <w:t>603 000</w:t>
            </w:r>
          </w:p>
        </w:tc>
      </w:tr>
      <w:tr w:rsidR="00DD49A7" w:rsidRPr="006D40F0" w14:paraId="538FA3E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F969D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F5E7AB8"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96AE92" w14:textId="77777777" w:rsidR="00575AC3" w:rsidRPr="006D40F0" w:rsidRDefault="00575AC3" w:rsidP="006D40F0">
            <w:r w:rsidRPr="006D40F0">
              <w:t xml:space="preserve">Allmennlegehjelp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B40D0C" w14:textId="77777777" w:rsidR="00575AC3" w:rsidRPr="006D40F0" w:rsidRDefault="00575AC3" w:rsidP="006D40F0">
            <w:r w:rsidRPr="006D40F0">
              <w:t>7 235 200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6588C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3D5192" w14:textId="77777777" w:rsidR="00575AC3" w:rsidRPr="006D40F0" w:rsidRDefault="00575AC3" w:rsidP="006D40F0">
            <w:r w:rsidRPr="006D40F0">
              <w:t>-47 800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F43F9" w14:textId="77777777" w:rsidR="00575AC3" w:rsidRPr="006D40F0" w:rsidRDefault="00575AC3" w:rsidP="006D40F0">
            <w:r w:rsidRPr="006D40F0">
              <w:t>7 187 400</w:t>
            </w:r>
          </w:p>
        </w:tc>
      </w:tr>
      <w:tr w:rsidR="00DD49A7" w:rsidRPr="006D40F0" w14:paraId="68CEE28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890169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C026E7"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A149A8" w14:textId="77777777" w:rsidR="00575AC3" w:rsidRPr="006D40F0" w:rsidRDefault="00575AC3" w:rsidP="006D40F0">
            <w:r w:rsidRPr="006D40F0">
              <w:t xml:space="preserve">Fysioterapi, </w:t>
            </w:r>
            <w:r w:rsidRPr="00575AC3">
              <w:rPr>
                <w:rStyle w:val="kursiv"/>
              </w:rPr>
              <w:t>kan nyttes under post 62</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936E6C" w14:textId="77777777" w:rsidR="00575AC3" w:rsidRPr="006D40F0" w:rsidRDefault="00575AC3" w:rsidP="006D40F0">
            <w:r w:rsidRPr="006D40F0">
              <w:t>1 637 900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000E8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97303" w14:textId="77777777" w:rsidR="00575AC3" w:rsidRPr="006D40F0" w:rsidRDefault="00575AC3" w:rsidP="006D40F0">
            <w:r w:rsidRPr="006D40F0">
              <w:t>7 100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FDEF37" w14:textId="77777777" w:rsidR="00575AC3" w:rsidRPr="006D40F0" w:rsidRDefault="00575AC3" w:rsidP="006D40F0">
            <w:r w:rsidRPr="006D40F0">
              <w:t>1 645 000</w:t>
            </w:r>
          </w:p>
        </w:tc>
      </w:tr>
      <w:tr w:rsidR="00DD49A7" w:rsidRPr="006D40F0" w14:paraId="6F07FF0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D43A5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CE0BE4"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AB1B31" w14:textId="77777777" w:rsidR="00575AC3" w:rsidRPr="006D40F0" w:rsidRDefault="00575AC3" w:rsidP="006D40F0">
            <w:r w:rsidRPr="006D40F0">
              <w:t xml:space="preserve">Jordmorhjelp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3F2030" w14:textId="77777777" w:rsidR="00575AC3" w:rsidRPr="006D40F0" w:rsidRDefault="00575AC3" w:rsidP="006D40F0">
            <w:r w:rsidRPr="006D40F0">
              <w:t>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C28EC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ED459B"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94442B" w14:textId="77777777" w:rsidR="00575AC3" w:rsidRPr="006D40F0" w:rsidRDefault="00575AC3" w:rsidP="006D40F0">
            <w:r w:rsidRPr="006D40F0">
              <w:t>94 000</w:t>
            </w:r>
          </w:p>
        </w:tc>
      </w:tr>
      <w:tr w:rsidR="00DD49A7" w:rsidRPr="006D40F0" w14:paraId="09797AB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0CEE45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19C32E" w14:textId="77777777" w:rsidR="00575AC3" w:rsidRPr="006D40F0" w:rsidRDefault="00575AC3" w:rsidP="006D40F0">
            <w:r w:rsidRPr="006D40F0">
              <w:t>73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36187B0" w14:textId="77777777" w:rsidR="00575AC3" w:rsidRPr="006D40F0" w:rsidRDefault="00575AC3" w:rsidP="006D40F0">
            <w:r w:rsidRPr="006D40F0">
              <w:t xml:space="preserve">Kiropraktorbehandling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9F4BD3" w14:textId="77777777" w:rsidR="00575AC3" w:rsidRPr="006D40F0" w:rsidRDefault="00575AC3" w:rsidP="006D40F0">
            <w:r w:rsidRPr="006D40F0">
              <w:t>135 000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2C8BC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FC59D7" w14:textId="77777777" w:rsidR="00575AC3" w:rsidRPr="006D40F0" w:rsidRDefault="00575AC3" w:rsidP="006D40F0">
            <w:r w:rsidRPr="006D40F0">
              <w:t>-11 600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0F7E9F" w14:textId="77777777" w:rsidR="00575AC3" w:rsidRPr="006D40F0" w:rsidRDefault="00575AC3" w:rsidP="006D40F0">
            <w:r w:rsidRPr="006D40F0">
              <w:t>123 400</w:t>
            </w:r>
          </w:p>
        </w:tc>
      </w:tr>
      <w:tr w:rsidR="00DD49A7" w:rsidRPr="006D40F0" w14:paraId="3DF9AF1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65C05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904E67" w14:textId="77777777" w:rsidR="00575AC3" w:rsidRPr="006D40F0" w:rsidRDefault="00575AC3" w:rsidP="006D40F0">
            <w:r w:rsidRPr="006D40F0">
              <w:t>75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1C90DF" w14:textId="77777777" w:rsidR="00575AC3" w:rsidRPr="006D40F0" w:rsidRDefault="00575AC3" w:rsidP="006D40F0">
            <w:r w:rsidRPr="006D40F0">
              <w:t xml:space="preserve">Logopedisk og </w:t>
            </w:r>
            <w:proofErr w:type="spellStart"/>
            <w:r w:rsidRPr="006D40F0">
              <w:t>ortoptisk</w:t>
            </w:r>
            <w:proofErr w:type="spellEnd"/>
            <w:r w:rsidRPr="006D40F0">
              <w:t xml:space="preserve"> behandling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E917A" w14:textId="77777777" w:rsidR="00575AC3" w:rsidRPr="006D40F0" w:rsidRDefault="00575AC3" w:rsidP="006D40F0">
            <w:r w:rsidRPr="006D40F0">
              <w:t>326 000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4FE6A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51C0F5"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645ABB" w14:textId="77777777" w:rsidR="00575AC3" w:rsidRPr="006D40F0" w:rsidRDefault="00575AC3" w:rsidP="006D40F0">
            <w:r w:rsidRPr="006D40F0">
              <w:t>336 000</w:t>
            </w:r>
          </w:p>
        </w:tc>
      </w:tr>
      <w:tr w:rsidR="00DD49A7" w:rsidRPr="006D40F0" w14:paraId="5D1D4C2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BE1830" w14:textId="77777777" w:rsidR="00575AC3" w:rsidRPr="006D40F0" w:rsidRDefault="00575AC3" w:rsidP="006D40F0">
            <w:r w:rsidRPr="006D40F0">
              <w:t>2756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B2AA5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A3D1787" w14:textId="77777777" w:rsidR="00575AC3" w:rsidRPr="006D40F0" w:rsidRDefault="00575AC3" w:rsidP="006D40F0">
            <w:r w:rsidRPr="006D40F0">
              <w:t>Andre helsetjenester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BC8D0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B307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F26D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2B9C4" w14:textId="77777777" w:rsidR="00575AC3" w:rsidRPr="006D40F0" w:rsidRDefault="00575AC3" w:rsidP="006D40F0"/>
        </w:tc>
      </w:tr>
      <w:tr w:rsidR="00DD49A7" w:rsidRPr="006D40F0" w14:paraId="1B7AB1C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FEB83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ECE6F3"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64C621" w14:textId="77777777" w:rsidR="00575AC3" w:rsidRPr="006D40F0" w:rsidRDefault="00575AC3" w:rsidP="006D40F0">
            <w:r w:rsidRPr="006D40F0">
              <w:t xml:space="preserve">Helsetjenester i annet EØS-land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1AF43" w14:textId="77777777" w:rsidR="00575AC3" w:rsidRPr="006D40F0" w:rsidRDefault="00575AC3" w:rsidP="006D40F0">
            <w:r w:rsidRPr="006D40F0">
              <w:t>13 000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D7DE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54A5BF"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675027" w14:textId="77777777" w:rsidR="00575AC3" w:rsidRPr="006D40F0" w:rsidRDefault="00575AC3" w:rsidP="006D40F0">
            <w:r w:rsidRPr="006D40F0">
              <w:t>8 000</w:t>
            </w:r>
          </w:p>
        </w:tc>
      </w:tr>
      <w:tr w:rsidR="00DD49A7" w:rsidRPr="006D40F0" w14:paraId="5A820DB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01D47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40982B"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B1A99A3" w14:textId="77777777" w:rsidR="00575AC3" w:rsidRPr="006D40F0" w:rsidRDefault="00575AC3" w:rsidP="006D40F0">
            <w:r w:rsidRPr="006D40F0">
              <w:t xml:space="preserve">Helsetjenester i utlandet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84F142" w14:textId="77777777" w:rsidR="00575AC3" w:rsidRPr="006D40F0" w:rsidRDefault="00575AC3" w:rsidP="006D40F0">
            <w:r w:rsidRPr="006D40F0">
              <w:t>480 000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8524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EA78AB" w14:textId="77777777" w:rsidR="00575AC3" w:rsidRPr="006D40F0" w:rsidRDefault="00575AC3" w:rsidP="006D40F0">
            <w:r w:rsidRPr="006D40F0">
              <w:t>120 000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23F531" w14:textId="77777777" w:rsidR="00575AC3" w:rsidRPr="006D40F0" w:rsidRDefault="00575AC3" w:rsidP="006D40F0">
            <w:r w:rsidRPr="006D40F0">
              <w:t>600 000</w:t>
            </w:r>
          </w:p>
        </w:tc>
      </w:tr>
      <w:tr w:rsidR="00DD49A7" w:rsidRPr="006D40F0" w14:paraId="40C4733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A546F0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433778B"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57DE4D6" w14:textId="77777777" w:rsidR="00575AC3" w:rsidRPr="006D40F0" w:rsidRDefault="00575AC3" w:rsidP="006D40F0">
            <w:r w:rsidRPr="006D40F0">
              <w:t xml:space="preserve">Helsetjenester til utenlandsboende mv. </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C0E1AD" w14:textId="77777777" w:rsidR="00575AC3" w:rsidRPr="006D40F0" w:rsidRDefault="00575AC3" w:rsidP="006D40F0">
            <w:r w:rsidRPr="006D40F0">
              <w:t>321 000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9E6DF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D2E1D" w14:textId="77777777" w:rsidR="00575AC3" w:rsidRPr="006D40F0" w:rsidRDefault="00575AC3" w:rsidP="006D40F0">
            <w:r w:rsidRPr="006D40F0">
              <w:t>94 000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EEDC4" w14:textId="77777777" w:rsidR="00575AC3" w:rsidRPr="006D40F0" w:rsidRDefault="00575AC3" w:rsidP="006D40F0">
            <w:r w:rsidRPr="006D40F0">
              <w:t>415 000</w:t>
            </w:r>
          </w:p>
        </w:tc>
      </w:tr>
      <w:tr w:rsidR="00DD49A7" w:rsidRPr="006D40F0" w14:paraId="686FA7B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85A887" w14:textId="77777777" w:rsidR="00575AC3" w:rsidRPr="006D40F0" w:rsidRDefault="00575AC3" w:rsidP="006D40F0">
            <w:r w:rsidRPr="006D40F0">
              <w:t>2790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9F13D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C80B6C" w14:textId="77777777" w:rsidR="00575AC3" w:rsidRPr="006D40F0" w:rsidRDefault="00575AC3" w:rsidP="006D40F0">
            <w:r w:rsidRPr="006D40F0">
              <w:t>Andre helsetiltak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6B078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D737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4058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260A8D" w14:textId="77777777" w:rsidR="00575AC3" w:rsidRPr="006D40F0" w:rsidRDefault="00575AC3" w:rsidP="006D40F0"/>
        </w:tc>
      </w:tr>
      <w:tr w:rsidR="00DD49A7" w:rsidRPr="006D40F0" w14:paraId="56DC62A6"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E816E1F"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66A6AE9" w14:textId="77777777" w:rsidR="00575AC3" w:rsidRPr="006D40F0" w:rsidRDefault="00575AC3" w:rsidP="006D40F0">
            <w:r w:rsidRPr="006D40F0">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B9449B5" w14:textId="77777777" w:rsidR="00575AC3" w:rsidRPr="006D40F0" w:rsidRDefault="00575AC3" w:rsidP="006D40F0">
            <w:r w:rsidRPr="006D40F0">
              <w:t xml:space="preserve">Bidrag </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2DC6F29" w14:textId="77777777" w:rsidR="00575AC3" w:rsidRPr="006D40F0" w:rsidRDefault="00575AC3" w:rsidP="006D40F0">
            <w:r w:rsidRPr="006D40F0">
              <w:t>268 000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DA13987"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2D28F4BE" w14:textId="77777777" w:rsidR="00575AC3" w:rsidRPr="006D40F0" w:rsidRDefault="00575AC3" w:rsidP="006D40F0">
            <w:r w:rsidRPr="006D40F0">
              <w:t>7 000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41EAE0" w14:textId="77777777" w:rsidR="00575AC3" w:rsidRPr="006D40F0" w:rsidRDefault="00575AC3" w:rsidP="006D40F0">
            <w:r w:rsidRPr="006D40F0">
              <w:t>275 000</w:t>
            </w:r>
          </w:p>
        </w:tc>
      </w:tr>
      <w:tr w:rsidR="00DD49A7" w:rsidRPr="006D40F0" w14:paraId="073B8CEB"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FC15AE3" w14:textId="77777777" w:rsidR="00575AC3" w:rsidRPr="006D40F0" w:rsidRDefault="00575AC3" w:rsidP="006D40F0">
            <w:r w:rsidRPr="006D40F0">
              <w:t>Sum endringer Folketrygden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C8957A"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51B2917"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03FA91" w14:textId="77777777" w:rsidR="00575AC3" w:rsidRPr="006D40F0" w:rsidRDefault="00575AC3" w:rsidP="006D40F0">
            <w:r w:rsidRPr="006D40F0">
              <w:t>5 201 000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B09B1C" w14:textId="77777777" w:rsidR="00575AC3" w:rsidRPr="006D40F0" w:rsidRDefault="00575AC3" w:rsidP="006D40F0"/>
        </w:tc>
      </w:tr>
      <w:tr w:rsidR="00DD49A7" w:rsidRPr="006D40F0" w14:paraId="43828550"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299BDB5" w14:textId="77777777" w:rsidR="00575AC3" w:rsidRPr="006D40F0" w:rsidRDefault="00575AC3" w:rsidP="006D40F0">
            <w:r w:rsidRPr="006D40F0">
              <w:t xml:space="preserve">Sum endringer utgifter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0F9448"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3B86B99" w14:textId="77777777" w:rsidR="00575AC3" w:rsidRPr="006D40F0" w:rsidRDefault="00575AC3" w:rsidP="006D40F0">
            <w:r w:rsidRPr="006D40F0">
              <w:t>2 000</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5046D1A" w14:textId="77777777" w:rsidR="00575AC3" w:rsidRPr="006D40F0" w:rsidRDefault="00575AC3" w:rsidP="006D40F0">
            <w:r w:rsidRPr="006D40F0">
              <w:t>43 260 068</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5DA51D8" w14:textId="77777777" w:rsidR="00575AC3" w:rsidRPr="006D40F0" w:rsidRDefault="00575AC3" w:rsidP="006D40F0"/>
        </w:tc>
      </w:tr>
      <w:tr w:rsidR="00DD49A7" w:rsidRPr="006D40F0" w14:paraId="5C692447"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1413099" w14:textId="77777777" w:rsidR="00575AC3" w:rsidRPr="006D40F0" w:rsidRDefault="00575AC3" w:rsidP="006D40F0">
            <w:r w:rsidRPr="006D40F0">
              <w:t xml:space="preserve">Herav 90 – 99 poster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F20B97"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CB36791"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998DE18" w14:textId="77777777" w:rsidR="00575AC3" w:rsidRPr="006D40F0" w:rsidRDefault="00575AC3" w:rsidP="006D40F0">
            <w:r w:rsidRPr="006D40F0">
              <w:t>13 368 223</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8D364D" w14:textId="77777777" w:rsidR="00575AC3" w:rsidRPr="006D40F0" w:rsidRDefault="00575AC3" w:rsidP="006D40F0"/>
        </w:tc>
      </w:tr>
    </w:tbl>
    <w:p w14:paraId="477B4BD3" w14:textId="77777777" w:rsidR="00575AC3" w:rsidRPr="006D40F0" w:rsidRDefault="00575AC3" w:rsidP="006D40F0">
      <w:pPr>
        <w:pStyle w:val="vedlegg-nr"/>
      </w:pPr>
    </w:p>
    <w:p w14:paraId="6018C786" w14:textId="77777777" w:rsidR="00575AC3" w:rsidRPr="006D40F0" w:rsidRDefault="00575AC3" w:rsidP="006D40F0">
      <w:pPr>
        <w:pStyle w:val="vedlegg-tit"/>
      </w:pPr>
      <w:r w:rsidRPr="006D40F0">
        <w:t>Endringer etter saldert budsjett, inntekter</w:t>
      </w:r>
    </w:p>
    <w:p w14:paraId="31AB52C5" w14:textId="77777777" w:rsidR="00575AC3" w:rsidRPr="006D40F0" w:rsidRDefault="00575AC3" w:rsidP="006D40F0">
      <w:pPr>
        <w:pStyle w:val="Tabellnavn"/>
      </w:pPr>
      <w:r w:rsidRPr="006D40F0">
        <w:t>07N2xt2</w:t>
      </w:r>
    </w:p>
    <w:tbl>
      <w:tblPr>
        <w:tblW w:w="0" w:type="auto"/>
        <w:tblLayout w:type="fixed"/>
        <w:tblCellMar>
          <w:top w:w="128" w:type="dxa"/>
          <w:left w:w="43" w:type="dxa"/>
          <w:bottom w:w="43" w:type="dxa"/>
          <w:right w:w="43" w:type="dxa"/>
        </w:tblCellMar>
        <w:tblLook w:val="0000" w:firstRow="0" w:lastRow="0" w:firstColumn="0" w:lastColumn="0" w:noHBand="0" w:noVBand="0"/>
      </w:tblPr>
      <w:tblGrid>
        <w:gridCol w:w="580"/>
        <w:gridCol w:w="540"/>
        <w:gridCol w:w="4000"/>
        <w:gridCol w:w="1160"/>
        <w:gridCol w:w="1080"/>
        <w:gridCol w:w="1220"/>
        <w:gridCol w:w="1180"/>
      </w:tblGrid>
      <w:tr w:rsidR="00DD49A7" w:rsidRPr="006D40F0" w14:paraId="566A8274" w14:textId="77777777">
        <w:trPr>
          <w:trHeight w:val="36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14932969" w14:textId="77777777" w:rsidR="00575AC3" w:rsidRPr="006D40F0" w:rsidRDefault="00575AC3" w:rsidP="006D40F0"/>
        </w:tc>
        <w:tc>
          <w:tcPr>
            <w:tcW w:w="540" w:type="dxa"/>
            <w:tcBorders>
              <w:top w:val="nil"/>
              <w:left w:val="nil"/>
              <w:bottom w:val="single" w:sz="4" w:space="0" w:color="000000"/>
              <w:right w:val="nil"/>
            </w:tcBorders>
            <w:tcMar>
              <w:top w:w="128" w:type="dxa"/>
              <w:left w:w="43" w:type="dxa"/>
              <w:bottom w:w="43" w:type="dxa"/>
              <w:right w:w="43" w:type="dxa"/>
            </w:tcMar>
            <w:vAlign w:val="bottom"/>
          </w:tcPr>
          <w:p w14:paraId="6CA84C73" w14:textId="77777777" w:rsidR="00575AC3" w:rsidRPr="006D40F0" w:rsidRDefault="00575AC3" w:rsidP="006D40F0"/>
        </w:tc>
        <w:tc>
          <w:tcPr>
            <w:tcW w:w="4000" w:type="dxa"/>
            <w:tcBorders>
              <w:top w:val="nil"/>
              <w:left w:val="nil"/>
              <w:bottom w:val="single" w:sz="4" w:space="0" w:color="000000"/>
              <w:right w:val="nil"/>
            </w:tcBorders>
            <w:tcMar>
              <w:top w:w="128" w:type="dxa"/>
              <w:left w:w="43" w:type="dxa"/>
              <w:bottom w:w="43" w:type="dxa"/>
              <w:right w:w="43" w:type="dxa"/>
            </w:tcMar>
            <w:vAlign w:val="bottom"/>
          </w:tcPr>
          <w:p w14:paraId="0F89D789" w14:textId="77777777" w:rsidR="00575AC3" w:rsidRPr="006D40F0" w:rsidRDefault="00575AC3" w:rsidP="006D40F0"/>
        </w:tc>
        <w:tc>
          <w:tcPr>
            <w:tcW w:w="1160" w:type="dxa"/>
            <w:tcBorders>
              <w:top w:val="nil"/>
              <w:left w:val="nil"/>
              <w:bottom w:val="single" w:sz="4" w:space="0" w:color="000000"/>
              <w:right w:val="nil"/>
            </w:tcBorders>
            <w:tcMar>
              <w:top w:w="128" w:type="dxa"/>
              <w:left w:w="43" w:type="dxa"/>
              <w:bottom w:w="43" w:type="dxa"/>
              <w:right w:w="43" w:type="dxa"/>
            </w:tcMar>
            <w:vAlign w:val="bottom"/>
          </w:tcPr>
          <w:p w14:paraId="361E4AB5" w14:textId="77777777" w:rsidR="00575AC3" w:rsidRPr="006D40F0" w:rsidRDefault="00575AC3" w:rsidP="006D40F0"/>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324D47A" w14:textId="77777777" w:rsidR="00575AC3" w:rsidRPr="006D40F0" w:rsidRDefault="00575AC3" w:rsidP="006D40F0"/>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6F8142C" w14:textId="77777777" w:rsidR="00575AC3" w:rsidRPr="006D40F0" w:rsidRDefault="00575AC3" w:rsidP="006D40F0"/>
        </w:tc>
        <w:tc>
          <w:tcPr>
            <w:tcW w:w="1180" w:type="dxa"/>
            <w:tcBorders>
              <w:top w:val="nil"/>
              <w:left w:val="nil"/>
              <w:bottom w:val="single" w:sz="4" w:space="0" w:color="000000"/>
              <w:right w:val="nil"/>
            </w:tcBorders>
            <w:tcMar>
              <w:top w:w="128" w:type="dxa"/>
              <w:left w:w="43" w:type="dxa"/>
              <w:bottom w:w="43" w:type="dxa"/>
              <w:right w:w="43" w:type="dxa"/>
            </w:tcMar>
            <w:vAlign w:val="bottom"/>
          </w:tcPr>
          <w:p w14:paraId="262AE39B" w14:textId="77777777" w:rsidR="00575AC3" w:rsidRPr="006D40F0" w:rsidRDefault="00575AC3" w:rsidP="006D40F0">
            <w:r w:rsidRPr="006D40F0">
              <w:t>1 000 kroner</w:t>
            </w:r>
          </w:p>
        </w:tc>
      </w:tr>
      <w:tr w:rsidR="00DD49A7" w:rsidRPr="006D40F0" w14:paraId="1C9236C7" w14:textId="77777777">
        <w:trPr>
          <w:trHeight w:val="112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1B917A" w14:textId="77777777" w:rsidR="00575AC3" w:rsidRPr="006D40F0" w:rsidRDefault="00575AC3" w:rsidP="006D40F0">
            <w:r w:rsidRPr="006D40F0">
              <w:t>Kap.</w:t>
            </w:r>
          </w:p>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FA8E064" w14:textId="77777777" w:rsidR="00575AC3" w:rsidRPr="006D40F0" w:rsidRDefault="00575AC3" w:rsidP="006D40F0">
            <w:r w:rsidRPr="006D40F0">
              <w:t>Post</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CB54BD2" w14:textId="77777777" w:rsidR="00575AC3" w:rsidRPr="006D40F0" w:rsidRDefault="00575AC3" w:rsidP="006D40F0">
            <w:r w:rsidRPr="006D40F0">
              <w:t>Formål</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22A9BEC" w14:textId="77777777" w:rsidR="00575AC3" w:rsidRPr="006D40F0" w:rsidRDefault="00575AC3" w:rsidP="006D40F0">
            <w:r w:rsidRPr="006D40F0">
              <w:t>Saldert budsjett</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AC5E0A" w14:textId="77777777" w:rsidR="00575AC3" w:rsidRPr="006D40F0" w:rsidRDefault="00575AC3" w:rsidP="006D40F0">
            <w:r w:rsidRPr="006D40F0">
              <w:t>Endringer foreslått i perioden</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AA06D09" w14:textId="77777777" w:rsidR="00575AC3" w:rsidRPr="006D40F0" w:rsidRDefault="00575AC3" w:rsidP="006D40F0">
            <w:r w:rsidRPr="006D40F0">
              <w:t>Endringer foreslått i denne proposisjonen</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83F671" w14:textId="77777777" w:rsidR="00575AC3" w:rsidRPr="006D40F0" w:rsidRDefault="00575AC3" w:rsidP="006D40F0">
            <w:r w:rsidRPr="006D40F0">
              <w:t>Status etter endringen</w:t>
            </w:r>
          </w:p>
        </w:tc>
      </w:tr>
      <w:tr w:rsidR="00DD49A7" w:rsidRPr="006D40F0" w14:paraId="483E0536" w14:textId="77777777">
        <w:trPr>
          <w:trHeight w:val="380"/>
        </w:trPr>
        <w:tc>
          <w:tcPr>
            <w:tcW w:w="58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304C2F29" w14:textId="77777777" w:rsidR="00575AC3" w:rsidRPr="006D40F0" w:rsidRDefault="00575AC3" w:rsidP="006D40F0">
            <w:r w:rsidRPr="006D40F0">
              <w:t>3100</w:t>
            </w:r>
          </w:p>
        </w:tc>
        <w:tc>
          <w:tcPr>
            <w:tcW w:w="54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75B9FA94" w14:textId="77777777" w:rsidR="00575AC3" w:rsidRPr="006D40F0" w:rsidRDefault="00575AC3" w:rsidP="006D40F0"/>
        </w:tc>
        <w:tc>
          <w:tcPr>
            <w:tcW w:w="4000" w:type="dxa"/>
            <w:tcBorders>
              <w:top w:val="single" w:sz="4" w:space="0" w:color="000000"/>
              <w:left w:val="single" w:sz="4" w:space="0" w:color="000000"/>
              <w:bottom w:val="nil"/>
              <w:right w:val="single" w:sz="4" w:space="0" w:color="000000"/>
            </w:tcBorders>
            <w:tcMar>
              <w:top w:w="128" w:type="dxa"/>
              <w:left w:w="43" w:type="dxa"/>
              <w:bottom w:w="43" w:type="dxa"/>
              <w:right w:w="43" w:type="dxa"/>
            </w:tcMar>
          </w:tcPr>
          <w:p w14:paraId="7ACEF2ED" w14:textId="77777777" w:rsidR="00575AC3" w:rsidRPr="006D40F0" w:rsidRDefault="00575AC3" w:rsidP="006D40F0">
            <w:r w:rsidRPr="006D40F0">
              <w:t>Utenriksdepartementet</w:t>
            </w:r>
          </w:p>
        </w:tc>
        <w:tc>
          <w:tcPr>
            <w:tcW w:w="116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04A7557" w14:textId="77777777" w:rsidR="00575AC3" w:rsidRPr="006D40F0" w:rsidRDefault="00575AC3" w:rsidP="006D40F0"/>
        </w:tc>
        <w:tc>
          <w:tcPr>
            <w:tcW w:w="10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7384858F" w14:textId="77777777" w:rsidR="00575AC3" w:rsidRPr="006D40F0" w:rsidRDefault="00575AC3" w:rsidP="006D40F0"/>
        </w:tc>
        <w:tc>
          <w:tcPr>
            <w:tcW w:w="122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3E04C200" w14:textId="77777777" w:rsidR="00575AC3" w:rsidRPr="006D40F0" w:rsidRDefault="00575AC3" w:rsidP="006D40F0"/>
        </w:tc>
        <w:tc>
          <w:tcPr>
            <w:tcW w:w="1180" w:type="dxa"/>
            <w:tcBorders>
              <w:top w:val="single" w:sz="4" w:space="0" w:color="000000"/>
              <w:left w:val="single" w:sz="4" w:space="0" w:color="000000"/>
              <w:bottom w:val="nil"/>
              <w:right w:val="single" w:sz="4" w:space="0" w:color="000000"/>
            </w:tcBorders>
            <w:tcMar>
              <w:top w:w="128" w:type="dxa"/>
              <w:left w:w="43" w:type="dxa"/>
              <w:bottom w:w="43" w:type="dxa"/>
              <w:right w:w="43" w:type="dxa"/>
            </w:tcMar>
            <w:vAlign w:val="bottom"/>
          </w:tcPr>
          <w:p w14:paraId="57934800" w14:textId="77777777" w:rsidR="00575AC3" w:rsidRPr="006D40F0" w:rsidRDefault="00575AC3" w:rsidP="006D40F0"/>
        </w:tc>
      </w:tr>
      <w:tr w:rsidR="00DD49A7" w:rsidRPr="006D40F0" w14:paraId="23AAB98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5AC0F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AA956C3"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7255EC" w14:textId="77777777" w:rsidR="00575AC3" w:rsidRPr="006D40F0" w:rsidRDefault="00575AC3" w:rsidP="006D40F0">
            <w:r w:rsidRPr="006D40F0">
              <w:t>Gebyrer for utlendingssaker ved utenriksstasjonene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572BD5" w14:textId="77777777" w:rsidR="00575AC3" w:rsidRPr="006D40F0" w:rsidRDefault="00575AC3" w:rsidP="006D40F0">
            <w:r w:rsidRPr="006D40F0">
              <w:t>256 417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394FD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B8AD32" w14:textId="77777777" w:rsidR="00575AC3" w:rsidRPr="006D40F0" w:rsidRDefault="00575AC3" w:rsidP="006D40F0">
            <w:r w:rsidRPr="006D40F0">
              <w:t>-33 051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D91294" w14:textId="77777777" w:rsidR="00575AC3" w:rsidRPr="006D40F0" w:rsidRDefault="00575AC3" w:rsidP="006D40F0">
            <w:r w:rsidRPr="006D40F0">
              <w:t>223 366</w:t>
            </w:r>
          </w:p>
        </w:tc>
      </w:tr>
      <w:tr w:rsidR="00DD49A7" w:rsidRPr="006D40F0" w14:paraId="6478912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9CD40C" w14:textId="77777777" w:rsidR="00575AC3" w:rsidRPr="006D40F0" w:rsidRDefault="00575AC3" w:rsidP="006D40F0">
            <w:r w:rsidRPr="006D40F0">
              <w:t>3200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67FC64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E727B3" w14:textId="77777777" w:rsidR="00575AC3" w:rsidRPr="006D40F0" w:rsidRDefault="00575AC3" w:rsidP="006D40F0">
            <w:r w:rsidRPr="006D40F0">
              <w:t>Kunnskapsdepartementet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AF2E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75E2A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8442B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FFFC22" w14:textId="77777777" w:rsidR="00575AC3" w:rsidRPr="006D40F0" w:rsidRDefault="00575AC3" w:rsidP="006D40F0"/>
        </w:tc>
      </w:tr>
      <w:tr w:rsidR="00DD49A7" w:rsidRPr="006D40F0" w14:paraId="22C51AF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652EC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BF74AF" w14:textId="77777777" w:rsidR="00575AC3" w:rsidRPr="006D40F0" w:rsidRDefault="00575AC3" w:rsidP="006D40F0">
            <w:r w:rsidRPr="006D40F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EC3DDB" w14:textId="77777777" w:rsidR="00575AC3" w:rsidRPr="006D40F0" w:rsidRDefault="00575AC3" w:rsidP="006D40F0">
            <w:r w:rsidRPr="006D40F0">
              <w:t>Inntekter fra fremleie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DF272"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1ACAD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E57D1D" w14:textId="77777777" w:rsidR="00575AC3" w:rsidRPr="006D40F0" w:rsidRDefault="00575AC3" w:rsidP="006D40F0">
            <w:r w:rsidRPr="006D40F0">
              <w:t>3 700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FDB2E6" w14:textId="77777777" w:rsidR="00575AC3" w:rsidRPr="006D40F0" w:rsidRDefault="00575AC3" w:rsidP="006D40F0">
            <w:r w:rsidRPr="006D40F0">
              <w:t>3 700</w:t>
            </w:r>
          </w:p>
        </w:tc>
      </w:tr>
      <w:tr w:rsidR="00DD49A7" w:rsidRPr="006D40F0" w14:paraId="495A5D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EA74CEA" w14:textId="77777777" w:rsidR="00575AC3" w:rsidRPr="006D40F0" w:rsidRDefault="00575AC3" w:rsidP="006D40F0">
            <w:r w:rsidRPr="006D40F0">
              <w:t>3225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3EA42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2BF216" w14:textId="77777777" w:rsidR="00575AC3" w:rsidRPr="006D40F0" w:rsidRDefault="00575AC3" w:rsidP="006D40F0">
            <w:r w:rsidRPr="006D40F0">
              <w:t>Tiltak i grunnopplæringen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31D5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B898C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C9B06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825742" w14:textId="77777777" w:rsidR="00575AC3" w:rsidRPr="006D40F0" w:rsidRDefault="00575AC3" w:rsidP="006D40F0"/>
        </w:tc>
      </w:tr>
      <w:tr w:rsidR="00DD49A7" w:rsidRPr="006D40F0" w14:paraId="4EC83C8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AF145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ACBFDA"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348CB0A" w14:textId="77777777" w:rsidR="00575AC3" w:rsidRPr="006D40F0" w:rsidRDefault="00575AC3" w:rsidP="006D40F0">
            <w:r w:rsidRPr="006D40F0">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204FD" w14:textId="77777777" w:rsidR="00575AC3" w:rsidRPr="006D40F0" w:rsidRDefault="00575AC3" w:rsidP="006D40F0">
            <w:r w:rsidRPr="006D40F0">
              <w:t>302 337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A64D4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E8D4E" w14:textId="77777777" w:rsidR="00575AC3" w:rsidRPr="006D40F0" w:rsidRDefault="00575AC3" w:rsidP="006D40F0">
            <w:r w:rsidRPr="006D40F0">
              <w:t>56 468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AFC93F" w14:textId="77777777" w:rsidR="00575AC3" w:rsidRPr="006D40F0" w:rsidRDefault="00575AC3" w:rsidP="006D40F0">
            <w:r w:rsidRPr="006D40F0">
              <w:t>358 805</w:t>
            </w:r>
          </w:p>
        </w:tc>
      </w:tr>
      <w:tr w:rsidR="00DD49A7" w:rsidRPr="006D40F0" w14:paraId="61E491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C78559" w14:textId="77777777" w:rsidR="00575AC3" w:rsidRPr="006D40F0" w:rsidRDefault="00575AC3" w:rsidP="006D40F0">
            <w:r w:rsidRPr="006D40F0">
              <w:t>3288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5393E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05DE667" w14:textId="77777777" w:rsidR="00575AC3" w:rsidRPr="006D40F0" w:rsidRDefault="00575AC3" w:rsidP="006D40F0">
            <w:r w:rsidRPr="006D40F0">
              <w:t>Internasjonale samarbeidstiltak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5CBD0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CCBDE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9E925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614017" w14:textId="77777777" w:rsidR="00575AC3" w:rsidRPr="006D40F0" w:rsidRDefault="00575AC3" w:rsidP="006D40F0"/>
        </w:tc>
      </w:tr>
      <w:tr w:rsidR="00DD49A7" w:rsidRPr="006D40F0" w14:paraId="49D9F5B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AC62C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567E7B"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3EF6C6" w14:textId="77777777" w:rsidR="00575AC3" w:rsidRPr="006D40F0" w:rsidRDefault="00575AC3" w:rsidP="006D40F0">
            <w:r w:rsidRPr="006D40F0">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8DC55A" w14:textId="77777777" w:rsidR="00575AC3" w:rsidRPr="006D40F0" w:rsidRDefault="00575AC3" w:rsidP="006D40F0">
            <w:r w:rsidRPr="006D40F0">
              <w:t>31 037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D8C2B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B3E3F1" w14:textId="77777777" w:rsidR="00575AC3" w:rsidRPr="006D40F0" w:rsidRDefault="00575AC3" w:rsidP="006D40F0">
            <w:r w:rsidRPr="006D40F0">
              <w:t>-12 068</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3C6421" w14:textId="77777777" w:rsidR="00575AC3" w:rsidRPr="006D40F0" w:rsidRDefault="00575AC3" w:rsidP="006D40F0">
            <w:r w:rsidRPr="006D40F0">
              <w:t>18 969</w:t>
            </w:r>
          </w:p>
        </w:tc>
      </w:tr>
      <w:tr w:rsidR="00DD49A7" w:rsidRPr="006D40F0" w14:paraId="2BDA0E3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B4625E" w14:textId="77777777" w:rsidR="00575AC3" w:rsidRPr="006D40F0" w:rsidRDefault="00575AC3" w:rsidP="006D40F0">
            <w:r w:rsidRPr="006D40F0">
              <w:t>3400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82E97C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8168CA" w14:textId="77777777" w:rsidR="00575AC3" w:rsidRPr="006D40F0" w:rsidRDefault="00575AC3" w:rsidP="006D40F0">
            <w:r w:rsidRPr="006D40F0">
              <w:t>Justis- og beredskapsdepartementet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DC96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443AD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928D2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3D9716" w14:textId="77777777" w:rsidR="00575AC3" w:rsidRPr="006D40F0" w:rsidRDefault="00575AC3" w:rsidP="006D40F0"/>
        </w:tc>
      </w:tr>
      <w:tr w:rsidR="00DD49A7" w:rsidRPr="006D40F0" w14:paraId="1773509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6145E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C37F8B"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C00BC0D" w14:textId="77777777" w:rsidR="00575AC3" w:rsidRPr="006D40F0" w:rsidRDefault="00575AC3" w:rsidP="006D40F0">
            <w:r w:rsidRPr="006D40F0">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B46A5" w14:textId="77777777" w:rsidR="00575AC3" w:rsidRPr="006D40F0" w:rsidRDefault="00575AC3" w:rsidP="006D40F0">
            <w:r w:rsidRPr="006D40F0">
              <w:t>1 127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11EE9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FB486F" w14:textId="77777777" w:rsidR="00575AC3" w:rsidRPr="006D40F0" w:rsidRDefault="00575AC3" w:rsidP="006D40F0">
            <w:r w:rsidRPr="006D40F0">
              <w:t>-1 127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16B6E6" w14:textId="77777777" w:rsidR="00575AC3" w:rsidRPr="006D40F0" w:rsidRDefault="00575AC3" w:rsidP="006D40F0">
            <w:r w:rsidRPr="006D40F0">
              <w:t>0</w:t>
            </w:r>
          </w:p>
        </w:tc>
      </w:tr>
      <w:tr w:rsidR="00DD49A7" w:rsidRPr="006D40F0" w14:paraId="60202A2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E7DC84" w14:textId="77777777" w:rsidR="00575AC3" w:rsidRPr="006D40F0" w:rsidRDefault="00575AC3" w:rsidP="006D40F0">
            <w:r w:rsidRPr="006D40F0">
              <w:t>3440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03931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B2F8D3D" w14:textId="77777777" w:rsidR="00575AC3" w:rsidRPr="006D40F0" w:rsidRDefault="00575AC3" w:rsidP="006D40F0">
            <w:r w:rsidRPr="006D40F0">
              <w:t>Politiet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A1E8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80EDF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35F1E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8ED8CF" w14:textId="77777777" w:rsidR="00575AC3" w:rsidRPr="006D40F0" w:rsidRDefault="00575AC3" w:rsidP="006D40F0"/>
        </w:tc>
      </w:tr>
      <w:tr w:rsidR="00DD49A7" w:rsidRPr="006D40F0" w14:paraId="35A168B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CFE19C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B2F8CAF"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34E18C" w14:textId="77777777" w:rsidR="00575AC3" w:rsidRPr="006D40F0" w:rsidRDefault="00575AC3" w:rsidP="006D40F0">
            <w:r w:rsidRPr="006D40F0">
              <w:t>Refusjoner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DBF1B" w14:textId="77777777" w:rsidR="00575AC3" w:rsidRPr="006D40F0" w:rsidRDefault="00575AC3" w:rsidP="006D40F0">
            <w:r w:rsidRPr="006D40F0">
              <w:t>232 296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59436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7BA307" w14:textId="77777777" w:rsidR="00575AC3" w:rsidRPr="006D40F0" w:rsidRDefault="00575AC3" w:rsidP="006D40F0">
            <w:r w:rsidRPr="006D40F0">
              <w:t>30 000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A30DC" w14:textId="77777777" w:rsidR="00575AC3" w:rsidRPr="006D40F0" w:rsidRDefault="00575AC3" w:rsidP="006D40F0">
            <w:r w:rsidRPr="006D40F0">
              <w:t>262 296</w:t>
            </w:r>
          </w:p>
        </w:tc>
      </w:tr>
      <w:tr w:rsidR="00DD49A7" w:rsidRPr="006D40F0" w14:paraId="2E6F6EE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3B644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823D1F" w14:textId="77777777" w:rsidR="00575AC3" w:rsidRPr="006D40F0" w:rsidRDefault="00575AC3" w:rsidP="006D40F0">
            <w:r w:rsidRPr="006D40F0">
              <w:t>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6FC5D8" w14:textId="77777777" w:rsidR="00575AC3" w:rsidRPr="006D40F0" w:rsidRDefault="00575AC3" w:rsidP="006D40F0">
            <w:r w:rsidRPr="006D40F0">
              <w:t>Gebyr – utlendingssaker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05EBC7" w14:textId="77777777" w:rsidR="00575AC3" w:rsidRPr="006D40F0" w:rsidRDefault="00575AC3" w:rsidP="006D40F0">
            <w:r w:rsidRPr="006D40F0">
              <w:t>288 162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32F1E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76349A" w14:textId="77777777" w:rsidR="00575AC3" w:rsidRPr="006D40F0" w:rsidRDefault="00575AC3" w:rsidP="006D40F0">
            <w:r w:rsidRPr="006D40F0">
              <w:t>45 807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CFF6B" w14:textId="77777777" w:rsidR="00575AC3" w:rsidRPr="006D40F0" w:rsidRDefault="00575AC3" w:rsidP="006D40F0">
            <w:r w:rsidRPr="006D40F0">
              <w:t>333 969</w:t>
            </w:r>
          </w:p>
        </w:tc>
      </w:tr>
      <w:tr w:rsidR="00DD49A7" w:rsidRPr="006D40F0" w14:paraId="52F489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FF901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482802" w14:textId="77777777" w:rsidR="00575AC3" w:rsidRPr="006D40F0" w:rsidRDefault="00575AC3" w:rsidP="006D40F0">
            <w:r w:rsidRPr="006D40F0">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33CA84" w14:textId="77777777" w:rsidR="00575AC3" w:rsidRPr="006D40F0" w:rsidRDefault="00575AC3" w:rsidP="006D40F0">
            <w:r w:rsidRPr="006D40F0">
              <w:t>Gebyr – sivile gjøremål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CF21C" w14:textId="77777777" w:rsidR="00575AC3" w:rsidRPr="006D40F0" w:rsidRDefault="00575AC3" w:rsidP="006D40F0">
            <w:r w:rsidRPr="006D40F0">
              <w:t>819 100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10F2F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44C811" w14:textId="77777777" w:rsidR="00575AC3" w:rsidRPr="006D40F0" w:rsidRDefault="00575AC3" w:rsidP="006D40F0">
            <w:r w:rsidRPr="006D40F0">
              <w:t>-14 250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BBF6B6" w14:textId="77777777" w:rsidR="00575AC3" w:rsidRPr="006D40F0" w:rsidRDefault="00575AC3" w:rsidP="006D40F0">
            <w:r w:rsidRPr="006D40F0">
              <w:t>804 850</w:t>
            </w:r>
          </w:p>
        </w:tc>
      </w:tr>
      <w:tr w:rsidR="00DD49A7" w:rsidRPr="006D40F0" w14:paraId="1B79D1C7"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45DE19" w14:textId="77777777" w:rsidR="00575AC3" w:rsidRPr="006D40F0" w:rsidRDefault="00575AC3" w:rsidP="006D40F0">
            <w:r w:rsidRPr="006D40F0">
              <w:lastRenderedPageBreak/>
              <w:t>3451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66127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E02219" w14:textId="77777777" w:rsidR="00575AC3" w:rsidRPr="006D40F0" w:rsidRDefault="00575AC3" w:rsidP="006D40F0">
            <w:r w:rsidRPr="006D40F0">
              <w:t>Direktoratet for samfunnssikkerhet og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88E70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130DF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BBF8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C089F8" w14:textId="77777777" w:rsidR="00575AC3" w:rsidRPr="006D40F0" w:rsidRDefault="00575AC3" w:rsidP="006D40F0"/>
        </w:tc>
      </w:tr>
      <w:tr w:rsidR="00DD49A7" w:rsidRPr="006D40F0" w14:paraId="7E14B6E0"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717B3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9192A0" w14:textId="77777777" w:rsidR="00575AC3" w:rsidRPr="006D40F0" w:rsidRDefault="00575AC3" w:rsidP="006D40F0">
            <w:r w:rsidRPr="006D40F0">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AB2D831" w14:textId="77777777" w:rsidR="00575AC3" w:rsidRPr="006D40F0" w:rsidRDefault="00575AC3" w:rsidP="006D40F0">
            <w:r w:rsidRPr="006D40F0">
              <w:t>Refusjoner fra EU i forbindelse med variable utgifter knyttet til EUs ordning for sivil beredskap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1CC85D" w14:textId="77777777" w:rsidR="00575AC3" w:rsidRPr="006D40F0" w:rsidRDefault="00575AC3" w:rsidP="006D40F0">
            <w:r w:rsidRPr="006D40F0">
              <w:t>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3F553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B569CF" w14:textId="77777777" w:rsidR="00575AC3" w:rsidRPr="006D40F0" w:rsidRDefault="00575AC3" w:rsidP="006D40F0">
            <w:r w:rsidRPr="006D40F0">
              <w:t>31 200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91EF1" w14:textId="77777777" w:rsidR="00575AC3" w:rsidRPr="006D40F0" w:rsidRDefault="00575AC3" w:rsidP="006D40F0">
            <w:r w:rsidRPr="006D40F0">
              <w:t>81 200</w:t>
            </w:r>
          </w:p>
        </w:tc>
      </w:tr>
      <w:tr w:rsidR="00DD49A7" w:rsidRPr="006D40F0" w14:paraId="4C3C168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B89978" w14:textId="77777777" w:rsidR="00575AC3" w:rsidRPr="006D40F0" w:rsidRDefault="00575AC3" w:rsidP="006D40F0">
            <w:r w:rsidRPr="006D40F0">
              <w:t>3490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E4989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BEA669" w14:textId="77777777" w:rsidR="00575AC3" w:rsidRPr="006D40F0" w:rsidRDefault="00575AC3" w:rsidP="006D40F0">
            <w:r w:rsidRPr="006D40F0">
              <w:t>Utlendingsdirektoratet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02BD9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314E6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AD1B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6C27B5" w14:textId="77777777" w:rsidR="00575AC3" w:rsidRPr="006D40F0" w:rsidRDefault="00575AC3" w:rsidP="006D40F0"/>
        </w:tc>
      </w:tr>
      <w:tr w:rsidR="00DD49A7" w:rsidRPr="006D40F0" w14:paraId="5B5D4606"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38453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C3BCC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D2DCC73" w14:textId="77777777" w:rsidR="00575AC3" w:rsidRPr="006D40F0" w:rsidRDefault="00575AC3" w:rsidP="006D40F0">
            <w:r w:rsidRPr="006D40F0">
              <w:t>Assistert retur fra Norge for asylsøkere med avslag,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092D6B" w14:textId="77777777" w:rsidR="00575AC3" w:rsidRPr="006D40F0" w:rsidRDefault="00575AC3" w:rsidP="006D40F0">
            <w:r w:rsidRPr="006D40F0">
              <w:t>2 192</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0534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28FE0D" w14:textId="77777777" w:rsidR="00575AC3" w:rsidRPr="006D40F0" w:rsidRDefault="00575AC3" w:rsidP="006D40F0">
            <w:r w:rsidRPr="006D40F0">
              <w:t>3 714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71855" w14:textId="77777777" w:rsidR="00575AC3" w:rsidRPr="006D40F0" w:rsidRDefault="00575AC3" w:rsidP="006D40F0">
            <w:r w:rsidRPr="006D40F0">
              <w:t>5 906</w:t>
            </w:r>
          </w:p>
        </w:tc>
      </w:tr>
      <w:tr w:rsidR="00DD49A7" w:rsidRPr="006D40F0" w14:paraId="3A04659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54498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0953806" w14:textId="77777777" w:rsidR="00575AC3" w:rsidRPr="006D40F0" w:rsidRDefault="00575AC3" w:rsidP="006D40F0">
            <w:r w:rsidRPr="006D40F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932DAD" w14:textId="77777777" w:rsidR="00575AC3" w:rsidRPr="006D40F0" w:rsidRDefault="00575AC3" w:rsidP="006D40F0">
            <w:r w:rsidRPr="006D40F0">
              <w:t>Reiseutgifter for flyktninger fra utlandet,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4C041D" w14:textId="77777777" w:rsidR="00575AC3" w:rsidRPr="006D40F0" w:rsidRDefault="00575AC3" w:rsidP="006D40F0">
            <w:r w:rsidRPr="006D40F0">
              <w:t>33 201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46A43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16264D" w14:textId="77777777" w:rsidR="00575AC3" w:rsidRPr="006D40F0" w:rsidRDefault="00575AC3" w:rsidP="006D40F0">
            <w:r w:rsidRPr="006D40F0">
              <w:t>-2 471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C80F6B" w14:textId="77777777" w:rsidR="00575AC3" w:rsidRPr="006D40F0" w:rsidRDefault="00575AC3" w:rsidP="006D40F0">
            <w:r w:rsidRPr="006D40F0">
              <w:t>30 730</w:t>
            </w:r>
          </w:p>
        </w:tc>
      </w:tr>
      <w:tr w:rsidR="00DD49A7" w:rsidRPr="006D40F0" w14:paraId="615A35F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5BA5D7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9FC776"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B3ED08" w14:textId="77777777" w:rsidR="00575AC3" w:rsidRPr="006D40F0" w:rsidRDefault="00575AC3" w:rsidP="006D40F0">
            <w:r w:rsidRPr="006D40F0">
              <w:t>Asylmottak,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92CB6" w14:textId="77777777" w:rsidR="00575AC3" w:rsidRPr="006D40F0" w:rsidRDefault="00575AC3" w:rsidP="006D40F0">
            <w:r w:rsidRPr="006D40F0">
              <w:t>2 634 796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55360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06AAAC" w14:textId="77777777" w:rsidR="00575AC3" w:rsidRPr="006D40F0" w:rsidRDefault="00575AC3" w:rsidP="006D40F0">
            <w:r w:rsidRPr="006D40F0">
              <w:t>1 138 077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CE5331" w14:textId="77777777" w:rsidR="00575AC3" w:rsidRPr="006D40F0" w:rsidRDefault="00575AC3" w:rsidP="006D40F0">
            <w:r w:rsidRPr="006D40F0">
              <w:t>3 772 873</w:t>
            </w:r>
          </w:p>
        </w:tc>
      </w:tr>
      <w:tr w:rsidR="00DD49A7" w:rsidRPr="006D40F0" w14:paraId="7FA7472B"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D4792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E37B643" w14:textId="77777777" w:rsidR="00575AC3" w:rsidRPr="006D40F0" w:rsidRDefault="00575AC3" w:rsidP="006D40F0">
            <w:r w:rsidRPr="006D40F0">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5808ED" w14:textId="77777777" w:rsidR="00575AC3" w:rsidRPr="006D40F0" w:rsidRDefault="00575AC3" w:rsidP="006D40F0">
            <w:r w:rsidRPr="006D40F0">
              <w:t>Tolk og oversettelse,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5B24BE" w14:textId="77777777" w:rsidR="00575AC3" w:rsidRPr="006D40F0" w:rsidRDefault="00575AC3" w:rsidP="006D40F0">
            <w:r w:rsidRPr="006D40F0">
              <w:t>29 588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9D732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768C0" w14:textId="77777777" w:rsidR="00575AC3" w:rsidRPr="006D40F0" w:rsidRDefault="00575AC3" w:rsidP="006D40F0">
            <w:r w:rsidRPr="006D40F0">
              <w:t>-3 310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5A4F77" w14:textId="77777777" w:rsidR="00575AC3" w:rsidRPr="006D40F0" w:rsidRDefault="00575AC3" w:rsidP="006D40F0">
            <w:r w:rsidRPr="006D40F0">
              <w:t>26 278</w:t>
            </w:r>
          </w:p>
        </w:tc>
      </w:tr>
      <w:tr w:rsidR="00DD49A7" w:rsidRPr="006D40F0" w14:paraId="081F207B"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F622CA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575856" w14:textId="77777777" w:rsidR="00575AC3" w:rsidRPr="006D40F0" w:rsidRDefault="00575AC3" w:rsidP="006D40F0">
            <w:r w:rsidRPr="006D40F0">
              <w:t>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5E49D08" w14:textId="77777777" w:rsidR="00575AC3" w:rsidRPr="006D40F0" w:rsidRDefault="00575AC3" w:rsidP="006D40F0">
            <w:r w:rsidRPr="006D40F0">
              <w:t>Internasjonalt migrasjonsarbeid og reintegrering i hjemlandet,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6901D0" w14:textId="77777777" w:rsidR="00575AC3" w:rsidRPr="006D40F0" w:rsidRDefault="00575AC3" w:rsidP="006D40F0">
            <w:r w:rsidRPr="006D40F0">
              <w:t>34 839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77747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BB9BEC" w14:textId="77777777" w:rsidR="00575AC3" w:rsidRPr="006D40F0" w:rsidRDefault="00575AC3" w:rsidP="006D40F0">
            <w:r w:rsidRPr="006D40F0">
              <w:t>6 074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598A64" w14:textId="77777777" w:rsidR="00575AC3" w:rsidRPr="006D40F0" w:rsidRDefault="00575AC3" w:rsidP="006D40F0">
            <w:r w:rsidRPr="006D40F0">
              <w:t>40 913</w:t>
            </w:r>
          </w:p>
        </w:tc>
      </w:tr>
      <w:tr w:rsidR="00DD49A7" w:rsidRPr="006D40F0" w14:paraId="5A170ED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2DD5B8" w14:textId="77777777" w:rsidR="00575AC3" w:rsidRPr="006D40F0" w:rsidRDefault="00575AC3" w:rsidP="006D40F0">
            <w:r w:rsidRPr="006D40F0">
              <w:t>3587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6CAED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7B3988" w14:textId="77777777" w:rsidR="00575AC3" w:rsidRPr="006D40F0" w:rsidRDefault="00575AC3" w:rsidP="006D40F0">
            <w:r w:rsidRPr="006D40F0">
              <w:t xml:space="preserve">Direktoratet for </w:t>
            </w:r>
            <w:proofErr w:type="spellStart"/>
            <w:r w:rsidRPr="006D40F0">
              <w:t>byggkvalitet</w:t>
            </w:r>
            <w:proofErr w:type="spellEnd"/>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5AD35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69E47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F078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813690" w14:textId="77777777" w:rsidR="00575AC3" w:rsidRPr="006D40F0" w:rsidRDefault="00575AC3" w:rsidP="006D40F0"/>
        </w:tc>
      </w:tr>
      <w:tr w:rsidR="00DD49A7" w:rsidRPr="006D40F0" w14:paraId="6869A1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A1812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E5C68E"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8FF37A9" w14:textId="77777777" w:rsidR="00575AC3" w:rsidRPr="006D40F0" w:rsidRDefault="00575AC3" w:rsidP="006D40F0">
            <w:r w:rsidRPr="006D40F0">
              <w:t>Gebyrer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0734D3" w14:textId="77777777" w:rsidR="00575AC3" w:rsidRPr="006D40F0" w:rsidRDefault="00575AC3" w:rsidP="006D40F0">
            <w:r w:rsidRPr="006D40F0">
              <w:t>42 705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241B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20ED9D" w14:textId="77777777" w:rsidR="00575AC3" w:rsidRPr="006D40F0" w:rsidRDefault="00575AC3" w:rsidP="006D40F0">
            <w:r w:rsidRPr="006D40F0">
              <w:t>-1 460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4886D6" w14:textId="77777777" w:rsidR="00575AC3" w:rsidRPr="006D40F0" w:rsidRDefault="00575AC3" w:rsidP="006D40F0">
            <w:r w:rsidRPr="006D40F0">
              <w:t>41 245</w:t>
            </w:r>
          </w:p>
        </w:tc>
      </w:tr>
      <w:tr w:rsidR="00DD49A7" w:rsidRPr="006D40F0" w14:paraId="6908054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6C2CD6" w14:textId="77777777" w:rsidR="00575AC3" w:rsidRPr="006D40F0" w:rsidRDefault="00575AC3" w:rsidP="006D40F0">
            <w:r w:rsidRPr="006D40F0">
              <w:t>3595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00D00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3A7968" w14:textId="77777777" w:rsidR="00575AC3" w:rsidRPr="006D40F0" w:rsidRDefault="00575AC3" w:rsidP="006D40F0">
            <w:r w:rsidRPr="006D40F0">
              <w:t>Statens kartverk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50803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52C9D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6287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1BB553" w14:textId="77777777" w:rsidR="00575AC3" w:rsidRPr="006D40F0" w:rsidRDefault="00575AC3" w:rsidP="006D40F0"/>
        </w:tc>
      </w:tr>
      <w:tr w:rsidR="00DD49A7" w:rsidRPr="006D40F0" w14:paraId="668008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C00DC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9DD449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89E133A" w14:textId="77777777" w:rsidR="00575AC3" w:rsidRPr="006D40F0" w:rsidRDefault="00575AC3" w:rsidP="006D40F0">
            <w:r w:rsidRPr="006D40F0">
              <w:t>Gebyrinntekter tinglysing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469E4" w14:textId="77777777" w:rsidR="00575AC3" w:rsidRPr="006D40F0" w:rsidRDefault="00575AC3" w:rsidP="006D40F0">
            <w:r w:rsidRPr="006D40F0">
              <w:t>477 700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6F372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A3BF85" w14:textId="77777777" w:rsidR="00575AC3" w:rsidRPr="006D40F0" w:rsidRDefault="00575AC3" w:rsidP="006D40F0">
            <w:r w:rsidRPr="006D40F0">
              <w:t>-52 700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F6F774" w14:textId="77777777" w:rsidR="00575AC3" w:rsidRPr="006D40F0" w:rsidRDefault="00575AC3" w:rsidP="006D40F0">
            <w:r w:rsidRPr="006D40F0">
              <w:t>425 000</w:t>
            </w:r>
          </w:p>
        </w:tc>
      </w:tr>
      <w:tr w:rsidR="00DD49A7" w:rsidRPr="006D40F0" w14:paraId="4BB9072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D08EB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002779"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F725C0" w14:textId="77777777" w:rsidR="00575AC3" w:rsidRPr="006D40F0" w:rsidRDefault="00575AC3" w:rsidP="006D40F0">
            <w:r w:rsidRPr="006D40F0">
              <w:t>Salg og abonnement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6FF398" w14:textId="77777777" w:rsidR="00575AC3" w:rsidRPr="006D40F0" w:rsidRDefault="00575AC3" w:rsidP="006D40F0">
            <w:r w:rsidRPr="006D40F0">
              <w:t>149 106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0D49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47FAC0" w14:textId="77777777" w:rsidR="00575AC3" w:rsidRPr="006D40F0" w:rsidRDefault="00575AC3" w:rsidP="006D40F0">
            <w:r w:rsidRPr="006D40F0">
              <w:t>8 254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6B4814" w14:textId="77777777" w:rsidR="00575AC3" w:rsidRPr="006D40F0" w:rsidRDefault="00575AC3" w:rsidP="006D40F0">
            <w:r w:rsidRPr="006D40F0">
              <w:t>157 360</w:t>
            </w:r>
          </w:p>
        </w:tc>
      </w:tr>
      <w:tr w:rsidR="00DD49A7" w:rsidRPr="006D40F0" w14:paraId="62C59D7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4551B79" w14:textId="77777777" w:rsidR="00575AC3" w:rsidRPr="006D40F0" w:rsidRDefault="00575AC3" w:rsidP="006D40F0">
            <w:r w:rsidRPr="006D40F0">
              <w:t>3605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0BA76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A2302D2" w14:textId="77777777" w:rsidR="00575AC3" w:rsidRPr="006D40F0" w:rsidRDefault="00575AC3" w:rsidP="006D40F0">
            <w:r w:rsidRPr="006D40F0">
              <w:t>Arbeids- og velferdsetaten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3026A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47B1F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82BCF3"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9791EA" w14:textId="77777777" w:rsidR="00575AC3" w:rsidRPr="006D40F0" w:rsidRDefault="00575AC3" w:rsidP="006D40F0"/>
        </w:tc>
      </w:tr>
      <w:tr w:rsidR="00DD49A7" w:rsidRPr="006D40F0" w14:paraId="6DF898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236C7C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9C010E"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E13A0B" w14:textId="77777777" w:rsidR="00575AC3" w:rsidRPr="006D40F0" w:rsidRDefault="00575AC3" w:rsidP="006D40F0">
            <w:r w:rsidRPr="006D40F0">
              <w:t>Administrasjonsvederlag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7CAE88" w14:textId="77777777" w:rsidR="00575AC3" w:rsidRPr="006D40F0" w:rsidRDefault="00575AC3" w:rsidP="006D40F0">
            <w:r w:rsidRPr="006D40F0">
              <w:t>11 061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07F0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5637D7" w14:textId="77777777" w:rsidR="00575AC3" w:rsidRPr="006D40F0" w:rsidRDefault="00575AC3" w:rsidP="006D40F0">
            <w:r w:rsidRPr="006D40F0">
              <w:t>-1 800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A8F62A" w14:textId="77777777" w:rsidR="00575AC3" w:rsidRPr="006D40F0" w:rsidRDefault="00575AC3" w:rsidP="006D40F0">
            <w:r w:rsidRPr="006D40F0">
              <w:t>9 261</w:t>
            </w:r>
          </w:p>
        </w:tc>
      </w:tr>
      <w:tr w:rsidR="00DD49A7" w:rsidRPr="006D40F0" w14:paraId="7275435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0EA244" w14:textId="77777777" w:rsidR="00575AC3" w:rsidRPr="006D40F0" w:rsidRDefault="00575AC3" w:rsidP="006D40F0">
            <w:r w:rsidRPr="006D40F0">
              <w:t>3635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D740E8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5D31D1" w14:textId="77777777" w:rsidR="00575AC3" w:rsidRPr="006D40F0" w:rsidRDefault="00575AC3" w:rsidP="006D40F0">
            <w:r w:rsidRPr="006D40F0">
              <w:t>Ventelønn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4D1FA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C425E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EEFFC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6A499" w14:textId="77777777" w:rsidR="00575AC3" w:rsidRPr="006D40F0" w:rsidRDefault="00575AC3" w:rsidP="006D40F0"/>
        </w:tc>
      </w:tr>
      <w:tr w:rsidR="00DD49A7" w:rsidRPr="006D40F0" w14:paraId="3A20FE6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7A6596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C149D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3AB37F" w14:textId="77777777" w:rsidR="00575AC3" w:rsidRPr="006D40F0" w:rsidRDefault="00575AC3" w:rsidP="006D40F0">
            <w:r w:rsidRPr="006D40F0">
              <w:t>Refusjon statlig virksomhet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04C250" w14:textId="77777777" w:rsidR="00575AC3" w:rsidRPr="006D40F0" w:rsidRDefault="00575AC3" w:rsidP="006D40F0">
            <w:r w:rsidRPr="006D40F0">
              <w:t>1 400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9F533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4489B94" w14:textId="77777777" w:rsidR="00575AC3" w:rsidRPr="006D40F0" w:rsidRDefault="00575AC3" w:rsidP="006D40F0">
            <w:r w:rsidRPr="006D40F0">
              <w:t>-1 000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856FDC" w14:textId="77777777" w:rsidR="00575AC3" w:rsidRPr="006D40F0" w:rsidRDefault="00575AC3" w:rsidP="006D40F0">
            <w:r w:rsidRPr="006D40F0">
              <w:t>400</w:t>
            </w:r>
          </w:p>
        </w:tc>
      </w:tr>
      <w:tr w:rsidR="00DD49A7" w:rsidRPr="006D40F0" w14:paraId="7B73A65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CC60BB" w14:textId="77777777" w:rsidR="00575AC3" w:rsidRPr="006D40F0" w:rsidRDefault="00575AC3" w:rsidP="006D40F0">
            <w:r w:rsidRPr="006D40F0">
              <w:t>3672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A798F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5A3E398" w14:textId="77777777" w:rsidR="00575AC3" w:rsidRPr="006D40F0" w:rsidRDefault="00575AC3" w:rsidP="006D40F0">
            <w:r w:rsidRPr="006D40F0">
              <w:t>Opplæring i norsk og samfunnskunnskap for voksne innvandrere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5F09F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0E616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CC05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2C4583" w14:textId="77777777" w:rsidR="00575AC3" w:rsidRPr="006D40F0" w:rsidRDefault="00575AC3" w:rsidP="006D40F0"/>
        </w:tc>
      </w:tr>
      <w:tr w:rsidR="00DD49A7" w:rsidRPr="006D40F0" w14:paraId="21FF7BA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EC1BCE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78236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0F34FE7" w14:textId="77777777" w:rsidR="00575AC3" w:rsidRPr="006D40F0" w:rsidRDefault="00575AC3" w:rsidP="006D40F0">
            <w:r w:rsidRPr="006D40F0">
              <w:t>Norskopplæring i mottak,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4D4C2C" w14:textId="77777777" w:rsidR="00575AC3" w:rsidRPr="006D40F0" w:rsidRDefault="00575AC3" w:rsidP="006D40F0">
            <w:r w:rsidRPr="006D40F0">
              <w:t>40 261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702C7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66D46F" w14:textId="77777777" w:rsidR="00575AC3" w:rsidRPr="006D40F0" w:rsidRDefault="00575AC3" w:rsidP="006D40F0">
            <w:r w:rsidRPr="006D40F0">
              <w:t>24 814</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F05BD2" w14:textId="77777777" w:rsidR="00575AC3" w:rsidRPr="006D40F0" w:rsidRDefault="00575AC3" w:rsidP="006D40F0">
            <w:r w:rsidRPr="006D40F0">
              <w:t>65 075</w:t>
            </w:r>
          </w:p>
        </w:tc>
      </w:tr>
      <w:tr w:rsidR="00DD49A7" w:rsidRPr="006D40F0" w14:paraId="0899238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3792F4" w14:textId="77777777" w:rsidR="00575AC3" w:rsidRPr="006D40F0" w:rsidRDefault="00575AC3" w:rsidP="006D40F0">
            <w:r w:rsidRPr="006D40F0">
              <w:t>3710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0D79F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C0C3AEB" w14:textId="77777777" w:rsidR="00575AC3" w:rsidRPr="006D40F0" w:rsidRDefault="00575AC3" w:rsidP="006D40F0">
            <w:r w:rsidRPr="006D40F0">
              <w:t>Vaksiner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3D027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9478C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EB4E0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1E330D" w14:textId="77777777" w:rsidR="00575AC3" w:rsidRPr="006D40F0" w:rsidRDefault="00575AC3" w:rsidP="006D40F0"/>
        </w:tc>
      </w:tr>
      <w:tr w:rsidR="00DD49A7" w:rsidRPr="006D40F0" w14:paraId="1FB4E2F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F4FFE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095505" w14:textId="77777777" w:rsidR="00575AC3" w:rsidRPr="006D40F0" w:rsidRDefault="00575AC3" w:rsidP="006D40F0">
            <w:r w:rsidRPr="006D40F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80F8B71" w14:textId="77777777" w:rsidR="00575AC3" w:rsidRPr="006D40F0" w:rsidRDefault="00575AC3" w:rsidP="006D40F0">
            <w:r w:rsidRPr="006D40F0">
              <w:t>Vaksinesalg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6533BB" w14:textId="77777777" w:rsidR="00575AC3" w:rsidRPr="006D40F0" w:rsidRDefault="00575AC3" w:rsidP="006D40F0">
            <w:r w:rsidRPr="006D40F0">
              <w:t>224 486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7E8A4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8C0E61" w14:textId="77777777" w:rsidR="00575AC3" w:rsidRPr="006D40F0" w:rsidRDefault="00575AC3" w:rsidP="006D40F0">
            <w:r w:rsidRPr="006D40F0">
              <w:t>13 900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05C62" w14:textId="77777777" w:rsidR="00575AC3" w:rsidRPr="006D40F0" w:rsidRDefault="00575AC3" w:rsidP="006D40F0">
            <w:r w:rsidRPr="006D40F0">
              <w:t>238 386</w:t>
            </w:r>
          </w:p>
        </w:tc>
      </w:tr>
      <w:tr w:rsidR="00DD49A7" w:rsidRPr="006D40F0" w14:paraId="5055243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7431A3" w14:textId="77777777" w:rsidR="00575AC3" w:rsidRPr="006D40F0" w:rsidRDefault="00575AC3" w:rsidP="006D40F0">
            <w:r w:rsidRPr="006D40F0">
              <w:t>3740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9A1297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C149D9" w14:textId="77777777" w:rsidR="00575AC3" w:rsidRPr="006D40F0" w:rsidRDefault="00575AC3" w:rsidP="006D40F0">
            <w:r w:rsidRPr="006D40F0">
              <w:t>Helsedirektoratet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3ACE8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1273A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EAA5C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E5B4C7" w14:textId="77777777" w:rsidR="00575AC3" w:rsidRPr="006D40F0" w:rsidRDefault="00575AC3" w:rsidP="006D40F0"/>
        </w:tc>
      </w:tr>
      <w:tr w:rsidR="00DD49A7" w:rsidRPr="006D40F0" w14:paraId="3C9F6E9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5B175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A9C2C44"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45B12AE" w14:textId="77777777" w:rsidR="00575AC3" w:rsidRPr="006D40F0" w:rsidRDefault="00575AC3" w:rsidP="006D40F0">
            <w:r w:rsidRPr="006D40F0">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87F38" w14:textId="77777777" w:rsidR="00575AC3" w:rsidRPr="006D40F0" w:rsidRDefault="00575AC3" w:rsidP="006D40F0">
            <w:r w:rsidRPr="006D40F0">
              <w:t>22 644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65514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CB529" w14:textId="77777777" w:rsidR="00575AC3" w:rsidRPr="006D40F0" w:rsidRDefault="00575AC3" w:rsidP="006D40F0">
            <w:r w:rsidRPr="006D40F0">
              <w:t>111 600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EEDCF4" w14:textId="77777777" w:rsidR="00575AC3" w:rsidRPr="006D40F0" w:rsidRDefault="00575AC3" w:rsidP="006D40F0">
            <w:r w:rsidRPr="006D40F0">
              <w:t>134 244</w:t>
            </w:r>
          </w:p>
        </w:tc>
      </w:tr>
      <w:tr w:rsidR="00DD49A7" w:rsidRPr="006D40F0" w14:paraId="19D3FAA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6314B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31E733E"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37E54B" w14:textId="77777777" w:rsidR="00575AC3" w:rsidRPr="006D40F0" w:rsidRDefault="00575AC3" w:rsidP="006D40F0">
            <w:r w:rsidRPr="006D40F0">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644AEF" w14:textId="77777777" w:rsidR="00575AC3" w:rsidRPr="006D40F0" w:rsidRDefault="00575AC3" w:rsidP="006D40F0">
            <w:r w:rsidRPr="006D40F0">
              <w:t>42 857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9B80C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A71BFE" w14:textId="77777777" w:rsidR="00575AC3" w:rsidRPr="006D40F0" w:rsidRDefault="00575AC3" w:rsidP="006D40F0">
            <w:r w:rsidRPr="006D40F0">
              <w:t>-13 500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E9BBBC" w14:textId="77777777" w:rsidR="00575AC3" w:rsidRPr="006D40F0" w:rsidRDefault="00575AC3" w:rsidP="006D40F0">
            <w:r w:rsidRPr="006D40F0">
              <w:t>29 357</w:t>
            </w:r>
          </w:p>
        </w:tc>
      </w:tr>
      <w:tr w:rsidR="00DD49A7" w:rsidRPr="006D40F0" w14:paraId="4C9927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444C7D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DB27844" w14:textId="77777777" w:rsidR="00575AC3" w:rsidRPr="006D40F0" w:rsidRDefault="00575AC3" w:rsidP="006D40F0">
            <w:r w:rsidRPr="006D40F0">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BC8C5E" w14:textId="77777777" w:rsidR="00575AC3" w:rsidRPr="006D40F0" w:rsidRDefault="00575AC3" w:rsidP="006D40F0">
            <w:r w:rsidRPr="006D40F0">
              <w:t>Helsetjenester til utenlandsboende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61A672" w14:textId="77777777" w:rsidR="00575AC3" w:rsidRPr="006D40F0" w:rsidRDefault="00575AC3" w:rsidP="006D40F0">
            <w:r w:rsidRPr="006D40F0">
              <w:t>76 000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3B5B6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2D444C" w14:textId="77777777" w:rsidR="00575AC3" w:rsidRPr="006D40F0" w:rsidRDefault="00575AC3" w:rsidP="006D40F0">
            <w:r w:rsidRPr="006D40F0">
              <w:t>-11 000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1E9F5" w14:textId="77777777" w:rsidR="00575AC3" w:rsidRPr="006D40F0" w:rsidRDefault="00575AC3" w:rsidP="006D40F0">
            <w:r w:rsidRPr="006D40F0">
              <w:t>65 000</w:t>
            </w:r>
          </w:p>
        </w:tc>
      </w:tr>
      <w:tr w:rsidR="00DD49A7" w:rsidRPr="006D40F0" w14:paraId="61E2A2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A88AA1A" w14:textId="77777777" w:rsidR="00575AC3" w:rsidRPr="006D40F0" w:rsidRDefault="00575AC3" w:rsidP="006D40F0">
            <w:r w:rsidRPr="006D40F0">
              <w:t>3745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7F2769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BB91B0" w14:textId="77777777" w:rsidR="00575AC3" w:rsidRPr="006D40F0" w:rsidRDefault="00575AC3" w:rsidP="006D40F0">
            <w:r w:rsidRPr="006D40F0">
              <w:t>Folkehelseinstituttet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D0CDD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74FD0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1BEC8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4DE1F7" w14:textId="77777777" w:rsidR="00575AC3" w:rsidRPr="006D40F0" w:rsidRDefault="00575AC3" w:rsidP="006D40F0"/>
        </w:tc>
      </w:tr>
      <w:tr w:rsidR="00DD49A7" w:rsidRPr="006D40F0" w14:paraId="007B65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7B974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66B822"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DB2E58A" w14:textId="77777777" w:rsidR="00575AC3" w:rsidRPr="006D40F0" w:rsidRDefault="00575AC3" w:rsidP="006D40F0">
            <w:r w:rsidRPr="006D40F0">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1CBC45" w14:textId="77777777" w:rsidR="00575AC3" w:rsidRPr="006D40F0" w:rsidRDefault="00575AC3" w:rsidP="006D40F0">
            <w:r w:rsidRPr="006D40F0">
              <w:t>214 879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6F747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D2D090" w14:textId="77777777" w:rsidR="00575AC3" w:rsidRPr="006D40F0" w:rsidRDefault="00575AC3" w:rsidP="006D40F0">
            <w:r w:rsidRPr="006D40F0">
              <w:t>101 200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982975" w14:textId="77777777" w:rsidR="00575AC3" w:rsidRPr="006D40F0" w:rsidRDefault="00575AC3" w:rsidP="006D40F0">
            <w:r w:rsidRPr="006D40F0">
              <w:t>316 079</w:t>
            </w:r>
          </w:p>
        </w:tc>
      </w:tr>
      <w:tr w:rsidR="00DD49A7" w:rsidRPr="006D40F0" w14:paraId="014E266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E4D93F" w14:textId="77777777" w:rsidR="00575AC3" w:rsidRPr="006D40F0" w:rsidRDefault="00575AC3" w:rsidP="006D40F0">
            <w:r w:rsidRPr="006D40F0">
              <w:t>3747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6F095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C5866A" w14:textId="77777777" w:rsidR="00575AC3" w:rsidRPr="006D40F0" w:rsidRDefault="00575AC3" w:rsidP="006D40F0">
            <w:r w:rsidRPr="006D40F0">
              <w:t>Direktoratet for strålevern og atomsikkerhet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C256C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86FBD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77976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F75A40" w14:textId="77777777" w:rsidR="00575AC3" w:rsidRPr="006D40F0" w:rsidRDefault="00575AC3" w:rsidP="006D40F0"/>
        </w:tc>
      </w:tr>
      <w:tr w:rsidR="00DD49A7" w:rsidRPr="006D40F0" w14:paraId="0804537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23755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594820"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30B778" w14:textId="77777777" w:rsidR="00575AC3" w:rsidRPr="006D40F0" w:rsidRDefault="00575AC3" w:rsidP="006D40F0">
            <w:r w:rsidRPr="006D40F0">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FB75DC" w14:textId="77777777" w:rsidR="00575AC3" w:rsidRPr="006D40F0" w:rsidRDefault="00575AC3" w:rsidP="006D40F0">
            <w:r w:rsidRPr="006D40F0">
              <w:t>42 354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5538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C19338" w14:textId="77777777" w:rsidR="00575AC3" w:rsidRPr="006D40F0" w:rsidRDefault="00575AC3" w:rsidP="006D40F0">
            <w:r w:rsidRPr="006D40F0">
              <w:t>3 200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39A1E3" w14:textId="77777777" w:rsidR="00575AC3" w:rsidRPr="006D40F0" w:rsidRDefault="00575AC3" w:rsidP="006D40F0">
            <w:r w:rsidRPr="006D40F0">
              <w:t>45 554</w:t>
            </w:r>
          </w:p>
        </w:tc>
      </w:tr>
      <w:tr w:rsidR="00DD49A7" w:rsidRPr="006D40F0" w14:paraId="5E6E601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901BE97" w14:textId="77777777" w:rsidR="00575AC3" w:rsidRPr="006D40F0" w:rsidRDefault="00575AC3" w:rsidP="006D40F0">
            <w:r w:rsidRPr="006D40F0">
              <w:t>3855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F9649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950ED5" w14:textId="77777777" w:rsidR="00575AC3" w:rsidRPr="006D40F0" w:rsidRDefault="00575AC3" w:rsidP="006D40F0">
            <w:r w:rsidRPr="006D40F0">
              <w:t>Statlig forvaltning av barnevernet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66E5A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4533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78426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97A3AA" w14:textId="77777777" w:rsidR="00575AC3" w:rsidRPr="006D40F0" w:rsidRDefault="00575AC3" w:rsidP="006D40F0"/>
        </w:tc>
      </w:tr>
      <w:tr w:rsidR="00DD49A7" w:rsidRPr="006D40F0" w14:paraId="4537792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6A0A9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24CBFF" w14:textId="77777777" w:rsidR="00575AC3" w:rsidRPr="006D40F0" w:rsidRDefault="00575AC3" w:rsidP="006D40F0">
            <w:r w:rsidRPr="006D40F0">
              <w:t>60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B2D59F" w14:textId="77777777" w:rsidR="00575AC3" w:rsidRPr="006D40F0" w:rsidRDefault="00575AC3" w:rsidP="006D40F0">
            <w:r w:rsidRPr="006D40F0">
              <w:t>Kommunale egenandeler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BA0262" w14:textId="77777777" w:rsidR="00575AC3" w:rsidRPr="006D40F0" w:rsidRDefault="00575AC3" w:rsidP="006D40F0">
            <w:r w:rsidRPr="006D40F0">
              <w:t>2 641 496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FA70B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249B0" w14:textId="77777777" w:rsidR="00575AC3" w:rsidRPr="006D40F0" w:rsidRDefault="00575AC3" w:rsidP="006D40F0">
            <w:r w:rsidRPr="006D40F0">
              <w:t>-70 000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91A36E" w14:textId="77777777" w:rsidR="00575AC3" w:rsidRPr="006D40F0" w:rsidRDefault="00575AC3" w:rsidP="006D40F0">
            <w:r w:rsidRPr="006D40F0">
              <w:t>2 571 496</w:t>
            </w:r>
          </w:p>
        </w:tc>
      </w:tr>
      <w:tr w:rsidR="00DD49A7" w:rsidRPr="006D40F0" w14:paraId="62A5C71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C304806" w14:textId="77777777" w:rsidR="00575AC3" w:rsidRPr="006D40F0" w:rsidRDefault="00575AC3" w:rsidP="006D40F0">
            <w:r w:rsidRPr="006D40F0">
              <w:t>3856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48137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200E8D" w14:textId="77777777" w:rsidR="00575AC3" w:rsidRPr="006D40F0" w:rsidRDefault="00575AC3" w:rsidP="006D40F0">
            <w:r w:rsidRPr="006D40F0">
              <w:t>Barnevernets omsorgssenter for enslige, mindreårige asylsøkere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DB324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23CB3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7001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ABA9D" w14:textId="77777777" w:rsidR="00575AC3" w:rsidRPr="006D40F0" w:rsidRDefault="00575AC3" w:rsidP="006D40F0"/>
        </w:tc>
      </w:tr>
      <w:tr w:rsidR="00DD49A7" w:rsidRPr="006D40F0" w14:paraId="7949495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CD4989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EE0E9A" w14:textId="77777777" w:rsidR="00575AC3" w:rsidRPr="006D40F0" w:rsidRDefault="00575AC3" w:rsidP="006D40F0">
            <w:r w:rsidRPr="006D40F0">
              <w:t>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1B30390" w14:textId="77777777" w:rsidR="00575AC3" w:rsidRPr="006D40F0" w:rsidRDefault="00575AC3" w:rsidP="006D40F0">
            <w:r w:rsidRPr="006D40F0">
              <w:t>Refusjon av ODA-godkjente utgifter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9C6815" w14:textId="77777777" w:rsidR="00575AC3" w:rsidRPr="006D40F0" w:rsidRDefault="00575AC3" w:rsidP="006D40F0">
            <w:r w:rsidRPr="006D40F0">
              <w:t>452 869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1AD0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6765EC" w14:textId="77777777" w:rsidR="00575AC3" w:rsidRPr="006D40F0" w:rsidRDefault="00575AC3" w:rsidP="006D40F0">
            <w:r w:rsidRPr="006D40F0">
              <w:t>-51 879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BDBEB0" w14:textId="77777777" w:rsidR="00575AC3" w:rsidRPr="006D40F0" w:rsidRDefault="00575AC3" w:rsidP="006D40F0">
            <w:r w:rsidRPr="006D40F0">
              <w:t>400 990</w:t>
            </w:r>
          </w:p>
        </w:tc>
      </w:tr>
      <w:tr w:rsidR="00DD49A7" w:rsidRPr="006D40F0" w14:paraId="70037F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90766A" w14:textId="77777777" w:rsidR="00575AC3" w:rsidRPr="006D40F0" w:rsidRDefault="00575AC3" w:rsidP="006D40F0">
            <w:r w:rsidRPr="006D40F0">
              <w:t>3868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01B7D4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A1CC2E" w14:textId="77777777" w:rsidR="00575AC3" w:rsidRPr="006D40F0" w:rsidRDefault="00575AC3" w:rsidP="006D40F0">
            <w:r w:rsidRPr="006D40F0">
              <w:t>Forbrukertilsynet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22F42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E38B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D3950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0A3798" w14:textId="77777777" w:rsidR="00575AC3" w:rsidRPr="006D40F0" w:rsidRDefault="00575AC3" w:rsidP="006D40F0"/>
        </w:tc>
      </w:tr>
      <w:tr w:rsidR="00DD49A7" w:rsidRPr="006D40F0" w14:paraId="321F8DC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340EE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2CE7D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C641B3" w14:textId="77777777" w:rsidR="00575AC3" w:rsidRPr="006D40F0" w:rsidRDefault="00575AC3" w:rsidP="006D40F0">
            <w:r w:rsidRPr="006D40F0">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D344C5"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2241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3051C2"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BD8EE3" w14:textId="77777777" w:rsidR="00575AC3" w:rsidRPr="006D40F0" w:rsidRDefault="00575AC3" w:rsidP="006D40F0">
            <w:r w:rsidRPr="006D40F0">
              <w:t>1 500</w:t>
            </w:r>
          </w:p>
        </w:tc>
      </w:tr>
      <w:tr w:rsidR="00DD49A7" w:rsidRPr="006D40F0" w14:paraId="16501F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8EFA1C" w14:textId="77777777" w:rsidR="00575AC3" w:rsidRPr="006D40F0" w:rsidRDefault="00575AC3" w:rsidP="006D40F0">
            <w:r w:rsidRPr="006D40F0">
              <w:t>3883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1DF6D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792601B" w14:textId="77777777" w:rsidR="00575AC3" w:rsidRPr="006D40F0" w:rsidRDefault="00575AC3" w:rsidP="006D40F0">
            <w:r w:rsidRPr="006D40F0">
              <w:t>Kirkebevaringsfondet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7DBDC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E6708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78DBB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0E28E" w14:textId="77777777" w:rsidR="00575AC3" w:rsidRPr="006D40F0" w:rsidRDefault="00575AC3" w:rsidP="006D40F0"/>
        </w:tc>
      </w:tr>
      <w:tr w:rsidR="00DD49A7" w:rsidRPr="006D40F0" w14:paraId="1D8B2F2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AD7466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FB3CF21"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01E014D" w14:textId="77777777" w:rsidR="00575AC3" w:rsidRPr="006D40F0" w:rsidRDefault="00575AC3" w:rsidP="006D40F0">
            <w:r w:rsidRPr="006D40F0">
              <w:t>Overført fra Kirkebevaringsfondet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24B86B"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C3CBB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6B2C6E" w14:textId="77777777" w:rsidR="00575AC3" w:rsidRPr="006D40F0" w:rsidRDefault="00575AC3" w:rsidP="006D40F0">
            <w:r w:rsidRPr="006D40F0">
              <w:t>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9468F5" w14:textId="77777777" w:rsidR="00575AC3" w:rsidRPr="006D40F0" w:rsidRDefault="00575AC3" w:rsidP="006D40F0">
            <w:r w:rsidRPr="006D40F0">
              <w:t>100 000</w:t>
            </w:r>
          </w:p>
        </w:tc>
      </w:tr>
      <w:tr w:rsidR="00DD49A7" w:rsidRPr="006D40F0" w14:paraId="7F64CF5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F9DF00B" w14:textId="77777777" w:rsidR="00575AC3" w:rsidRPr="006D40F0" w:rsidRDefault="00575AC3" w:rsidP="006D40F0">
            <w:r w:rsidRPr="006D40F0">
              <w:t>3904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90ECB4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7988727" w14:textId="77777777" w:rsidR="00575AC3" w:rsidRPr="006D40F0" w:rsidRDefault="00575AC3" w:rsidP="006D40F0">
            <w:r w:rsidRPr="006D40F0">
              <w:t>Brønnøysundregistrene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85DDC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98EEE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112FA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E6566" w14:textId="77777777" w:rsidR="00575AC3" w:rsidRPr="006D40F0" w:rsidRDefault="00575AC3" w:rsidP="006D40F0"/>
        </w:tc>
      </w:tr>
      <w:tr w:rsidR="00DD49A7" w:rsidRPr="006D40F0" w14:paraId="0E5911B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97271C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82C16C"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430A93" w14:textId="77777777" w:rsidR="00575AC3" w:rsidRPr="006D40F0" w:rsidRDefault="00575AC3" w:rsidP="006D40F0">
            <w:r w:rsidRPr="006D40F0">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98809" w14:textId="77777777" w:rsidR="00575AC3" w:rsidRPr="006D40F0" w:rsidRDefault="00575AC3" w:rsidP="006D40F0">
            <w:r w:rsidRPr="006D40F0">
              <w:t>715 065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E4AAE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7DD7B5" w14:textId="77777777" w:rsidR="00575AC3" w:rsidRPr="006D40F0" w:rsidRDefault="00575AC3" w:rsidP="006D40F0">
            <w:r w:rsidRPr="006D40F0">
              <w:t>-40 600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C90887" w14:textId="77777777" w:rsidR="00575AC3" w:rsidRPr="006D40F0" w:rsidRDefault="00575AC3" w:rsidP="006D40F0">
            <w:r w:rsidRPr="006D40F0">
              <w:t>674 465</w:t>
            </w:r>
          </w:p>
        </w:tc>
      </w:tr>
      <w:tr w:rsidR="00DD49A7" w:rsidRPr="006D40F0" w14:paraId="11E3B7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A0957E6" w14:textId="77777777" w:rsidR="00575AC3" w:rsidRPr="006D40F0" w:rsidRDefault="00575AC3" w:rsidP="006D40F0">
            <w:r w:rsidRPr="006D40F0">
              <w:t>3908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7DD1C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E63E47" w14:textId="77777777" w:rsidR="00575AC3" w:rsidRPr="006D40F0" w:rsidRDefault="00575AC3" w:rsidP="006D40F0">
            <w:r w:rsidRPr="006D40F0">
              <w:t>Institutt for energiteknikk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EFE1F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BD899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54482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132B9" w14:textId="77777777" w:rsidR="00575AC3" w:rsidRPr="006D40F0" w:rsidRDefault="00575AC3" w:rsidP="006D40F0"/>
        </w:tc>
      </w:tr>
      <w:tr w:rsidR="00DD49A7" w:rsidRPr="006D40F0" w14:paraId="35A00AB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FAF0F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0FBFDB8"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412D38" w14:textId="77777777" w:rsidR="00575AC3" w:rsidRPr="006D40F0" w:rsidRDefault="00575AC3" w:rsidP="006D40F0">
            <w:r w:rsidRPr="006D40F0">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70B216" w14:textId="77777777" w:rsidR="00575AC3" w:rsidRPr="006D40F0" w:rsidRDefault="00575AC3" w:rsidP="006D40F0">
            <w:r w:rsidRPr="006D40F0">
              <w:t>3 400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CA97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E3244" w14:textId="77777777" w:rsidR="00575AC3" w:rsidRPr="006D40F0" w:rsidRDefault="00575AC3" w:rsidP="006D40F0">
            <w:r w:rsidRPr="006D40F0">
              <w:t>-1 800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CB343E" w14:textId="77777777" w:rsidR="00575AC3" w:rsidRPr="006D40F0" w:rsidRDefault="00575AC3" w:rsidP="006D40F0">
            <w:r w:rsidRPr="006D40F0">
              <w:t>1 600</w:t>
            </w:r>
          </w:p>
        </w:tc>
      </w:tr>
      <w:tr w:rsidR="00DD49A7" w:rsidRPr="006D40F0" w14:paraId="53F42A0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C6C572" w14:textId="77777777" w:rsidR="00575AC3" w:rsidRPr="006D40F0" w:rsidRDefault="00575AC3" w:rsidP="006D40F0">
            <w:r w:rsidRPr="006D40F0">
              <w:t>3912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91998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BAC3B5" w14:textId="77777777" w:rsidR="00575AC3" w:rsidRPr="006D40F0" w:rsidRDefault="00575AC3" w:rsidP="006D40F0">
            <w:r w:rsidRPr="006D40F0">
              <w:t>Klagenemndssekretariatet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F2A22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42F91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5A180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57D0DA" w14:textId="77777777" w:rsidR="00575AC3" w:rsidRPr="006D40F0" w:rsidRDefault="00575AC3" w:rsidP="006D40F0"/>
        </w:tc>
      </w:tr>
      <w:tr w:rsidR="00DD49A7" w:rsidRPr="006D40F0" w14:paraId="3907EE7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8FCA7B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BB8753"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843658E" w14:textId="77777777" w:rsidR="00575AC3" w:rsidRPr="006D40F0" w:rsidRDefault="00575AC3" w:rsidP="006D40F0">
            <w:r w:rsidRPr="006D40F0">
              <w:t>Klagegebyr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BA95E" w14:textId="77777777" w:rsidR="00575AC3" w:rsidRPr="006D40F0" w:rsidRDefault="00575AC3" w:rsidP="006D40F0">
            <w:r w:rsidRPr="006D40F0">
              <w:t>689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BD382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1F915F" w14:textId="77777777" w:rsidR="00575AC3" w:rsidRPr="006D40F0" w:rsidRDefault="00575AC3" w:rsidP="006D40F0">
            <w:r w:rsidRPr="006D40F0">
              <w:t>111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8D09E" w14:textId="77777777" w:rsidR="00575AC3" w:rsidRPr="006D40F0" w:rsidRDefault="00575AC3" w:rsidP="006D40F0">
            <w:r w:rsidRPr="006D40F0">
              <w:t>800</w:t>
            </w:r>
          </w:p>
        </w:tc>
      </w:tr>
      <w:tr w:rsidR="00DD49A7" w:rsidRPr="006D40F0" w14:paraId="4A2B0E9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549731"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38D03F"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699E97D" w14:textId="77777777" w:rsidR="00575AC3" w:rsidRPr="006D40F0" w:rsidRDefault="00575AC3" w:rsidP="006D40F0">
            <w:r w:rsidRPr="006D40F0">
              <w:t>Refusjoner og andre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9F3827" w14:textId="77777777" w:rsidR="00575AC3" w:rsidRPr="006D40F0" w:rsidRDefault="00575AC3" w:rsidP="006D40F0">
            <w:r w:rsidRPr="006D40F0">
              <w:t>209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39FE8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E6F430" w14:textId="77777777" w:rsidR="00575AC3" w:rsidRPr="006D40F0" w:rsidRDefault="00575AC3" w:rsidP="006D40F0">
            <w:r w:rsidRPr="006D40F0">
              <w:t>291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32992C" w14:textId="77777777" w:rsidR="00575AC3" w:rsidRPr="006D40F0" w:rsidRDefault="00575AC3" w:rsidP="006D40F0">
            <w:r w:rsidRPr="006D40F0">
              <w:t>500</w:t>
            </w:r>
          </w:p>
        </w:tc>
      </w:tr>
      <w:tr w:rsidR="00DD49A7" w:rsidRPr="006D40F0" w14:paraId="7B5AB50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DC90D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AEB42B" w14:textId="77777777" w:rsidR="00575AC3" w:rsidRPr="006D40F0" w:rsidRDefault="00575AC3" w:rsidP="006D40F0">
            <w:r w:rsidRPr="006D40F0">
              <w:t>87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142CAE2" w14:textId="77777777" w:rsidR="00575AC3" w:rsidRPr="006D40F0" w:rsidRDefault="00575AC3" w:rsidP="006D40F0">
            <w:r w:rsidRPr="006D40F0">
              <w:t>Overtredelsesgebyr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6E2435" w14:textId="77777777" w:rsidR="00575AC3" w:rsidRPr="006D40F0" w:rsidRDefault="00575AC3" w:rsidP="006D40F0">
            <w:r w:rsidRPr="006D40F0">
              <w:t>100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FD28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B831F" w14:textId="77777777" w:rsidR="00575AC3" w:rsidRPr="006D40F0" w:rsidRDefault="00575AC3" w:rsidP="006D40F0">
            <w:r w:rsidRPr="006D40F0">
              <w:t>12 300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11F115" w14:textId="77777777" w:rsidR="00575AC3" w:rsidRPr="006D40F0" w:rsidRDefault="00575AC3" w:rsidP="006D40F0">
            <w:r w:rsidRPr="006D40F0">
              <w:t>12 400</w:t>
            </w:r>
          </w:p>
        </w:tc>
      </w:tr>
      <w:tr w:rsidR="00DD49A7" w:rsidRPr="006D40F0" w14:paraId="3DA0BCA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DEC34C" w14:textId="77777777" w:rsidR="00575AC3" w:rsidRPr="006D40F0" w:rsidRDefault="00575AC3" w:rsidP="006D40F0">
            <w:r w:rsidRPr="006D40F0">
              <w:t>3917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F7360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BE01783" w14:textId="77777777" w:rsidR="00575AC3" w:rsidRPr="006D40F0" w:rsidRDefault="00575AC3" w:rsidP="006D40F0">
            <w:r w:rsidRPr="006D40F0">
              <w:t>Fiskeridirektoratet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2D12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4FD4B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9F2AE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3D6D8E" w14:textId="77777777" w:rsidR="00575AC3" w:rsidRPr="006D40F0" w:rsidRDefault="00575AC3" w:rsidP="006D40F0"/>
        </w:tc>
      </w:tr>
      <w:tr w:rsidR="00DD49A7" w:rsidRPr="006D40F0" w14:paraId="2B33E91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A72F56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73CCE2E"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BE6DD0" w14:textId="77777777" w:rsidR="00575AC3" w:rsidRPr="006D40F0" w:rsidRDefault="00575AC3" w:rsidP="006D40F0">
            <w:r w:rsidRPr="006D40F0">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8799C2" w14:textId="77777777" w:rsidR="00575AC3" w:rsidRPr="006D40F0" w:rsidRDefault="00575AC3" w:rsidP="006D40F0">
            <w:r w:rsidRPr="006D40F0">
              <w:t>1 253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226F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D5186" w14:textId="77777777" w:rsidR="00575AC3" w:rsidRPr="006D40F0" w:rsidRDefault="00575AC3" w:rsidP="006D40F0">
            <w:r w:rsidRPr="006D40F0">
              <w:t>4 900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FD5F0A" w14:textId="77777777" w:rsidR="00575AC3" w:rsidRPr="006D40F0" w:rsidRDefault="00575AC3" w:rsidP="006D40F0">
            <w:r w:rsidRPr="006D40F0">
              <w:t>6 153</w:t>
            </w:r>
          </w:p>
        </w:tc>
      </w:tr>
      <w:tr w:rsidR="00DD49A7" w:rsidRPr="006D40F0" w14:paraId="66E6B71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180C9F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D15A61" w14:textId="77777777" w:rsidR="00575AC3" w:rsidRPr="006D40F0" w:rsidRDefault="00575AC3" w:rsidP="006D40F0">
            <w:r w:rsidRPr="006D40F0">
              <w:t>13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E851DEC" w14:textId="77777777" w:rsidR="00575AC3" w:rsidRPr="006D40F0" w:rsidRDefault="00575AC3" w:rsidP="006D40F0">
            <w:r w:rsidRPr="006D40F0">
              <w:t>Inntekter fra salg av oppdrettstillatelser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D9AE2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FA78E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FC8630" w14:textId="77777777" w:rsidR="00575AC3" w:rsidRPr="006D40F0" w:rsidRDefault="00575AC3" w:rsidP="006D40F0">
            <w:r w:rsidRPr="006D40F0">
              <w:t>3 555 700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B4C497" w14:textId="77777777" w:rsidR="00575AC3" w:rsidRPr="006D40F0" w:rsidRDefault="00575AC3" w:rsidP="006D40F0">
            <w:r w:rsidRPr="006D40F0">
              <w:t>3 555 700</w:t>
            </w:r>
          </w:p>
        </w:tc>
      </w:tr>
      <w:tr w:rsidR="00DD49A7" w:rsidRPr="006D40F0" w14:paraId="3B0B5BB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C0AA5DA" w14:textId="77777777" w:rsidR="00575AC3" w:rsidRPr="006D40F0" w:rsidRDefault="00575AC3" w:rsidP="006D40F0">
            <w:r w:rsidRPr="006D40F0">
              <w:t>3923</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89746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42CBC9" w14:textId="77777777" w:rsidR="00575AC3" w:rsidRPr="006D40F0" w:rsidRDefault="00575AC3" w:rsidP="006D40F0">
            <w:r w:rsidRPr="006D40F0">
              <w:t>Havforskningsinstituttet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90C55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EFAD5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D8C8E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A11765" w14:textId="77777777" w:rsidR="00575AC3" w:rsidRPr="006D40F0" w:rsidRDefault="00575AC3" w:rsidP="006D40F0"/>
        </w:tc>
      </w:tr>
      <w:tr w:rsidR="00DD49A7" w:rsidRPr="006D40F0" w14:paraId="5CA1D5A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CAC6D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3AD88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791BC9D" w14:textId="77777777" w:rsidR="00575AC3" w:rsidRPr="006D40F0" w:rsidRDefault="00575AC3" w:rsidP="006D40F0">
            <w:r w:rsidRPr="006D40F0">
              <w:t>Oppdragsinntekter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D9964" w14:textId="77777777" w:rsidR="00575AC3" w:rsidRPr="006D40F0" w:rsidRDefault="00575AC3" w:rsidP="006D40F0">
            <w:r w:rsidRPr="006D40F0">
              <w:t>455 330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F280A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3F1D2D" w14:textId="77777777" w:rsidR="00575AC3" w:rsidRPr="006D40F0" w:rsidRDefault="00575AC3" w:rsidP="006D40F0">
            <w:r w:rsidRPr="006D40F0">
              <w:t>8 800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F2742" w14:textId="77777777" w:rsidR="00575AC3" w:rsidRPr="006D40F0" w:rsidRDefault="00575AC3" w:rsidP="006D40F0">
            <w:r w:rsidRPr="006D40F0">
              <w:t>464 130</w:t>
            </w:r>
          </w:p>
        </w:tc>
      </w:tr>
      <w:tr w:rsidR="00DD49A7" w:rsidRPr="006D40F0" w14:paraId="2F149B7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8D8CB4" w14:textId="77777777" w:rsidR="00575AC3" w:rsidRPr="006D40F0" w:rsidRDefault="00575AC3" w:rsidP="006D40F0">
            <w:r w:rsidRPr="006D40F0">
              <w:t>3926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C5BC1F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72CDBC7" w14:textId="77777777" w:rsidR="00575AC3" w:rsidRPr="006D40F0" w:rsidRDefault="00575AC3" w:rsidP="006D40F0">
            <w:r w:rsidRPr="006D40F0">
              <w:t>Havforskningsinstituttet, forskningsfartøy</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819D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05127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A16D1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E3D950" w14:textId="77777777" w:rsidR="00575AC3" w:rsidRPr="006D40F0" w:rsidRDefault="00575AC3" w:rsidP="006D40F0"/>
        </w:tc>
      </w:tr>
      <w:tr w:rsidR="00DD49A7" w:rsidRPr="006D40F0" w14:paraId="668D0A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9E0AE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157A30"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FD72B5" w14:textId="77777777" w:rsidR="00575AC3" w:rsidRPr="006D40F0" w:rsidRDefault="00575AC3" w:rsidP="006D40F0">
            <w:r w:rsidRPr="006D40F0">
              <w:t>Oppdragsinntekter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26598D" w14:textId="77777777" w:rsidR="00575AC3" w:rsidRPr="006D40F0" w:rsidRDefault="00575AC3" w:rsidP="006D40F0">
            <w:r w:rsidRPr="006D40F0">
              <w:t>199 414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6613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0C89DF" w14:textId="77777777" w:rsidR="00575AC3" w:rsidRPr="006D40F0" w:rsidRDefault="00575AC3" w:rsidP="006D40F0">
            <w:r w:rsidRPr="006D40F0">
              <w:t>4 100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11F266" w14:textId="77777777" w:rsidR="00575AC3" w:rsidRPr="006D40F0" w:rsidRDefault="00575AC3" w:rsidP="006D40F0">
            <w:r w:rsidRPr="006D40F0">
              <w:t>203 514</w:t>
            </w:r>
          </w:p>
        </w:tc>
      </w:tr>
      <w:tr w:rsidR="00DD49A7" w:rsidRPr="006D40F0" w14:paraId="7A75925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D2C343" w14:textId="77777777" w:rsidR="00575AC3" w:rsidRPr="006D40F0" w:rsidRDefault="00575AC3" w:rsidP="006D40F0">
            <w:r w:rsidRPr="006D40F0">
              <w:lastRenderedPageBreak/>
              <w:t>3950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99AD6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9DBD2D" w14:textId="77777777" w:rsidR="00575AC3" w:rsidRPr="006D40F0" w:rsidRDefault="00575AC3" w:rsidP="006D40F0">
            <w:r w:rsidRPr="006D40F0">
              <w:t>Forvaltning av statlig eierskap</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6F5E4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7FEE0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DA890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C6FA1A" w14:textId="77777777" w:rsidR="00575AC3" w:rsidRPr="006D40F0" w:rsidRDefault="00575AC3" w:rsidP="006D40F0"/>
        </w:tc>
      </w:tr>
      <w:tr w:rsidR="00DD49A7" w:rsidRPr="006D40F0" w14:paraId="56529C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7BAD6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2B74EA9" w14:textId="77777777" w:rsidR="00575AC3" w:rsidRPr="006D40F0" w:rsidRDefault="00575AC3" w:rsidP="006D40F0">
            <w:r w:rsidRPr="006D40F0">
              <w:t>96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D517CDD" w14:textId="77777777" w:rsidR="00575AC3" w:rsidRPr="006D40F0" w:rsidRDefault="00575AC3" w:rsidP="006D40F0">
            <w:r w:rsidRPr="006D40F0">
              <w:t>Salg av aksjer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301176" w14:textId="77777777" w:rsidR="00575AC3" w:rsidRPr="006D40F0" w:rsidRDefault="00575AC3" w:rsidP="006D40F0">
            <w:r w:rsidRPr="006D40F0">
              <w:t>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1ABA5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6BEA69" w14:textId="77777777" w:rsidR="00575AC3" w:rsidRPr="006D40F0" w:rsidRDefault="00575AC3" w:rsidP="006D40F0">
            <w:r w:rsidRPr="006D40F0">
              <w:t>125 000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0C7E36" w14:textId="77777777" w:rsidR="00575AC3" w:rsidRPr="006D40F0" w:rsidRDefault="00575AC3" w:rsidP="006D40F0">
            <w:r w:rsidRPr="006D40F0">
              <w:t>150 000</w:t>
            </w:r>
          </w:p>
        </w:tc>
      </w:tr>
      <w:tr w:rsidR="00DD49A7" w:rsidRPr="006D40F0" w14:paraId="7BFB672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52A359" w14:textId="77777777" w:rsidR="00575AC3" w:rsidRPr="006D40F0" w:rsidRDefault="00575AC3" w:rsidP="006D40F0">
            <w:r w:rsidRPr="006D40F0">
              <w:t>3952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514DC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D216080" w14:textId="77777777" w:rsidR="00575AC3" w:rsidRPr="006D40F0" w:rsidRDefault="00575AC3" w:rsidP="006D40F0">
            <w:proofErr w:type="spellStart"/>
            <w:r w:rsidRPr="006D40F0">
              <w:t>Investinor</w:t>
            </w:r>
            <w:proofErr w:type="spellEnd"/>
            <w:r w:rsidRPr="006D40F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7FD17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946AB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CF0B8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FA2F75" w14:textId="77777777" w:rsidR="00575AC3" w:rsidRPr="006D40F0" w:rsidRDefault="00575AC3" w:rsidP="006D40F0"/>
        </w:tc>
      </w:tr>
      <w:tr w:rsidR="00DD49A7" w:rsidRPr="006D40F0" w14:paraId="4CAF2C0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B23B1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E9179B5"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DF6EFF2" w14:textId="77777777" w:rsidR="00575AC3" w:rsidRPr="006D40F0" w:rsidRDefault="00575AC3" w:rsidP="006D40F0">
            <w:r w:rsidRPr="006D40F0">
              <w:t>Tilbakeført kapital, pre-såkornfond m.m.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5FCC91"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378C3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0C4838" w14:textId="77777777" w:rsidR="00575AC3" w:rsidRPr="006D40F0" w:rsidRDefault="00575AC3" w:rsidP="006D40F0">
            <w:r w:rsidRPr="006D40F0">
              <w:t>23 200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3B656F" w14:textId="77777777" w:rsidR="00575AC3" w:rsidRPr="006D40F0" w:rsidRDefault="00575AC3" w:rsidP="006D40F0">
            <w:r w:rsidRPr="006D40F0">
              <w:t>23 200</w:t>
            </w:r>
          </w:p>
        </w:tc>
      </w:tr>
      <w:tr w:rsidR="00DD49A7" w:rsidRPr="006D40F0" w14:paraId="467735B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73957D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ECD07D"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073A88" w14:textId="77777777" w:rsidR="00575AC3" w:rsidRPr="006D40F0" w:rsidRDefault="00575AC3" w:rsidP="006D40F0">
            <w:r w:rsidRPr="006D40F0">
              <w:t>Tilbakeført kapital, såkornfond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5D354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D164F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1A597A" w14:textId="77777777" w:rsidR="00575AC3" w:rsidRPr="006D40F0" w:rsidRDefault="00575AC3" w:rsidP="006D40F0">
            <w:r w:rsidRPr="006D40F0">
              <w:t>102 600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774C3" w14:textId="77777777" w:rsidR="00575AC3" w:rsidRPr="006D40F0" w:rsidRDefault="00575AC3" w:rsidP="006D40F0">
            <w:r w:rsidRPr="006D40F0">
              <w:t>102 600</w:t>
            </w:r>
          </w:p>
        </w:tc>
      </w:tr>
      <w:tr w:rsidR="00DD49A7" w:rsidRPr="006D40F0" w14:paraId="2CED4C7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542490" w14:textId="77777777" w:rsidR="00575AC3" w:rsidRPr="006D40F0" w:rsidRDefault="00575AC3" w:rsidP="006D40F0">
            <w:r w:rsidRPr="006D40F0">
              <w:t>4300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50B90E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C32A5C" w14:textId="77777777" w:rsidR="00575AC3" w:rsidRPr="006D40F0" w:rsidRDefault="00575AC3" w:rsidP="006D40F0">
            <w:r w:rsidRPr="006D40F0">
              <w:t>Samferdselsdepartementet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3D04F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F3F64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3CFD3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CB93AE" w14:textId="77777777" w:rsidR="00575AC3" w:rsidRPr="006D40F0" w:rsidRDefault="00575AC3" w:rsidP="006D40F0"/>
        </w:tc>
      </w:tr>
      <w:tr w:rsidR="00DD49A7" w:rsidRPr="006D40F0" w14:paraId="0B5C58E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69BF57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245D20"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156360" w14:textId="77777777" w:rsidR="00575AC3" w:rsidRPr="006D40F0" w:rsidRDefault="00575AC3" w:rsidP="006D40F0">
            <w:r w:rsidRPr="006D40F0">
              <w:t>Overtredelsesgebyr for utslipp fra nye kjøretøy</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92300A"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49EB7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DBFDFD" w14:textId="77777777" w:rsidR="00575AC3" w:rsidRPr="006D40F0" w:rsidRDefault="00575AC3" w:rsidP="006D40F0">
            <w:r w:rsidRPr="006D40F0">
              <w:t>110 000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ABBC1C" w14:textId="77777777" w:rsidR="00575AC3" w:rsidRPr="006D40F0" w:rsidRDefault="00575AC3" w:rsidP="006D40F0">
            <w:r w:rsidRPr="006D40F0">
              <w:t>110 000</w:t>
            </w:r>
          </w:p>
        </w:tc>
      </w:tr>
      <w:tr w:rsidR="00DD49A7" w:rsidRPr="006D40F0" w14:paraId="602CAE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CBBB35" w14:textId="77777777" w:rsidR="00575AC3" w:rsidRPr="006D40F0" w:rsidRDefault="00575AC3" w:rsidP="006D40F0">
            <w:r w:rsidRPr="006D40F0">
              <w:t>4330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2D9D4E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CA0E2C" w14:textId="77777777" w:rsidR="00575AC3" w:rsidRPr="006D40F0" w:rsidRDefault="00575AC3" w:rsidP="006D40F0">
            <w:r w:rsidRPr="006D40F0">
              <w:t>Særskilte transporttiltak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8E567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97308D"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2E6299"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894519" w14:textId="77777777" w:rsidR="00575AC3" w:rsidRPr="006D40F0" w:rsidRDefault="00575AC3" w:rsidP="006D40F0"/>
        </w:tc>
      </w:tr>
      <w:tr w:rsidR="00DD49A7" w:rsidRPr="006D40F0" w14:paraId="7028DA8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D3A6C0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4E161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B14A65" w14:textId="77777777" w:rsidR="00575AC3" w:rsidRPr="006D40F0" w:rsidRDefault="00575AC3" w:rsidP="006D40F0">
            <w:r w:rsidRPr="006D40F0">
              <w:t>Tilbakebetaling av kjøp av sjøtransporttjenester på strekningen Bergen-Kirkenes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7FAB5B"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DD916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202A54" w14:textId="77777777" w:rsidR="00575AC3" w:rsidRPr="006D40F0" w:rsidRDefault="00575AC3" w:rsidP="006D40F0">
            <w:r w:rsidRPr="006D40F0">
              <w:t>25 800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04D9EA" w14:textId="77777777" w:rsidR="00575AC3" w:rsidRPr="006D40F0" w:rsidRDefault="00575AC3" w:rsidP="006D40F0">
            <w:r w:rsidRPr="006D40F0">
              <w:t>25 800</w:t>
            </w:r>
          </w:p>
        </w:tc>
      </w:tr>
      <w:tr w:rsidR="00DD49A7" w:rsidRPr="006D40F0" w14:paraId="2A54943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540B76" w14:textId="77777777" w:rsidR="00575AC3" w:rsidRPr="006D40F0" w:rsidRDefault="00575AC3" w:rsidP="006D40F0">
            <w:r w:rsidRPr="006D40F0">
              <w:t>4420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48A47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DACAC4" w14:textId="77777777" w:rsidR="00575AC3" w:rsidRPr="006D40F0" w:rsidRDefault="00575AC3" w:rsidP="006D40F0">
            <w:r w:rsidRPr="006D40F0">
              <w:t>Miljødirektoratet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A1910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4497F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87FA2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94DFA5" w14:textId="77777777" w:rsidR="00575AC3" w:rsidRPr="006D40F0" w:rsidRDefault="00575AC3" w:rsidP="006D40F0"/>
        </w:tc>
      </w:tr>
      <w:tr w:rsidR="00DD49A7" w:rsidRPr="006D40F0" w14:paraId="56F423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C78CB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76E879F" w14:textId="77777777" w:rsidR="00575AC3" w:rsidRPr="006D40F0" w:rsidRDefault="00575AC3" w:rsidP="006D40F0">
            <w:r w:rsidRPr="006D40F0">
              <w:t>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55C69C" w14:textId="77777777" w:rsidR="00575AC3" w:rsidRPr="006D40F0" w:rsidRDefault="00575AC3" w:rsidP="006D40F0">
            <w:r w:rsidRPr="006D40F0">
              <w:t>Gebyrer, kvotesystemet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B1456F" w14:textId="77777777" w:rsidR="00575AC3" w:rsidRPr="006D40F0" w:rsidRDefault="00575AC3" w:rsidP="006D40F0">
            <w:r w:rsidRPr="006D40F0">
              <w:t>5 928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C1896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19C65"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99B651" w14:textId="77777777" w:rsidR="00575AC3" w:rsidRPr="006D40F0" w:rsidRDefault="00575AC3" w:rsidP="006D40F0">
            <w:r w:rsidRPr="006D40F0">
              <w:t>9 928</w:t>
            </w:r>
          </w:p>
        </w:tc>
      </w:tr>
      <w:tr w:rsidR="00DD49A7" w:rsidRPr="006D40F0" w14:paraId="7A09568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EFA6389" w14:textId="77777777" w:rsidR="00575AC3" w:rsidRPr="006D40F0" w:rsidRDefault="00575AC3" w:rsidP="006D40F0">
            <w:r w:rsidRPr="006D40F0">
              <w:t>4471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6C96B9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83069A0" w14:textId="77777777" w:rsidR="00575AC3" w:rsidRPr="006D40F0" w:rsidRDefault="00575AC3" w:rsidP="006D40F0">
            <w:r w:rsidRPr="006D40F0">
              <w:t>Norsk Polarinstitutt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0F1B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5519F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D1426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EDACC2" w14:textId="77777777" w:rsidR="00575AC3" w:rsidRPr="006D40F0" w:rsidRDefault="00575AC3" w:rsidP="006D40F0"/>
        </w:tc>
      </w:tr>
      <w:tr w:rsidR="00DD49A7" w:rsidRPr="006D40F0" w14:paraId="1E36B970"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34A7BB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B7A3975"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AFB2CFF" w14:textId="77777777" w:rsidR="00575AC3" w:rsidRPr="006D40F0" w:rsidRDefault="00575AC3" w:rsidP="006D40F0">
            <w:r w:rsidRPr="006D40F0">
              <w:t>Salgs- og utleieinntekter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FA1745" w14:textId="77777777" w:rsidR="00575AC3" w:rsidRPr="006D40F0" w:rsidRDefault="00575AC3" w:rsidP="006D40F0">
            <w:r w:rsidRPr="006D40F0">
              <w:t>7 327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5B635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FFFAEC"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49E72F" w14:textId="77777777" w:rsidR="00575AC3" w:rsidRPr="006D40F0" w:rsidRDefault="00575AC3" w:rsidP="006D40F0">
            <w:r w:rsidRPr="006D40F0">
              <w:t>8 827</w:t>
            </w:r>
          </w:p>
        </w:tc>
      </w:tr>
      <w:tr w:rsidR="00DD49A7" w:rsidRPr="006D40F0" w14:paraId="1BFD5EE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74BC7A" w14:textId="77777777" w:rsidR="00575AC3" w:rsidRPr="006D40F0" w:rsidRDefault="00575AC3" w:rsidP="006D40F0">
            <w:r w:rsidRPr="006D40F0">
              <w:t>4481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6F766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81E1E57" w14:textId="77777777" w:rsidR="00575AC3" w:rsidRPr="006D40F0" w:rsidRDefault="00575AC3" w:rsidP="006D40F0">
            <w:r w:rsidRPr="006D40F0">
              <w:t>Salg av klimakvoter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7ED00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FFE0B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5C47E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3F8C7D" w14:textId="77777777" w:rsidR="00575AC3" w:rsidRPr="006D40F0" w:rsidRDefault="00575AC3" w:rsidP="006D40F0"/>
        </w:tc>
      </w:tr>
      <w:tr w:rsidR="00DD49A7" w:rsidRPr="006D40F0" w14:paraId="2E5511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2E359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CB60EA"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51B02D" w14:textId="77777777" w:rsidR="00575AC3" w:rsidRPr="006D40F0" w:rsidRDefault="00575AC3" w:rsidP="006D40F0">
            <w:r w:rsidRPr="006D40F0">
              <w:t>Salgsinntekter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E0668B" w14:textId="77777777" w:rsidR="00575AC3" w:rsidRPr="006D40F0" w:rsidRDefault="00575AC3" w:rsidP="006D40F0">
            <w:r w:rsidRPr="006D40F0">
              <w:t>2 826 518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CAC52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B31A7" w14:textId="77777777" w:rsidR="00575AC3" w:rsidRPr="006D40F0" w:rsidRDefault="00575AC3" w:rsidP="006D40F0">
            <w:r w:rsidRPr="006D40F0">
              <w:t>-918 000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ACB97E" w14:textId="77777777" w:rsidR="00575AC3" w:rsidRPr="006D40F0" w:rsidRDefault="00575AC3" w:rsidP="006D40F0">
            <w:r w:rsidRPr="006D40F0">
              <w:t>1 908 518</w:t>
            </w:r>
          </w:p>
        </w:tc>
      </w:tr>
      <w:tr w:rsidR="00DD49A7" w:rsidRPr="006D40F0" w14:paraId="3A30731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81F074" w14:textId="77777777" w:rsidR="00575AC3" w:rsidRPr="006D40F0" w:rsidRDefault="00575AC3" w:rsidP="006D40F0">
            <w:r w:rsidRPr="006D40F0">
              <w:t>4565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F24F9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E3DEDE" w14:textId="77777777" w:rsidR="00575AC3" w:rsidRPr="006D40F0" w:rsidRDefault="00575AC3" w:rsidP="006D40F0">
            <w:r w:rsidRPr="006D40F0">
              <w:t>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E9DF6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2BB2A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719AD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4E12B4" w14:textId="77777777" w:rsidR="00575AC3" w:rsidRPr="006D40F0" w:rsidRDefault="00575AC3" w:rsidP="006D40F0"/>
        </w:tc>
      </w:tr>
      <w:tr w:rsidR="00DD49A7" w:rsidRPr="006D40F0" w14:paraId="6444F84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BCCC5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8F81746"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A1A10A" w14:textId="77777777" w:rsidR="00575AC3" w:rsidRPr="006D40F0" w:rsidRDefault="00575AC3" w:rsidP="006D40F0">
            <w:r w:rsidRPr="006D40F0">
              <w:t>Gebyrinntekter, lån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ABB07B" w14:textId="77777777" w:rsidR="00575AC3" w:rsidRPr="006D40F0" w:rsidRDefault="00575AC3" w:rsidP="006D40F0">
            <w:r w:rsidRPr="006D40F0">
              <w:t>47 000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9E533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EA9064" w14:textId="77777777" w:rsidR="00575AC3" w:rsidRPr="006D40F0" w:rsidRDefault="00575AC3" w:rsidP="006D40F0">
            <w:r w:rsidRPr="006D40F0">
              <w:t>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B1FD08" w14:textId="77777777" w:rsidR="00575AC3" w:rsidRPr="006D40F0" w:rsidRDefault="00575AC3" w:rsidP="006D40F0">
            <w:r w:rsidRPr="006D40F0">
              <w:t>52 000</w:t>
            </w:r>
          </w:p>
        </w:tc>
      </w:tr>
      <w:tr w:rsidR="00DD49A7" w:rsidRPr="006D40F0" w14:paraId="55DE57F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F6392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4FA5F56"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4283080" w14:textId="77777777" w:rsidR="00575AC3" w:rsidRPr="006D40F0" w:rsidRDefault="00575AC3" w:rsidP="006D40F0">
            <w:r w:rsidRPr="006D40F0">
              <w:t>Tilbakebetaling av lån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D95234" w14:textId="77777777" w:rsidR="00575AC3" w:rsidRPr="006D40F0" w:rsidRDefault="00575AC3" w:rsidP="006D40F0">
            <w:r w:rsidRPr="006D40F0">
              <w:t>9 400 000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33551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54B9D5" w14:textId="77777777" w:rsidR="00575AC3" w:rsidRPr="006D40F0" w:rsidRDefault="00575AC3" w:rsidP="006D40F0">
            <w:r w:rsidRPr="006D40F0">
              <w:t>1 200 000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6A1617" w14:textId="77777777" w:rsidR="00575AC3" w:rsidRPr="006D40F0" w:rsidRDefault="00575AC3" w:rsidP="006D40F0">
            <w:r w:rsidRPr="006D40F0">
              <w:t>10 600 000</w:t>
            </w:r>
          </w:p>
        </w:tc>
      </w:tr>
      <w:tr w:rsidR="00DD49A7" w:rsidRPr="006D40F0" w14:paraId="36259C7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E21A0A" w14:textId="77777777" w:rsidR="00575AC3" w:rsidRPr="006D40F0" w:rsidRDefault="00575AC3" w:rsidP="006D40F0">
            <w:r w:rsidRPr="006D40F0">
              <w:t>4605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60DD40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8B63E4" w14:textId="77777777" w:rsidR="00575AC3" w:rsidRPr="006D40F0" w:rsidRDefault="00575AC3" w:rsidP="006D40F0">
            <w:r w:rsidRPr="006D40F0">
              <w:t>Direktoratet for forvaltning og økonomistyring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83CB6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F741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B503B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5BBB1A" w14:textId="77777777" w:rsidR="00575AC3" w:rsidRPr="006D40F0" w:rsidRDefault="00575AC3" w:rsidP="006D40F0"/>
        </w:tc>
      </w:tr>
      <w:tr w:rsidR="00DD49A7" w:rsidRPr="006D40F0" w14:paraId="0ECE547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EFD6F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B16D73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64B1AC4" w14:textId="77777777" w:rsidR="00575AC3" w:rsidRPr="006D40F0" w:rsidRDefault="00575AC3" w:rsidP="006D40F0">
            <w:r w:rsidRPr="006D40F0">
              <w:t>Økonomitjenester og andre 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EBD7A" w14:textId="77777777" w:rsidR="00575AC3" w:rsidRPr="006D40F0" w:rsidRDefault="00575AC3" w:rsidP="006D40F0">
            <w:r w:rsidRPr="006D40F0">
              <w:t>167 587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C7B6D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EB89D" w14:textId="77777777" w:rsidR="00575AC3" w:rsidRPr="006D40F0" w:rsidRDefault="00575AC3" w:rsidP="006D40F0">
            <w:r w:rsidRPr="006D40F0">
              <w:t>110 000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BD3CB1" w14:textId="77777777" w:rsidR="00575AC3" w:rsidRPr="006D40F0" w:rsidRDefault="00575AC3" w:rsidP="006D40F0">
            <w:r w:rsidRPr="006D40F0">
              <w:t>277 587</w:t>
            </w:r>
          </w:p>
        </w:tc>
      </w:tr>
      <w:tr w:rsidR="00DD49A7" w:rsidRPr="006D40F0" w14:paraId="65C183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C8AAD40" w14:textId="77777777" w:rsidR="00575AC3" w:rsidRPr="006D40F0" w:rsidRDefault="00575AC3" w:rsidP="006D40F0">
            <w:r w:rsidRPr="006D40F0">
              <w:t>4610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25323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1032F49" w14:textId="77777777" w:rsidR="00575AC3" w:rsidRPr="006D40F0" w:rsidRDefault="00575AC3" w:rsidP="006D40F0">
            <w:r w:rsidRPr="006D40F0">
              <w:t>Tolletaten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39C0D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A6B55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88ADC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F1125" w14:textId="77777777" w:rsidR="00575AC3" w:rsidRPr="006D40F0" w:rsidRDefault="00575AC3" w:rsidP="006D40F0"/>
        </w:tc>
      </w:tr>
      <w:tr w:rsidR="00DD49A7" w:rsidRPr="006D40F0" w14:paraId="324C165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BD3DFD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3E6B62"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7AA5E40" w14:textId="77777777" w:rsidR="00575AC3" w:rsidRPr="006D40F0" w:rsidRDefault="00575AC3" w:rsidP="006D40F0">
            <w:r w:rsidRPr="006D40F0">
              <w:t>Særskilt vederlag for tolltjenester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E9A50" w14:textId="77777777" w:rsidR="00575AC3" w:rsidRPr="006D40F0" w:rsidRDefault="00575AC3" w:rsidP="006D40F0">
            <w:r w:rsidRPr="006D40F0">
              <w:t>8 247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A2B97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1F23C" w14:textId="77777777" w:rsidR="00575AC3" w:rsidRPr="006D40F0" w:rsidRDefault="00575AC3" w:rsidP="006D40F0">
            <w:r w:rsidRPr="006D40F0">
              <w:t>-1 547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A69FC5" w14:textId="77777777" w:rsidR="00575AC3" w:rsidRPr="006D40F0" w:rsidRDefault="00575AC3" w:rsidP="006D40F0">
            <w:r w:rsidRPr="006D40F0">
              <w:t>6 700</w:t>
            </w:r>
          </w:p>
        </w:tc>
      </w:tr>
      <w:tr w:rsidR="00DD49A7" w:rsidRPr="006D40F0" w14:paraId="0F4842C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C01F647" w14:textId="77777777" w:rsidR="00575AC3" w:rsidRPr="006D40F0" w:rsidRDefault="00575AC3" w:rsidP="006D40F0">
            <w:r w:rsidRPr="006D40F0">
              <w:t>4618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251C02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44B6FC" w14:textId="77777777" w:rsidR="00575AC3" w:rsidRPr="006D40F0" w:rsidRDefault="00575AC3" w:rsidP="006D40F0">
            <w:r w:rsidRPr="006D40F0">
              <w:t>Skatteetaten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2CCB3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7C1B8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937CB4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7E2B18" w14:textId="77777777" w:rsidR="00575AC3" w:rsidRPr="006D40F0" w:rsidRDefault="00575AC3" w:rsidP="006D40F0"/>
        </w:tc>
      </w:tr>
      <w:tr w:rsidR="00DD49A7" w:rsidRPr="006D40F0" w14:paraId="51F2EFC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36F7A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C7AB50"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404209D" w14:textId="77777777" w:rsidR="00575AC3" w:rsidRPr="006D40F0" w:rsidRDefault="00575AC3" w:rsidP="006D40F0">
            <w:r w:rsidRPr="006D40F0">
              <w:t>Refunderte utleggs- og tinglysingsgebyr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63E6F2" w14:textId="77777777" w:rsidR="00575AC3" w:rsidRPr="006D40F0" w:rsidRDefault="00575AC3" w:rsidP="006D40F0">
            <w:r w:rsidRPr="006D40F0">
              <w:t>38 000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9FCFC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9F37E95" w14:textId="77777777" w:rsidR="00575AC3" w:rsidRPr="006D40F0" w:rsidRDefault="00575AC3" w:rsidP="006D40F0">
            <w:r w:rsidRPr="006D40F0">
              <w:t>-6 000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4BD9E5" w14:textId="77777777" w:rsidR="00575AC3" w:rsidRPr="006D40F0" w:rsidRDefault="00575AC3" w:rsidP="006D40F0">
            <w:r w:rsidRPr="006D40F0">
              <w:t>32 000</w:t>
            </w:r>
          </w:p>
        </w:tc>
      </w:tr>
      <w:tr w:rsidR="00DD49A7" w:rsidRPr="006D40F0" w14:paraId="423429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E540A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8EDB8E2" w14:textId="77777777" w:rsidR="00575AC3" w:rsidRPr="006D40F0" w:rsidRDefault="00575AC3" w:rsidP="006D40F0">
            <w:r w:rsidRPr="006D40F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DA7FC1" w14:textId="77777777" w:rsidR="00575AC3" w:rsidRPr="006D40F0" w:rsidRDefault="00575AC3" w:rsidP="006D40F0">
            <w:r w:rsidRPr="006D40F0">
              <w:t>Andre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63FE27" w14:textId="77777777" w:rsidR="00575AC3" w:rsidRPr="006D40F0" w:rsidRDefault="00575AC3" w:rsidP="006D40F0">
            <w:r w:rsidRPr="006D40F0">
              <w:t>6 786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1A25B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5A796" w14:textId="77777777" w:rsidR="00575AC3" w:rsidRPr="006D40F0" w:rsidRDefault="00575AC3" w:rsidP="006D40F0">
            <w:r w:rsidRPr="006D40F0">
              <w:t>33 221</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9AF19F" w14:textId="77777777" w:rsidR="00575AC3" w:rsidRPr="006D40F0" w:rsidRDefault="00575AC3" w:rsidP="006D40F0">
            <w:r w:rsidRPr="006D40F0">
              <w:t>40 007</w:t>
            </w:r>
          </w:p>
        </w:tc>
      </w:tr>
      <w:tr w:rsidR="00DD49A7" w:rsidRPr="006D40F0" w14:paraId="16FB9E6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61E159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304B28" w14:textId="77777777" w:rsidR="00575AC3" w:rsidRPr="006D40F0" w:rsidRDefault="00575AC3" w:rsidP="006D40F0">
            <w:r w:rsidRPr="006D40F0">
              <w:t>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C00190" w14:textId="77777777" w:rsidR="00575AC3" w:rsidRPr="006D40F0" w:rsidRDefault="00575AC3" w:rsidP="006D40F0">
            <w:r w:rsidRPr="006D40F0">
              <w:t>Gebyr for utleggsforretninger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8EED1" w14:textId="77777777" w:rsidR="00575AC3" w:rsidRPr="006D40F0" w:rsidRDefault="00575AC3" w:rsidP="006D40F0">
            <w:r w:rsidRPr="006D40F0">
              <w:t>125 000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BEAB5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C09D53" w14:textId="77777777" w:rsidR="00575AC3" w:rsidRPr="006D40F0" w:rsidRDefault="00575AC3" w:rsidP="006D40F0">
            <w:r w:rsidRPr="006D40F0">
              <w:t>-15 000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6035C5" w14:textId="77777777" w:rsidR="00575AC3" w:rsidRPr="006D40F0" w:rsidRDefault="00575AC3" w:rsidP="006D40F0">
            <w:r w:rsidRPr="006D40F0">
              <w:t>110 000</w:t>
            </w:r>
          </w:p>
        </w:tc>
      </w:tr>
      <w:tr w:rsidR="00DD49A7" w:rsidRPr="006D40F0" w14:paraId="6A44932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F7EAF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AFD1B7C" w14:textId="77777777" w:rsidR="00575AC3" w:rsidRPr="006D40F0" w:rsidRDefault="00575AC3" w:rsidP="006D40F0">
            <w:r w:rsidRPr="006D40F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B142829" w14:textId="77777777" w:rsidR="00575AC3" w:rsidRPr="006D40F0" w:rsidRDefault="00575AC3" w:rsidP="006D40F0">
            <w:r w:rsidRPr="006D40F0">
              <w:t>Bøter, inndragninger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564A3" w14:textId="77777777" w:rsidR="00575AC3" w:rsidRPr="006D40F0" w:rsidRDefault="00575AC3" w:rsidP="006D40F0">
            <w:r w:rsidRPr="006D40F0">
              <w:t>1 850 000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02C6D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91EE4F" w14:textId="77777777" w:rsidR="00575AC3" w:rsidRPr="006D40F0" w:rsidRDefault="00575AC3" w:rsidP="006D40F0">
            <w:r w:rsidRPr="006D40F0">
              <w:t>150 000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7010E2" w14:textId="77777777" w:rsidR="00575AC3" w:rsidRPr="006D40F0" w:rsidRDefault="00575AC3" w:rsidP="006D40F0">
            <w:r w:rsidRPr="006D40F0">
              <w:t>2 000 000</w:t>
            </w:r>
          </w:p>
        </w:tc>
      </w:tr>
      <w:tr w:rsidR="00DD49A7" w:rsidRPr="006D40F0" w14:paraId="4E0F40AA"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CF26D2" w14:textId="77777777" w:rsidR="00575AC3" w:rsidRPr="006D40F0" w:rsidRDefault="00575AC3" w:rsidP="006D40F0">
            <w:r w:rsidRPr="006D40F0">
              <w:t>4645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1141B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A1229B9" w14:textId="77777777" w:rsidR="00575AC3" w:rsidRPr="006D40F0" w:rsidRDefault="00575AC3" w:rsidP="006D40F0">
            <w:r w:rsidRPr="006D40F0">
              <w:t>Statlig garantiordning for lån til små og mellomstore 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D772C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BFF1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55B5F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3205A4" w14:textId="77777777" w:rsidR="00575AC3" w:rsidRPr="006D40F0" w:rsidRDefault="00575AC3" w:rsidP="006D40F0"/>
        </w:tc>
      </w:tr>
      <w:tr w:rsidR="00DD49A7" w:rsidRPr="006D40F0" w14:paraId="72A2EA63"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309CA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5F6F69A" w14:textId="77777777" w:rsidR="00575AC3" w:rsidRPr="006D40F0" w:rsidRDefault="00575AC3" w:rsidP="006D40F0">
            <w:r w:rsidRPr="006D40F0">
              <w:t>50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E5F71C6" w14:textId="77777777" w:rsidR="00575AC3" w:rsidRPr="006D40F0" w:rsidRDefault="00575AC3" w:rsidP="006D40F0">
            <w:r w:rsidRPr="006D40F0">
              <w:t>Tilbakeføring av tapsavsetning for statlig garantiordning for lån til små og mellomstore 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9C8E46"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70AE8F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99691D" w14:textId="77777777" w:rsidR="00575AC3" w:rsidRPr="006D40F0" w:rsidRDefault="00575AC3" w:rsidP="006D40F0">
            <w:r w:rsidRPr="006D40F0">
              <w:t>7 000 000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623549" w14:textId="77777777" w:rsidR="00575AC3" w:rsidRPr="006D40F0" w:rsidRDefault="00575AC3" w:rsidP="006D40F0">
            <w:r w:rsidRPr="006D40F0">
              <w:t>7 000 000</w:t>
            </w:r>
          </w:p>
        </w:tc>
      </w:tr>
      <w:tr w:rsidR="00DD49A7" w:rsidRPr="006D40F0" w14:paraId="1B6AF554"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06D2FF" w14:textId="77777777" w:rsidR="00575AC3" w:rsidRPr="006D40F0" w:rsidRDefault="00575AC3" w:rsidP="006D40F0">
            <w:r w:rsidRPr="006D40F0">
              <w:t>4710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D9645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EC3AFE" w14:textId="77777777" w:rsidR="00575AC3" w:rsidRPr="006D40F0" w:rsidRDefault="00575AC3" w:rsidP="006D40F0">
            <w:r w:rsidRPr="006D40F0">
              <w:t>Forsvarsbygg og nybygg og nyanlegg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A0222E"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4BF49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F2E8F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1E07812" w14:textId="77777777" w:rsidR="00575AC3" w:rsidRPr="006D40F0" w:rsidRDefault="00575AC3" w:rsidP="006D40F0"/>
        </w:tc>
      </w:tr>
      <w:tr w:rsidR="00DD49A7" w:rsidRPr="006D40F0" w14:paraId="06CB7D7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1524B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2C1BD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035001E" w14:textId="77777777" w:rsidR="00575AC3" w:rsidRPr="006D40F0" w:rsidRDefault="00575AC3" w:rsidP="006D40F0">
            <w:r w:rsidRPr="006D40F0">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523FDD" w14:textId="77777777" w:rsidR="00575AC3" w:rsidRPr="006D40F0" w:rsidRDefault="00575AC3" w:rsidP="006D40F0">
            <w:r w:rsidRPr="006D40F0">
              <w:t>4 918 506</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68C74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B16E91" w14:textId="77777777" w:rsidR="00575AC3" w:rsidRPr="006D40F0" w:rsidRDefault="00575AC3" w:rsidP="006D40F0">
            <w:r w:rsidRPr="006D40F0">
              <w:t>30 100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EB9BF9" w14:textId="77777777" w:rsidR="00575AC3" w:rsidRPr="006D40F0" w:rsidRDefault="00575AC3" w:rsidP="006D40F0">
            <w:r w:rsidRPr="006D40F0">
              <w:t>4 948 606</w:t>
            </w:r>
          </w:p>
        </w:tc>
      </w:tr>
      <w:tr w:rsidR="00DD49A7" w:rsidRPr="006D40F0" w14:paraId="72A545A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9A230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3F0F6B" w14:textId="77777777" w:rsidR="00575AC3" w:rsidRPr="006D40F0" w:rsidRDefault="00575AC3" w:rsidP="006D40F0">
            <w:r w:rsidRPr="006D40F0">
              <w:t>47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13F8571" w14:textId="77777777" w:rsidR="00575AC3" w:rsidRPr="006D40F0" w:rsidRDefault="00575AC3" w:rsidP="006D40F0">
            <w:r w:rsidRPr="006D40F0">
              <w:t>Salg av eiendom</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EF0668" w14:textId="77777777" w:rsidR="00575AC3" w:rsidRPr="006D40F0" w:rsidRDefault="00575AC3" w:rsidP="006D40F0">
            <w:r w:rsidRPr="006D40F0">
              <w:t>285 000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D5B3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45A978" w14:textId="77777777" w:rsidR="00575AC3" w:rsidRPr="006D40F0" w:rsidRDefault="00575AC3" w:rsidP="006D40F0">
            <w:r w:rsidRPr="006D40F0">
              <w:t>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832813" w14:textId="77777777" w:rsidR="00575AC3" w:rsidRPr="006D40F0" w:rsidRDefault="00575AC3" w:rsidP="006D40F0">
            <w:r w:rsidRPr="006D40F0">
              <w:t>385 000</w:t>
            </w:r>
          </w:p>
        </w:tc>
      </w:tr>
      <w:tr w:rsidR="00DD49A7" w:rsidRPr="006D40F0" w14:paraId="673F554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6F09E3" w14:textId="77777777" w:rsidR="00575AC3" w:rsidRPr="006D40F0" w:rsidRDefault="00575AC3" w:rsidP="006D40F0">
            <w:r w:rsidRPr="006D40F0">
              <w:t>4720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DB360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BB4D8AD" w14:textId="77777777" w:rsidR="00575AC3" w:rsidRPr="006D40F0" w:rsidRDefault="00575AC3" w:rsidP="006D40F0">
            <w:r w:rsidRPr="006D40F0">
              <w:t>Forsvaret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E943C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DA2ED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42D5C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100292" w14:textId="77777777" w:rsidR="00575AC3" w:rsidRPr="006D40F0" w:rsidRDefault="00575AC3" w:rsidP="006D40F0"/>
        </w:tc>
      </w:tr>
      <w:tr w:rsidR="00DD49A7" w:rsidRPr="006D40F0" w14:paraId="1FA74F6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B6A3F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BDE0AD"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F61166D" w14:textId="77777777" w:rsidR="00575AC3" w:rsidRPr="006D40F0" w:rsidRDefault="00575AC3" w:rsidP="006D40F0">
            <w:r w:rsidRPr="006D40F0">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A63BAD" w14:textId="77777777" w:rsidR="00575AC3" w:rsidRPr="006D40F0" w:rsidRDefault="00575AC3" w:rsidP="006D40F0">
            <w:r w:rsidRPr="006D40F0">
              <w:t>894 680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4C1AC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AC8109" w14:textId="77777777" w:rsidR="00575AC3" w:rsidRPr="006D40F0" w:rsidRDefault="00575AC3" w:rsidP="006D40F0">
            <w:r w:rsidRPr="006D40F0">
              <w:t>549 785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DF2551" w14:textId="77777777" w:rsidR="00575AC3" w:rsidRPr="006D40F0" w:rsidRDefault="00575AC3" w:rsidP="006D40F0">
            <w:r w:rsidRPr="006D40F0">
              <w:t>1 444 465</w:t>
            </w:r>
          </w:p>
        </w:tc>
      </w:tr>
      <w:tr w:rsidR="00DD49A7" w:rsidRPr="006D40F0" w14:paraId="4689C2C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9DADA8" w14:textId="77777777" w:rsidR="00575AC3" w:rsidRPr="006D40F0" w:rsidRDefault="00575AC3" w:rsidP="006D40F0">
            <w:r w:rsidRPr="006D40F0">
              <w:t>4760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C1BE94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D26F78" w14:textId="77777777" w:rsidR="00575AC3" w:rsidRPr="006D40F0" w:rsidRDefault="00575AC3" w:rsidP="006D40F0">
            <w:r w:rsidRPr="006D40F0">
              <w:t>Forsvarsmateriell og større anskaffelser og vedlikehold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0AF42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449644"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45875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66103C" w14:textId="77777777" w:rsidR="00575AC3" w:rsidRPr="006D40F0" w:rsidRDefault="00575AC3" w:rsidP="006D40F0"/>
        </w:tc>
      </w:tr>
      <w:tr w:rsidR="00DD49A7" w:rsidRPr="006D40F0" w14:paraId="68198CB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017B1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DB3F47"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B174330" w14:textId="77777777" w:rsidR="00575AC3" w:rsidRPr="006D40F0" w:rsidRDefault="00575AC3" w:rsidP="006D40F0">
            <w:r w:rsidRPr="006D40F0">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794B5A" w14:textId="77777777" w:rsidR="00575AC3" w:rsidRPr="006D40F0" w:rsidRDefault="00575AC3" w:rsidP="006D40F0">
            <w:r w:rsidRPr="006D40F0">
              <w:t>34 994</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4C770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7F8F13" w14:textId="77777777" w:rsidR="00575AC3" w:rsidRPr="006D40F0" w:rsidRDefault="00575AC3" w:rsidP="006D40F0">
            <w:r w:rsidRPr="006D40F0">
              <w:t>94 000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A0C104" w14:textId="77777777" w:rsidR="00575AC3" w:rsidRPr="006D40F0" w:rsidRDefault="00575AC3" w:rsidP="006D40F0">
            <w:r w:rsidRPr="006D40F0">
              <w:t>128 994</w:t>
            </w:r>
          </w:p>
        </w:tc>
      </w:tr>
      <w:tr w:rsidR="00DD49A7" w:rsidRPr="006D40F0" w14:paraId="2585B54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737652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32F5C02" w14:textId="77777777" w:rsidR="00575AC3" w:rsidRPr="006D40F0" w:rsidRDefault="00575AC3" w:rsidP="006D40F0">
            <w:r w:rsidRPr="006D40F0">
              <w:t>45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E99B55" w14:textId="77777777" w:rsidR="00575AC3" w:rsidRPr="006D40F0" w:rsidRDefault="00575AC3" w:rsidP="006D40F0">
            <w:r w:rsidRPr="006D40F0">
              <w:t>Større utstyrsanskaffelser og vedlikehold,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F8E737" w14:textId="77777777" w:rsidR="00575AC3" w:rsidRPr="006D40F0" w:rsidRDefault="00575AC3" w:rsidP="006D40F0">
            <w:r w:rsidRPr="006D40F0">
              <w:t>1 540 463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CB12E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2A20828" w14:textId="77777777" w:rsidR="00575AC3" w:rsidRPr="006D40F0" w:rsidRDefault="00575AC3" w:rsidP="006D40F0">
            <w:r w:rsidRPr="006D40F0">
              <w:t>-390 000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1FBC3F" w14:textId="77777777" w:rsidR="00575AC3" w:rsidRPr="006D40F0" w:rsidRDefault="00575AC3" w:rsidP="006D40F0">
            <w:r w:rsidRPr="006D40F0">
              <w:t>1 150 463</w:t>
            </w:r>
          </w:p>
        </w:tc>
      </w:tr>
      <w:tr w:rsidR="00DD49A7" w:rsidRPr="006D40F0" w14:paraId="7EF3BCE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588FA7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2FDFA4E" w14:textId="77777777" w:rsidR="00575AC3" w:rsidRPr="006D40F0" w:rsidRDefault="00575AC3" w:rsidP="006D40F0">
            <w:r w:rsidRPr="006D40F0">
              <w:t>48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4784FF7" w14:textId="77777777" w:rsidR="00575AC3" w:rsidRPr="006D40F0" w:rsidRDefault="00575AC3" w:rsidP="006D40F0">
            <w:r w:rsidRPr="006D40F0">
              <w:t>Fellesfinansierte investeringer,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0711A" w14:textId="77777777" w:rsidR="00575AC3" w:rsidRPr="006D40F0" w:rsidRDefault="00575AC3" w:rsidP="006D40F0">
            <w:r w:rsidRPr="006D40F0">
              <w:t>390 000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1FB90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0A1F6E" w14:textId="77777777" w:rsidR="00575AC3" w:rsidRPr="006D40F0" w:rsidRDefault="00575AC3" w:rsidP="006D40F0">
            <w:r w:rsidRPr="006D40F0">
              <w:t>310 400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4894A" w14:textId="77777777" w:rsidR="00575AC3" w:rsidRPr="006D40F0" w:rsidRDefault="00575AC3" w:rsidP="006D40F0">
            <w:r w:rsidRPr="006D40F0">
              <w:t>700 400</w:t>
            </w:r>
          </w:p>
        </w:tc>
      </w:tr>
      <w:tr w:rsidR="00DD49A7" w:rsidRPr="006D40F0" w14:paraId="71316E2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A33F89" w14:textId="77777777" w:rsidR="00575AC3" w:rsidRPr="006D40F0" w:rsidRDefault="00575AC3" w:rsidP="006D40F0">
            <w:r w:rsidRPr="006D40F0">
              <w:t>4791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CC9659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54AAD70" w14:textId="77777777" w:rsidR="00575AC3" w:rsidRPr="006D40F0" w:rsidRDefault="00575AC3" w:rsidP="006D40F0">
            <w:r w:rsidRPr="006D40F0">
              <w:t>Redningshelikoptertjenesten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C976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790B9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F143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676A8AA" w14:textId="77777777" w:rsidR="00575AC3" w:rsidRPr="006D40F0" w:rsidRDefault="00575AC3" w:rsidP="006D40F0"/>
        </w:tc>
      </w:tr>
      <w:tr w:rsidR="00DD49A7" w:rsidRPr="006D40F0" w14:paraId="3603E60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05CAE2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930209"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8C1FF9D" w14:textId="77777777" w:rsidR="00575AC3" w:rsidRPr="006D40F0" w:rsidRDefault="00575AC3" w:rsidP="006D40F0">
            <w:r w:rsidRPr="006D40F0">
              <w:t>Driftsinntekter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781CE6" w14:textId="77777777" w:rsidR="00575AC3" w:rsidRPr="006D40F0" w:rsidRDefault="00575AC3" w:rsidP="006D40F0">
            <w:r w:rsidRPr="006D40F0">
              <w:t>529 797</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F98EE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ECFF1A" w14:textId="77777777" w:rsidR="00575AC3" w:rsidRPr="006D40F0" w:rsidRDefault="00575AC3" w:rsidP="006D40F0">
            <w:r w:rsidRPr="006D40F0">
              <w:t>31 660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035C97" w14:textId="77777777" w:rsidR="00575AC3" w:rsidRPr="006D40F0" w:rsidRDefault="00575AC3" w:rsidP="006D40F0">
            <w:r w:rsidRPr="006D40F0">
              <w:t>561 457</w:t>
            </w:r>
          </w:p>
        </w:tc>
      </w:tr>
      <w:tr w:rsidR="00DD49A7" w:rsidRPr="006D40F0" w14:paraId="0609601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E9C2D80" w14:textId="77777777" w:rsidR="00575AC3" w:rsidRPr="006D40F0" w:rsidRDefault="00575AC3" w:rsidP="006D40F0">
            <w:r w:rsidRPr="006D40F0">
              <w:t>4810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88A5F9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82FB40" w14:textId="77777777" w:rsidR="00575AC3" w:rsidRPr="006D40F0" w:rsidRDefault="00575AC3" w:rsidP="006D40F0">
            <w:r w:rsidRPr="006D40F0">
              <w:t>Sokkeldirektoratet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EDB1B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C6E5A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46E4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3E8D392" w14:textId="77777777" w:rsidR="00575AC3" w:rsidRPr="006D40F0" w:rsidRDefault="00575AC3" w:rsidP="006D40F0"/>
        </w:tc>
      </w:tr>
      <w:tr w:rsidR="00DD49A7" w:rsidRPr="006D40F0" w14:paraId="7E9773B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B7C98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5BA9629" w14:textId="77777777" w:rsidR="00575AC3" w:rsidRPr="006D40F0" w:rsidRDefault="00575AC3" w:rsidP="006D40F0">
            <w:r w:rsidRPr="006D40F0">
              <w:t>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1F6821" w14:textId="77777777" w:rsidR="00575AC3" w:rsidRPr="006D40F0" w:rsidRDefault="00575AC3" w:rsidP="006D40F0">
            <w:r w:rsidRPr="006D40F0">
              <w:t>Salg av undersøkelsesmateriale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EA8D88"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4888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3763A8" w14:textId="77777777" w:rsidR="00575AC3" w:rsidRPr="006D40F0" w:rsidRDefault="00575AC3" w:rsidP="006D40F0">
            <w:r w:rsidRPr="006D40F0">
              <w:t>59 500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F72D74" w14:textId="77777777" w:rsidR="00575AC3" w:rsidRPr="006D40F0" w:rsidRDefault="00575AC3" w:rsidP="006D40F0">
            <w:r w:rsidRPr="006D40F0">
              <w:t>59 500</w:t>
            </w:r>
          </w:p>
        </w:tc>
      </w:tr>
      <w:tr w:rsidR="00DD49A7" w:rsidRPr="006D40F0" w14:paraId="402FB2D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33EEC47" w14:textId="77777777" w:rsidR="00575AC3" w:rsidRPr="006D40F0" w:rsidRDefault="00575AC3" w:rsidP="006D40F0">
            <w:r w:rsidRPr="006D40F0">
              <w:t>4820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FFB2DA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212E238" w14:textId="77777777" w:rsidR="00575AC3" w:rsidRPr="006D40F0" w:rsidRDefault="00575AC3" w:rsidP="006D40F0">
            <w:r w:rsidRPr="006D40F0">
              <w:t>Norges vassdrags- og energidirektorat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7D38B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F58B1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E4C2D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13D71A" w14:textId="77777777" w:rsidR="00575AC3" w:rsidRPr="006D40F0" w:rsidRDefault="00575AC3" w:rsidP="006D40F0"/>
        </w:tc>
      </w:tr>
      <w:tr w:rsidR="00DD49A7" w:rsidRPr="006D40F0" w14:paraId="3C389C0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0EDF83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5842B4" w14:textId="77777777" w:rsidR="00575AC3" w:rsidRPr="006D40F0" w:rsidRDefault="00575AC3" w:rsidP="006D40F0">
            <w:r w:rsidRPr="006D40F0">
              <w:t>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903BC60" w14:textId="77777777" w:rsidR="00575AC3" w:rsidRPr="006D40F0" w:rsidRDefault="00575AC3" w:rsidP="006D40F0">
            <w:r w:rsidRPr="006D40F0">
              <w:t>Gebyrinntekter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5E6AAA" w14:textId="77777777" w:rsidR="00575AC3" w:rsidRPr="006D40F0" w:rsidRDefault="00575AC3" w:rsidP="006D40F0">
            <w:r w:rsidRPr="006D40F0">
              <w:t>11 500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2EFA0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3A2179"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231DBC" w14:textId="77777777" w:rsidR="00575AC3" w:rsidRPr="006D40F0" w:rsidRDefault="00575AC3" w:rsidP="006D40F0">
            <w:r w:rsidRPr="006D40F0">
              <w:t>10 000</w:t>
            </w:r>
          </w:p>
        </w:tc>
      </w:tr>
      <w:tr w:rsidR="00DD49A7" w:rsidRPr="006D40F0" w14:paraId="39F48B2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C66D3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158CB6B" w14:textId="77777777" w:rsidR="00575AC3" w:rsidRPr="006D40F0" w:rsidRDefault="00575AC3" w:rsidP="006D40F0">
            <w:r w:rsidRPr="006D40F0">
              <w:t>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680AC0C" w14:textId="77777777" w:rsidR="00575AC3" w:rsidRPr="006D40F0" w:rsidRDefault="00575AC3" w:rsidP="006D40F0">
            <w:r w:rsidRPr="006D40F0">
              <w:t>Oppdrags- og samarbeidsinntekter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554304" w14:textId="77777777" w:rsidR="00575AC3" w:rsidRPr="006D40F0" w:rsidRDefault="00575AC3" w:rsidP="006D40F0">
            <w:r w:rsidRPr="006D40F0">
              <w:t>70 000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F8D7A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B7519E6" w14:textId="77777777" w:rsidR="00575AC3" w:rsidRPr="006D40F0" w:rsidRDefault="00575AC3" w:rsidP="006D40F0">
            <w:r w:rsidRPr="006D40F0">
              <w:t>-11 000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6F614C" w14:textId="77777777" w:rsidR="00575AC3" w:rsidRPr="006D40F0" w:rsidRDefault="00575AC3" w:rsidP="006D40F0">
            <w:r w:rsidRPr="006D40F0">
              <w:t>59 000</w:t>
            </w:r>
          </w:p>
        </w:tc>
      </w:tr>
      <w:tr w:rsidR="00DD49A7" w:rsidRPr="006D40F0" w14:paraId="66A4D30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58B629B" w14:textId="77777777" w:rsidR="00575AC3" w:rsidRPr="006D40F0" w:rsidRDefault="00575AC3" w:rsidP="006D40F0">
            <w:r w:rsidRPr="006D40F0">
              <w:t>5310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52D5C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7E05511" w14:textId="77777777" w:rsidR="00575AC3" w:rsidRPr="006D40F0" w:rsidRDefault="00575AC3" w:rsidP="006D40F0">
            <w:r w:rsidRPr="006D40F0">
              <w:t>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42C26F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DEED7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4939CF"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3BA7E6" w14:textId="77777777" w:rsidR="00575AC3" w:rsidRPr="006D40F0" w:rsidRDefault="00575AC3" w:rsidP="006D40F0"/>
        </w:tc>
      </w:tr>
      <w:tr w:rsidR="00DD49A7" w:rsidRPr="006D40F0" w14:paraId="2290378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40C7C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C3BF587" w14:textId="77777777" w:rsidR="00575AC3" w:rsidRPr="006D40F0" w:rsidRDefault="00575AC3" w:rsidP="006D40F0">
            <w:r w:rsidRPr="006D40F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34721A5" w14:textId="77777777" w:rsidR="00575AC3" w:rsidRPr="006D40F0" w:rsidRDefault="00575AC3" w:rsidP="006D40F0">
            <w:r w:rsidRPr="006D40F0">
              <w:t>Purregebyrer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E29C78" w14:textId="77777777" w:rsidR="00575AC3" w:rsidRPr="006D40F0" w:rsidRDefault="00575AC3" w:rsidP="006D40F0">
            <w:r w:rsidRPr="006D40F0">
              <w:t>90 228</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99862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BC68D8" w14:textId="77777777" w:rsidR="00575AC3" w:rsidRPr="006D40F0" w:rsidRDefault="00575AC3" w:rsidP="006D40F0">
            <w:r w:rsidRPr="006D40F0">
              <w:t>16 860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0F2F24" w14:textId="77777777" w:rsidR="00575AC3" w:rsidRPr="006D40F0" w:rsidRDefault="00575AC3" w:rsidP="006D40F0">
            <w:r w:rsidRPr="006D40F0">
              <w:t>107 088</w:t>
            </w:r>
          </w:p>
        </w:tc>
      </w:tr>
      <w:tr w:rsidR="00DD49A7" w:rsidRPr="006D40F0" w14:paraId="5FE3986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AFA39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22C3E0"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2C125D1" w14:textId="77777777" w:rsidR="00575AC3" w:rsidRPr="006D40F0" w:rsidRDefault="00575AC3" w:rsidP="006D40F0">
            <w:r w:rsidRPr="006D40F0">
              <w:t>Redusert lån og rentegjeld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D49AAC" w14:textId="77777777" w:rsidR="00575AC3" w:rsidRPr="006D40F0" w:rsidRDefault="00575AC3" w:rsidP="006D40F0">
            <w:r w:rsidRPr="006D40F0">
              <w:t>13 970 169</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3E608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08C1D3" w14:textId="77777777" w:rsidR="00575AC3" w:rsidRPr="006D40F0" w:rsidRDefault="00575AC3" w:rsidP="006D40F0">
            <w:r w:rsidRPr="006D40F0">
              <w:t>-591 117</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00A5C1" w14:textId="77777777" w:rsidR="00575AC3" w:rsidRPr="006D40F0" w:rsidRDefault="00575AC3" w:rsidP="006D40F0">
            <w:r w:rsidRPr="006D40F0">
              <w:t>13 379 052</w:t>
            </w:r>
          </w:p>
        </w:tc>
      </w:tr>
      <w:tr w:rsidR="00DD49A7" w:rsidRPr="006D40F0" w14:paraId="3164765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959B51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849310" w14:textId="77777777" w:rsidR="00575AC3" w:rsidRPr="006D40F0" w:rsidRDefault="00575AC3" w:rsidP="006D40F0">
            <w:r w:rsidRPr="006D40F0">
              <w:t>93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0A9BA4" w14:textId="77777777" w:rsidR="00575AC3" w:rsidRPr="006D40F0" w:rsidRDefault="00575AC3" w:rsidP="006D40F0">
            <w:r w:rsidRPr="006D40F0">
              <w:t>Omgjøring av utdanningslån til stipend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1995A" w14:textId="77777777" w:rsidR="00575AC3" w:rsidRPr="006D40F0" w:rsidRDefault="00575AC3" w:rsidP="006D40F0">
            <w:r w:rsidRPr="006D40F0">
              <w:t>8 287 563</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864E31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7E70E" w14:textId="77777777" w:rsidR="00575AC3" w:rsidRPr="006D40F0" w:rsidRDefault="00575AC3" w:rsidP="006D40F0">
            <w:r w:rsidRPr="006D40F0">
              <w:t>78 075</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7E2CB" w14:textId="77777777" w:rsidR="00575AC3" w:rsidRPr="006D40F0" w:rsidRDefault="00575AC3" w:rsidP="006D40F0">
            <w:r w:rsidRPr="006D40F0">
              <w:t>8 365 638</w:t>
            </w:r>
          </w:p>
        </w:tc>
      </w:tr>
      <w:tr w:rsidR="00DD49A7" w:rsidRPr="006D40F0" w14:paraId="4E210F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1DA7D9" w14:textId="77777777" w:rsidR="00575AC3" w:rsidRPr="006D40F0" w:rsidRDefault="00575AC3" w:rsidP="006D40F0">
            <w:r w:rsidRPr="006D40F0">
              <w:t>5312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ABD166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11873E" w14:textId="77777777" w:rsidR="00575AC3" w:rsidRPr="006D40F0" w:rsidRDefault="00575AC3" w:rsidP="006D40F0">
            <w:r w:rsidRPr="006D40F0">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7E523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24785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28BD0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E995B4" w14:textId="77777777" w:rsidR="00575AC3" w:rsidRPr="006D40F0" w:rsidRDefault="00575AC3" w:rsidP="006D40F0"/>
        </w:tc>
      </w:tr>
      <w:tr w:rsidR="00DD49A7" w:rsidRPr="006D40F0" w14:paraId="106FE3F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5C9E0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276E67" w14:textId="77777777" w:rsidR="00575AC3" w:rsidRPr="006D40F0" w:rsidRDefault="00575AC3" w:rsidP="006D40F0">
            <w:r w:rsidRPr="006D40F0">
              <w:t>90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C3228F" w14:textId="77777777" w:rsidR="00575AC3" w:rsidRPr="006D40F0" w:rsidRDefault="00575AC3" w:rsidP="006D40F0">
            <w:r w:rsidRPr="006D40F0">
              <w:t>Avdrag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511AA2E" w14:textId="77777777" w:rsidR="00575AC3" w:rsidRPr="006D40F0" w:rsidRDefault="00575AC3" w:rsidP="006D40F0">
            <w:r w:rsidRPr="006D40F0">
              <w:t>14 648 000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BA8592"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A30A3A" w14:textId="77777777" w:rsidR="00575AC3" w:rsidRPr="006D40F0" w:rsidRDefault="00575AC3" w:rsidP="006D40F0">
            <w:r w:rsidRPr="006D40F0">
              <w:t>-492 000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CC4B42" w14:textId="77777777" w:rsidR="00575AC3" w:rsidRPr="006D40F0" w:rsidRDefault="00575AC3" w:rsidP="006D40F0">
            <w:r w:rsidRPr="006D40F0">
              <w:t>14 156 000</w:t>
            </w:r>
          </w:p>
        </w:tc>
      </w:tr>
      <w:tr w:rsidR="00DD49A7" w:rsidRPr="006D40F0" w14:paraId="5CF816F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F885A89" w14:textId="77777777" w:rsidR="00575AC3" w:rsidRPr="006D40F0" w:rsidRDefault="00575AC3" w:rsidP="006D40F0">
            <w:r w:rsidRPr="006D40F0">
              <w:t>5325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06064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2B705E" w14:textId="77777777" w:rsidR="00575AC3" w:rsidRPr="006D40F0" w:rsidRDefault="00575AC3" w:rsidP="006D40F0">
            <w:r w:rsidRPr="006D40F0">
              <w:t>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C827DD3"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21B98E"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9D85561"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B502714" w14:textId="77777777" w:rsidR="00575AC3" w:rsidRPr="006D40F0" w:rsidRDefault="00575AC3" w:rsidP="006D40F0"/>
        </w:tc>
      </w:tr>
      <w:tr w:rsidR="00DD49A7" w:rsidRPr="006D40F0" w14:paraId="33E10A1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96B0E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0CF186" w14:textId="77777777" w:rsidR="00575AC3" w:rsidRPr="006D40F0" w:rsidRDefault="00575AC3" w:rsidP="006D40F0">
            <w:r w:rsidRPr="006D40F0">
              <w:t>53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9A5B39" w14:textId="77777777" w:rsidR="00575AC3" w:rsidRPr="006D40F0" w:rsidRDefault="00575AC3" w:rsidP="006D40F0">
            <w:r w:rsidRPr="006D40F0">
              <w:t>Tilbakeføring av ubrukte tiltakspakkemidler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AA86BA"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BFF726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D585F5" w14:textId="77777777" w:rsidR="00575AC3" w:rsidRPr="006D40F0" w:rsidRDefault="00575AC3" w:rsidP="006D40F0">
            <w:r w:rsidRPr="006D40F0">
              <w:t>200 839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80D10F" w14:textId="77777777" w:rsidR="00575AC3" w:rsidRPr="006D40F0" w:rsidRDefault="00575AC3" w:rsidP="006D40F0">
            <w:r w:rsidRPr="006D40F0">
              <w:t>200 839</w:t>
            </w:r>
          </w:p>
        </w:tc>
      </w:tr>
      <w:tr w:rsidR="00DD49A7" w:rsidRPr="006D40F0" w14:paraId="72B2910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B4DAFF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64376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5AE2562" w14:textId="77777777" w:rsidR="00575AC3" w:rsidRPr="006D40F0" w:rsidRDefault="00575AC3" w:rsidP="006D40F0">
            <w:r w:rsidRPr="006D40F0">
              <w:t>Låneprovisjoner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DD1EEF" w14:textId="77777777" w:rsidR="00575AC3" w:rsidRPr="006D40F0" w:rsidRDefault="00575AC3" w:rsidP="006D40F0">
            <w:r w:rsidRPr="006D40F0">
              <w:t>72 000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F873E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82CD17" w14:textId="77777777" w:rsidR="00575AC3" w:rsidRPr="006D40F0" w:rsidRDefault="00575AC3" w:rsidP="006D40F0">
            <w:r w:rsidRPr="006D40F0">
              <w:t>-3 700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02CE56" w14:textId="77777777" w:rsidR="00575AC3" w:rsidRPr="006D40F0" w:rsidRDefault="00575AC3" w:rsidP="006D40F0">
            <w:r w:rsidRPr="006D40F0">
              <w:t>68 300</w:t>
            </w:r>
          </w:p>
        </w:tc>
      </w:tr>
      <w:tr w:rsidR="00DD49A7" w:rsidRPr="006D40F0" w14:paraId="5654D07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773C1CB" w14:textId="77777777" w:rsidR="00575AC3" w:rsidRPr="006D40F0" w:rsidRDefault="00575AC3" w:rsidP="006D40F0">
            <w:r w:rsidRPr="006D40F0">
              <w:t>5351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DE5E6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3D7ED67" w14:textId="77777777" w:rsidR="00575AC3" w:rsidRPr="006D40F0" w:rsidRDefault="00575AC3" w:rsidP="006D40F0">
            <w:r w:rsidRPr="006D40F0">
              <w:t>Overføring fra Norges Bank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BB88C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7ACD4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20E85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17F2901" w14:textId="77777777" w:rsidR="00575AC3" w:rsidRPr="006D40F0" w:rsidRDefault="00575AC3" w:rsidP="006D40F0"/>
        </w:tc>
      </w:tr>
      <w:tr w:rsidR="00DD49A7" w:rsidRPr="006D40F0" w14:paraId="0002FB81"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ECD9164"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F4F52FC" w14:textId="77777777" w:rsidR="00575AC3" w:rsidRPr="006D40F0" w:rsidRDefault="00575AC3" w:rsidP="006D40F0">
            <w:r w:rsidRPr="006D40F0">
              <w:t>85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212F8D74" w14:textId="77777777" w:rsidR="00575AC3" w:rsidRPr="006D40F0" w:rsidRDefault="00575AC3" w:rsidP="006D40F0">
            <w:r w:rsidRPr="006D40F0">
              <w:t>Overføring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525104" w14:textId="77777777" w:rsidR="00575AC3" w:rsidRPr="006D40F0" w:rsidRDefault="00575AC3" w:rsidP="006D40F0">
            <w:r w:rsidRPr="006D40F0">
              <w:t>24 600 000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FAD0EE"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92E296E" w14:textId="77777777" w:rsidR="00575AC3" w:rsidRPr="006D40F0" w:rsidRDefault="00575AC3" w:rsidP="006D40F0">
            <w:r w:rsidRPr="006D40F0">
              <w:t>-6 995 742</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F83B2C" w14:textId="77777777" w:rsidR="00575AC3" w:rsidRPr="006D40F0" w:rsidRDefault="00575AC3" w:rsidP="006D40F0">
            <w:r w:rsidRPr="006D40F0">
              <w:t>17 604 258</w:t>
            </w:r>
          </w:p>
        </w:tc>
      </w:tr>
      <w:tr w:rsidR="00DD49A7" w:rsidRPr="006D40F0" w14:paraId="3DBF0150"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0D77224A" w14:textId="77777777" w:rsidR="00575AC3" w:rsidRPr="006D40F0" w:rsidRDefault="00575AC3" w:rsidP="006D40F0">
            <w:r w:rsidRPr="006D40F0">
              <w:t>Sum endringer Inntekter under departementene</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E6B1A9F"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DE90DBB"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0C09776" w14:textId="77777777" w:rsidR="00575AC3" w:rsidRPr="006D40F0" w:rsidRDefault="00575AC3" w:rsidP="006D40F0">
            <w:r w:rsidRPr="006D40F0">
              <w:t>5 889 628</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77F67D5" w14:textId="77777777" w:rsidR="00575AC3" w:rsidRPr="006D40F0" w:rsidRDefault="00575AC3" w:rsidP="006D40F0"/>
        </w:tc>
      </w:tr>
      <w:tr w:rsidR="00DD49A7" w:rsidRPr="006D40F0" w14:paraId="0C456A3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3A236F9" w14:textId="77777777" w:rsidR="00575AC3" w:rsidRPr="006D40F0" w:rsidRDefault="00575AC3" w:rsidP="006D40F0">
            <w:r w:rsidRPr="006D40F0">
              <w:t>5440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123D14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620CDC3" w14:textId="77777777" w:rsidR="00575AC3" w:rsidRPr="006D40F0" w:rsidRDefault="00575AC3" w:rsidP="006D40F0">
            <w:r w:rsidRPr="006D40F0">
              <w:t>Statens direkte økonomiske engasjement i petroleumsvirksomheten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3828F6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C51D6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F065D06"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2B9022" w14:textId="77777777" w:rsidR="00575AC3" w:rsidRPr="006D40F0" w:rsidRDefault="00575AC3" w:rsidP="006D40F0"/>
        </w:tc>
      </w:tr>
      <w:tr w:rsidR="00DD49A7" w:rsidRPr="006D40F0" w14:paraId="2AF399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081E7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88673D4" w14:textId="77777777" w:rsidR="00575AC3" w:rsidRPr="006D40F0" w:rsidRDefault="00575AC3" w:rsidP="006D40F0">
            <w:r w:rsidRPr="006D40F0">
              <w:t>24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1684B9" w14:textId="77777777" w:rsidR="00575AC3" w:rsidRPr="006D40F0" w:rsidRDefault="00575AC3" w:rsidP="006D40F0">
            <w:r w:rsidRPr="006D40F0">
              <w:t>Driftsresultat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EE9F06" w14:textId="77777777" w:rsidR="00575AC3" w:rsidRPr="006D40F0" w:rsidRDefault="00575AC3" w:rsidP="006D40F0">
            <w:r w:rsidRPr="006D40F0">
              <w:t>295 900 000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577FA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8CE50" w14:textId="77777777" w:rsidR="00575AC3" w:rsidRPr="006D40F0" w:rsidRDefault="00575AC3" w:rsidP="006D40F0">
            <w:r w:rsidRPr="006D40F0">
              <w:t>-104 100 000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9F7FB8" w14:textId="77777777" w:rsidR="00575AC3" w:rsidRPr="006D40F0" w:rsidRDefault="00575AC3" w:rsidP="006D40F0">
            <w:r w:rsidRPr="006D40F0">
              <w:t>191 800 000</w:t>
            </w:r>
          </w:p>
        </w:tc>
      </w:tr>
      <w:tr w:rsidR="00DD49A7" w:rsidRPr="006D40F0" w14:paraId="273426A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576D2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B0429D8" w14:textId="77777777" w:rsidR="00575AC3" w:rsidRPr="006D40F0" w:rsidRDefault="00575AC3" w:rsidP="006D40F0">
            <w:r w:rsidRPr="006D40F0">
              <w:t>30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9C61CC8" w14:textId="77777777" w:rsidR="00575AC3" w:rsidRPr="006D40F0" w:rsidRDefault="00575AC3" w:rsidP="006D40F0">
            <w:r w:rsidRPr="006D40F0">
              <w:t>Avskrivninger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4B1247" w14:textId="77777777" w:rsidR="00575AC3" w:rsidRPr="006D40F0" w:rsidRDefault="00575AC3" w:rsidP="006D40F0">
            <w:r w:rsidRPr="006D40F0">
              <w:t>29 100 000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08FDA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F854B9" w14:textId="77777777" w:rsidR="00575AC3" w:rsidRPr="006D40F0" w:rsidRDefault="00575AC3" w:rsidP="006D40F0">
            <w:r w:rsidRPr="006D40F0">
              <w:t>-1 100 000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D721B0" w14:textId="77777777" w:rsidR="00575AC3" w:rsidRPr="006D40F0" w:rsidRDefault="00575AC3" w:rsidP="006D40F0">
            <w:r w:rsidRPr="006D40F0">
              <w:t>28 000 000</w:t>
            </w:r>
          </w:p>
        </w:tc>
      </w:tr>
      <w:tr w:rsidR="00DD49A7" w:rsidRPr="006D40F0" w14:paraId="408C6ACE"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6BC3DC6"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E9A8BA0" w14:textId="77777777" w:rsidR="00575AC3" w:rsidRPr="006D40F0" w:rsidRDefault="00575AC3" w:rsidP="006D40F0">
            <w:r w:rsidRPr="006D40F0">
              <w:t>80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9EB69E5" w14:textId="77777777" w:rsidR="00575AC3" w:rsidRPr="006D40F0" w:rsidRDefault="00575AC3" w:rsidP="006D40F0">
            <w:r w:rsidRPr="006D40F0">
              <w:t>Renter av statens kapital</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4A37D3" w14:textId="77777777" w:rsidR="00575AC3" w:rsidRPr="006D40F0" w:rsidRDefault="00575AC3" w:rsidP="006D40F0">
            <w:r w:rsidRPr="006D40F0">
              <w:t>3 300 000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54C9E59"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63B08C" w14:textId="77777777" w:rsidR="00575AC3" w:rsidRPr="006D40F0" w:rsidRDefault="00575AC3" w:rsidP="006D40F0">
            <w:r w:rsidRPr="006D40F0">
              <w:t>500 000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78BA35" w14:textId="77777777" w:rsidR="00575AC3" w:rsidRPr="006D40F0" w:rsidRDefault="00575AC3" w:rsidP="006D40F0">
            <w:r w:rsidRPr="006D40F0">
              <w:t>3 800 000</w:t>
            </w:r>
          </w:p>
        </w:tc>
      </w:tr>
      <w:tr w:rsidR="00DD49A7" w:rsidRPr="006D40F0" w14:paraId="7E7EBBAB" w14:textId="77777777">
        <w:trPr>
          <w:trHeight w:val="64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65EA3BB9" w14:textId="77777777" w:rsidR="00575AC3" w:rsidRPr="006D40F0" w:rsidRDefault="00575AC3" w:rsidP="006D40F0">
            <w:r w:rsidRPr="006D40F0">
              <w:t>Sum endringer Inntekter fra statlig petroleumsvirksomhet</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6020EB5"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FB222C"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5AEBD1" w14:textId="77777777" w:rsidR="00575AC3" w:rsidRPr="006D40F0" w:rsidRDefault="00575AC3" w:rsidP="006D40F0">
            <w:r w:rsidRPr="006D40F0">
              <w:t>-104 700 000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3159840" w14:textId="77777777" w:rsidR="00575AC3" w:rsidRPr="006D40F0" w:rsidRDefault="00575AC3" w:rsidP="006D40F0"/>
        </w:tc>
      </w:tr>
      <w:tr w:rsidR="00DD49A7" w:rsidRPr="006D40F0" w14:paraId="7C8881E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F288F4" w14:textId="77777777" w:rsidR="00575AC3" w:rsidRPr="006D40F0" w:rsidRDefault="00575AC3" w:rsidP="006D40F0">
            <w:r w:rsidRPr="006D40F0">
              <w:t>5460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7CDFF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6A8F313" w14:textId="77777777" w:rsidR="00575AC3" w:rsidRPr="006D40F0" w:rsidRDefault="00575AC3" w:rsidP="006D40F0">
            <w:r w:rsidRPr="006D40F0">
              <w:t>Eksportfinansiering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A8212C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B16D480"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E3108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FE301C" w14:textId="77777777" w:rsidR="00575AC3" w:rsidRPr="006D40F0" w:rsidRDefault="00575AC3" w:rsidP="006D40F0"/>
        </w:tc>
      </w:tr>
      <w:tr w:rsidR="00DD49A7" w:rsidRPr="006D40F0" w14:paraId="3EDAC847"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BED668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83CFAA" w14:textId="77777777" w:rsidR="00575AC3" w:rsidRPr="006D40F0" w:rsidRDefault="00575AC3" w:rsidP="006D40F0">
            <w:r w:rsidRPr="006D40F0">
              <w:t>51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C29F8C" w14:textId="77777777" w:rsidR="00575AC3" w:rsidRPr="006D40F0" w:rsidRDefault="00575AC3" w:rsidP="006D40F0">
            <w:r w:rsidRPr="006D40F0">
              <w:t>Tilbakeføring av tapsavsetning for risikoavlastningsordningen for garantier til Reisegarantifondet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96FA22F"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ADED9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80B843" w14:textId="77777777" w:rsidR="00575AC3" w:rsidRPr="006D40F0" w:rsidRDefault="00575AC3" w:rsidP="006D40F0">
            <w:r w:rsidRPr="006D40F0">
              <w:t>26 680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29A63A" w14:textId="77777777" w:rsidR="00575AC3" w:rsidRPr="006D40F0" w:rsidRDefault="00575AC3" w:rsidP="006D40F0">
            <w:r w:rsidRPr="006D40F0">
              <w:t>26 680</w:t>
            </w:r>
          </w:p>
        </w:tc>
      </w:tr>
      <w:tr w:rsidR="00DD49A7" w:rsidRPr="006D40F0" w14:paraId="1C237FD8"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A421106"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3940D18" w14:textId="77777777" w:rsidR="00575AC3" w:rsidRPr="006D40F0" w:rsidRDefault="00575AC3" w:rsidP="006D40F0">
            <w:r w:rsidRPr="006D40F0">
              <w:t>52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C6F323" w14:textId="77777777" w:rsidR="00575AC3" w:rsidRPr="006D40F0" w:rsidRDefault="00575AC3" w:rsidP="006D40F0">
            <w:r w:rsidRPr="006D40F0">
              <w:t>Tilbakeføring fra Eksfin av tidligere bevilget tapsavsetning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6A6001" w14:textId="77777777" w:rsidR="00575AC3" w:rsidRPr="006D40F0" w:rsidRDefault="00575AC3" w:rsidP="006D40F0">
            <w:r w:rsidRPr="006D40F0">
              <w:t>9 000 000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F1DB7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7DE4B6" w14:textId="77777777" w:rsidR="00575AC3" w:rsidRPr="006D40F0" w:rsidRDefault="00575AC3" w:rsidP="006D40F0">
            <w:r w:rsidRPr="006D40F0">
              <w:t>1 000 000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BBEA97" w14:textId="77777777" w:rsidR="00575AC3" w:rsidRPr="006D40F0" w:rsidRDefault="00575AC3" w:rsidP="006D40F0">
            <w:r w:rsidRPr="006D40F0">
              <w:t>10 000 000</w:t>
            </w:r>
          </w:p>
        </w:tc>
      </w:tr>
      <w:tr w:rsidR="00DD49A7" w:rsidRPr="006D40F0" w14:paraId="78B213E0"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8EC44E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B1C3E0A" w14:textId="77777777" w:rsidR="00575AC3" w:rsidRPr="006D40F0" w:rsidRDefault="00575AC3" w:rsidP="006D40F0">
            <w:r w:rsidRPr="006D40F0">
              <w:t>53</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584E398" w14:textId="77777777" w:rsidR="00575AC3" w:rsidRPr="006D40F0" w:rsidRDefault="00575AC3" w:rsidP="006D40F0">
            <w:r w:rsidRPr="006D40F0">
              <w:t>Tilbakeføring av tapsavsetning under Luftfartsgarantiordningen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61C0F85"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8C17D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7C5C1E" w14:textId="77777777" w:rsidR="00575AC3" w:rsidRPr="006D40F0" w:rsidRDefault="00575AC3" w:rsidP="006D40F0">
            <w:r w:rsidRPr="006D40F0">
              <w:t>49 700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E6B4C7" w14:textId="77777777" w:rsidR="00575AC3" w:rsidRPr="006D40F0" w:rsidRDefault="00575AC3" w:rsidP="006D40F0">
            <w:r w:rsidRPr="006D40F0">
              <w:t>49 700</w:t>
            </w:r>
          </w:p>
        </w:tc>
      </w:tr>
      <w:tr w:rsidR="00DD49A7" w:rsidRPr="006D40F0" w14:paraId="0F9A7BB4" w14:textId="77777777">
        <w:trPr>
          <w:trHeight w:val="8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2B1738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CAB001A" w14:textId="77777777" w:rsidR="00575AC3" w:rsidRPr="006D40F0" w:rsidRDefault="00575AC3" w:rsidP="006D40F0">
            <w:r w:rsidRPr="006D40F0">
              <w:t>56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72FC667" w14:textId="77777777" w:rsidR="00575AC3" w:rsidRPr="006D40F0" w:rsidRDefault="00575AC3" w:rsidP="006D40F0">
            <w:r w:rsidRPr="006D40F0">
              <w:t>Tilbakeføring av tapsavsetning for midlertidig lånegarantiordning for høye strømpriser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DB38E7"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22EDC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609C34A" w14:textId="77777777" w:rsidR="00575AC3" w:rsidRPr="006D40F0" w:rsidRDefault="00575AC3" w:rsidP="006D40F0">
            <w:r w:rsidRPr="006D40F0">
              <w:t>182 200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95C459" w14:textId="77777777" w:rsidR="00575AC3" w:rsidRPr="006D40F0" w:rsidRDefault="00575AC3" w:rsidP="006D40F0">
            <w:r w:rsidRPr="006D40F0">
              <w:t>182 200</w:t>
            </w:r>
          </w:p>
        </w:tc>
      </w:tr>
      <w:tr w:rsidR="00DD49A7" w:rsidRPr="006D40F0" w14:paraId="1C74BF8F"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488550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339116" w14:textId="77777777" w:rsidR="00575AC3" w:rsidRPr="006D40F0" w:rsidRDefault="00575AC3" w:rsidP="006D40F0">
            <w:r w:rsidRPr="006D40F0">
              <w:t>78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51F020" w14:textId="77777777" w:rsidR="00575AC3" w:rsidRPr="006D40F0" w:rsidRDefault="00575AC3" w:rsidP="006D40F0">
            <w:r w:rsidRPr="006D40F0">
              <w:t>Inntekter fra midlertidig lånegarantiordning ifm. høye strømpriser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75F4A2" w14:textId="77777777" w:rsidR="00575AC3" w:rsidRPr="006D40F0" w:rsidRDefault="00575AC3" w:rsidP="006D40F0">
            <w:r w:rsidRPr="006D40F0">
              <w:t>1 000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36D22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29F4B2" w14:textId="77777777" w:rsidR="00575AC3" w:rsidRPr="006D40F0" w:rsidRDefault="00575AC3" w:rsidP="006D40F0">
            <w:r w:rsidRPr="006D40F0">
              <w:t>-900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D1D2A" w14:textId="77777777" w:rsidR="00575AC3" w:rsidRPr="006D40F0" w:rsidRDefault="00575AC3" w:rsidP="006D40F0">
            <w:r w:rsidRPr="006D40F0">
              <w:t>100</w:t>
            </w:r>
          </w:p>
        </w:tc>
      </w:tr>
      <w:tr w:rsidR="00DD49A7" w:rsidRPr="006D40F0" w14:paraId="6ED8CAC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5E5889F"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1B71408" w14:textId="77777777" w:rsidR="00575AC3" w:rsidRPr="006D40F0" w:rsidRDefault="00575AC3" w:rsidP="006D40F0">
            <w:r w:rsidRPr="006D40F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7882955" w14:textId="77777777" w:rsidR="00575AC3" w:rsidRPr="006D40F0" w:rsidRDefault="00575AC3" w:rsidP="006D40F0">
            <w:r w:rsidRPr="006D40F0">
              <w:t>Garantiprovisjon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68515"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4C635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C3CC1" w14:textId="77777777" w:rsidR="00575AC3" w:rsidRPr="006D40F0" w:rsidRDefault="00575AC3" w:rsidP="006D40F0">
            <w:r w:rsidRPr="006D40F0">
              <w:t>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036F7D" w14:textId="77777777" w:rsidR="00575AC3" w:rsidRPr="006D40F0" w:rsidRDefault="00575AC3" w:rsidP="006D40F0">
            <w:r w:rsidRPr="006D40F0">
              <w:t>40 000</w:t>
            </w:r>
          </w:p>
        </w:tc>
      </w:tr>
      <w:tr w:rsidR="00DD49A7" w:rsidRPr="006D40F0" w14:paraId="3B22CE48"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DE903C0"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3F41982B" w14:textId="77777777" w:rsidR="00575AC3" w:rsidRPr="006D40F0" w:rsidRDefault="00575AC3" w:rsidP="006D40F0">
            <w:r w:rsidRPr="006D40F0">
              <w:t>90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2778508" w14:textId="77777777" w:rsidR="00575AC3" w:rsidRPr="006D40F0" w:rsidRDefault="00575AC3" w:rsidP="006D40F0">
            <w:r w:rsidRPr="006D40F0">
              <w:t>Avdrag på lån knyttet til bruk av trekkfullmakt under Alminnelig garantiordning</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3774D3" w14:textId="77777777" w:rsidR="00575AC3" w:rsidRPr="006D40F0" w:rsidRDefault="00575AC3" w:rsidP="006D40F0">
            <w:r w:rsidRPr="006D40F0">
              <w:t>4 400 000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89923A"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BB9129" w14:textId="77777777" w:rsidR="00575AC3" w:rsidRPr="006D40F0" w:rsidRDefault="00575AC3" w:rsidP="006D40F0">
            <w:r w:rsidRPr="006D40F0">
              <w:t>-1 800 000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EBCC6C8" w14:textId="77777777" w:rsidR="00575AC3" w:rsidRPr="006D40F0" w:rsidRDefault="00575AC3" w:rsidP="006D40F0">
            <w:r w:rsidRPr="006D40F0">
              <w:t>2 600 000</w:t>
            </w:r>
          </w:p>
        </w:tc>
      </w:tr>
      <w:tr w:rsidR="00DD49A7" w:rsidRPr="006D40F0" w14:paraId="5B842111" w14:textId="77777777">
        <w:trPr>
          <w:trHeight w:val="8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1508203" w14:textId="77777777" w:rsidR="00575AC3" w:rsidRPr="006D40F0" w:rsidRDefault="00575AC3" w:rsidP="006D40F0">
            <w:r w:rsidRPr="006D40F0">
              <w:t>Sum endringer Avskrivninger, avsetninger til investeringsformål og inntekter av statens forvaltningsbedrifter i samband med nybygg, anlegg mv.</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8988F78"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C4DB64"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E215B46" w14:textId="77777777" w:rsidR="00575AC3" w:rsidRPr="006D40F0" w:rsidRDefault="00575AC3" w:rsidP="006D40F0">
            <w:r w:rsidRPr="006D40F0">
              <w:t>-502 320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B7855D" w14:textId="77777777" w:rsidR="00575AC3" w:rsidRPr="006D40F0" w:rsidRDefault="00575AC3" w:rsidP="006D40F0"/>
        </w:tc>
      </w:tr>
      <w:tr w:rsidR="00DD49A7" w:rsidRPr="006D40F0" w14:paraId="0BD1F893"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F572AC" w14:textId="77777777" w:rsidR="00575AC3" w:rsidRPr="006D40F0" w:rsidRDefault="00575AC3" w:rsidP="006D40F0">
            <w:r w:rsidRPr="006D40F0">
              <w:t>5574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3D271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11B23C" w14:textId="77777777" w:rsidR="00575AC3" w:rsidRPr="006D40F0" w:rsidRDefault="00575AC3" w:rsidP="006D40F0">
            <w:r w:rsidRPr="006D40F0">
              <w:t>Sektoravgifter under Nærings- og fiskeridepartementet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EFA4E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96FEF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C07F5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DE2AB49" w14:textId="77777777" w:rsidR="00575AC3" w:rsidRPr="006D40F0" w:rsidRDefault="00575AC3" w:rsidP="006D40F0"/>
        </w:tc>
      </w:tr>
      <w:tr w:rsidR="00DD49A7" w:rsidRPr="006D40F0" w14:paraId="73C80B8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39C5D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067A9E9" w14:textId="77777777" w:rsidR="00575AC3" w:rsidRPr="006D40F0" w:rsidRDefault="00575AC3" w:rsidP="006D40F0">
            <w:r w:rsidRPr="006D40F0">
              <w:t>74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3EE438F" w14:textId="77777777" w:rsidR="00575AC3" w:rsidRPr="006D40F0" w:rsidRDefault="00575AC3" w:rsidP="006D40F0">
            <w:r w:rsidRPr="006D40F0">
              <w:t>Fiskeriforskningsavgift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A29EC9" w14:textId="77777777" w:rsidR="00575AC3" w:rsidRPr="006D40F0" w:rsidRDefault="00575AC3" w:rsidP="006D40F0">
            <w:r w:rsidRPr="006D40F0">
              <w:t>365 400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B27D0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745B9F" w14:textId="77777777" w:rsidR="00575AC3" w:rsidRPr="006D40F0" w:rsidRDefault="00575AC3" w:rsidP="006D40F0">
            <w:r w:rsidRPr="006D40F0">
              <w:t>18 800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BEBE54A" w14:textId="77777777" w:rsidR="00575AC3" w:rsidRPr="006D40F0" w:rsidRDefault="00575AC3" w:rsidP="006D40F0">
            <w:r w:rsidRPr="006D40F0">
              <w:t>384 200</w:t>
            </w:r>
          </w:p>
        </w:tc>
      </w:tr>
      <w:tr w:rsidR="00DD49A7" w:rsidRPr="006D40F0" w14:paraId="066CDDE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6FAE2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3792CA4" w14:textId="77777777" w:rsidR="00575AC3" w:rsidRPr="006D40F0" w:rsidRDefault="00575AC3" w:rsidP="006D40F0">
            <w:r w:rsidRPr="006D40F0">
              <w:t>76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AB26FF0" w14:textId="77777777" w:rsidR="00575AC3" w:rsidRPr="006D40F0" w:rsidRDefault="00575AC3" w:rsidP="006D40F0">
            <w:r w:rsidRPr="006D40F0">
              <w:t>Kontrollavgift fiskeflåten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A7D144B" w14:textId="77777777" w:rsidR="00575AC3" w:rsidRPr="006D40F0" w:rsidRDefault="00575AC3" w:rsidP="006D40F0">
            <w:r w:rsidRPr="006D40F0">
              <w:t>54 500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804D6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4252455" w14:textId="77777777" w:rsidR="00575AC3" w:rsidRPr="006D40F0" w:rsidRDefault="00575AC3" w:rsidP="006D40F0">
            <w:r w:rsidRPr="006D40F0">
              <w:t>-4 300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EF9D27" w14:textId="77777777" w:rsidR="00575AC3" w:rsidRPr="006D40F0" w:rsidRDefault="00575AC3" w:rsidP="006D40F0">
            <w:r w:rsidRPr="006D40F0">
              <w:t>50 200</w:t>
            </w:r>
          </w:p>
        </w:tc>
      </w:tr>
      <w:tr w:rsidR="00DD49A7" w:rsidRPr="006D40F0" w14:paraId="5E440D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98A912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3EE9C7E" w14:textId="77777777" w:rsidR="00575AC3" w:rsidRPr="006D40F0" w:rsidRDefault="00575AC3" w:rsidP="006D40F0">
            <w:r w:rsidRPr="006D40F0">
              <w:t>77</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3F67121" w14:textId="77777777" w:rsidR="00575AC3" w:rsidRPr="006D40F0" w:rsidRDefault="00575AC3" w:rsidP="006D40F0">
            <w:r w:rsidRPr="006D40F0">
              <w:t>Sektoravgifter Kystverket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05ED36F" w14:textId="77777777" w:rsidR="00575AC3" w:rsidRPr="006D40F0" w:rsidRDefault="00575AC3" w:rsidP="006D40F0">
            <w:r w:rsidRPr="006D40F0">
              <w:t>1 017 371</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E2180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BF8733" w14:textId="77777777" w:rsidR="00575AC3" w:rsidRPr="006D40F0" w:rsidRDefault="00575AC3" w:rsidP="006D40F0">
            <w:r w:rsidRPr="006D40F0">
              <w:t>159 600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28924" w14:textId="77777777" w:rsidR="00575AC3" w:rsidRPr="006D40F0" w:rsidRDefault="00575AC3" w:rsidP="006D40F0">
            <w:r w:rsidRPr="006D40F0">
              <w:t>1 176 971</w:t>
            </w:r>
          </w:p>
        </w:tc>
      </w:tr>
      <w:tr w:rsidR="00DD49A7" w:rsidRPr="006D40F0" w14:paraId="07D8EC6E"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3BB9001" w14:textId="77777777" w:rsidR="00575AC3" w:rsidRPr="006D40F0" w:rsidRDefault="00575AC3" w:rsidP="006D40F0">
            <w:r w:rsidRPr="006D40F0">
              <w:t>5576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9069D3"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838C069" w14:textId="77777777" w:rsidR="00575AC3" w:rsidRPr="006D40F0" w:rsidRDefault="00575AC3" w:rsidP="006D40F0">
            <w:r w:rsidRPr="006D40F0">
              <w:t>Sektoravgifter under Landbruks- og matdepartementet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3A404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BFDBB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5D2772"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EEEB9" w14:textId="77777777" w:rsidR="00575AC3" w:rsidRPr="006D40F0" w:rsidRDefault="00575AC3" w:rsidP="006D40F0"/>
        </w:tc>
      </w:tr>
      <w:tr w:rsidR="00DD49A7" w:rsidRPr="006D40F0" w14:paraId="66D012B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7F2E2C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BF3B044"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BDEBEE" w14:textId="77777777" w:rsidR="00575AC3" w:rsidRPr="006D40F0" w:rsidRDefault="00575AC3" w:rsidP="006D40F0">
            <w:r w:rsidRPr="006D40F0">
              <w:t>Jeger- og fellingsavgifter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10F164" w14:textId="77777777" w:rsidR="00575AC3" w:rsidRPr="006D40F0" w:rsidRDefault="00575AC3" w:rsidP="006D40F0">
            <w:r w:rsidRPr="006D40F0">
              <w:t>96 000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093A5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0FA0C6" w14:textId="77777777" w:rsidR="00575AC3" w:rsidRPr="006D40F0" w:rsidRDefault="00575AC3" w:rsidP="006D40F0">
            <w:r w:rsidRPr="006D40F0">
              <w:t>-6 000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97BA39" w14:textId="77777777" w:rsidR="00575AC3" w:rsidRPr="006D40F0" w:rsidRDefault="00575AC3" w:rsidP="006D40F0">
            <w:r w:rsidRPr="006D40F0">
              <w:t>90 000</w:t>
            </w:r>
          </w:p>
        </w:tc>
      </w:tr>
      <w:tr w:rsidR="00DD49A7" w:rsidRPr="006D40F0" w14:paraId="0544C6A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76AF9E7" w14:textId="77777777" w:rsidR="00575AC3" w:rsidRPr="006D40F0" w:rsidRDefault="00575AC3" w:rsidP="006D40F0">
            <w:r w:rsidRPr="006D40F0">
              <w:t>5579</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0203A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543892" w14:textId="77777777" w:rsidR="00575AC3" w:rsidRPr="006D40F0" w:rsidRDefault="00575AC3" w:rsidP="006D40F0">
            <w:r w:rsidRPr="006D40F0">
              <w:t>Sektoravgifter under Digitaliserings- og forvaltningsdepartementet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00B3DBD"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C498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ACF5DE"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0FFDE" w14:textId="77777777" w:rsidR="00575AC3" w:rsidRPr="006D40F0" w:rsidRDefault="00575AC3" w:rsidP="006D40F0"/>
        </w:tc>
      </w:tr>
      <w:tr w:rsidR="00DD49A7" w:rsidRPr="006D40F0" w14:paraId="3A0E9BD4"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A86012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1E74B79"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474908" w14:textId="77777777" w:rsidR="00575AC3" w:rsidRPr="006D40F0" w:rsidRDefault="00575AC3" w:rsidP="006D40F0">
            <w:r w:rsidRPr="006D40F0">
              <w:t>Sektoravgifter Nasjonal kommunikasjonsmyndighet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C99D37" w14:textId="77777777" w:rsidR="00575AC3" w:rsidRPr="006D40F0" w:rsidRDefault="00575AC3" w:rsidP="006D40F0">
            <w:r w:rsidRPr="006D40F0">
              <w:t>281 165</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A0EA45"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8481C" w14:textId="77777777" w:rsidR="00575AC3" w:rsidRPr="006D40F0" w:rsidRDefault="00575AC3" w:rsidP="006D40F0">
            <w:r w:rsidRPr="006D40F0">
              <w:t>-1 979</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33B80" w14:textId="77777777" w:rsidR="00575AC3" w:rsidRPr="006D40F0" w:rsidRDefault="00575AC3" w:rsidP="006D40F0">
            <w:r w:rsidRPr="006D40F0">
              <w:t>279 186</w:t>
            </w:r>
          </w:p>
        </w:tc>
      </w:tr>
      <w:tr w:rsidR="00DD49A7" w:rsidRPr="006D40F0" w14:paraId="1AECBB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D7CF772" w14:textId="77777777" w:rsidR="00575AC3" w:rsidRPr="006D40F0" w:rsidRDefault="00575AC3" w:rsidP="006D40F0">
            <w:r w:rsidRPr="006D40F0">
              <w:t>5582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E2DABAE"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1FEED4" w14:textId="77777777" w:rsidR="00575AC3" w:rsidRPr="006D40F0" w:rsidRDefault="00575AC3" w:rsidP="006D40F0">
            <w:r w:rsidRPr="006D40F0">
              <w:t>Sektoravgifter under Energidepartementet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91A12D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8514AB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AC70C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6F4666" w14:textId="77777777" w:rsidR="00575AC3" w:rsidRPr="006D40F0" w:rsidRDefault="00575AC3" w:rsidP="006D40F0"/>
        </w:tc>
      </w:tr>
      <w:tr w:rsidR="00DD49A7" w:rsidRPr="006D40F0" w14:paraId="382ADF69"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6E3094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E7BD76"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B5C3B73" w14:textId="77777777" w:rsidR="00575AC3" w:rsidRPr="006D40F0" w:rsidRDefault="00575AC3" w:rsidP="006D40F0">
            <w:r w:rsidRPr="006D40F0">
              <w:t>Bidrag til kulturminnevern i regulerte vassdrag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616D9E" w14:textId="77777777" w:rsidR="00575AC3" w:rsidRPr="006D40F0" w:rsidRDefault="00575AC3" w:rsidP="006D40F0">
            <w:r w:rsidRPr="006D40F0">
              <w:t>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B6FAC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F567E" w14:textId="77777777" w:rsidR="00575AC3" w:rsidRPr="006D40F0" w:rsidRDefault="00575AC3" w:rsidP="006D40F0">
            <w:r w:rsidRPr="006D40F0">
              <w:t>4 000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5661471" w14:textId="77777777" w:rsidR="00575AC3" w:rsidRPr="006D40F0" w:rsidRDefault="00575AC3" w:rsidP="006D40F0">
            <w:r w:rsidRPr="006D40F0">
              <w:t>6 000</w:t>
            </w:r>
          </w:p>
        </w:tc>
      </w:tr>
      <w:tr w:rsidR="00DD49A7" w:rsidRPr="006D40F0" w14:paraId="6703204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C9870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14CEC42"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1070FA" w14:textId="77777777" w:rsidR="00575AC3" w:rsidRPr="006D40F0" w:rsidRDefault="00575AC3" w:rsidP="006D40F0">
            <w:r w:rsidRPr="006D40F0">
              <w:t>Konsesjonsavgifter fra vannkraftutbygging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CAE7DD" w14:textId="77777777" w:rsidR="00575AC3" w:rsidRPr="006D40F0" w:rsidRDefault="00575AC3" w:rsidP="006D40F0">
            <w:r w:rsidRPr="006D40F0">
              <w:t>186 600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2DAFD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C0ECC2" w14:textId="77777777" w:rsidR="00575AC3" w:rsidRPr="006D40F0" w:rsidRDefault="00575AC3" w:rsidP="006D40F0">
            <w:r w:rsidRPr="006D40F0">
              <w:t>9 400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A4793F0" w14:textId="77777777" w:rsidR="00575AC3" w:rsidRPr="006D40F0" w:rsidRDefault="00575AC3" w:rsidP="006D40F0">
            <w:r w:rsidRPr="006D40F0">
              <w:t>196 000</w:t>
            </w:r>
          </w:p>
        </w:tc>
      </w:tr>
      <w:tr w:rsidR="00DD49A7" w:rsidRPr="006D40F0" w14:paraId="79EB0610" w14:textId="77777777">
        <w:trPr>
          <w:trHeight w:val="64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DF9FF35"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AC09607" w14:textId="77777777" w:rsidR="00575AC3" w:rsidRPr="006D40F0" w:rsidRDefault="00575AC3" w:rsidP="006D40F0">
            <w:r w:rsidRPr="006D40F0">
              <w:t>72</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49487B76" w14:textId="77777777" w:rsidR="00575AC3" w:rsidRPr="006D40F0" w:rsidRDefault="00575AC3" w:rsidP="006D40F0">
            <w:r w:rsidRPr="006D40F0">
              <w:t>Sektoravgifter under Norges vassdrags- og energidirektorat</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CB52D83" w14:textId="77777777" w:rsidR="00575AC3" w:rsidRPr="006D40F0" w:rsidRDefault="00575AC3" w:rsidP="006D40F0">
            <w:r w:rsidRPr="006D40F0">
              <w:t>140 000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D9FFE03"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0DE0AA03" w14:textId="77777777" w:rsidR="00575AC3" w:rsidRPr="006D40F0" w:rsidRDefault="00575AC3" w:rsidP="006D40F0">
            <w:r w:rsidRPr="006D40F0">
              <w:t>1 500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EE6DE4C" w14:textId="77777777" w:rsidR="00575AC3" w:rsidRPr="006D40F0" w:rsidRDefault="00575AC3" w:rsidP="006D40F0">
            <w:r w:rsidRPr="006D40F0">
              <w:t>141 500</w:t>
            </w:r>
          </w:p>
        </w:tc>
      </w:tr>
      <w:tr w:rsidR="00DD49A7" w:rsidRPr="006D40F0" w14:paraId="29CC6FFC"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85488C6" w14:textId="77777777" w:rsidR="00575AC3" w:rsidRPr="006D40F0" w:rsidRDefault="00575AC3" w:rsidP="006D40F0">
            <w:r w:rsidRPr="006D40F0">
              <w:t>Sum endringer Skatter og avgifter</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E100299"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7408C48"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0252AB28" w14:textId="77777777" w:rsidR="00575AC3" w:rsidRPr="006D40F0" w:rsidRDefault="00575AC3" w:rsidP="006D40F0">
            <w:r w:rsidRPr="006D40F0">
              <w:t>181 021</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87CE0E4" w14:textId="77777777" w:rsidR="00575AC3" w:rsidRPr="006D40F0" w:rsidRDefault="00575AC3" w:rsidP="006D40F0"/>
        </w:tc>
      </w:tr>
      <w:tr w:rsidR="00DD49A7" w:rsidRPr="006D40F0" w14:paraId="0202434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2F0E945" w14:textId="77777777" w:rsidR="00575AC3" w:rsidRPr="006D40F0" w:rsidRDefault="00575AC3" w:rsidP="006D40F0">
            <w:r w:rsidRPr="006D40F0">
              <w:t>5605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F31C3E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3615FF" w14:textId="77777777" w:rsidR="00575AC3" w:rsidRPr="006D40F0" w:rsidRDefault="00575AC3" w:rsidP="006D40F0">
            <w:r w:rsidRPr="006D40F0">
              <w:t>Renter av statskassens kontantbeholdning og andre fordringer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CF68245"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7F0787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A778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D91B89" w14:textId="77777777" w:rsidR="00575AC3" w:rsidRPr="006D40F0" w:rsidRDefault="00575AC3" w:rsidP="006D40F0"/>
        </w:tc>
      </w:tr>
      <w:tr w:rsidR="00DD49A7" w:rsidRPr="006D40F0" w14:paraId="59A8B67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BDB622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A50E223"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C002824" w14:textId="77777777" w:rsidR="00575AC3" w:rsidRPr="006D40F0" w:rsidRDefault="00575AC3" w:rsidP="006D40F0">
            <w:r w:rsidRPr="006D40F0">
              <w:t>Av statskassens foliokonto i Norges Bank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10B53D" w14:textId="77777777" w:rsidR="00575AC3" w:rsidRPr="006D40F0" w:rsidRDefault="00575AC3" w:rsidP="006D40F0">
            <w:r w:rsidRPr="006D40F0">
              <w:t>9 043 800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05959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2479C30" w14:textId="77777777" w:rsidR="00575AC3" w:rsidRPr="006D40F0" w:rsidRDefault="00575AC3" w:rsidP="006D40F0">
            <w:r w:rsidRPr="006D40F0">
              <w:t>4 172 600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03FC656" w14:textId="77777777" w:rsidR="00575AC3" w:rsidRPr="006D40F0" w:rsidRDefault="00575AC3" w:rsidP="006D40F0">
            <w:r w:rsidRPr="006D40F0">
              <w:t>13 216 400</w:t>
            </w:r>
          </w:p>
        </w:tc>
      </w:tr>
      <w:tr w:rsidR="00DD49A7" w:rsidRPr="006D40F0" w14:paraId="68FD32E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86D02B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0E209D" w14:textId="77777777" w:rsidR="00575AC3" w:rsidRPr="006D40F0" w:rsidRDefault="00575AC3" w:rsidP="006D40F0">
            <w:r w:rsidRPr="006D40F0">
              <w:t>82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0603B9" w14:textId="77777777" w:rsidR="00575AC3" w:rsidRPr="006D40F0" w:rsidRDefault="00575AC3" w:rsidP="006D40F0">
            <w:r w:rsidRPr="006D40F0">
              <w:t>Av innenlandske verdipapirer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C99E23" w14:textId="77777777" w:rsidR="00575AC3" w:rsidRPr="006D40F0" w:rsidRDefault="00575AC3" w:rsidP="006D40F0">
            <w:r w:rsidRPr="006D40F0">
              <w:t>1 375 300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C4549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EE27AD" w14:textId="77777777" w:rsidR="00575AC3" w:rsidRPr="006D40F0" w:rsidRDefault="00575AC3" w:rsidP="006D40F0">
            <w:r w:rsidRPr="006D40F0">
              <w:t>20 700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751D98" w14:textId="77777777" w:rsidR="00575AC3" w:rsidRPr="006D40F0" w:rsidRDefault="00575AC3" w:rsidP="006D40F0">
            <w:r w:rsidRPr="006D40F0">
              <w:t>1 396 000</w:t>
            </w:r>
          </w:p>
        </w:tc>
      </w:tr>
      <w:tr w:rsidR="00DD49A7" w:rsidRPr="006D40F0" w14:paraId="3BC7CC0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9683DC"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D4D74C0" w14:textId="77777777" w:rsidR="00575AC3" w:rsidRPr="006D40F0" w:rsidRDefault="00575AC3" w:rsidP="006D40F0">
            <w:r w:rsidRPr="006D40F0">
              <w:t>84</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F84BDD3" w14:textId="77777777" w:rsidR="00575AC3" w:rsidRPr="006D40F0" w:rsidRDefault="00575AC3" w:rsidP="006D40F0">
            <w:r w:rsidRPr="006D40F0">
              <w:t>Av driftskreditt til statsbedrifter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72F37C" w14:textId="77777777" w:rsidR="00575AC3" w:rsidRPr="006D40F0" w:rsidRDefault="00575AC3" w:rsidP="006D40F0">
            <w:r w:rsidRPr="006D40F0">
              <w:t>1 293 400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F3BFDA"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813E5F0" w14:textId="77777777" w:rsidR="00575AC3" w:rsidRPr="006D40F0" w:rsidRDefault="00575AC3" w:rsidP="006D40F0">
            <w:r w:rsidRPr="006D40F0">
              <w:t>1 129 170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68F691" w14:textId="77777777" w:rsidR="00575AC3" w:rsidRPr="006D40F0" w:rsidRDefault="00575AC3" w:rsidP="006D40F0">
            <w:r w:rsidRPr="006D40F0">
              <w:t>2 422 570</w:t>
            </w:r>
          </w:p>
        </w:tc>
      </w:tr>
      <w:tr w:rsidR="00DD49A7" w:rsidRPr="006D40F0" w14:paraId="6BD23F9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AEA061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F8CEB6" w14:textId="77777777" w:rsidR="00575AC3" w:rsidRPr="006D40F0" w:rsidRDefault="00575AC3" w:rsidP="006D40F0">
            <w:r w:rsidRPr="006D40F0">
              <w:t>89</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1F1008" w14:textId="77777777" w:rsidR="00575AC3" w:rsidRPr="006D40F0" w:rsidRDefault="00575AC3" w:rsidP="006D40F0">
            <w:r w:rsidRPr="006D40F0">
              <w:t>Garantiprovisjon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B6DCC0" w14:textId="77777777" w:rsidR="00575AC3" w:rsidRPr="006D40F0" w:rsidRDefault="00575AC3" w:rsidP="006D40F0">
            <w:r w:rsidRPr="006D40F0">
              <w:t>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3F5D0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E1E1D6" w14:textId="77777777" w:rsidR="00575AC3" w:rsidRPr="006D40F0" w:rsidRDefault="00575AC3" w:rsidP="006D40F0">
            <w:r w:rsidRPr="006D40F0">
              <w:t>-40 000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A1C368" w14:textId="77777777" w:rsidR="00575AC3" w:rsidRPr="006D40F0" w:rsidRDefault="00575AC3" w:rsidP="006D40F0">
            <w:r w:rsidRPr="006D40F0">
              <w:t>0</w:t>
            </w:r>
          </w:p>
        </w:tc>
      </w:tr>
      <w:tr w:rsidR="00DD49A7" w:rsidRPr="006D40F0" w14:paraId="4D70385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BDDDF96" w14:textId="77777777" w:rsidR="00575AC3" w:rsidRPr="006D40F0" w:rsidRDefault="00575AC3" w:rsidP="006D40F0">
            <w:r w:rsidRPr="006D40F0">
              <w:t>5607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9D780F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B7C61B9" w14:textId="77777777" w:rsidR="00575AC3" w:rsidRPr="006D40F0" w:rsidRDefault="00575AC3" w:rsidP="006D40F0">
            <w:r w:rsidRPr="006D40F0">
              <w:t>Renter av boliglånsordningen i Statens pensjonskasse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BDBAB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2AFF2E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05DF75"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5A620C" w14:textId="77777777" w:rsidR="00575AC3" w:rsidRPr="006D40F0" w:rsidRDefault="00575AC3" w:rsidP="006D40F0"/>
        </w:tc>
      </w:tr>
      <w:tr w:rsidR="00DD49A7" w:rsidRPr="006D40F0" w14:paraId="5F078C3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52DE3C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882D66"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426F4D" w14:textId="77777777" w:rsidR="00575AC3" w:rsidRPr="006D40F0" w:rsidRDefault="00575AC3" w:rsidP="006D40F0">
            <w:r w:rsidRPr="006D40F0">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B4E797" w14:textId="77777777" w:rsidR="00575AC3" w:rsidRPr="006D40F0" w:rsidRDefault="00575AC3" w:rsidP="006D40F0">
            <w:r w:rsidRPr="006D40F0">
              <w:t>2 716 000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25673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2F4ACBF" w14:textId="77777777" w:rsidR="00575AC3" w:rsidRPr="006D40F0" w:rsidRDefault="00575AC3" w:rsidP="006D40F0">
            <w:r w:rsidRPr="006D40F0">
              <w:t>871 000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941572" w14:textId="77777777" w:rsidR="00575AC3" w:rsidRPr="006D40F0" w:rsidRDefault="00575AC3" w:rsidP="006D40F0">
            <w:r w:rsidRPr="006D40F0">
              <w:t>3 587 000</w:t>
            </w:r>
          </w:p>
        </w:tc>
      </w:tr>
      <w:tr w:rsidR="00DD49A7" w:rsidRPr="006D40F0" w14:paraId="7583DC3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F9AA645" w14:textId="77777777" w:rsidR="00575AC3" w:rsidRPr="006D40F0" w:rsidRDefault="00575AC3" w:rsidP="006D40F0">
            <w:r w:rsidRPr="006D40F0">
              <w:t>5611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AE976D1"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97FE9EB" w14:textId="77777777" w:rsidR="00575AC3" w:rsidRPr="006D40F0" w:rsidRDefault="00575AC3" w:rsidP="006D40F0">
            <w:r w:rsidRPr="006D40F0">
              <w:t xml:space="preserve">Aksjer i </w:t>
            </w:r>
            <w:proofErr w:type="spellStart"/>
            <w:r w:rsidRPr="006D40F0">
              <w:t>Vygruppen</w:t>
            </w:r>
            <w:proofErr w:type="spellEnd"/>
            <w:r w:rsidRPr="006D40F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B3DCCD7"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E8203C"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29664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F4497E4" w14:textId="77777777" w:rsidR="00575AC3" w:rsidRPr="006D40F0" w:rsidRDefault="00575AC3" w:rsidP="006D40F0"/>
        </w:tc>
      </w:tr>
      <w:tr w:rsidR="00DD49A7" w:rsidRPr="006D40F0" w14:paraId="34C0BC7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EA43AB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D6E622A"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B8C89C"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F50354" w14:textId="77777777" w:rsidR="00575AC3" w:rsidRPr="006D40F0" w:rsidRDefault="00575AC3" w:rsidP="006D40F0">
            <w:r w:rsidRPr="006D40F0">
              <w:t>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8D94B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58E28B6" w14:textId="77777777" w:rsidR="00575AC3" w:rsidRPr="006D40F0" w:rsidRDefault="00575AC3" w:rsidP="006D40F0">
            <w:r w:rsidRPr="006D40F0">
              <w:t>1 500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9BCA2DC" w14:textId="77777777" w:rsidR="00575AC3" w:rsidRPr="006D40F0" w:rsidRDefault="00575AC3" w:rsidP="006D40F0">
            <w:r w:rsidRPr="006D40F0">
              <w:t>26 500</w:t>
            </w:r>
          </w:p>
        </w:tc>
      </w:tr>
      <w:tr w:rsidR="00DD49A7" w:rsidRPr="006D40F0" w14:paraId="3F731F6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10B2CAC" w14:textId="77777777" w:rsidR="00575AC3" w:rsidRPr="006D40F0" w:rsidRDefault="00575AC3" w:rsidP="006D40F0">
            <w:r w:rsidRPr="006D40F0">
              <w:t>5614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4BD9D9A"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953CB9F" w14:textId="77777777" w:rsidR="00575AC3" w:rsidRPr="006D40F0" w:rsidRDefault="00575AC3" w:rsidP="006D40F0">
            <w:r w:rsidRPr="006D40F0">
              <w:t>Renter under Eksportfinansiering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B7992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7C74D2"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9A607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73E708" w14:textId="77777777" w:rsidR="00575AC3" w:rsidRPr="006D40F0" w:rsidRDefault="00575AC3" w:rsidP="006D40F0"/>
        </w:tc>
      </w:tr>
      <w:tr w:rsidR="00DD49A7" w:rsidRPr="006D40F0" w14:paraId="77606E1D"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E87C7A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A02E4FF"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180598" w14:textId="77777777" w:rsidR="00575AC3" w:rsidRPr="006D40F0" w:rsidRDefault="00575AC3" w:rsidP="006D40F0">
            <w:r w:rsidRPr="006D40F0">
              <w:t>Renter fra lån til Alminnelig garantiordning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09B74E8" w14:textId="77777777" w:rsidR="00575AC3" w:rsidRPr="006D40F0" w:rsidRDefault="00575AC3" w:rsidP="006D40F0">
            <w:r w:rsidRPr="006D40F0">
              <w:t>180 000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E0B636"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BAE57E" w14:textId="77777777" w:rsidR="00575AC3" w:rsidRPr="006D40F0" w:rsidRDefault="00575AC3" w:rsidP="006D40F0">
            <w:r w:rsidRPr="006D40F0">
              <w:t>-108 000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E03159A" w14:textId="77777777" w:rsidR="00575AC3" w:rsidRPr="006D40F0" w:rsidRDefault="00575AC3" w:rsidP="006D40F0">
            <w:r w:rsidRPr="006D40F0">
              <w:t>72 000</w:t>
            </w:r>
          </w:p>
        </w:tc>
      </w:tr>
      <w:tr w:rsidR="00DD49A7" w:rsidRPr="006D40F0" w14:paraId="7A52F806"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6D3F14" w14:textId="77777777" w:rsidR="00575AC3" w:rsidRPr="006D40F0" w:rsidRDefault="00575AC3" w:rsidP="006D40F0">
            <w:r w:rsidRPr="006D40F0">
              <w:t>5615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F19B582"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85534DD" w14:textId="77777777" w:rsidR="00575AC3" w:rsidRPr="006D40F0" w:rsidRDefault="00575AC3" w:rsidP="006D40F0">
            <w:r w:rsidRPr="006D40F0">
              <w:t>Husbanken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D9C6D9"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AE2E07"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28890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1E8EA4" w14:textId="77777777" w:rsidR="00575AC3" w:rsidRPr="006D40F0" w:rsidRDefault="00575AC3" w:rsidP="006D40F0"/>
        </w:tc>
      </w:tr>
      <w:tr w:rsidR="00DD49A7" w:rsidRPr="006D40F0" w14:paraId="7CE8FBD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C02053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48E5BA7"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5F059C" w14:textId="77777777" w:rsidR="00575AC3" w:rsidRPr="006D40F0" w:rsidRDefault="00575AC3" w:rsidP="006D40F0">
            <w:r w:rsidRPr="006D40F0">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C6719BE" w14:textId="77777777" w:rsidR="00575AC3" w:rsidRPr="006D40F0" w:rsidRDefault="00575AC3" w:rsidP="006D40F0">
            <w:r w:rsidRPr="006D40F0">
              <w:t>5 602 000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5399C4"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43EC4E7" w14:textId="77777777" w:rsidR="00575AC3" w:rsidRPr="006D40F0" w:rsidRDefault="00575AC3" w:rsidP="006D40F0">
            <w:r w:rsidRPr="006D40F0">
              <w:t>1 392 000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7149D72" w14:textId="77777777" w:rsidR="00575AC3" w:rsidRPr="006D40F0" w:rsidRDefault="00575AC3" w:rsidP="006D40F0">
            <w:r w:rsidRPr="006D40F0">
              <w:t>6 994 000</w:t>
            </w:r>
          </w:p>
        </w:tc>
      </w:tr>
      <w:tr w:rsidR="00DD49A7" w:rsidRPr="006D40F0" w14:paraId="433633C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12A115" w14:textId="77777777" w:rsidR="00575AC3" w:rsidRPr="006D40F0" w:rsidRDefault="00575AC3" w:rsidP="006D40F0">
            <w:r w:rsidRPr="006D40F0">
              <w:lastRenderedPageBreak/>
              <w:t>5616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2BA4FD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094A659" w14:textId="77777777" w:rsidR="00575AC3" w:rsidRPr="006D40F0" w:rsidRDefault="00575AC3" w:rsidP="006D40F0">
            <w:r w:rsidRPr="006D40F0">
              <w:t>Kommunalbanken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BE5842"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4CB11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2CCC0"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E58BF0" w14:textId="77777777" w:rsidR="00575AC3" w:rsidRPr="006D40F0" w:rsidRDefault="00575AC3" w:rsidP="006D40F0"/>
        </w:tc>
      </w:tr>
      <w:tr w:rsidR="00DD49A7" w:rsidRPr="006D40F0" w14:paraId="0FCA937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116D3EF9"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7159C97"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325274C" w14:textId="77777777" w:rsidR="00575AC3" w:rsidRPr="006D40F0" w:rsidRDefault="00575AC3" w:rsidP="006D40F0">
            <w:r w:rsidRPr="006D40F0">
              <w:t>Aksjeutbytte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614B4D" w14:textId="77777777" w:rsidR="00575AC3" w:rsidRPr="006D40F0" w:rsidRDefault="00575AC3" w:rsidP="006D40F0">
            <w:r w:rsidRPr="006D40F0">
              <w:t>660 000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692A7C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33AA5B4" w14:textId="77777777" w:rsidR="00575AC3" w:rsidRPr="006D40F0" w:rsidRDefault="00575AC3" w:rsidP="006D40F0">
            <w:r w:rsidRPr="006D40F0">
              <w:t>40 000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3B745" w14:textId="77777777" w:rsidR="00575AC3" w:rsidRPr="006D40F0" w:rsidRDefault="00575AC3" w:rsidP="006D40F0">
            <w:r w:rsidRPr="006D40F0">
              <w:t>700 000</w:t>
            </w:r>
          </w:p>
        </w:tc>
      </w:tr>
      <w:tr w:rsidR="00DD49A7" w:rsidRPr="006D40F0" w14:paraId="32E7FF3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9889F1C" w14:textId="77777777" w:rsidR="00575AC3" w:rsidRPr="006D40F0" w:rsidRDefault="00575AC3" w:rsidP="006D40F0">
            <w:r w:rsidRPr="006D40F0">
              <w:t>5617</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4CF5A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79B507" w14:textId="77777777" w:rsidR="00575AC3" w:rsidRPr="006D40F0" w:rsidRDefault="00575AC3" w:rsidP="006D40F0">
            <w:r w:rsidRPr="006D40F0">
              <w:t>Renter fra Statens lånekasse for utdanning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022BCD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2474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659F8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A6AA82" w14:textId="77777777" w:rsidR="00575AC3" w:rsidRPr="006D40F0" w:rsidRDefault="00575AC3" w:rsidP="006D40F0"/>
        </w:tc>
      </w:tr>
      <w:tr w:rsidR="00DD49A7" w:rsidRPr="006D40F0" w14:paraId="15FE0A4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37A1F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4DACFE"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CF25673" w14:textId="77777777" w:rsidR="00575AC3" w:rsidRPr="006D40F0" w:rsidRDefault="00575AC3" w:rsidP="006D40F0">
            <w:r w:rsidRPr="006D40F0">
              <w:t>Renter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7EB733C" w14:textId="77777777" w:rsidR="00575AC3" w:rsidRPr="006D40F0" w:rsidRDefault="00575AC3" w:rsidP="006D40F0">
            <w:r w:rsidRPr="006D40F0">
              <w:t>10 363 860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EB0AF7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B4967C9" w14:textId="77777777" w:rsidR="00575AC3" w:rsidRPr="006D40F0" w:rsidRDefault="00575AC3" w:rsidP="006D40F0">
            <w:r w:rsidRPr="006D40F0">
              <w:t>2 745 940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A1F8355" w14:textId="77777777" w:rsidR="00575AC3" w:rsidRPr="006D40F0" w:rsidRDefault="00575AC3" w:rsidP="006D40F0">
            <w:r w:rsidRPr="006D40F0">
              <w:t>13 109 800</w:t>
            </w:r>
          </w:p>
        </w:tc>
      </w:tr>
      <w:tr w:rsidR="00DD49A7" w:rsidRPr="006D40F0" w14:paraId="511298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DDD1AB0" w14:textId="77777777" w:rsidR="00575AC3" w:rsidRPr="006D40F0" w:rsidRDefault="00575AC3" w:rsidP="006D40F0">
            <w:r w:rsidRPr="006D40F0">
              <w:t>5625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655A40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E83B04A" w14:textId="77777777" w:rsidR="00575AC3" w:rsidRPr="006D40F0" w:rsidRDefault="00575AC3" w:rsidP="006D40F0">
            <w:r w:rsidRPr="006D40F0">
              <w:t>Renter og utbytte fra Innovasjon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D0EBC6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95DC99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0BF63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F214BE" w14:textId="77777777" w:rsidR="00575AC3" w:rsidRPr="006D40F0" w:rsidRDefault="00575AC3" w:rsidP="006D40F0"/>
        </w:tc>
      </w:tr>
      <w:tr w:rsidR="00DD49A7" w:rsidRPr="006D40F0" w14:paraId="0A2379A9"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1776ADA"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D4B16C4"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4B55AC8" w14:textId="77777777" w:rsidR="00575AC3" w:rsidRPr="006D40F0" w:rsidRDefault="00575AC3" w:rsidP="006D40F0">
            <w:r w:rsidRPr="006D40F0">
              <w:t>Renter på lån fra statskassen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6894FA" w14:textId="77777777" w:rsidR="00575AC3" w:rsidRPr="006D40F0" w:rsidRDefault="00575AC3" w:rsidP="006D40F0">
            <w:r w:rsidRPr="006D40F0">
              <w:t>605 000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28317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FD377B" w14:textId="77777777" w:rsidR="00575AC3" w:rsidRPr="006D40F0" w:rsidRDefault="00575AC3" w:rsidP="006D40F0">
            <w:r w:rsidRPr="006D40F0">
              <w:t>135 000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8464075" w14:textId="77777777" w:rsidR="00575AC3" w:rsidRPr="006D40F0" w:rsidRDefault="00575AC3" w:rsidP="006D40F0">
            <w:r w:rsidRPr="006D40F0">
              <w:t>740 000</w:t>
            </w:r>
          </w:p>
        </w:tc>
      </w:tr>
      <w:tr w:rsidR="00DD49A7" w:rsidRPr="006D40F0" w14:paraId="4AFAB18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DFF01DE"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AF76157" w14:textId="77777777" w:rsidR="00575AC3" w:rsidRPr="006D40F0" w:rsidRDefault="00575AC3" w:rsidP="006D40F0">
            <w:r w:rsidRPr="006D40F0">
              <w:t>81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5E0937" w14:textId="77777777" w:rsidR="00575AC3" w:rsidRPr="006D40F0" w:rsidRDefault="00575AC3" w:rsidP="006D40F0">
            <w:r w:rsidRPr="006D40F0">
              <w:t>Rentemargin, innovasjonslåneordningen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946F2D" w14:textId="77777777" w:rsidR="00575AC3" w:rsidRPr="006D40F0" w:rsidRDefault="00575AC3" w:rsidP="006D40F0">
            <w:r w:rsidRPr="006D40F0">
              <w:t>22 000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79F64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3E9CEF9" w14:textId="77777777" w:rsidR="00575AC3" w:rsidRPr="006D40F0" w:rsidRDefault="00575AC3" w:rsidP="006D40F0">
            <w:r w:rsidRPr="006D40F0">
              <w:t>6 900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BB5DD61" w14:textId="77777777" w:rsidR="00575AC3" w:rsidRPr="006D40F0" w:rsidRDefault="00575AC3" w:rsidP="006D40F0">
            <w:r w:rsidRPr="006D40F0">
              <w:t>28 900</w:t>
            </w:r>
          </w:p>
        </w:tc>
      </w:tr>
      <w:tr w:rsidR="00DD49A7" w:rsidRPr="006D40F0" w14:paraId="526657E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E7A238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EB09E98"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58C116CB" w14:textId="77777777" w:rsidR="00575AC3" w:rsidRPr="006D40F0" w:rsidRDefault="00575AC3" w:rsidP="006D40F0">
            <w:r w:rsidRPr="006D40F0">
              <w:t>Utbytte, lavrisikolåneordningen</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94410B" w14:textId="77777777" w:rsidR="00575AC3" w:rsidRPr="006D40F0" w:rsidRDefault="00575AC3" w:rsidP="006D40F0">
            <w:r w:rsidRPr="006D40F0">
              <w:t>440 000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8FE791"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B34B5F" w14:textId="77777777" w:rsidR="00575AC3" w:rsidRPr="006D40F0" w:rsidRDefault="00575AC3" w:rsidP="006D40F0">
            <w:r w:rsidRPr="006D40F0">
              <w:t>112 200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5F2DA2" w14:textId="77777777" w:rsidR="00575AC3" w:rsidRPr="006D40F0" w:rsidRDefault="00575AC3" w:rsidP="006D40F0">
            <w:r w:rsidRPr="006D40F0">
              <w:t>552 200</w:t>
            </w:r>
          </w:p>
        </w:tc>
      </w:tr>
      <w:tr w:rsidR="00DD49A7" w:rsidRPr="006D40F0" w14:paraId="0405DC0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B47FB40" w14:textId="77777777" w:rsidR="00575AC3" w:rsidRPr="006D40F0" w:rsidRDefault="00575AC3" w:rsidP="006D40F0">
            <w:r w:rsidRPr="006D40F0">
              <w:t>5628</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37EA0D6"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BED22BC" w14:textId="77777777" w:rsidR="00575AC3" w:rsidRPr="006D40F0" w:rsidRDefault="00575AC3" w:rsidP="006D40F0">
            <w:r w:rsidRPr="006D40F0">
              <w:t xml:space="preserve">Renter fra </w:t>
            </w:r>
            <w:proofErr w:type="spellStart"/>
            <w:r w:rsidRPr="006D40F0">
              <w:t>Investinor</w:t>
            </w:r>
            <w:proofErr w:type="spellEnd"/>
            <w:r w:rsidRPr="006D40F0">
              <w:t xml:space="preserve"> AS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5A5CD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CA87615"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C6AC2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1C7AB5D" w14:textId="77777777" w:rsidR="00575AC3" w:rsidRPr="006D40F0" w:rsidRDefault="00575AC3" w:rsidP="006D40F0"/>
        </w:tc>
      </w:tr>
      <w:tr w:rsidR="00DD49A7" w:rsidRPr="006D40F0" w14:paraId="7D1885FE"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FD72985"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C60D4DE" w14:textId="77777777" w:rsidR="00575AC3" w:rsidRPr="006D40F0" w:rsidRDefault="00575AC3" w:rsidP="006D40F0">
            <w:r w:rsidRPr="006D40F0">
              <w:t>80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D324BD" w14:textId="77777777" w:rsidR="00575AC3" w:rsidRPr="006D40F0" w:rsidRDefault="00575AC3" w:rsidP="006D40F0">
            <w:r w:rsidRPr="006D40F0">
              <w:t>Renter fra såkornfond</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4352334" w14:textId="77777777" w:rsidR="00575AC3" w:rsidRPr="006D40F0" w:rsidRDefault="00575AC3" w:rsidP="006D40F0">
            <w:r w:rsidRPr="006D40F0">
              <w:t>-</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452BE"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36F61F" w14:textId="77777777" w:rsidR="00575AC3" w:rsidRPr="006D40F0" w:rsidRDefault="00575AC3" w:rsidP="006D40F0">
            <w:r w:rsidRPr="006D40F0">
              <w:t>132 200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8CFED2" w14:textId="77777777" w:rsidR="00575AC3" w:rsidRPr="006D40F0" w:rsidRDefault="00575AC3" w:rsidP="006D40F0">
            <w:r w:rsidRPr="006D40F0">
              <w:t>132 200</w:t>
            </w:r>
          </w:p>
        </w:tc>
      </w:tr>
      <w:tr w:rsidR="00DD49A7" w:rsidRPr="006D40F0" w14:paraId="35860E1B"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D95AF5" w14:textId="77777777" w:rsidR="00575AC3" w:rsidRPr="006D40F0" w:rsidRDefault="00575AC3" w:rsidP="006D40F0">
            <w:r w:rsidRPr="006D40F0">
              <w:t>5631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D83423F"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F912B2D" w14:textId="77777777" w:rsidR="00575AC3" w:rsidRPr="006D40F0" w:rsidRDefault="00575AC3" w:rsidP="006D40F0">
            <w:r w:rsidRPr="006D40F0">
              <w:t>Aksjer i AS Vinmonopolet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323158"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39BC833"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A5C0E1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955FB9" w14:textId="77777777" w:rsidR="00575AC3" w:rsidRPr="006D40F0" w:rsidRDefault="00575AC3" w:rsidP="006D40F0"/>
        </w:tc>
      </w:tr>
      <w:tr w:rsidR="00DD49A7" w:rsidRPr="006D40F0" w14:paraId="4EB5FB5C"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2D7E9B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602EDFE2"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14FD46C" w14:textId="77777777" w:rsidR="00575AC3" w:rsidRPr="006D40F0" w:rsidRDefault="00575AC3" w:rsidP="006D40F0">
            <w:r w:rsidRPr="006D40F0">
              <w:t>Statens overskuddsandel</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4D540" w14:textId="77777777" w:rsidR="00575AC3" w:rsidRPr="006D40F0" w:rsidRDefault="00575AC3" w:rsidP="006D40F0">
            <w:r w:rsidRPr="006D40F0">
              <w:t>79 500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C5E3EC"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8C5BADC" w14:textId="77777777" w:rsidR="00575AC3" w:rsidRPr="006D40F0" w:rsidRDefault="00575AC3" w:rsidP="006D40F0">
            <w:r w:rsidRPr="006D40F0">
              <w:t>72 500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9E79DE" w14:textId="77777777" w:rsidR="00575AC3" w:rsidRPr="006D40F0" w:rsidRDefault="00575AC3" w:rsidP="006D40F0">
            <w:r w:rsidRPr="006D40F0">
              <w:t>152 000</w:t>
            </w:r>
          </w:p>
        </w:tc>
      </w:tr>
      <w:tr w:rsidR="00DD49A7" w:rsidRPr="006D40F0" w14:paraId="539A732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678DDBA" w14:textId="77777777" w:rsidR="00575AC3" w:rsidRPr="006D40F0" w:rsidRDefault="00575AC3" w:rsidP="006D40F0">
            <w:r w:rsidRPr="006D40F0">
              <w:t>5652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5DEF239"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4FF63C0" w14:textId="77777777" w:rsidR="00575AC3" w:rsidRPr="006D40F0" w:rsidRDefault="00575AC3" w:rsidP="006D40F0">
            <w:r w:rsidRPr="006D40F0">
              <w:t>Statskog SF – renter og 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29DEF"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D91A3D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747CDB8"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8ABD86B" w14:textId="77777777" w:rsidR="00575AC3" w:rsidRPr="006D40F0" w:rsidRDefault="00575AC3" w:rsidP="006D40F0"/>
        </w:tc>
      </w:tr>
      <w:tr w:rsidR="00DD49A7" w:rsidRPr="006D40F0" w14:paraId="583A02F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73FDFA0"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72FC22"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E3F5343"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69D994" w14:textId="77777777" w:rsidR="00575AC3" w:rsidRPr="006D40F0" w:rsidRDefault="00575AC3" w:rsidP="006D40F0">
            <w:r w:rsidRPr="006D40F0">
              <w:t>23 000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CCCAF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4947660" w14:textId="77777777" w:rsidR="00575AC3" w:rsidRPr="006D40F0" w:rsidRDefault="00575AC3" w:rsidP="006D40F0">
            <w:r w:rsidRPr="006D40F0">
              <w:t>160 100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8DFD44" w14:textId="77777777" w:rsidR="00575AC3" w:rsidRPr="006D40F0" w:rsidRDefault="00575AC3" w:rsidP="006D40F0">
            <w:r w:rsidRPr="006D40F0">
              <w:t>183 100</w:t>
            </w:r>
          </w:p>
        </w:tc>
      </w:tr>
      <w:tr w:rsidR="00DD49A7" w:rsidRPr="006D40F0" w14:paraId="361DCE32"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491129A" w14:textId="77777777" w:rsidR="00575AC3" w:rsidRPr="006D40F0" w:rsidRDefault="00575AC3" w:rsidP="006D40F0">
            <w:r w:rsidRPr="006D40F0">
              <w:t>5656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C83795C"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D388FA" w14:textId="77777777" w:rsidR="00575AC3" w:rsidRPr="006D40F0" w:rsidRDefault="00575AC3" w:rsidP="006D40F0">
            <w:r w:rsidRPr="006D40F0">
              <w:t>Aksjer under Nærings- og fiskeridepartementets forvaltning</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03AAE66"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412EC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ACA38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0AF31F" w14:textId="77777777" w:rsidR="00575AC3" w:rsidRPr="006D40F0" w:rsidRDefault="00575AC3" w:rsidP="006D40F0"/>
        </w:tc>
      </w:tr>
      <w:tr w:rsidR="00DD49A7" w:rsidRPr="006D40F0" w14:paraId="62253CF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07C172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390F57B"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B264003"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5725BC6" w14:textId="77777777" w:rsidR="00575AC3" w:rsidRPr="006D40F0" w:rsidRDefault="00575AC3" w:rsidP="006D40F0">
            <w:r w:rsidRPr="006D40F0">
              <w:t>37 673 800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F37ACF9"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5F39178" w14:textId="77777777" w:rsidR="00575AC3" w:rsidRPr="006D40F0" w:rsidRDefault="00575AC3" w:rsidP="006D40F0">
            <w:r w:rsidRPr="006D40F0">
              <w:t>-4 979 400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C20673B" w14:textId="77777777" w:rsidR="00575AC3" w:rsidRPr="006D40F0" w:rsidRDefault="00575AC3" w:rsidP="006D40F0">
            <w:r w:rsidRPr="006D40F0">
              <w:t>32 694 400</w:t>
            </w:r>
          </w:p>
        </w:tc>
      </w:tr>
      <w:tr w:rsidR="00DD49A7" w:rsidRPr="006D40F0" w14:paraId="47164C8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99FC2B7" w14:textId="77777777" w:rsidR="00575AC3" w:rsidRPr="006D40F0" w:rsidRDefault="00575AC3" w:rsidP="006D40F0">
            <w:r w:rsidRPr="006D40F0">
              <w:t>5672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0FDC62B"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2A8115F" w14:textId="77777777" w:rsidR="00575AC3" w:rsidRPr="006D40F0" w:rsidRDefault="00575AC3" w:rsidP="006D40F0">
            <w:r w:rsidRPr="006D40F0">
              <w:t>Bane NOR SF – 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AF5ABB"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387D1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23CE4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AE0582" w14:textId="77777777" w:rsidR="00575AC3" w:rsidRPr="006D40F0" w:rsidRDefault="00575AC3" w:rsidP="006D40F0"/>
        </w:tc>
      </w:tr>
      <w:tr w:rsidR="00DD49A7" w:rsidRPr="006D40F0" w14:paraId="3BEA3CA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D81D7E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944164D"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41864F6"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6E5F4CE" w14:textId="77777777" w:rsidR="00575AC3" w:rsidRPr="006D40F0" w:rsidRDefault="00575AC3" w:rsidP="006D40F0">
            <w:r w:rsidRPr="006D40F0">
              <w:t>53 000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EED4898"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006CD2D" w14:textId="77777777" w:rsidR="00575AC3" w:rsidRPr="006D40F0" w:rsidRDefault="00575AC3" w:rsidP="006D40F0">
            <w:r w:rsidRPr="006D40F0">
              <w:t>-53 000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FA2F01" w14:textId="77777777" w:rsidR="00575AC3" w:rsidRPr="006D40F0" w:rsidRDefault="00575AC3" w:rsidP="006D40F0">
            <w:r w:rsidRPr="006D40F0">
              <w:t>0</w:t>
            </w:r>
          </w:p>
        </w:tc>
      </w:tr>
      <w:tr w:rsidR="00DD49A7" w:rsidRPr="006D40F0" w14:paraId="36351E6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4251C0C" w14:textId="77777777" w:rsidR="00575AC3" w:rsidRPr="006D40F0" w:rsidRDefault="00575AC3" w:rsidP="006D40F0">
            <w:r w:rsidRPr="006D40F0">
              <w:t>5680</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EB1C23D"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44757BBF" w14:textId="77777777" w:rsidR="00575AC3" w:rsidRPr="006D40F0" w:rsidRDefault="00575AC3" w:rsidP="006D40F0">
            <w:r w:rsidRPr="006D40F0">
              <w:t>Statnett SF</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192334"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687368"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203DBC"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D5727" w14:textId="77777777" w:rsidR="00575AC3" w:rsidRPr="006D40F0" w:rsidRDefault="00575AC3" w:rsidP="006D40F0"/>
        </w:tc>
      </w:tr>
      <w:tr w:rsidR="00DD49A7" w:rsidRPr="006D40F0" w14:paraId="50858C6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DC27D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EF13573"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9C6E85"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A48B3D2" w14:textId="77777777" w:rsidR="00575AC3" w:rsidRPr="006D40F0" w:rsidRDefault="00575AC3" w:rsidP="006D40F0">
            <w:r w:rsidRPr="006D40F0">
              <w:t>744 000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227280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3384D5E" w14:textId="77777777" w:rsidR="00575AC3" w:rsidRPr="006D40F0" w:rsidRDefault="00575AC3" w:rsidP="006D40F0">
            <w:r w:rsidRPr="006D40F0">
              <w:t>49 000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1FCF667" w14:textId="77777777" w:rsidR="00575AC3" w:rsidRPr="006D40F0" w:rsidRDefault="00575AC3" w:rsidP="006D40F0">
            <w:r w:rsidRPr="006D40F0">
              <w:t>793 000</w:t>
            </w:r>
          </w:p>
        </w:tc>
      </w:tr>
      <w:tr w:rsidR="00DD49A7" w:rsidRPr="006D40F0" w14:paraId="6941497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2E694EF3" w14:textId="77777777" w:rsidR="00575AC3" w:rsidRPr="006D40F0" w:rsidRDefault="00575AC3" w:rsidP="006D40F0">
            <w:r w:rsidRPr="006D40F0">
              <w:t>5685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90684D7"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2A22E74D" w14:textId="77777777" w:rsidR="00575AC3" w:rsidRPr="006D40F0" w:rsidRDefault="00575AC3" w:rsidP="006D40F0">
            <w:r w:rsidRPr="006D40F0">
              <w:t xml:space="preserve">Aksjer i </w:t>
            </w:r>
            <w:proofErr w:type="spellStart"/>
            <w:r w:rsidRPr="006D40F0">
              <w:t>Equinor</w:t>
            </w:r>
            <w:proofErr w:type="spellEnd"/>
            <w:r w:rsidRPr="006D40F0">
              <w:t xml:space="preserve"> ASA</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103B7C"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1C6B49A"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F0B4664"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987159" w14:textId="77777777" w:rsidR="00575AC3" w:rsidRPr="006D40F0" w:rsidRDefault="00575AC3" w:rsidP="006D40F0"/>
        </w:tc>
      </w:tr>
      <w:tr w:rsidR="00DD49A7" w:rsidRPr="006D40F0" w14:paraId="18D4AAE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8ABFD87"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929C65C" w14:textId="77777777" w:rsidR="00575AC3" w:rsidRPr="006D40F0" w:rsidRDefault="00575AC3" w:rsidP="006D40F0">
            <w:r w:rsidRPr="006D40F0">
              <w:t>85</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2AB989A" w14:textId="77777777" w:rsidR="00575AC3" w:rsidRPr="006D40F0" w:rsidRDefault="00575AC3" w:rsidP="006D40F0">
            <w:r w:rsidRPr="006D40F0">
              <w:t>Utbytte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C0A3C56" w14:textId="77777777" w:rsidR="00575AC3" w:rsidRPr="006D40F0" w:rsidRDefault="00575AC3" w:rsidP="006D40F0">
            <w:r w:rsidRPr="006D40F0">
              <w:t>38 265 400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B99AC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E731DDA" w14:textId="77777777" w:rsidR="00575AC3" w:rsidRPr="006D40F0" w:rsidRDefault="00575AC3" w:rsidP="006D40F0">
            <w:r w:rsidRPr="006D40F0">
              <w:t>25 115 100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14D2D6E" w14:textId="77777777" w:rsidR="00575AC3" w:rsidRPr="006D40F0" w:rsidRDefault="00575AC3" w:rsidP="006D40F0">
            <w:r w:rsidRPr="006D40F0">
              <w:t>63 380 500</w:t>
            </w:r>
          </w:p>
        </w:tc>
      </w:tr>
      <w:tr w:rsidR="00DD49A7" w:rsidRPr="006D40F0" w14:paraId="27FC4E11"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31AD46DF" w14:textId="77777777" w:rsidR="00575AC3" w:rsidRPr="006D40F0" w:rsidRDefault="00575AC3" w:rsidP="006D40F0">
            <w:r w:rsidRPr="006D40F0">
              <w:t>5692</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5F84A28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E5B830F" w14:textId="77777777" w:rsidR="00575AC3" w:rsidRPr="006D40F0" w:rsidRDefault="00575AC3" w:rsidP="006D40F0">
            <w:r w:rsidRPr="006D40F0">
              <w:t>Utbytte av statens kapital i Den nordiske investeringsbank</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BFBFE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230BDBB"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2EB821B"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FEB111C" w14:textId="77777777" w:rsidR="00575AC3" w:rsidRPr="006D40F0" w:rsidRDefault="00575AC3" w:rsidP="006D40F0"/>
        </w:tc>
      </w:tr>
      <w:tr w:rsidR="00DD49A7" w:rsidRPr="006D40F0" w14:paraId="3F0ECE64"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54BB56D"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147BC282" w14:textId="77777777" w:rsidR="00575AC3" w:rsidRPr="006D40F0" w:rsidRDefault="00575AC3" w:rsidP="006D40F0">
            <w:r w:rsidRPr="006D40F0">
              <w:t>85</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6AE1B9A2" w14:textId="77777777" w:rsidR="00575AC3" w:rsidRPr="006D40F0" w:rsidRDefault="00575AC3" w:rsidP="006D40F0">
            <w:r w:rsidRPr="006D40F0">
              <w:t>Utbytte</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09B75D5" w14:textId="77777777" w:rsidR="00575AC3" w:rsidRPr="006D40F0" w:rsidRDefault="00575AC3" w:rsidP="006D40F0">
            <w:r w:rsidRPr="006D40F0">
              <w:t>64 400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704617F"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E1CF505" w14:textId="77777777" w:rsidR="00575AC3" w:rsidRPr="006D40F0" w:rsidRDefault="00575AC3" w:rsidP="006D40F0">
            <w:r w:rsidRPr="006D40F0">
              <w:t>90 600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F076EA" w14:textId="77777777" w:rsidR="00575AC3" w:rsidRPr="006D40F0" w:rsidRDefault="00575AC3" w:rsidP="006D40F0">
            <w:r w:rsidRPr="006D40F0">
              <w:t>155 000</w:t>
            </w:r>
          </w:p>
        </w:tc>
      </w:tr>
      <w:tr w:rsidR="00DD49A7" w:rsidRPr="006D40F0" w14:paraId="303180DE"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3610B4EF" w14:textId="77777777" w:rsidR="00575AC3" w:rsidRPr="006D40F0" w:rsidRDefault="00575AC3" w:rsidP="006D40F0">
            <w:r w:rsidRPr="006D40F0">
              <w:t>Sum endringer Renter og utbytte mv.</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9FA102A"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94ADED8"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853D82A" w14:textId="77777777" w:rsidR="00575AC3" w:rsidRPr="006D40F0" w:rsidRDefault="00575AC3" w:rsidP="006D40F0">
            <w:r w:rsidRPr="006D40F0">
              <w:t>31 066 110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39898FA" w14:textId="77777777" w:rsidR="00575AC3" w:rsidRPr="006D40F0" w:rsidRDefault="00575AC3" w:rsidP="006D40F0"/>
        </w:tc>
      </w:tr>
      <w:tr w:rsidR="00DD49A7" w:rsidRPr="006D40F0" w14:paraId="5330A088"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6299A83" w14:textId="77777777" w:rsidR="00575AC3" w:rsidRPr="006D40F0" w:rsidRDefault="00575AC3" w:rsidP="006D40F0">
            <w:r w:rsidRPr="006D40F0">
              <w:t>5701</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51999F0"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23359E4" w14:textId="77777777" w:rsidR="00575AC3" w:rsidRPr="006D40F0" w:rsidRDefault="00575AC3" w:rsidP="006D40F0">
            <w:r w:rsidRPr="006D40F0">
              <w:t>Diverse inntekter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70C412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2CD116"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E5DF0F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4F20183" w14:textId="77777777" w:rsidR="00575AC3" w:rsidRPr="006D40F0" w:rsidRDefault="00575AC3" w:rsidP="006D40F0"/>
        </w:tc>
      </w:tr>
      <w:tr w:rsidR="00DD49A7" w:rsidRPr="006D40F0" w14:paraId="71B68EF1"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B8B661D"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DD91ECE"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D7FAE7D" w14:textId="77777777" w:rsidR="00575AC3" w:rsidRPr="006D40F0" w:rsidRDefault="00575AC3" w:rsidP="006D40F0">
            <w:r w:rsidRPr="006D40F0">
              <w:t>Refusjon ved yrkesskade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655A961" w14:textId="77777777" w:rsidR="00575AC3" w:rsidRPr="006D40F0" w:rsidRDefault="00575AC3" w:rsidP="006D40F0">
            <w:r w:rsidRPr="006D40F0">
              <w:t>764 000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F4FE26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AC6BB2" w14:textId="77777777" w:rsidR="00575AC3" w:rsidRPr="006D40F0" w:rsidRDefault="00575AC3" w:rsidP="006D40F0">
            <w:r w:rsidRPr="006D40F0">
              <w:t>82 000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FAC57F1" w14:textId="77777777" w:rsidR="00575AC3" w:rsidRPr="006D40F0" w:rsidRDefault="00575AC3" w:rsidP="006D40F0">
            <w:r w:rsidRPr="006D40F0">
              <w:t>846 000</w:t>
            </w:r>
          </w:p>
        </w:tc>
      </w:tr>
      <w:tr w:rsidR="00DD49A7" w:rsidRPr="006D40F0" w14:paraId="20C03AD2"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3969DF4"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44364A6B" w14:textId="77777777" w:rsidR="00575AC3" w:rsidRPr="006D40F0" w:rsidRDefault="00575AC3" w:rsidP="006D40F0">
            <w:r w:rsidRPr="006D40F0">
              <w:t>86</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1D1CE39" w14:textId="77777777" w:rsidR="00575AC3" w:rsidRPr="006D40F0" w:rsidRDefault="00575AC3" w:rsidP="006D40F0">
            <w:r w:rsidRPr="006D40F0">
              <w:t>Innkreving feilutbetalinger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E15B5E" w14:textId="77777777" w:rsidR="00575AC3" w:rsidRPr="006D40F0" w:rsidRDefault="00575AC3" w:rsidP="006D40F0">
            <w:r w:rsidRPr="006D40F0">
              <w:t>1 432 000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87AE5F7"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DD4ECC7" w14:textId="77777777" w:rsidR="00575AC3" w:rsidRPr="006D40F0" w:rsidRDefault="00575AC3" w:rsidP="006D40F0">
            <w:r w:rsidRPr="006D40F0">
              <w:t>75 000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C8C630A" w14:textId="77777777" w:rsidR="00575AC3" w:rsidRPr="006D40F0" w:rsidRDefault="00575AC3" w:rsidP="006D40F0">
            <w:r w:rsidRPr="006D40F0">
              <w:t>1 507 000</w:t>
            </w:r>
          </w:p>
        </w:tc>
      </w:tr>
      <w:tr w:rsidR="00DD49A7" w:rsidRPr="006D40F0" w14:paraId="75023485"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099D4902"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2068679" w14:textId="77777777" w:rsidR="00575AC3" w:rsidRPr="006D40F0" w:rsidRDefault="00575AC3" w:rsidP="006D40F0">
            <w:r w:rsidRPr="006D40F0">
              <w:t>88</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7F61CB5C" w14:textId="77777777" w:rsidR="00575AC3" w:rsidRPr="006D40F0" w:rsidRDefault="00575AC3" w:rsidP="006D40F0">
            <w:r w:rsidRPr="006D40F0">
              <w:t>Hjelpemiddelsentraler mv.</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5C38EEB" w14:textId="77777777" w:rsidR="00575AC3" w:rsidRPr="006D40F0" w:rsidRDefault="00575AC3" w:rsidP="006D40F0">
            <w:r w:rsidRPr="006D40F0">
              <w:t>75 000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A4EA903"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6B6912F" w14:textId="77777777" w:rsidR="00575AC3" w:rsidRPr="006D40F0" w:rsidRDefault="00575AC3" w:rsidP="006D40F0">
            <w:r w:rsidRPr="006D40F0">
              <w:t>20 000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4ECA1A6" w14:textId="77777777" w:rsidR="00575AC3" w:rsidRPr="006D40F0" w:rsidRDefault="00575AC3" w:rsidP="006D40F0">
            <w:r w:rsidRPr="006D40F0">
              <w:t>95 000</w:t>
            </w:r>
          </w:p>
        </w:tc>
      </w:tr>
      <w:tr w:rsidR="00DD49A7" w:rsidRPr="006D40F0" w14:paraId="7A530F0A"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A5BCA3" w14:textId="77777777" w:rsidR="00575AC3" w:rsidRPr="006D40F0" w:rsidRDefault="00575AC3" w:rsidP="006D40F0">
            <w:r w:rsidRPr="006D40F0">
              <w:t>5704</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142AFD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660202D" w14:textId="77777777" w:rsidR="00575AC3" w:rsidRPr="006D40F0" w:rsidRDefault="00575AC3" w:rsidP="006D40F0">
            <w:r w:rsidRPr="006D40F0">
              <w:t>Statsgaranti for lønnskrav ved konkurs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0BF0EC1"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CA5C2A1"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85D07"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D859FE0" w14:textId="77777777" w:rsidR="00575AC3" w:rsidRPr="006D40F0" w:rsidRDefault="00575AC3" w:rsidP="006D40F0"/>
        </w:tc>
      </w:tr>
      <w:tr w:rsidR="00DD49A7" w:rsidRPr="006D40F0" w14:paraId="24AF314D"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F74FB73"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25DF5EB1"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05408612" w14:textId="77777777" w:rsidR="00575AC3" w:rsidRPr="006D40F0" w:rsidRDefault="00575AC3" w:rsidP="006D40F0">
            <w:r w:rsidRPr="006D40F0">
              <w:t>Dividende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6404E2" w14:textId="77777777" w:rsidR="00575AC3" w:rsidRPr="006D40F0" w:rsidRDefault="00575AC3" w:rsidP="006D40F0">
            <w:r w:rsidRPr="006D40F0">
              <w:t>225 000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31C093F"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9BAA1A"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FD976CC" w14:textId="77777777" w:rsidR="00575AC3" w:rsidRPr="006D40F0" w:rsidRDefault="00575AC3" w:rsidP="006D40F0">
            <w:r w:rsidRPr="006D40F0">
              <w:t>215 000</w:t>
            </w:r>
          </w:p>
        </w:tc>
      </w:tr>
      <w:tr w:rsidR="00DD49A7" w:rsidRPr="006D40F0" w14:paraId="39C4FAC3"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0030B7F" w14:textId="77777777" w:rsidR="00575AC3" w:rsidRPr="006D40F0" w:rsidRDefault="00575AC3" w:rsidP="006D40F0">
            <w:r w:rsidRPr="006D40F0">
              <w:t>5705</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3FDCEDA4"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199572A4" w14:textId="77777777" w:rsidR="00575AC3" w:rsidRPr="006D40F0" w:rsidRDefault="00575AC3" w:rsidP="006D40F0">
            <w:r w:rsidRPr="006D40F0">
              <w:t>Refusjon av 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55BAAB0"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AFE2BF"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E9ABE2A"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17DFFA3" w14:textId="77777777" w:rsidR="00575AC3" w:rsidRPr="006D40F0" w:rsidRDefault="00575AC3" w:rsidP="006D40F0"/>
        </w:tc>
      </w:tr>
      <w:tr w:rsidR="00DD49A7" w:rsidRPr="006D40F0" w14:paraId="3227F425"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54D4EFE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0804E57D" w14:textId="77777777" w:rsidR="00575AC3" w:rsidRPr="006D40F0" w:rsidRDefault="00575AC3" w:rsidP="006D40F0">
            <w:r w:rsidRPr="006D40F0">
              <w:t>70</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EE49B17" w14:textId="77777777" w:rsidR="00575AC3" w:rsidRPr="006D40F0" w:rsidRDefault="00575AC3" w:rsidP="006D40F0">
            <w:r w:rsidRPr="006D40F0">
              <w:t>Refusjon av dagpenger, statsgaranti ved konkurs</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31EA169" w14:textId="77777777" w:rsidR="00575AC3" w:rsidRPr="006D40F0" w:rsidRDefault="00575AC3" w:rsidP="006D40F0">
            <w:r w:rsidRPr="006D40F0">
              <w:t>18 000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2923341B"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4692A60E" w14:textId="77777777" w:rsidR="00575AC3" w:rsidRPr="006D40F0" w:rsidRDefault="00575AC3" w:rsidP="006D40F0">
            <w:r w:rsidRPr="006D40F0">
              <w:t>9 000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2F95469" w14:textId="77777777" w:rsidR="00575AC3" w:rsidRPr="006D40F0" w:rsidRDefault="00575AC3" w:rsidP="006D40F0">
            <w:r w:rsidRPr="006D40F0">
              <w:t>27 000</w:t>
            </w:r>
          </w:p>
        </w:tc>
      </w:tr>
      <w:tr w:rsidR="00DD49A7" w:rsidRPr="006D40F0" w14:paraId="666CDB6C" w14:textId="77777777">
        <w:trPr>
          <w:trHeight w:val="64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41CE0B88"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89D33F4" w14:textId="77777777" w:rsidR="00575AC3" w:rsidRPr="006D40F0" w:rsidRDefault="00575AC3" w:rsidP="006D40F0">
            <w:r w:rsidRPr="006D40F0">
              <w:t>71</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1DEDF6C" w14:textId="77777777" w:rsidR="00575AC3" w:rsidRPr="006D40F0" w:rsidRDefault="00575AC3" w:rsidP="006D40F0">
            <w:r w:rsidRPr="006D40F0">
              <w:t>Refusjon av dagpenger for grensearbeidere mv. bosatt i Norge</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3E2E0C86" w14:textId="77777777" w:rsidR="00575AC3" w:rsidRPr="006D40F0" w:rsidRDefault="00575AC3" w:rsidP="006D40F0">
            <w:r w:rsidRPr="006D40F0">
              <w:t>300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A345CD"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DB98A23" w14:textId="77777777" w:rsidR="00575AC3" w:rsidRPr="006D40F0" w:rsidRDefault="00575AC3" w:rsidP="006D40F0">
            <w:r w:rsidRPr="006D40F0">
              <w:t>400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1F5312F" w14:textId="77777777" w:rsidR="00575AC3" w:rsidRPr="006D40F0" w:rsidRDefault="00575AC3" w:rsidP="006D40F0">
            <w:r w:rsidRPr="006D40F0">
              <w:t>700</w:t>
            </w:r>
          </w:p>
        </w:tc>
      </w:tr>
      <w:tr w:rsidR="00DD49A7" w:rsidRPr="006D40F0" w14:paraId="3B2AA31F"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792AA81B" w14:textId="77777777" w:rsidR="00575AC3" w:rsidRPr="006D40F0" w:rsidRDefault="00575AC3" w:rsidP="006D40F0"/>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748006E5" w14:textId="77777777" w:rsidR="00575AC3" w:rsidRPr="006D40F0" w:rsidRDefault="00575AC3" w:rsidP="006D40F0">
            <w:r w:rsidRPr="006D40F0">
              <w:t>72</w:t>
            </w:r>
          </w:p>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6E957F64" w14:textId="77777777" w:rsidR="00575AC3" w:rsidRPr="006D40F0" w:rsidRDefault="00575AC3" w:rsidP="006D40F0">
            <w:r w:rsidRPr="006D40F0">
              <w:t>Innkreving av forskutterte dagpenger</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845176F" w14:textId="77777777" w:rsidR="00575AC3" w:rsidRPr="006D40F0" w:rsidRDefault="00575AC3" w:rsidP="006D40F0">
            <w:r w:rsidRPr="006D40F0">
              <w:t>150 000</w:t>
            </w:r>
          </w:p>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DA10420" w14:textId="77777777" w:rsidR="00575AC3" w:rsidRPr="006D40F0" w:rsidRDefault="00575AC3" w:rsidP="006D40F0">
            <w:r w:rsidRPr="006D40F0">
              <w:t>-</w:t>
            </w:r>
          </w:p>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527EA68" w14:textId="77777777" w:rsidR="00575AC3" w:rsidRPr="006D40F0" w:rsidRDefault="00575AC3" w:rsidP="006D40F0">
            <w:r w:rsidRPr="006D40F0">
              <w:t>-10 000</w:t>
            </w:r>
          </w:p>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17588D1F" w14:textId="77777777" w:rsidR="00575AC3" w:rsidRPr="006D40F0" w:rsidRDefault="00575AC3" w:rsidP="006D40F0">
            <w:r w:rsidRPr="006D40F0">
              <w:t>140 000</w:t>
            </w:r>
          </w:p>
        </w:tc>
      </w:tr>
      <w:tr w:rsidR="00DD49A7" w:rsidRPr="006D40F0" w14:paraId="79192807" w14:textId="77777777">
        <w:trPr>
          <w:trHeight w:val="380"/>
        </w:trPr>
        <w:tc>
          <w:tcPr>
            <w:tcW w:w="580" w:type="dxa"/>
            <w:tcBorders>
              <w:top w:val="nil"/>
              <w:left w:val="single" w:sz="4" w:space="0" w:color="000000"/>
              <w:bottom w:val="nil"/>
              <w:right w:val="single" w:sz="4" w:space="0" w:color="000000"/>
            </w:tcBorders>
            <w:tcMar>
              <w:top w:w="128" w:type="dxa"/>
              <w:left w:w="43" w:type="dxa"/>
              <w:bottom w:w="43" w:type="dxa"/>
              <w:right w:w="43" w:type="dxa"/>
            </w:tcMar>
          </w:tcPr>
          <w:p w14:paraId="6DC0B353" w14:textId="77777777" w:rsidR="00575AC3" w:rsidRPr="006D40F0" w:rsidRDefault="00575AC3" w:rsidP="006D40F0">
            <w:r w:rsidRPr="006D40F0">
              <w:lastRenderedPageBreak/>
              <w:t>5706</w:t>
            </w:r>
          </w:p>
        </w:tc>
        <w:tc>
          <w:tcPr>
            <w:tcW w:w="540" w:type="dxa"/>
            <w:tcBorders>
              <w:top w:val="nil"/>
              <w:left w:val="single" w:sz="4" w:space="0" w:color="000000"/>
              <w:bottom w:val="nil"/>
              <w:right w:val="single" w:sz="4" w:space="0" w:color="000000"/>
            </w:tcBorders>
            <w:tcMar>
              <w:top w:w="128" w:type="dxa"/>
              <w:left w:w="43" w:type="dxa"/>
              <w:bottom w:w="43" w:type="dxa"/>
              <w:right w:w="43" w:type="dxa"/>
            </w:tcMar>
          </w:tcPr>
          <w:p w14:paraId="14AC79E8" w14:textId="77777777" w:rsidR="00575AC3" w:rsidRPr="006D40F0" w:rsidRDefault="00575AC3" w:rsidP="006D40F0"/>
        </w:tc>
        <w:tc>
          <w:tcPr>
            <w:tcW w:w="4000" w:type="dxa"/>
            <w:tcBorders>
              <w:top w:val="nil"/>
              <w:left w:val="single" w:sz="4" w:space="0" w:color="000000"/>
              <w:bottom w:val="nil"/>
              <w:right w:val="single" w:sz="4" w:space="0" w:color="000000"/>
            </w:tcBorders>
            <w:tcMar>
              <w:top w:w="128" w:type="dxa"/>
              <w:left w:w="43" w:type="dxa"/>
              <w:bottom w:w="43" w:type="dxa"/>
              <w:right w:w="43" w:type="dxa"/>
            </w:tcMar>
          </w:tcPr>
          <w:p w14:paraId="37CD6B69" w14:textId="77777777" w:rsidR="00575AC3" w:rsidRPr="006D40F0" w:rsidRDefault="00575AC3" w:rsidP="006D40F0">
            <w:r w:rsidRPr="006D40F0">
              <w:t>Bidragsforskott</w:t>
            </w:r>
          </w:p>
        </w:tc>
        <w:tc>
          <w:tcPr>
            <w:tcW w:w="116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5E9E627A" w14:textId="77777777" w:rsidR="00575AC3" w:rsidRPr="006D40F0" w:rsidRDefault="00575AC3" w:rsidP="006D40F0"/>
        </w:tc>
        <w:tc>
          <w:tcPr>
            <w:tcW w:w="10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7D34B929" w14:textId="77777777" w:rsidR="00575AC3" w:rsidRPr="006D40F0" w:rsidRDefault="00575AC3" w:rsidP="006D40F0"/>
        </w:tc>
        <w:tc>
          <w:tcPr>
            <w:tcW w:w="122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6AB047BD" w14:textId="77777777" w:rsidR="00575AC3" w:rsidRPr="006D40F0" w:rsidRDefault="00575AC3" w:rsidP="006D40F0"/>
        </w:tc>
        <w:tc>
          <w:tcPr>
            <w:tcW w:w="1180" w:type="dxa"/>
            <w:tcBorders>
              <w:top w:val="nil"/>
              <w:left w:val="single" w:sz="4" w:space="0" w:color="000000"/>
              <w:bottom w:val="nil"/>
              <w:right w:val="single" w:sz="4" w:space="0" w:color="000000"/>
            </w:tcBorders>
            <w:tcMar>
              <w:top w:w="128" w:type="dxa"/>
              <w:left w:w="43" w:type="dxa"/>
              <w:bottom w:w="43" w:type="dxa"/>
              <w:right w:w="43" w:type="dxa"/>
            </w:tcMar>
            <w:vAlign w:val="bottom"/>
          </w:tcPr>
          <w:p w14:paraId="07BD0298" w14:textId="77777777" w:rsidR="00575AC3" w:rsidRPr="006D40F0" w:rsidRDefault="00575AC3" w:rsidP="006D40F0"/>
        </w:tc>
      </w:tr>
      <w:tr w:rsidR="00DD49A7" w:rsidRPr="006D40F0" w14:paraId="244A74F9" w14:textId="77777777">
        <w:trPr>
          <w:trHeight w:val="380"/>
        </w:trPr>
        <w:tc>
          <w:tcPr>
            <w:tcW w:w="58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55219831" w14:textId="77777777" w:rsidR="00575AC3" w:rsidRPr="006D40F0" w:rsidRDefault="00575AC3" w:rsidP="006D40F0"/>
        </w:tc>
        <w:tc>
          <w:tcPr>
            <w:tcW w:w="54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04D86F30" w14:textId="77777777" w:rsidR="00575AC3" w:rsidRPr="006D40F0" w:rsidRDefault="00575AC3" w:rsidP="006D40F0">
            <w:r w:rsidRPr="006D40F0">
              <w:t>70</w:t>
            </w:r>
          </w:p>
        </w:tc>
        <w:tc>
          <w:tcPr>
            <w:tcW w:w="4000" w:type="dxa"/>
            <w:tcBorders>
              <w:top w:val="nil"/>
              <w:left w:val="single" w:sz="4" w:space="0" w:color="000000"/>
              <w:bottom w:val="single" w:sz="4" w:space="0" w:color="000000"/>
              <w:right w:val="single" w:sz="4" w:space="0" w:color="000000"/>
            </w:tcBorders>
            <w:tcMar>
              <w:top w:w="128" w:type="dxa"/>
              <w:left w:w="43" w:type="dxa"/>
              <w:bottom w:w="43" w:type="dxa"/>
              <w:right w:w="43" w:type="dxa"/>
            </w:tcMar>
          </w:tcPr>
          <w:p w14:paraId="7E2E40AD" w14:textId="77777777" w:rsidR="00575AC3" w:rsidRPr="006D40F0" w:rsidRDefault="00575AC3" w:rsidP="006D40F0">
            <w:r w:rsidRPr="006D40F0">
              <w:t>Refusjon fra bidragspliktige</w:t>
            </w:r>
          </w:p>
        </w:tc>
        <w:tc>
          <w:tcPr>
            <w:tcW w:w="116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4F742E8C" w14:textId="77777777" w:rsidR="00575AC3" w:rsidRPr="006D40F0" w:rsidRDefault="00575AC3" w:rsidP="006D40F0">
            <w:r w:rsidRPr="006D40F0">
              <w:t>195 000</w:t>
            </w:r>
          </w:p>
        </w:tc>
        <w:tc>
          <w:tcPr>
            <w:tcW w:w="10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372A9AE2" w14:textId="77777777" w:rsidR="00575AC3" w:rsidRPr="006D40F0" w:rsidRDefault="00575AC3" w:rsidP="006D40F0">
            <w:r w:rsidRPr="006D40F0">
              <w:t>-</w:t>
            </w:r>
          </w:p>
        </w:tc>
        <w:tc>
          <w:tcPr>
            <w:tcW w:w="122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7884AAC3" w14:textId="77777777" w:rsidR="00575AC3" w:rsidRPr="006D40F0" w:rsidRDefault="00575AC3" w:rsidP="006D40F0">
            <w:r w:rsidRPr="006D40F0">
              <w:t>-24 000</w:t>
            </w:r>
          </w:p>
        </w:tc>
        <w:tc>
          <w:tcPr>
            <w:tcW w:w="1180" w:type="dxa"/>
            <w:tcBorders>
              <w:top w:val="nil"/>
              <w:left w:val="single" w:sz="4" w:space="0" w:color="000000"/>
              <w:bottom w:val="single" w:sz="4" w:space="0" w:color="000000"/>
              <w:right w:val="single" w:sz="4" w:space="0" w:color="000000"/>
            </w:tcBorders>
            <w:tcMar>
              <w:top w:w="128" w:type="dxa"/>
              <w:left w:w="43" w:type="dxa"/>
              <w:bottom w:w="43" w:type="dxa"/>
              <w:right w:w="43" w:type="dxa"/>
            </w:tcMar>
            <w:vAlign w:val="bottom"/>
          </w:tcPr>
          <w:p w14:paraId="1497F2CE" w14:textId="77777777" w:rsidR="00575AC3" w:rsidRPr="006D40F0" w:rsidRDefault="00575AC3" w:rsidP="006D40F0">
            <w:r w:rsidRPr="006D40F0">
              <w:t>171 000</w:t>
            </w:r>
          </w:p>
        </w:tc>
      </w:tr>
      <w:tr w:rsidR="00DD49A7" w:rsidRPr="006D40F0" w14:paraId="504570B4"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7762768" w14:textId="77777777" w:rsidR="00575AC3" w:rsidRPr="006D40F0" w:rsidRDefault="00575AC3" w:rsidP="006D40F0">
            <w:r w:rsidRPr="006D40F0">
              <w:t>Sum endringer Folketrygden</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AD2AE66"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2F79754B"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19589FF" w14:textId="77777777" w:rsidR="00575AC3" w:rsidRPr="006D40F0" w:rsidRDefault="00575AC3" w:rsidP="006D40F0">
            <w:r w:rsidRPr="006D40F0">
              <w:t>142 400</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40DBEDFA" w14:textId="77777777" w:rsidR="00575AC3" w:rsidRPr="006D40F0" w:rsidRDefault="00575AC3" w:rsidP="006D40F0"/>
        </w:tc>
      </w:tr>
      <w:tr w:rsidR="00DD49A7" w:rsidRPr="006D40F0" w14:paraId="2ADF3845"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13017DEA" w14:textId="77777777" w:rsidR="00575AC3" w:rsidRPr="006D40F0" w:rsidRDefault="00575AC3" w:rsidP="006D40F0">
            <w:r w:rsidRPr="006D40F0">
              <w:t xml:space="preserve">Sum endringer inntekter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3B48294A"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A64C6F6" w14:textId="77777777" w:rsidR="00575AC3" w:rsidRPr="006D40F0" w:rsidRDefault="00575AC3" w:rsidP="006D40F0">
            <w:r w:rsidRPr="006D40F0">
              <w:t>0</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6731A55B" w14:textId="77777777" w:rsidR="00575AC3" w:rsidRPr="006D40F0" w:rsidRDefault="00575AC3" w:rsidP="006D40F0">
            <w:r w:rsidRPr="006D40F0">
              <w:t>-67 923 161</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76A173AA" w14:textId="77777777" w:rsidR="00575AC3" w:rsidRPr="006D40F0" w:rsidRDefault="00575AC3" w:rsidP="006D40F0"/>
        </w:tc>
      </w:tr>
      <w:tr w:rsidR="00DD49A7" w:rsidRPr="006D40F0" w14:paraId="0B357143" w14:textId="77777777">
        <w:trPr>
          <w:trHeight w:val="380"/>
        </w:trPr>
        <w:tc>
          <w:tcPr>
            <w:tcW w:w="5120" w:type="dxa"/>
            <w:gridSpan w:val="3"/>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07E7E1D" w14:textId="77777777" w:rsidR="00575AC3" w:rsidRPr="006D40F0" w:rsidRDefault="00575AC3" w:rsidP="006D40F0">
            <w:r w:rsidRPr="006D40F0">
              <w:t xml:space="preserve">Herav 90 – 99 poster </w:t>
            </w:r>
          </w:p>
        </w:tc>
        <w:tc>
          <w:tcPr>
            <w:tcW w:w="116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B91094" w14:textId="77777777" w:rsidR="00575AC3" w:rsidRPr="006D40F0" w:rsidRDefault="00575AC3" w:rsidP="006D40F0"/>
        </w:tc>
        <w:tc>
          <w:tcPr>
            <w:tcW w:w="10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9BDC2C7" w14:textId="77777777" w:rsidR="00575AC3" w:rsidRPr="006D40F0" w:rsidRDefault="00575AC3" w:rsidP="006D40F0">
            <w:r w:rsidRPr="006D40F0">
              <w:t>-</w:t>
            </w:r>
          </w:p>
        </w:tc>
        <w:tc>
          <w:tcPr>
            <w:tcW w:w="12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1FE60AEF" w14:textId="77777777" w:rsidR="00575AC3" w:rsidRPr="006D40F0" w:rsidRDefault="00575AC3" w:rsidP="006D40F0">
            <w:r w:rsidRPr="006D40F0">
              <w:t>-1 377 442</w:t>
            </w:r>
          </w:p>
        </w:tc>
        <w:tc>
          <w:tcPr>
            <w:tcW w:w="118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vAlign w:val="bottom"/>
          </w:tcPr>
          <w:p w14:paraId="573E46F8" w14:textId="77777777" w:rsidR="00575AC3" w:rsidRPr="006D40F0" w:rsidRDefault="00575AC3" w:rsidP="006D40F0"/>
        </w:tc>
      </w:tr>
    </w:tbl>
    <w:p w14:paraId="63BFBB82" w14:textId="77777777" w:rsidR="00575AC3" w:rsidRPr="006D40F0" w:rsidRDefault="00575AC3" w:rsidP="006D40F0"/>
    <w:sectPr w:rsidR="00575AC3" w:rsidRPr="006D40F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3A1B" w14:textId="77777777" w:rsidR="00575AC3" w:rsidRDefault="00575AC3">
      <w:pPr>
        <w:spacing w:after="0" w:line="240" w:lineRule="auto"/>
      </w:pPr>
      <w:r>
        <w:separator/>
      </w:r>
    </w:p>
  </w:endnote>
  <w:endnote w:type="continuationSeparator" w:id="0">
    <w:p w14:paraId="756F0B8D" w14:textId="77777777" w:rsidR="00575AC3" w:rsidRDefault="0057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9733" w14:textId="77777777" w:rsidR="00575AC3" w:rsidRDefault="00575AC3">
      <w:pPr>
        <w:spacing w:after="0" w:line="240" w:lineRule="auto"/>
      </w:pPr>
      <w:r>
        <w:separator/>
      </w:r>
    </w:p>
  </w:footnote>
  <w:footnote w:type="continuationSeparator" w:id="0">
    <w:p w14:paraId="449BFF8E" w14:textId="77777777" w:rsidR="00575AC3" w:rsidRDefault="00575AC3">
      <w:pPr>
        <w:spacing w:after="0" w:line="240" w:lineRule="auto"/>
      </w:pPr>
      <w:r>
        <w:continuationSeparator/>
      </w:r>
    </w:p>
  </w:footnote>
  <w:footnote w:id="1">
    <w:p w14:paraId="54A4C414" w14:textId="163AEE4B" w:rsidR="00575AC3" w:rsidRDefault="00575AC3">
      <w:pPr>
        <w:pStyle w:val="Fotnotetekst"/>
      </w:pPr>
      <w:r>
        <w:rPr>
          <w:vertAlign w:val="superscript"/>
        </w:rPr>
        <w:footnoteRef/>
      </w:r>
      <w:r w:rsidRPr="006D40F0">
        <w:t>Overføringen fra Statens pensjonsfond utland dekker det oljekorrigerte budsjettunderskuddet, mens det strukturelle oljekorrigerte budsjettunderskuddet måler den underliggende bruken av fondsmidler. I dette underskuddsmålet er det korrigert for at skatte- og avgiftsinntekter og enkelte utgifter svinger med konjunkturene, samt andre midlertidige forhold.</w:t>
      </w:r>
    </w:p>
  </w:footnote>
  <w:footnote w:id="2">
    <w:p w14:paraId="21B5A3FD" w14:textId="6DD46CF0" w:rsidR="00575AC3" w:rsidRDefault="00575AC3">
      <w:pPr>
        <w:pStyle w:val="Fotnotetekst"/>
      </w:pPr>
      <w:r>
        <w:rPr>
          <w:vertAlign w:val="superscript"/>
        </w:rPr>
        <w:footnoteRef/>
      </w:r>
      <w:r w:rsidRPr="006D40F0">
        <w:t>EY. Utarbeidelse av kunnskapsgrunnlag for hvordan private skoler finansieres. Analyse av kostnadsgrunnlag i offentlige skoler. 15.01.2024.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5A9C5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236942600">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391030260">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3" w16cid:durableId="849100285">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458138964">
    <w:abstractNumId w:val="0"/>
    <w:lvlOverride w:ilvl="0">
      <w:lvl w:ilvl="0">
        <w:start w:val="1"/>
        <w:numFmt w:val="bullet"/>
        <w:lvlText w:val="Tabell 1.1 "/>
        <w:legacy w:legacy="1" w:legacySpace="0" w:legacyIndent="0"/>
        <w:lvlJc w:val="left"/>
        <w:pPr>
          <w:ind w:left="0" w:firstLine="0"/>
        </w:pPr>
        <w:rPr>
          <w:rFonts w:ascii="Myriad Pro" w:hAnsi="Myriad Pro" w:hint="default"/>
          <w:b w:val="0"/>
          <w:i w:val="0"/>
          <w:strike w:val="0"/>
          <w:color w:val="000000"/>
          <w:sz w:val="20"/>
          <w:u w:val="none"/>
        </w:rPr>
      </w:lvl>
    </w:lvlOverride>
  </w:num>
  <w:num w:numId="5" w16cid:durableId="1648822883">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696009291">
    <w:abstractNumId w:val="0"/>
    <w:lvlOverride w:ilvl="0">
      <w:lvl w:ilvl="0">
        <w:start w:val="1"/>
        <w:numFmt w:val="bullet"/>
        <w:lvlText w:val="Tabell 1.2 "/>
        <w:legacy w:legacy="1" w:legacySpace="0" w:legacyIndent="0"/>
        <w:lvlJc w:val="left"/>
        <w:pPr>
          <w:ind w:left="0" w:firstLine="0"/>
        </w:pPr>
        <w:rPr>
          <w:rFonts w:ascii="Myriad Pro" w:hAnsi="Myriad Pro" w:hint="default"/>
          <w:b w:val="0"/>
          <w:i w:val="0"/>
          <w:strike w:val="0"/>
          <w:color w:val="000000"/>
          <w:sz w:val="20"/>
          <w:u w:val="none"/>
        </w:rPr>
      </w:lvl>
    </w:lvlOverride>
  </w:num>
  <w:num w:numId="7" w16cid:durableId="2123501066">
    <w:abstractNumId w:val="0"/>
    <w:lvlOverride w:ilvl="0">
      <w:lvl w:ilvl="0">
        <w:start w:val="1"/>
        <w:numFmt w:val="bullet"/>
        <w:lvlText w:val="Tabell 1.3 "/>
        <w:legacy w:legacy="1" w:legacySpace="0" w:legacyIndent="0"/>
        <w:lvlJc w:val="left"/>
        <w:pPr>
          <w:ind w:left="0" w:firstLine="0"/>
        </w:pPr>
        <w:rPr>
          <w:rFonts w:ascii="Myriad Pro" w:hAnsi="Myriad Pro" w:hint="default"/>
          <w:b w:val="0"/>
          <w:i w:val="0"/>
          <w:strike w:val="0"/>
          <w:color w:val="000000"/>
          <w:sz w:val="20"/>
          <w:u w:val="none"/>
        </w:rPr>
      </w:lvl>
    </w:lvlOverride>
  </w:num>
  <w:num w:numId="8" w16cid:durableId="1469859102">
    <w:abstractNumId w:val="0"/>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352606004">
    <w:abstractNumId w:val="0"/>
    <w:lvlOverride w:ilvl="0">
      <w:lvl w:ilvl="0">
        <w:start w:val="1"/>
        <w:numFmt w:val="bullet"/>
        <w:lvlText w:val="Tabell 1.4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86798531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1789545575">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838037351">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9362731">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48312249">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266428669">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60636670">
    <w:abstractNumId w:val="0"/>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052390757">
    <w:abstractNumId w:val="0"/>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538326295">
    <w:abstractNumId w:val="0"/>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786269090">
    <w:abstractNumId w:val="0"/>
    <w:lvlOverride w:ilvl="0">
      <w:lvl w:ilvl="0">
        <w:start w:val="1"/>
        <w:numFmt w:val="bullet"/>
        <w:lvlText w:val="2.8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451443813">
    <w:abstractNumId w:val="0"/>
    <w:lvlOverride w:ilvl="0">
      <w:lvl w:ilvl="0">
        <w:start w:val="1"/>
        <w:numFmt w:val="bullet"/>
        <w:lvlText w:val="2.9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552572347">
    <w:abstractNumId w:val="0"/>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1459030276">
    <w:abstractNumId w:val="0"/>
    <w:lvlOverride w:ilvl="0">
      <w:lvl w:ilvl="0">
        <w:start w:val="1"/>
        <w:numFmt w:val="bullet"/>
        <w:lvlText w:val="Tabell 2.2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1670013190">
    <w:abstractNumId w:val="0"/>
    <w:lvlOverride w:ilvl="0">
      <w:lvl w:ilvl="0">
        <w:start w:val="1"/>
        <w:numFmt w:val="bullet"/>
        <w:lvlText w:val="2.10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865557552">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38827740">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16cid:durableId="328755279">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16cid:durableId="1590508092">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028603629">
    <w:abstractNumId w:val="0"/>
    <w:lvlOverride w:ilvl="0">
      <w:lvl w:ilvl="0">
        <w:start w:val="1"/>
        <w:numFmt w:val="bullet"/>
        <w:lvlText w:val="2.13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804857255">
    <w:abstractNumId w:val="0"/>
    <w:lvlOverride w:ilvl="0">
      <w:lvl w:ilvl="0">
        <w:start w:val="1"/>
        <w:numFmt w:val="bullet"/>
        <w:lvlText w:val="2.14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782798660">
    <w:abstractNumId w:val="0"/>
    <w:lvlOverride w:ilvl="0">
      <w:lvl w:ilvl="0">
        <w:start w:val="1"/>
        <w:numFmt w:val="bullet"/>
        <w:lvlText w:val="Tabell 2.3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1490292722">
    <w:abstractNumId w:val="0"/>
    <w:lvlOverride w:ilvl="0">
      <w:lvl w:ilvl="0">
        <w:start w:val="1"/>
        <w:numFmt w:val="bullet"/>
        <w:lvlText w:val="2.15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188837597">
    <w:abstractNumId w:val="0"/>
    <w:lvlOverride w:ilvl="0">
      <w:lvl w:ilvl="0">
        <w:start w:val="1"/>
        <w:numFmt w:val="bullet"/>
        <w:lvlText w:val="Tabell 2.4 "/>
        <w:legacy w:legacy="1" w:legacySpace="0" w:legacyIndent="0"/>
        <w:lvlJc w:val="left"/>
        <w:pPr>
          <w:ind w:left="0" w:firstLine="0"/>
        </w:pPr>
        <w:rPr>
          <w:rFonts w:ascii="Myriad Pro" w:hAnsi="Myriad Pro" w:hint="default"/>
          <w:b w:val="0"/>
          <w:i w:val="0"/>
          <w:strike w:val="0"/>
          <w:color w:val="000000"/>
          <w:sz w:val="20"/>
          <w:u w:val="none"/>
        </w:rPr>
      </w:lvl>
    </w:lvlOverride>
  </w:num>
  <w:num w:numId="33" w16cid:durableId="1496610335">
    <w:abstractNumId w:val="0"/>
    <w:lvlOverride w:ilvl="0">
      <w:lvl w:ilvl="0">
        <w:start w:val="1"/>
        <w:numFmt w:val="bullet"/>
        <w:lvlText w:val="2.16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668873024">
    <w:abstractNumId w:val="17"/>
  </w:num>
  <w:num w:numId="35" w16cid:durableId="867377527">
    <w:abstractNumId w:val="1"/>
  </w:num>
  <w:num w:numId="36" w16cid:durableId="810564789">
    <w:abstractNumId w:val="15"/>
  </w:num>
  <w:num w:numId="37" w16cid:durableId="206841356">
    <w:abstractNumId w:val="8"/>
  </w:num>
  <w:num w:numId="38" w16cid:durableId="907416938">
    <w:abstractNumId w:val="13"/>
  </w:num>
  <w:num w:numId="39" w16cid:durableId="1045370324">
    <w:abstractNumId w:val="18"/>
  </w:num>
  <w:num w:numId="40" w16cid:durableId="908804155">
    <w:abstractNumId w:val="3"/>
  </w:num>
  <w:num w:numId="41" w16cid:durableId="699163665">
    <w:abstractNumId w:val="2"/>
  </w:num>
  <w:num w:numId="42" w16cid:durableId="2071146008">
    <w:abstractNumId w:val="14"/>
  </w:num>
  <w:num w:numId="43" w16cid:durableId="1637488240">
    <w:abstractNumId w:val="4"/>
  </w:num>
  <w:num w:numId="44" w16cid:durableId="1518351430">
    <w:abstractNumId w:val="12"/>
  </w:num>
  <w:num w:numId="45" w16cid:durableId="1706249904">
    <w:abstractNumId w:val="9"/>
  </w:num>
  <w:num w:numId="46" w16cid:durableId="312875158">
    <w:abstractNumId w:val="19"/>
  </w:num>
  <w:num w:numId="47" w16cid:durableId="1956981131">
    <w:abstractNumId w:val="6"/>
  </w:num>
  <w:num w:numId="48" w16cid:durableId="131824677">
    <w:abstractNumId w:val="16"/>
  </w:num>
  <w:num w:numId="49" w16cid:durableId="1280994018">
    <w:abstractNumId w:val="20"/>
  </w:num>
  <w:num w:numId="50" w16cid:durableId="1428498427">
    <w:abstractNumId w:val="10"/>
  </w:num>
  <w:num w:numId="51" w16cid:durableId="97680846">
    <w:abstractNumId w:val="11"/>
  </w:num>
  <w:num w:numId="52" w16cid:durableId="472449704">
    <w:abstractNumId w:val="21"/>
  </w:num>
  <w:num w:numId="53" w16cid:durableId="1069693098">
    <w:abstractNumId w:val="0"/>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54" w16cid:durableId="311720841">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55" w16cid:durableId="19512289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591403221">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390113127">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015153658">
    <w:abstractNumId w:val="5"/>
  </w:num>
  <w:num w:numId="59" w16cid:durableId="1235625424">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F7F50"/>
    <w:rsid w:val="0002179D"/>
    <w:rsid w:val="00265CE1"/>
    <w:rsid w:val="0036161B"/>
    <w:rsid w:val="003B40B2"/>
    <w:rsid w:val="003F1E69"/>
    <w:rsid w:val="004367C4"/>
    <w:rsid w:val="00575AC3"/>
    <w:rsid w:val="0059003D"/>
    <w:rsid w:val="005C5849"/>
    <w:rsid w:val="00671A10"/>
    <w:rsid w:val="006D17D6"/>
    <w:rsid w:val="006D40F0"/>
    <w:rsid w:val="006D6C80"/>
    <w:rsid w:val="006F5198"/>
    <w:rsid w:val="007C000A"/>
    <w:rsid w:val="00AE6BA0"/>
    <w:rsid w:val="00D74A52"/>
    <w:rsid w:val="00DB1359"/>
    <w:rsid w:val="00DD49A7"/>
    <w:rsid w:val="00F162AC"/>
    <w:rsid w:val="00FC46E6"/>
    <w:rsid w:val="00FF7F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02C83"/>
  <w14:defaultImageDpi w14:val="0"/>
  <w15:docId w15:val="{FDC3173E-1DC6-4274-9363-5AFAB53B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52"/>
    <w:pPr>
      <w:spacing w:after="120" w:line="276" w:lineRule="auto"/>
      <w:jc w:val="both"/>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74A52"/>
    <w:pPr>
      <w:keepNext/>
      <w:keepLines/>
      <w:numPr>
        <w:numId w:val="5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4A52"/>
    <w:pPr>
      <w:keepNext/>
      <w:keepLines/>
      <w:numPr>
        <w:ilvl w:val="1"/>
        <w:numId w:val="52"/>
      </w:numPr>
      <w:spacing w:before="360" w:after="80"/>
      <w:outlineLvl w:val="1"/>
    </w:pPr>
    <w:rPr>
      <w:rFonts w:ascii="Arial" w:hAnsi="Arial"/>
      <w:b/>
      <w:sz w:val="28"/>
    </w:rPr>
  </w:style>
  <w:style w:type="paragraph" w:styleId="Overskrift3">
    <w:name w:val="heading 3"/>
    <w:basedOn w:val="Normal"/>
    <w:next w:val="Normal"/>
    <w:link w:val="Overskrift3Tegn"/>
    <w:qFormat/>
    <w:rsid w:val="00D74A52"/>
    <w:pPr>
      <w:keepNext/>
      <w:keepLines/>
      <w:numPr>
        <w:ilvl w:val="2"/>
        <w:numId w:val="52"/>
      </w:numPr>
      <w:spacing w:before="360" w:after="80"/>
      <w:outlineLvl w:val="2"/>
    </w:pPr>
    <w:rPr>
      <w:rFonts w:ascii="Arial" w:hAnsi="Arial"/>
      <w:b/>
      <w:spacing w:val="0"/>
    </w:rPr>
  </w:style>
  <w:style w:type="paragraph" w:styleId="Overskrift4">
    <w:name w:val="heading 4"/>
    <w:basedOn w:val="Normal"/>
    <w:next w:val="Normal"/>
    <w:link w:val="Overskrift4Tegn"/>
    <w:qFormat/>
    <w:rsid w:val="00D74A52"/>
    <w:pPr>
      <w:keepNext/>
      <w:keepLines/>
      <w:numPr>
        <w:ilvl w:val="3"/>
        <w:numId w:val="52"/>
      </w:numPr>
      <w:spacing w:before="120" w:after="0"/>
      <w:outlineLvl w:val="3"/>
    </w:pPr>
    <w:rPr>
      <w:rFonts w:ascii="Arial" w:hAnsi="Arial"/>
      <w:i/>
    </w:rPr>
  </w:style>
  <w:style w:type="paragraph" w:styleId="Overskrift5">
    <w:name w:val="heading 5"/>
    <w:basedOn w:val="Normal"/>
    <w:next w:val="Normal"/>
    <w:link w:val="Overskrift5Tegn"/>
    <w:qFormat/>
    <w:rsid w:val="00D74A52"/>
    <w:pPr>
      <w:keepNext/>
      <w:numPr>
        <w:ilvl w:val="4"/>
        <w:numId w:val="52"/>
      </w:numPr>
      <w:spacing w:before="120" w:after="0"/>
      <w:outlineLvl w:val="4"/>
    </w:pPr>
    <w:rPr>
      <w:rFonts w:ascii="Arial" w:hAnsi="Arial"/>
      <w:i/>
      <w:spacing w:val="0"/>
    </w:rPr>
  </w:style>
  <w:style w:type="paragraph" w:styleId="Overskrift6">
    <w:name w:val="heading 6"/>
    <w:basedOn w:val="Normal"/>
    <w:next w:val="Normal"/>
    <w:link w:val="Overskrift6Tegn"/>
    <w:qFormat/>
    <w:rsid w:val="00D74A52"/>
    <w:pPr>
      <w:numPr>
        <w:ilvl w:val="5"/>
        <w:numId w:val="34"/>
      </w:numPr>
      <w:spacing w:before="240" w:after="60"/>
      <w:outlineLvl w:val="5"/>
    </w:pPr>
    <w:rPr>
      <w:rFonts w:ascii="Arial" w:hAnsi="Arial"/>
      <w:i/>
      <w:sz w:val="22"/>
    </w:rPr>
  </w:style>
  <w:style w:type="paragraph" w:styleId="Overskrift7">
    <w:name w:val="heading 7"/>
    <w:basedOn w:val="Normal"/>
    <w:next w:val="Normal"/>
    <w:link w:val="Overskrift7Tegn"/>
    <w:qFormat/>
    <w:rsid w:val="00D74A52"/>
    <w:pPr>
      <w:numPr>
        <w:ilvl w:val="6"/>
        <w:numId w:val="34"/>
      </w:numPr>
      <w:spacing w:before="240" w:after="60"/>
      <w:outlineLvl w:val="6"/>
    </w:pPr>
    <w:rPr>
      <w:rFonts w:ascii="Arial" w:hAnsi="Arial"/>
    </w:rPr>
  </w:style>
  <w:style w:type="paragraph" w:styleId="Overskrift8">
    <w:name w:val="heading 8"/>
    <w:basedOn w:val="Normal"/>
    <w:next w:val="Normal"/>
    <w:link w:val="Overskrift8Tegn"/>
    <w:qFormat/>
    <w:rsid w:val="00D74A52"/>
    <w:pPr>
      <w:numPr>
        <w:ilvl w:val="7"/>
        <w:numId w:val="34"/>
      </w:numPr>
      <w:spacing w:before="240" w:after="60"/>
      <w:outlineLvl w:val="7"/>
    </w:pPr>
    <w:rPr>
      <w:rFonts w:ascii="Arial" w:hAnsi="Arial"/>
      <w:i/>
    </w:rPr>
  </w:style>
  <w:style w:type="paragraph" w:styleId="Overskrift9">
    <w:name w:val="heading 9"/>
    <w:basedOn w:val="Normal"/>
    <w:next w:val="Normal"/>
    <w:link w:val="Overskrift9Tegn"/>
    <w:qFormat/>
    <w:rsid w:val="00D74A52"/>
    <w:pPr>
      <w:numPr>
        <w:ilvl w:val="8"/>
        <w:numId w:val="3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4A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4A5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74A52"/>
    <w:pPr>
      <w:keepNext/>
      <w:keepLines/>
      <w:spacing w:before="240" w:after="240"/>
    </w:pPr>
  </w:style>
  <w:style w:type="paragraph" w:customStyle="1" w:styleId="a-konge-tit">
    <w:name w:val="a-konge-tit"/>
    <w:basedOn w:val="Normal"/>
    <w:next w:val="Normal"/>
    <w:rsid w:val="00D74A52"/>
    <w:pPr>
      <w:keepNext/>
      <w:keepLines/>
      <w:spacing w:before="240"/>
      <w:jc w:val="center"/>
    </w:pPr>
    <w:rPr>
      <w:spacing w:val="30"/>
    </w:rPr>
  </w:style>
  <w:style w:type="paragraph" w:customStyle="1" w:styleId="a-tilraar-dep">
    <w:name w:val="a-tilraar-dep"/>
    <w:basedOn w:val="Normal"/>
    <w:next w:val="Normal"/>
    <w:rsid w:val="00D74A5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74A5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74A5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D74A5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74A5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74A5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D74A52"/>
    <w:pPr>
      <w:numPr>
        <w:numId w:val="36"/>
      </w:numPr>
      <w:spacing w:after="0"/>
    </w:pPr>
  </w:style>
  <w:style w:type="paragraph" w:customStyle="1" w:styleId="alfaliste2">
    <w:name w:val="alfaliste 2"/>
    <w:basedOn w:val="Liste2"/>
    <w:rsid w:val="00D74A52"/>
    <w:pPr>
      <w:numPr>
        <w:numId w:val="3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74A52"/>
    <w:pPr>
      <w:numPr>
        <w:ilvl w:val="2"/>
        <w:numId w:val="3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74A52"/>
    <w:pPr>
      <w:numPr>
        <w:ilvl w:val="3"/>
        <w:numId w:val="3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74A52"/>
    <w:pPr>
      <w:numPr>
        <w:ilvl w:val="4"/>
        <w:numId w:val="3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74A5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74A5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74A5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74A5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74A52"/>
    <w:rPr>
      <w:rFonts w:ascii="Arial" w:eastAsia="Times New Roman" w:hAnsi="Arial"/>
      <w:b/>
      <w:spacing w:val="4"/>
      <w:kern w:val="0"/>
      <w:sz w:val="28"/>
      <w:szCs w:val="22"/>
      <w14:ligatures w14:val="none"/>
    </w:rPr>
  </w:style>
  <w:style w:type="paragraph" w:customStyle="1" w:styleId="b-post">
    <w:name w:val="b-post"/>
    <w:basedOn w:val="Normal"/>
    <w:next w:val="Normal"/>
    <w:rsid w:val="00D74A5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74A5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D74A52"/>
    <w:pPr>
      <w:keepNext/>
      <w:keepLines/>
      <w:numPr>
        <w:ilvl w:val="7"/>
        <w:numId w:val="52"/>
      </w:numPr>
      <w:spacing w:before="360" w:after="80"/>
      <w:jc w:val="center"/>
    </w:pPr>
    <w:rPr>
      <w:rFonts w:ascii="Arial" w:hAnsi="Arial"/>
      <w:b/>
    </w:rPr>
  </w:style>
  <w:style w:type="paragraph" w:customStyle="1" w:styleId="b-progomr">
    <w:name w:val="b-progomr"/>
    <w:basedOn w:val="Normal"/>
    <w:next w:val="Normal"/>
    <w:rsid w:val="00D74A5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74A5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74A52"/>
  </w:style>
  <w:style w:type="paragraph" w:customStyle="1" w:styleId="Def">
    <w:name w:val="Def"/>
    <w:basedOn w:val="hengende-innrykk"/>
    <w:rsid w:val="00D74A52"/>
    <w:pPr>
      <w:spacing w:line="240" w:lineRule="auto"/>
      <w:ind w:left="0" w:firstLine="0"/>
    </w:pPr>
    <w:rPr>
      <w:rFonts w:ascii="Times" w:eastAsia="Batang" w:hAnsi="Times"/>
      <w:spacing w:val="0"/>
      <w:szCs w:val="20"/>
    </w:rPr>
  </w:style>
  <w:style w:type="paragraph" w:customStyle="1" w:styleId="del-nr">
    <w:name w:val="del-nr"/>
    <w:basedOn w:val="Normal"/>
    <w:qFormat/>
    <w:rsid w:val="00D74A5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74A5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74A52"/>
  </w:style>
  <w:style w:type="paragraph" w:customStyle="1" w:styleId="figur-noter">
    <w:name w:val="figur-noter"/>
    <w:basedOn w:val="Normal"/>
    <w:next w:val="Normal"/>
    <w:rsid w:val="00D74A5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74A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D74A52"/>
    <w:rPr>
      <w:sz w:val="20"/>
    </w:rPr>
  </w:style>
  <w:style w:type="character" w:customStyle="1" w:styleId="FotnotetekstTegn">
    <w:name w:val="Fotnotetekst Tegn"/>
    <w:basedOn w:val="Standardskriftforavsnitt"/>
    <w:link w:val="Fotnotetekst"/>
    <w:rsid w:val="00D74A5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74A52"/>
    <w:pPr>
      <w:tabs>
        <w:tab w:val="left" w:pos="397"/>
      </w:tabs>
      <w:spacing w:after="0"/>
      <w:ind w:left="397" w:hanging="397"/>
    </w:pPr>
    <w:rPr>
      <w:spacing w:val="0"/>
    </w:rPr>
  </w:style>
  <w:style w:type="paragraph" w:customStyle="1" w:styleId="friliste2">
    <w:name w:val="friliste 2"/>
    <w:basedOn w:val="Normal"/>
    <w:qFormat/>
    <w:rsid w:val="00D74A52"/>
    <w:pPr>
      <w:tabs>
        <w:tab w:val="left" w:pos="794"/>
      </w:tabs>
      <w:spacing w:after="0"/>
      <w:ind w:left="794" w:hanging="397"/>
    </w:pPr>
    <w:rPr>
      <w:spacing w:val="0"/>
    </w:rPr>
  </w:style>
  <w:style w:type="paragraph" w:customStyle="1" w:styleId="friliste3">
    <w:name w:val="friliste 3"/>
    <w:basedOn w:val="Normal"/>
    <w:qFormat/>
    <w:rsid w:val="00D74A52"/>
    <w:pPr>
      <w:tabs>
        <w:tab w:val="left" w:pos="1191"/>
      </w:tabs>
      <w:spacing w:after="0"/>
      <w:ind w:left="1191" w:hanging="397"/>
    </w:pPr>
    <w:rPr>
      <w:spacing w:val="0"/>
    </w:rPr>
  </w:style>
  <w:style w:type="paragraph" w:customStyle="1" w:styleId="friliste4">
    <w:name w:val="friliste 4"/>
    <w:basedOn w:val="Normal"/>
    <w:qFormat/>
    <w:rsid w:val="00D74A52"/>
    <w:pPr>
      <w:tabs>
        <w:tab w:val="left" w:pos="1588"/>
      </w:tabs>
      <w:spacing w:after="0"/>
      <w:ind w:left="1588" w:hanging="397"/>
    </w:pPr>
    <w:rPr>
      <w:spacing w:val="0"/>
    </w:rPr>
  </w:style>
  <w:style w:type="paragraph" w:customStyle="1" w:styleId="friliste5">
    <w:name w:val="friliste 5"/>
    <w:basedOn w:val="Normal"/>
    <w:qFormat/>
    <w:rsid w:val="00D74A5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74A52"/>
    <w:pPr>
      <w:ind w:left="1418" w:hanging="1418"/>
    </w:pPr>
  </w:style>
  <w:style w:type="paragraph" w:customStyle="1" w:styleId="i-budkap-over">
    <w:name w:val="i-budkap-over"/>
    <w:basedOn w:val="Normal"/>
    <w:next w:val="Normal"/>
    <w:rsid w:val="00D74A52"/>
    <w:pPr>
      <w:jc w:val="right"/>
    </w:pPr>
    <w:rPr>
      <w:rFonts w:ascii="Times" w:hAnsi="Times"/>
      <w:b/>
      <w:noProof/>
    </w:rPr>
  </w:style>
  <w:style w:type="paragraph" w:customStyle="1" w:styleId="i-dep">
    <w:name w:val="i-dep"/>
    <w:basedOn w:val="Normal"/>
    <w:next w:val="Normal"/>
    <w:rsid w:val="00D74A5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74A5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74A52"/>
    <w:pPr>
      <w:keepNext/>
      <w:keepLines/>
      <w:jc w:val="center"/>
    </w:pPr>
    <w:rPr>
      <w:rFonts w:eastAsia="Batang"/>
      <w:b/>
      <w:sz w:val="28"/>
    </w:rPr>
  </w:style>
  <w:style w:type="paragraph" w:customStyle="1" w:styleId="i-mtit">
    <w:name w:val="i-mtit"/>
    <w:basedOn w:val="Normal"/>
    <w:next w:val="Normal"/>
    <w:rsid w:val="00D74A5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D74A5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74A52"/>
    <w:pPr>
      <w:spacing w:after="0"/>
      <w:jc w:val="center"/>
    </w:pPr>
    <w:rPr>
      <w:rFonts w:ascii="Times" w:hAnsi="Times"/>
      <w:i/>
      <w:noProof/>
    </w:rPr>
  </w:style>
  <w:style w:type="paragraph" w:customStyle="1" w:styleId="i-termin">
    <w:name w:val="i-termin"/>
    <w:basedOn w:val="Normal"/>
    <w:next w:val="Normal"/>
    <w:rsid w:val="00D74A52"/>
    <w:pPr>
      <w:spacing w:before="360"/>
      <w:jc w:val="center"/>
    </w:pPr>
    <w:rPr>
      <w:b/>
      <w:noProof/>
      <w:sz w:val="28"/>
    </w:rPr>
  </w:style>
  <w:style w:type="paragraph" w:customStyle="1" w:styleId="i-tit">
    <w:name w:val="i-tit"/>
    <w:basedOn w:val="Normal"/>
    <w:next w:val="i-statsrdato"/>
    <w:rsid w:val="00D74A5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74A5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74A5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74A52"/>
    <w:pPr>
      <w:numPr>
        <w:numId w:val="45"/>
      </w:numPr>
    </w:pPr>
    <w:rPr>
      <w:rFonts w:eastAsiaTheme="minorEastAsia"/>
    </w:rPr>
  </w:style>
  <w:style w:type="paragraph" w:customStyle="1" w:styleId="l-alfaliste2">
    <w:name w:val="l-alfaliste 2"/>
    <w:basedOn w:val="alfaliste2"/>
    <w:qFormat/>
    <w:rsid w:val="00D74A52"/>
    <w:pPr>
      <w:numPr>
        <w:numId w:val="4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74A52"/>
    <w:pPr>
      <w:numPr>
        <w:numId w:val="4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74A52"/>
    <w:pPr>
      <w:numPr>
        <w:numId w:val="4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74A52"/>
    <w:pPr>
      <w:numPr>
        <w:numId w:val="4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74A52"/>
    <w:rPr>
      <w:lang w:val="nn-NO"/>
    </w:rPr>
  </w:style>
  <w:style w:type="paragraph" w:customStyle="1" w:styleId="l-ledd">
    <w:name w:val="l-ledd"/>
    <w:basedOn w:val="Normal"/>
    <w:qFormat/>
    <w:rsid w:val="00D74A5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74A5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74A5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74A5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74A5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D74A52"/>
    <w:pPr>
      <w:spacing w:after="0"/>
    </w:pPr>
  </w:style>
  <w:style w:type="paragraph" w:customStyle="1" w:styleId="l-tit-endr-avsnitt">
    <w:name w:val="l-tit-endr-avsnitt"/>
    <w:basedOn w:val="l-tit-endr-lovkap"/>
    <w:qFormat/>
    <w:rsid w:val="00D74A52"/>
  </w:style>
  <w:style w:type="paragraph" w:customStyle="1" w:styleId="l-tit-endr-ledd">
    <w:name w:val="l-tit-endr-ledd"/>
    <w:basedOn w:val="Normal"/>
    <w:qFormat/>
    <w:rsid w:val="00D74A52"/>
    <w:pPr>
      <w:keepNext/>
      <w:spacing w:before="240" w:after="0" w:line="240" w:lineRule="auto"/>
    </w:pPr>
    <w:rPr>
      <w:rFonts w:ascii="Times" w:hAnsi="Times"/>
      <w:noProof/>
      <w:lang w:val="nn-NO"/>
    </w:rPr>
  </w:style>
  <w:style w:type="paragraph" w:customStyle="1" w:styleId="l-tit-endr-lov">
    <w:name w:val="l-tit-endr-lov"/>
    <w:basedOn w:val="Normal"/>
    <w:qFormat/>
    <w:rsid w:val="00D74A5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74A52"/>
    <w:pPr>
      <w:keepNext/>
      <w:spacing w:before="240" w:after="0" w:line="240" w:lineRule="auto"/>
    </w:pPr>
    <w:rPr>
      <w:rFonts w:ascii="Times" w:hAnsi="Times"/>
      <w:noProof/>
      <w:lang w:val="nn-NO"/>
    </w:rPr>
  </w:style>
  <w:style w:type="paragraph" w:customStyle="1" w:styleId="l-tit-endr-lovkap">
    <w:name w:val="l-tit-endr-lovkap"/>
    <w:basedOn w:val="Normal"/>
    <w:qFormat/>
    <w:rsid w:val="00D74A52"/>
    <w:pPr>
      <w:keepNext/>
      <w:spacing w:before="240" w:after="0" w:line="240" w:lineRule="auto"/>
    </w:pPr>
    <w:rPr>
      <w:rFonts w:ascii="Times" w:hAnsi="Times"/>
      <w:noProof/>
      <w:lang w:val="nn-NO"/>
    </w:rPr>
  </w:style>
  <w:style w:type="paragraph" w:customStyle="1" w:styleId="l-tit-endr-paragraf">
    <w:name w:val="l-tit-endr-paragraf"/>
    <w:basedOn w:val="Normal"/>
    <w:qFormat/>
    <w:rsid w:val="00D74A5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4A5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74A52"/>
    <w:pPr>
      <w:numPr>
        <w:numId w:val="39"/>
      </w:numPr>
      <w:spacing w:line="240" w:lineRule="auto"/>
      <w:contextualSpacing/>
    </w:pPr>
  </w:style>
  <w:style w:type="paragraph" w:styleId="Liste2">
    <w:name w:val="List 2"/>
    <w:basedOn w:val="Normal"/>
    <w:rsid w:val="00D74A52"/>
    <w:pPr>
      <w:numPr>
        <w:ilvl w:val="1"/>
        <w:numId w:val="39"/>
      </w:numPr>
      <w:spacing w:after="0"/>
    </w:pPr>
  </w:style>
  <w:style w:type="paragraph" w:styleId="Liste3">
    <w:name w:val="List 3"/>
    <w:basedOn w:val="Normal"/>
    <w:rsid w:val="00D74A52"/>
    <w:pPr>
      <w:numPr>
        <w:ilvl w:val="2"/>
        <w:numId w:val="39"/>
      </w:numPr>
      <w:spacing w:after="0"/>
    </w:pPr>
    <w:rPr>
      <w:spacing w:val="0"/>
    </w:rPr>
  </w:style>
  <w:style w:type="paragraph" w:styleId="Liste4">
    <w:name w:val="List 4"/>
    <w:basedOn w:val="Normal"/>
    <w:rsid w:val="00D74A52"/>
    <w:pPr>
      <w:numPr>
        <w:ilvl w:val="3"/>
        <w:numId w:val="39"/>
      </w:numPr>
      <w:spacing w:after="0"/>
    </w:pPr>
    <w:rPr>
      <w:spacing w:val="0"/>
    </w:rPr>
  </w:style>
  <w:style w:type="paragraph" w:styleId="Liste5">
    <w:name w:val="List 5"/>
    <w:basedOn w:val="Normal"/>
    <w:rsid w:val="00D74A52"/>
    <w:pPr>
      <w:numPr>
        <w:ilvl w:val="4"/>
        <w:numId w:val="39"/>
      </w:numPr>
      <w:spacing w:after="0"/>
    </w:pPr>
    <w:rPr>
      <w:spacing w:val="0"/>
    </w:rPr>
  </w:style>
  <w:style w:type="paragraph" w:customStyle="1" w:styleId="Listebombe">
    <w:name w:val="Liste bombe"/>
    <w:basedOn w:val="Liste"/>
    <w:qFormat/>
    <w:rsid w:val="00D74A52"/>
    <w:pPr>
      <w:numPr>
        <w:numId w:val="47"/>
      </w:numPr>
      <w:tabs>
        <w:tab w:val="left" w:pos="397"/>
      </w:tabs>
      <w:ind w:left="397" w:hanging="397"/>
    </w:pPr>
  </w:style>
  <w:style w:type="paragraph" w:customStyle="1" w:styleId="Listebombe2">
    <w:name w:val="Liste bombe 2"/>
    <w:basedOn w:val="Liste2"/>
    <w:qFormat/>
    <w:rsid w:val="00D74A52"/>
    <w:pPr>
      <w:numPr>
        <w:ilvl w:val="0"/>
        <w:numId w:val="48"/>
      </w:numPr>
      <w:ind w:left="794" w:hanging="397"/>
    </w:pPr>
  </w:style>
  <w:style w:type="paragraph" w:customStyle="1" w:styleId="Listebombe3">
    <w:name w:val="Liste bombe 3"/>
    <w:basedOn w:val="Liste3"/>
    <w:qFormat/>
    <w:rsid w:val="00D74A52"/>
    <w:pPr>
      <w:numPr>
        <w:ilvl w:val="0"/>
        <w:numId w:val="49"/>
      </w:numPr>
      <w:ind w:left="1191" w:hanging="397"/>
    </w:pPr>
  </w:style>
  <w:style w:type="paragraph" w:customStyle="1" w:styleId="Listebombe4">
    <w:name w:val="Liste bombe 4"/>
    <w:basedOn w:val="Liste4"/>
    <w:qFormat/>
    <w:rsid w:val="00D74A52"/>
    <w:pPr>
      <w:numPr>
        <w:ilvl w:val="0"/>
        <w:numId w:val="50"/>
      </w:numPr>
      <w:ind w:left="1588" w:hanging="397"/>
    </w:pPr>
  </w:style>
  <w:style w:type="paragraph" w:customStyle="1" w:styleId="Listebombe5">
    <w:name w:val="Liste bombe 5"/>
    <w:basedOn w:val="Liste5"/>
    <w:qFormat/>
    <w:rsid w:val="00D74A52"/>
    <w:pPr>
      <w:numPr>
        <w:ilvl w:val="0"/>
        <w:numId w:val="51"/>
      </w:numPr>
      <w:ind w:left="1985" w:hanging="397"/>
    </w:pPr>
  </w:style>
  <w:style w:type="paragraph" w:styleId="Listeavsnitt">
    <w:name w:val="List Paragraph"/>
    <w:basedOn w:val="Normal"/>
    <w:uiPriority w:val="34"/>
    <w:qFormat/>
    <w:rsid w:val="00D74A52"/>
    <w:pPr>
      <w:spacing w:before="60" w:after="0"/>
      <w:ind w:left="397"/>
    </w:pPr>
    <w:rPr>
      <w:spacing w:val="0"/>
    </w:rPr>
  </w:style>
  <w:style w:type="paragraph" w:customStyle="1" w:styleId="Listeavsnitt2">
    <w:name w:val="Listeavsnitt 2"/>
    <w:basedOn w:val="Normal"/>
    <w:qFormat/>
    <w:rsid w:val="00D74A52"/>
    <w:pPr>
      <w:spacing w:before="60" w:after="0"/>
      <w:ind w:left="794"/>
    </w:pPr>
    <w:rPr>
      <w:spacing w:val="0"/>
    </w:rPr>
  </w:style>
  <w:style w:type="paragraph" w:customStyle="1" w:styleId="Listeavsnitt3">
    <w:name w:val="Listeavsnitt 3"/>
    <w:basedOn w:val="Normal"/>
    <w:qFormat/>
    <w:rsid w:val="00D74A52"/>
    <w:pPr>
      <w:spacing w:before="60" w:after="0"/>
      <w:ind w:left="1191"/>
    </w:pPr>
    <w:rPr>
      <w:spacing w:val="0"/>
    </w:rPr>
  </w:style>
  <w:style w:type="paragraph" w:customStyle="1" w:styleId="Listeavsnitt4">
    <w:name w:val="Listeavsnitt 4"/>
    <w:basedOn w:val="Normal"/>
    <w:qFormat/>
    <w:rsid w:val="00D74A52"/>
    <w:pPr>
      <w:spacing w:before="60" w:after="0"/>
      <w:ind w:left="1588"/>
    </w:pPr>
    <w:rPr>
      <w:spacing w:val="0"/>
    </w:rPr>
  </w:style>
  <w:style w:type="paragraph" w:customStyle="1" w:styleId="Listeavsnitt5">
    <w:name w:val="Listeavsnitt 5"/>
    <w:basedOn w:val="Normal"/>
    <w:qFormat/>
    <w:rsid w:val="00D74A5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74A5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74A52"/>
    <w:pPr>
      <w:numPr>
        <w:numId w:val="37"/>
      </w:numPr>
      <w:spacing w:after="0"/>
    </w:pPr>
    <w:rPr>
      <w:rFonts w:ascii="Times" w:eastAsia="Batang" w:hAnsi="Times"/>
      <w:spacing w:val="0"/>
      <w:szCs w:val="20"/>
    </w:rPr>
  </w:style>
  <w:style w:type="paragraph" w:styleId="Nummerertliste2">
    <w:name w:val="List Number 2"/>
    <w:basedOn w:val="Normal"/>
    <w:rsid w:val="00D74A52"/>
    <w:pPr>
      <w:numPr>
        <w:ilvl w:val="1"/>
        <w:numId w:val="3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74A52"/>
    <w:pPr>
      <w:numPr>
        <w:ilvl w:val="2"/>
        <w:numId w:val="3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74A52"/>
    <w:pPr>
      <w:numPr>
        <w:ilvl w:val="3"/>
        <w:numId w:val="3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74A52"/>
    <w:pPr>
      <w:numPr>
        <w:ilvl w:val="4"/>
        <w:numId w:val="3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74A52"/>
    <w:pPr>
      <w:spacing w:after="0"/>
      <w:ind w:left="397"/>
    </w:pPr>
    <w:rPr>
      <w:spacing w:val="0"/>
      <w:lang w:val="en-US"/>
    </w:rPr>
  </w:style>
  <w:style w:type="paragraph" w:customStyle="1" w:styleId="opplisting3">
    <w:name w:val="opplisting 3"/>
    <w:basedOn w:val="Normal"/>
    <w:qFormat/>
    <w:rsid w:val="00D74A52"/>
    <w:pPr>
      <w:spacing w:after="0"/>
      <w:ind w:left="794"/>
    </w:pPr>
    <w:rPr>
      <w:spacing w:val="0"/>
    </w:rPr>
  </w:style>
  <w:style w:type="paragraph" w:customStyle="1" w:styleId="opplisting4">
    <w:name w:val="opplisting 4"/>
    <w:basedOn w:val="Normal"/>
    <w:qFormat/>
    <w:rsid w:val="00D74A52"/>
    <w:pPr>
      <w:spacing w:after="0"/>
      <w:ind w:left="1191"/>
    </w:pPr>
    <w:rPr>
      <w:spacing w:val="0"/>
    </w:rPr>
  </w:style>
  <w:style w:type="paragraph" w:customStyle="1" w:styleId="opplisting5">
    <w:name w:val="opplisting 5"/>
    <w:basedOn w:val="Normal"/>
    <w:qFormat/>
    <w:rsid w:val="00D74A5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74A5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74A5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74A5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74A5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74A52"/>
    <w:rPr>
      <w:spacing w:val="6"/>
      <w:sz w:val="19"/>
    </w:rPr>
  </w:style>
  <w:style w:type="paragraph" w:customStyle="1" w:styleId="ramme-noter">
    <w:name w:val="ramme-noter"/>
    <w:basedOn w:val="Normal"/>
    <w:next w:val="Normal"/>
    <w:rsid w:val="00D74A5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74A5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74A52"/>
    <w:pPr>
      <w:numPr>
        <w:numId w:val="46"/>
      </w:numPr>
      <w:spacing w:after="0" w:line="240" w:lineRule="auto"/>
    </w:pPr>
    <w:rPr>
      <w:rFonts w:ascii="Times" w:eastAsia="Batang" w:hAnsi="Times"/>
      <w:spacing w:val="0"/>
      <w:szCs w:val="20"/>
    </w:rPr>
  </w:style>
  <w:style w:type="paragraph" w:customStyle="1" w:styleId="romertallliste2">
    <w:name w:val="romertall liste 2"/>
    <w:basedOn w:val="Normal"/>
    <w:rsid w:val="00D74A52"/>
    <w:pPr>
      <w:numPr>
        <w:ilvl w:val="1"/>
        <w:numId w:val="4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74A52"/>
    <w:pPr>
      <w:numPr>
        <w:ilvl w:val="2"/>
        <w:numId w:val="4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74A52"/>
    <w:pPr>
      <w:numPr>
        <w:ilvl w:val="3"/>
        <w:numId w:val="4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74A52"/>
    <w:pPr>
      <w:numPr>
        <w:ilvl w:val="4"/>
        <w:numId w:val="4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74A5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74A5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74A52"/>
    <w:pPr>
      <w:keepNext/>
      <w:keepLines/>
      <w:numPr>
        <w:ilvl w:val="6"/>
        <w:numId w:val="5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74A5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74A5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74A5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74A52"/>
    <w:pPr>
      <w:keepNext/>
      <w:keepLines/>
      <w:spacing w:before="360" w:after="240"/>
      <w:jc w:val="center"/>
    </w:pPr>
    <w:rPr>
      <w:rFonts w:ascii="Arial" w:hAnsi="Arial"/>
      <w:b/>
      <w:sz w:val="28"/>
    </w:rPr>
  </w:style>
  <w:style w:type="paragraph" w:customStyle="1" w:styleId="tittel-ordforkl">
    <w:name w:val="tittel-ordforkl"/>
    <w:basedOn w:val="Normal"/>
    <w:next w:val="Normal"/>
    <w:rsid w:val="00D74A52"/>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74A52"/>
    <w:pPr>
      <w:keepNext/>
      <w:keepLines/>
      <w:spacing w:before="360"/>
    </w:pPr>
    <w:rPr>
      <w:rFonts w:ascii="Arial" w:hAnsi="Arial"/>
      <w:b/>
      <w:sz w:val="28"/>
    </w:rPr>
  </w:style>
  <w:style w:type="character" w:customStyle="1" w:styleId="UndertittelTegn">
    <w:name w:val="Undertittel Tegn"/>
    <w:basedOn w:val="Standardskriftforavsnitt"/>
    <w:link w:val="Undertittel"/>
    <w:rsid w:val="00D74A5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74A52"/>
    <w:pPr>
      <w:numPr>
        <w:numId w:val="0"/>
      </w:numPr>
    </w:pPr>
    <w:rPr>
      <w:b w:val="0"/>
      <w:i/>
    </w:rPr>
  </w:style>
  <w:style w:type="paragraph" w:customStyle="1" w:styleId="Undervedl-tittel">
    <w:name w:val="Undervedl-tittel"/>
    <w:basedOn w:val="Normal"/>
    <w:next w:val="Normal"/>
    <w:rsid w:val="00D74A5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4A52"/>
    <w:pPr>
      <w:numPr>
        <w:numId w:val="0"/>
      </w:numPr>
      <w:outlineLvl w:val="9"/>
    </w:pPr>
  </w:style>
  <w:style w:type="paragraph" w:customStyle="1" w:styleId="v-Overskrift2">
    <w:name w:val="v-Overskrift 2"/>
    <w:basedOn w:val="Overskrift2"/>
    <w:next w:val="Normal"/>
    <w:rsid w:val="00D74A5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74A5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74A5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74A5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D74A52"/>
    <w:pPr>
      <w:numPr>
        <w:ilvl w:val="5"/>
        <w:numId w:val="5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74A52"/>
    <w:pPr>
      <w:keepNext/>
      <w:keepLines/>
      <w:numPr>
        <w:numId w:val="35"/>
      </w:numPr>
      <w:ind w:left="357" w:hanging="357"/>
    </w:pPr>
    <w:rPr>
      <w:rFonts w:ascii="Arial" w:hAnsi="Arial"/>
      <w:b/>
      <w:u w:val="single"/>
    </w:rPr>
  </w:style>
  <w:style w:type="paragraph" w:customStyle="1" w:styleId="Kilde">
    <w:name w:val="Kilde"/>
    <w:basedOn w:val="Normal"/>
    <w:next w:val="Normal"/>
    <w:rsid w:val="00D74A5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D74A5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74A5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74A52"/>
    <w:rPr>
      <w:vertAlign w:val="superscript"/>
    </w:rPr>
  </w:style>
  <w:style w:type="character" w:customStyle="1" w:styleId="gjennomstreket">
    <w:name w:val="gjennomstreket"/>
    <w:uiPriority w:val="1"/>
    <w:rsid w:val="00D74A52"/>
    <w:rPr>
      <w:strike/>
      <w:dstrike w:val="0"/>
    </w:rPr>
  </w:style>
  <w:style w:type="character" w:customStyle="1" w:styleId="halvfet0">
    <w:name w:val="halvfet"/>
    <w:basedOn w:val="Standardskriftforavsnitt"/>
    <w:rsid w:val="00D74A52"/>
    <w:rPr>
      <w:b/>
    </w:rPr>
  </w:style>
  <w:style w:type="character" w:styleId="Hyperkobling">
    <w:name w:val="Hyperlink"/>
    <w:basedOn w:val="Standardskriftforavsnitt"/>
    <w:uiPriority w:val="99"/>
    <w:unhideWhenUsed/>
    <w:rsid w:val="00D74A52"/>
    <w:rPr>
      <w:color w:val="467886" w:themeColor="hyperlink"/>
      <w:u w:val="single"/>
    </w:rPr>
  </w:style>
  <w:style w:type="character" w:customStyle="1" w:styleId="kursiv">
    <w:name w:val="kursiv"/>
    <w:basedOn w:val="Standardskriftforavsnitt"/>
    <w:rsid w:val="00D74A52"/>
    <w:rPr>
      <w:i/>
    </w:rPr>
  </w:style>
  <w:style w:type="character" w:customStyle="1" w:styleId="l-endring">
    <w:name w:val="l-endring"/>
    <w:basedOn w:val="Standardskriftforavsnitt"/>
    <w:rsid w:val="00D74A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74A52"/>
  </w:style>
  <w:style w:type="character" w:styleId="Plassholdertekst">
    <w:name w:val="Placeholder Text"/>
    <w:basedOn w:val="Standardskriftforavsnitt"/>
    <w:uiPriority w:val="99"/>
    <w:rsid w:val="00D74A52"/>
    <w:rPr>
      <w:color w:val="808080"/>
    </w:rPr>
  </w:style>
  <w:style w:type="character" w:customStyle="1" w:styleId="regular">
    <w:name w:val="regular"/>
    <w:basedOn w:val="Standardskriftforavsnitt"/>
    <w:uiPriority w:val="1"/>
    <w:qFormat/>
    <w:rsid w:val="00D74A5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74A52"/>
    <w:rPr>
      <w:vertAlign w:val="superscript"/>
    </w:rPr>
  </w:style>
  <w:style w:type="character" w:customStyle="1" w:styleId="skrift-senket">
    <w:name w:val="skrift-senket"/>
    <w:basedOn w:val="Standardskriftforavsnitt"/>
    <w:rsid w:val="00D74A52"/>
    <w:rPr>
      <w:vertAlign w:val="subscript"/>
    </w:rPr>
  </w:style>
  <w:style w:type="character" w:customStyle="1" w:styleId="SluttnotetekstTegn">
    <w:name w:val="Sluttnotetekst Tegn"/>
    <w:basedOn w:val="Standardskriftforavsnitt"/>
    <w:link w:val="Sluttnotetekst"/>
    <w:uiPriority w:val="99"/>
    <w:semiHidden/>
    <w:rsid w:val="00D74A5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74A52"/>
    <w:rPr>
      <w:spacing w:val="30"/>
    </w:rPr>
  </w:style>
  <w:style w:type="character" w:customStyle="1" w:styleId="SterktsitatTegn">
    <w:name w:val="Sterkt sitat Tegn"/>
    <w:basedOn w:val="Standardskriftforavsnitt"/>
    <w:link w:val="Sterktsitat"/>
    <w:uiPriority w:val="30"/>
    <w:rsid w:val="00D74A5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74A52"/>
    <w:rPr>
      <w:color w:val="0000FF"/>
    </w:rPr>
  </w:style>
  <w:style w:type="character" w:customStyle="1" w:styleId="stikkord0">
    <w:name w:val="stikkord"/>
    <w:uiPriority w:val="99"/>
  </w:style>
  <w:style w:type="character" w:styleId="Sterk">
    <w:name w:val="Strong"/>
    <w:basedOn w:val="Standardskriftforavsnitt"/>
    <w:uiPriority w:val="22"/>
    <w:qFormat/>
    <w:rsid w:val="00D74A52"/>
    <w:rPr>
      <w:b/>
      <w:bCs/>
    </w:rPr>
  </w:style>
  <w:style w:type="character" w:customStyle="1" w:styleId="TopptekstTegn">
    <w:name w:val="Topptekst Tegn"/>
    <w:basedOn w:val="Standardskriftforavsnitt"/>
    <w:link w:val="Topptekst"/>
    <w:rsid w:val="00D74A5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74A5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74A5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74A5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74A5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74A5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74A5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74A5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4A5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74A5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4A5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74A52"/>
    <w:pPr>
      <w:tabs>
        <w:tab w:val="center" w:pos="4153"/>
        <w:tab w:val="right" w:pos="8306"/>
      </w:tabs>
    </w:pPr>
    <w:rPr>
      <w:sz w:val="20"/>
    </w:rPr>
  </w:style>
  <w:style w:type="character" w:customStyle="1" w:styleId="BunntekstTegn1">
    <w:name w:val="Bunntekst Tegn1"/>
    <w:basedOn w:val="Standardskriftforavsnitt"/>
    <w:uiPriority w:val="99"/>
    <w:semiHidden/>
    <w:rsid w:val="00DB1359"/>
    <w:rPr>
      <w:rFonts w:ascii="Times New Roman" w:eastAsia="Times New Roman" w:hAnsi="Times New Roman"/>
      <w:spacing w:val="4"/>
      <w:kern w:val="0"/>
      <w:szCs w:val="22"/>
      <w14:ligatures w14:val="none"/>
    </w:rPr>
  </w:style>
  <w:style w:type="paragraph" w:styleId="INNH1">
    <w:name w:val="toc 1"/>
    <w:basedOn w:val="Normal"/>
    <w:next w:val="Normal"/>
    <w:rsid w:val="00D74A52"/>
    <w:pPr>
      <w:tabs>
        <w:tab w:val="right" w:leader="dot" w:pos="8306"/>
      </w:tabs>
    </w:pPr>
    <w:rPr>
      <w:spacing w:val="0"/>
    </w:rPr>
  </w:style>
  <w:style w:type="paragraph" w:styleId="INNH2">
    <w:name w:val="toc 2"/>
    <w:basedOn w:val="Normal"/>
    <w:next w:val="Normal"/>
    <w:rsid w:val="00D74A52"/>
    <w:pPr>
      <w:tabs>
        <w:tab w:val="right" w:leader="dot" w:pos="8306"/>
      </w:tabs>
      <w:ind w:left="200"/>
    </w:pPr>
    <w:rPr>
      <w:spacing w:val="0"/>
    </w:rPr>
  </w:style>
  <w:style w:type="paragraph" w:styleId="INNH3">
    <w:name w:val="toc 3"/>
    <w:basedOn w:val="Normal"/>
    <w:next w:val="Normal"/>
    <w:rsid w:val="00D74A52"/>
    <w:pPr>
      <w:tabs>
        <w:tab w:val="right" w:leader="dot" w:pos="8306"/>
      </w:tabs>
      <w:ind w:left="400"/>
    </w:pPr>
    <w:rPr>
      <w:spacing w:val="0"/>
    </w:rPr>
  </w:style>
  <w:style w:type="paragraph" w:styleId="INNH4">
    <w:name w:val="toc 4"/>
    <w:basedOn w:val="Normal"/>
    <w:next w:val="Normal"/>
    <w:rsid w:val="00D74A52"/>
    <w:pPr>
      <w:tabs>
        <w:tab w:val="right" w:leader="dot" w:pos="8306"/>
      </w:tabs>
      <w:ind w:left="600"/>
    </w:pPr>
    <w:rPr>
      <w:spacing w:val="0"/>
    </w:rPr>
  </w:style>
  <w:style w:type="paragraph" w:styleId="INNH5">
    <w:name w:val="toc 5"/>
    <w:basedOn w:val="Normal"/>
    <w:next w:val="Normal"/>
    <w:rsid w:val="00D74A52"/>
    <w:pPr>
      <w:tabs>
        <w:tab w:val="right" w:leader="dot" w:pos="8306"/>
      </w:tabs>
      <w:ind w:left="800"/>
    </w:pPr>
    <w:rPr>
      <w:spacing w:val="0"/>
    </w:rPr>
  </w:style>
  <w:style w:type="character" w:styleId="Merknadsreferanse">
    <w:name w:val="annotation reference"/>
    <w:basedOn w:val="Standardskriftforavsnitt"/>
    <w:rsid w:val="00D74A52"/>
    <w:rPr>
      <w:sz w:val="16"/>
    </w:rPr>
  </w:style>
  <w:style w:type="paragraph" w:styleId="Merknadstekst">
    <w:name w:val="annotation text"/>
    <w:basedOn w:val="Normal"/>
    <w:link w:val="MerknadstekstTegn"/>
    <w:rsid w:val="00D74A52"/>
    <w:rPr>
      <w:spacing w:val="0"/>
      <w:sz w:val="20"/>
    </w:rPr>
  </w:style>
  <w:style w:type="character" w:customStyle="1" w:styleId="MerknadstekstTegn">
    <w:name w:val="Merknadstekst Tegn"/>
    <w:basedOn w:val="Standardskriftforavsnitt"/>
    <w:link w:val="Merknadstekst"/>
    <w:rsid w:val="00D74A52"/>
    <w:rPr>
      <w:rFonts w:ascii="Times New Roman" w:eastAsia="Times New Roman" w:hAnsi="Times New Roman"/>
      <w:kern w:val="0"/>
      <w:sz w:val="20"/>
      <w:szCs w:val="22"/>
      <w14:ligatures w14:val="none"/>
    </w:rPr>
  </w:style>
  <w:style w:type="paragraph" w:styleId="Punktliste">
    <w:name w:val="List Bullet"/>
    <w:basedOn w:val="Normal"/>
    <w:rsid w:val="00D74A52"/>
    <w:pPr>
      <w:spacing w:after="0"/>
      <w:ind w:left="284" w:hanging="284"/>
    </w:pPr>
  </w:style>
  <w:style w:type="paragraph" w:styleId="Punktliste2">
    <w:name w:val="List Bullet 2"/>
    <w:basedOn w:val="Normal"/>
    <w:rsid w:val="00D74A52"/>
    <w:pPr>
      <w:spacing w:after="0"/>
      <w:ind w:left="568" w:hanging="284"/>
    </w:pPr>
  </w:style>
  <w:style w:type="paragraph" w:styleId="Punktliste3">
    <w:name w:val="List Bullet 3"/>
    <w:basedOn w:val="Normal"/>
    <w:rsid w:val="00D74A52"/>
    <w:pPr>
      <w:spacing w:after="0"/>
      <w:ind w:left="851" w:hanging="284"/>
    </w:pPr>
  </w:style>
  <w:style w:type="paragraph" w:styleId="Punktliste4">
    <w:name w:val="List Bullet 4"/>
    <w:basedOn w:val="Normal"/>
    <w:rsid w:val="00D74A52"/>
    <w:pPr>
      <w:spacing w:after="0"/>
      <w:ind w:left="1135" w:hanging="284"/>
    </w:pPr>
    <w:rPr>
      <w:spacing w:val="0"/>
    </w:rPr>
  </w:style>
  <w:style w:type="paragraph" w:styleId="Punktliste5">
    <w:name w:val="List Bullet 5"/>
    <w:basedOn w:val="Normal"/>
    <w:rsid w:val="00D74A52"/>
    <w:pPr>
      <w:spacing w:after="0"/>
      <w:ind w:left="1418" w:hanging="284"/>
    </w:pPr>
    <w:rPr>
      <w:spacing w:val="0"/>
    </w:rPr>
  </w:style>
  <w:style w:type="paragraph" w:styleId="Topptekst">
    <w:name w:val="header"/>
    <w:basedOn w:val="Normal"/>
    <w:link w:val="TopptekstTegn"/>
    <w:rsid w:val="00D74A5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B1359"/>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74A5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74A5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4A5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74A52"/>
    <w:pPr>
      <w:spacing w:after="0" w:line="240" w:lineRule="auto"/>
      <w:ind w:left="240" w:hanging="240"/>
    </w:pPr>
  </w:style>
  <w:style w:type="paragraph" w:styleId="Indeks2">
    <w:name w:val="index 2"/>
    <w:basedOn w:val="Normal"/>
    <w:next w:val="Normal"/>
    <w:autoRedefine/>
    <w:uiPriority w:val="99"/>
    <w:semiHidden/>
    <w:unhideWhenUsed/>
    <w:rsid w:val="00D74A52"/>
    <w:pPr>
      <w:spacing w:after="0" w:line="240" w:lineRule="auto"/>
      <w:ind w:left="480" w:hanging="240"/>
    </w:pPr>
  </w:style>
  <w:style w:type="paragraph" w:styleId="Indeks3">
    <w:name w:val="index 3"/>
    <w:basedOn w:val="Normal"/>
    <w:next w:val="Normal"/>
    <w:autoRedefine/>
    <w:uiPriority w:val="99"/>
    <w:semiHidden/>
    <w:unhideWhenUsed/>
    <w:rsid w:val="00D74A52"/>
    <w:pPr>
      <w:spacing w:after="0" w:line="240" w:lineRule="auto"/>
      <w:ind w:left="720" w:hanging="240"/>
    </w:pPr>
  </w:style>
  <w:style w:type="paragraph" w:styleId="Indeks4">
    <w:name w:val="index 4"/>
    <w:basedOn w:val="Normal"/>
    <w:next w:val="Normal"/>
    <w:autoRedefine/>
    <w:uiPriority w:val="99"/>
    <w:semiHidden/>
    <w:unhideWhenUsed/>
    <w:rsid w:val="00D74A52"/>
    <w:pPr>
      <w:spacing w:after="0" w:line="240" w:lineRule="auto"/>
      <w:ind w:left="960" w:hanging="240"/>
    </w:pPr>
  </w:style>
  <w:style w:type="paragraph" w:styleId="Indeks5">
    <w:name w:val="index 5"/>
    <w:basedOn w:val="Normal"/>
    <w:next w:val="Normal"/>
    <w:autoRedefine/>
    <w:uiPriority w:val="99"/>
    <w:semiHidden/>
    <w:unhideWhenUsed/>
    <w:rsid w:val="00D74A52"/>
    <w:pPr>
      <w:spacing w:after="0" w:line="240" w:lineRule="auto"/>
      <w:ind w:left="1200" w:hanging="240"/>
    </w:pPr>
  </w:style>
  <w:style w:type="paragraph" w:styleId="Indeks6">
    <w:name w:val="index 6"/>
    <w:basedOn w:val="Normal"/>
    <w:next w:val="Normal"/>
    <w:autoRedefine/>
    <w:uiPriority w:val="99"/>
    <w:semiHidden/>
    <w:unhideWhenUsed/>
    <w:rsid w:val="00D74A52"/>
    <w:pPr>
      <w:spacing w:after="0" w:line="240" w:lineRule="auto"/>
      <w:ind w:left="1440" w:hanging="240"/>
    </w:pPr>
  </w:style>
  <w:style w:type="paragraph" w:styleId="Indeks7">
    <w:name w:val="index 7"/>
    <w:basedOn w:val="Normal"/>
    <w:next w:val="Normal"/>
    <w:autoRedefine/>
    <w:uiPriority w:val="99"/>
    <w:semiHidden/>
    <w:unhideWhenUsed/>
    <w:rsid w:val="00D74A52"/>
    <w:pPr>
      <w:spacing w:after="0" w:line="240" w:lineRule="auto"/>
      <w:ind w:left="1680" w:hanging="240"/>
    </w:pPr>
  </w:style>
  <w:style w:type="paragraph" w:styleId="Indeks8">
    <w:name w:val="index 8"/>
    <w:basedOn w:val="Normal"/>
    <w:next w:val="Normal"/>
    <w:autoRedefine/>
    <w:uiPriority w:val="99"/>
    <w:semiHidden/>
    <w:unhideWhenUsed/>
    <w:rsid w:val="00D74A52"/>
    <w:pPr>
      <w:spacing w:after="0" w:line="240" w:lineRule="auto"/>
      <w:ind w:left="1920" w:hanging="240"/>
    </w:pPr>
  </w:style>
  <w:style w:type="paragraph" w:styleId="Indeks9">
    <w:name w:val="index 9"/>
    <w:basedOn w:val="Normal"/>
    <w:next w:val="Normal"/>
    <w:autoRedefine/>
    <w:uiPriority w:val="99"/>
    <w:semiHidden/>
    <w:unhideWhenUsed/>
    <w:rsid w:val="00D74A52"/>
    <w:pPr>
      <w:spacing w:after="0" w:line="240" w:lineRule="auto"/>
      <w:ind w:left="2160" w:hanging="240"/>
    </w:pPr>
  </w:style>
  <w:style w:type="paragraph" w:styleId="INNH6">
    <w:name w:val="toc 6"/>
    <w:basedOn w:val="Normal"/>
    <w:next w:val="Normal"/>
    <w:autoRedefine/>
    <w:uiPriority w:val="39"/>
    <w:semiHidden/>
    <w:unhideWhenUsed/>
    <w:rsid w:val="00D74A52"/>
    <w:pPr>
      <w:spacing w:after="100"/>
      <w:ind w:left="1200"/>
    </w:pPr>
  </w:style>
  <w:style w:type="paragraph" w:styleId="INNH7">
    <w:name w:val="toc 7"/>
    <w:basedOn w:val="Normal"/>
    <w:next w:val="Normal"/>
    <w:autoRedefine/>
    <w:uiPriority w:val="39"/>
    <w:semiHidden/>
    <w:unhideWhenUsed/>
    <w:rsid w:val="00D74A52"/>
    <w:pPr>
      <w:spacing w:after="100"/>
      <w:ind w:left="1440"/>
    </w:pPr>
  </w:style>
  <w:style w:type="paragraph" w:styleId="INNH8">
    <w:name w:val="toc 8"/>
    <w:basedOn w:val="Normal"/>
    <w:next w:val="Normal"/>
    <w:autoRedefine/>
    <w:uiPriority w:val="39"/>
    <w:semiHidden/>
    <w:unhideWhenUsed/>
    <w:rsid w:val="00D74A52"/>
    <w:pPr>
      <w:spacing w:after="100"/>
      <w:ind w:left="1680"/>
    </w:pPr>
  </w:style>
  <w:style w:type="paragraph" w:styleId="INNH9">
    <w:name w:val="toc 9"/>
    <w:basedOn w:val="Normal"/>
    <w:next w:val="Normal"/>
    <w:autoRedefine/>
    <w:uiPriority w:val="39"/>
    <w:semiHidden/>
    <w:unhideWhenUsed/>
    <w:rsid w:val="00D74A52"/>
    <w:pPr>
      <w:spacing w:after="100"/>
      <w:ind w:left="1920"/>
    </w:pPr>
  </w:style>
  <w:style w:type="paragraph" w:styleId="Vanliginnrykk">
    <w:name w:val="Normal Indent"/>
    <w:basedOn w:val="Normal"/>
    <w:uiPriority w:val="99"/>
    <w:semiHidden/>
    <w:unhideWhenUsed/>
    <w:rsid w:val="00D74A52"/>
    <w:pPr>
      <w:ind w:left="708"/>
    </w:pPr>
  </w:style>
  <w:style w:type="paragraph" w:styleId="Stikkordregisteroverskrift">
    <w:name w:val="index heading"/>
    <w:basedOn w:val="Normal"/>
    <w:next w:val="Indeks1"/>
    <w:uiPriority w:val="99"/>
    <w:semiHidden/>
    <w:unhideWhenUsed/>
    <w:rsid w:val="00D74A5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4A5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74A52"/>
    <w:pPr>
      <w:spacing w:after="0"/>
    </w:pPr>
  </w:style>
  <w:style w:type="paragraph" w:styleId="Konvoluttadresse">
    <w:name w:val="envelope address"/>
    <w:basedOn w:val="Normal"/>
    <w:uiPriority w:val="99"/>
    <w:semiHidden/>
    <w:unhideWhenUsed/>
    <w:rsid w:val="00D74A5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74A52"/>
  </w:style>
  <w:style w:type="character" w:styleId="Sluttnotereferanse">
    <w:name w:val="endnote reference"/>
    <w:basedOn w:val="Standardskriftforavsnitt"/>
    <w:uiPriority w:val="99"/>
    <w:semiHidden/>
    <w:unhideWhenUsed/>
    <w:rsid w:val="00D74A52"/>
    <w:rPr>
      <w:vertAlign w:val="superscript"/>
    </w:rPr>
  </w:style>
  <w:style w:type="paragraph" w:styleId="Sluttnotetekst">
    <w:name w:val="endnote text"/>
    <w:basedOn w:val="Normal"/>
    <w:link w:val="SluttnotetekstTegn"/>
    <w:uiPriority w:val="99"/>
    <w:semiHidden/>
    <w:unhideWhenUsed/>
    <w:rsid w:val="00D74A52"/>
    <w:pPr>
      <w:spacing w:after="0" w:line="240" w:lineRule="auto"/>
    </w:pPr>
    <w:rPr>
      <w:sz w:val="20"/>
      <w:szCs w:val="20"/>
    </w:rPr>
  </w:style>
  <w:style w:type="character" w:customStyle="1" w:styleId="SluttnotetekstTegn1">
    <w:name w:val="Sluttnotetekst Tegn1"/>
    <w:basedOn w:val="Standardskriftforavsnitt"/>
    <w:uiPriority w:val="99"/>
    <w:semiHidden/>
    <w:rsid w:val="00DB135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74A52"/>
    <w:pPr>
      <w:spacing w:after="0"/>
      <w:ind w:left="240" w:hanging="240"/>
    </w:pPr>
  </w:style>
  <w:style w:type="paragraph" w:styleId="Makrotekst">
    <w:name w:val="macro"/>
    <w:link w:val="MakrotekstTegn"/>
    <w:uiPriority w:val="99"/>
    <w:semiHidden/>
    <w:unhideWhenUsed/>
    <w:rsid w:val="00D74A5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74A5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74A5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4A5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74A5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74A52"/>
    <w:pPr>
      <w:spacing w:after="0" w:line="240" w:lineRule="auto"/>
      <w:ind w:left="4252"/>
    </w:pPr>
  </w:style>
  <w:style w:type="character" w:customStyle="1" w:styleId="HilsenTegn">
    <w:name w:val="Hilsen Tegn"/>
    <w:basedOn w:val="Standardskriftforavsnitt"/>
    <w:link w:val="Hilsen"/>
    <w:uiPriority w:val="99"/>
    <w:semiHidden/>
    <w:rsid w:val="00D74A5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74A52"/>
    <w:pPr>
      <w:spacing w:after="0" w:line="240" w:lineRule="auto"/>
      <w:ind w:left="4252"/>
    </w:pPr>
  </w:style>
  <w:style w:type="character" w:customStyle="1" w:styleId="UnderskriftTegn1">
    <w:name w:val="Underskrift Tegn1"/>
    <w:basedOn w:val="Standardskriftforavsnitt"/>
    <w:uiPriority w:val="99"/>
    <w:semiHidden/>
    <w:rsid w:val="00DB1359"/>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74A52"/>
    <w:pPr>
      <w:ind w:left="283"/>
      <w:contextualSpacing/>
    </w:pPr>
  </w:style>
  <w:style w:type="paragraph" w:styleId="Liste-forts2">
    <w:name w:val="List Continue 2"/>
    <w:basedOn w:val="Normal"/>
    <w:uiPriority w:val="99"/>
    <w:semiHidden/>
    <w:unhideWhenUsed/>
    <w:rsid w:val="00D74A52"/>
    <w:pPr>
      <w:ind w:left="566"/>
      <w:contextualSpacing/>
    </w:pPr>
  </w:style>
  <w:style w:type="paragraph" w:styleId="Liste-forts3">
    <w:name w:val="List Continue 3"/>
    <w:basedOn w:val="Normal"/>
    <w:uiPriority w:val="99"/>
    <w:semiHidden/>
    <w:unhideWhenUsed/>
    <w:rsid w:val="00D74A52"/>
    <w:pPr>
      <w:ind w:left="849"/>
      <w:contextualSpacing/>
    </w:pPr>
  </w:style>
  <w:style w:type="paragraph" w:styleId="Liste-forts4">
    <w:name w:val="List Continue 4"/>
    <w:basedOn w:val="Normal"/>
    <w:uiPriority w:val="99"/>
    <w:semiHidden/>
    <w:unhideWhenUsed/>
    <w:rsid w:val="00D74A52"/>
    <w:pPr>
      <w:ind w:left="1132"/>
      <w:contextualSpacing/>
    </w:pPr>
  </w:style>
  <w:style w:type="paragraph" w:styleId="Liste-forts5">
    <w:name w:val="List Continue 5"/>
    <w:basedOn w:val="Normal"/>
    <w:uiPriority w:val="99"/>
    <w:semiHidden/>
    <w:unhideWhenUsed/>
    <w:rsid w:val="00D74A52"/>
    <w:pPr>
      <w:ind w:left="1415"/>
      <w:contextualSpacing/>
    </w:pPr>
  </w:style>
  <w:style w:type="paragraph" w:styleId="Meldingshode">
    <w:name w:val="Message Header"/>
    <w:basedOn w:val="Normal"/>
    <w:link w:val="MeldingshodeTegn"/>
    <w:uiPriority w:val="99"/>
    <w:semiHidden/>
    <w:unhideWhenUsed/>
    <w:rsid w:val="00D74A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4A5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74A52"/>
  </w:style>
  <w:style w:type="character" w:customStyle="1" w:styleId="InnledendehilsenTegn">
    <w:name w:val="Innledende hilsen Tegn"/>
    <w:basedOn w:val="Standardskriftforavsnitt"/>
    <w:link w:val="Innledendehilsen"/>
    <w:uiPriority w:val="99"/>
    <w:semiHidden/>
    <w:rsid w:val="00D74A52"/>
    <w:rPr>
      <w:rFonts w:ascii="Times New Roman" w:eastAsia="Times New Roman" w:hAnsi="Times New Roman"/>
      <w:spacing w:val="4"/>
      <w:kern w:val="0"/>
      <w:szCs w:val="22"/>
      <w14:ligatures w14:val="none"/>
    </w:rPr>
  </w:style>
  <w:style w:type="paragraph" w:styleId="Dato0">
    <w:name w:val="Date"/>
    <w:basedOn w:val="Normal"/>
    <w:next w:val="Normal"/>
    <w:link w:val="DatoTegn"/>
    <w:rsid w:val="00D74A52"/>
  </w:style>
  <w:style w:type="character" w:customStyle="1" w:styleId="DatoTegn1">
    <w:name w:val="Dato Tegn1"/>
    <w:basedOn w:val="Standardskriftforavsnitt"/>
    <w:uiPriority w:val="99"/>
    <w:semiHidden/>
    <w:rsid w:val="00DB1359"/>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74A52"/>
    <w:pPr>
      <w:spacing w:after="0" w:line="240" w:lineRule="auto"/>
    </w:pPr>
  </w:style>
  <w:style w:type="character" w:customStyle="1" w:styleId="NotatoverskriftTegn">
    <w:name w:val="Notatoverskrift Tegn"/>
    <w:basedOn w:val="Standardskriftforavsnitt"/>
    <w:link w:val="Notatoverskrift"/>
    <w:uiPriority w:val="99"/>
    <w:semiHidden/>
    <w:rsid w:val="00D74A5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74A5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74A52"/>
    <w:rPr>
      <w:color w:val="96607D" w:themeColor="followedHyperlink"/>
      <w:u w:val="single"/>
    </w:rPr>
  </w:style>
  <w:style w:type="character" w:styleId="Utheving">
    <w:name w:val="Emphasis"/>
    <w:basedOn w:val="Standardskriftforavsnitt"/>
    <w:uiPriority w:val="20"/>
    <w:qFormat/>
    <w:rsid w:val="00D74A52"/>
    <w:rPr>
      <w:i/>
      <w:iCs/>
    </w:rPr>
  </w:style>
  <w:style w:type="paragraph" w:styleId="Dokumentkart">
    <w:name w:val="Document Map"/>
    <w:basedOn w:val="Normal"/>
    <w:link w:val="DokumentkartTegn"/>
    <w:uiPriority w:val="99"/>
    <w:semiHidden/>
    <w:rsid w:val="00D74A5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74A5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74A52"/>
    <w:rPr>
      <w:rFonts w:ascii="Courier New" w:hAnsi="Courier New" w:cs="Courier New"/>
      <w:sz w:val="20"/>
    </w:rPr>
  </w:style>
  <w:style w:type="character" w:customStyle="1" w:styleId="RentekstTegn">
    <w:name w:val="Ren tekst Tegn"/>
    <w:basedOn w:val="Standardskriftforavsnitt"/>
    <w:link w:val="Rentekst"/>
    <w:uiPriority w:val="99"/>
    <w:semiHidden/>
    <w:rsid w:val="00D74A5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74A52"/>
    <w:pPr>
      <w:spacing w:after="0" w:line="240" w:lineRule="auto"/>
    </w:pPr>
  </w:style>
  <w:style w:type="character" w:customStyle="1" w:styleId="E-postsignaturTegn">
    <w:name w:val="E-postsignatur Tegn"/>
    <w:basedOn w:val="Standardskriftforavsnitt"/>
    <w:link w:val="E-postsignatur"/>
    <w:uiPriority w:val="99"/>
    <w:semiHidden/>
    <w:rsid w:val="00D74A5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74A52"/>
    <w:rPr>
      <w:szCs w:val="24"/>
    </w:rPr>
  </w:style>
  <w:style w:type="character" w:styleId="HTML-akronym">
    <w:name w:val="HTML Acronym"/>
    <w:basedOn w:val="Standardskriftforavsnitt"/>
    <w:uiPriority w:val="99"/>
    <w:semiHidden/>
    <w:unhideWhenUsed/>
    <w:rsid w:val="00D74A52"/>
  </w:style>
  <w:style w:type="paragraph" w:styleId="HTML-adresse">
    <w:name w:val="HTML Address"/>
    <w:basedOn w:val="Normal"/>
    <w:link w:val="HTML-adresseTegn"/>
    <w:uiPriority w:val="99"/>
    <w:semiHidden/>
    <w:unhideWhenUsed/>
    <w:rsid w:val="00D74A52"/>
    <w:pPr>
      <w:spacing w:after="0" w:line="240" w:lineRule="auto"/>
    </w:pPr>
    <w:rPr>
      <w:i/>
      <w:iCs/>
    </w:rPr>
  </w:style>
  <w:style w:type="character" w:customStyle="1" w:styleId="HTML-adresseTegn">
    <w:name w:val="HTML-adresse Tegn"/>
    <w:basedOn w:val="Standardskriftforavsnitt"/>
    <w:link w:val="HTML-adresse"/>
    <w:uiPriority w:val="99"/>
    <w:semiHidden/>
    <w:rsid w:val="00D74A5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74A52"/>
    <w:rPr>
      <w:i/>
      <w:iCs/>
    </w:rPr>
  </w:style>
  <w:style w:type="character" w:styleId="HTML-kode">
    <w:name w:val="HTML Code"/>
    <w:basedOn w:val="Standardskriftforavsnitt"/>
    <w:uiPriority w:val="99"/>
    <w:semiHidden/>
    <w:unhideWhenUsed/>
    <w:rsid w:val="00D74A52"/>
    <w:rPr>
      <w:rFonts w:ascii="Consolas" w:hAnsi="Consolas"/>
      <w:sz w:val="20"/>
      <w:szCs w:val="20"/>
    </w:rPr>
  </w:style>
  <w:style w:type="character" w:styleId="HTML-definisjon">
    <w:name w:val="HTML Definition"/>
    <w:basedOn w:val="Standardskriftforavsnitt"/>
    <w:uiPriority w:val="99"/>
    <w:semiHidden/>
    <w:unhideWhenUsed/>
    <w:rsid w:val="00D74A52"/>
    <w:rPr>
      <w:i/>
      <w:iCs/>
    </w:rPr>
  </w:style>
  <w:style w:type="character" w:styleId="HTML-tastatur">
    <w:name w:val="HTML Keyboard"/>
    <w:basedOn w:val="Standardskriftforavsnitt"/>
    <w:uiPriority w:val="99"/>
    <w:semiHidden/>
    <w:unhideWhenUsed/>
    <w:rsid w:val="00D74A52"/>
    <w:rPr>
      <w:rFonts w:ascii="Consolas" w:hAnsi="Consolas"/>
      <w:sz w:val="20"/>
      <w:szCs w:val="20"/>
    </w:rPr>
  </w:style>
  <w:style w:type="paragraph" w:styleId="HTML-forhndsformatert">
    <w:name w:val="HTML Preformatted"/>
    <w:basedOn w:val="Normal"/>
    <w:link w:val="HTML-forhndsformatertTegn"/>
    <w:uiPriority w:val="99"/>
    <w:semiHidden/>
    <w:unhideWhenUsed/>
    <w:rsid w:val="00D74A5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4A5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74A52"/>
    <w:rPr>
      <w:rFonts w:ascii="Consolas" w:hAnsi="Consolas"/>
      <w:sz w:val="24"/>
      <w:szCs w:val="24"/>
    </w:rPr>
  </w:style>
  <w:style w:type="character" w:styleId="HTML-skrivemaskin">
    <w:name w:val="HTML Typewriter"/>
    <w:basedOn w:val="Standardskriftforavsnitt"/>
    <w:uiPriority w:val="99"/>
    <w:semiHidden/>
    <w:unhideWhenUsed/>
    <w:rsid w:val="00D74A52"/>
    <w:rPr>
      <w:rFonts w:ascii="Consolas" w:hAnsi="Consolas"/>
      <w:sz w:val="20"/>
      <w:szCs w:val="20"/>
    </w:rPr>
  </w:style>
  <w:style w:type="character" w:styleId="HTML-variabel">
    <w:name w:val="HTML Variable"/>
    <w:basedOn w:val="Standardskriftforavsnitt"/>
    <w:uiPriority w:val="99"/>
    <w:semiHidden/>
    <w:unhideWhenUsed/>
    <w:rsid w:val="00D74A52"/>
    <w:rPr>
      <w:i/>
      <w:iCs/>
    </w:rPr>
  </w:style>
  <w:style w:type="paragraph" w:styleId="Kommentaremne">
    <w:name w:val="annotation subject"/>
    <w:basedOn w:val="Merknadstekst"/>
    <w:next w:val="Merknadstekst"/>
    <w:link w:val="KommentaremneTegn"/>
    <w:uiPriority w:val="99"/>
    <w:semiHidden/>
    <w:unhideWhenUsed/>
    <w:rsid w:val="00D74A5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74A5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74A5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4A5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74A52"/>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4A5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74A5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B1359"/>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74A52"/>
    <w:rPr>
      <w:i/>
      <w:iCs/>
      <w:color w:val="808080" w:themeColor="text1" w:themeTint="7F"/>
    </w:rPr>
  </w:style>
  <w:style w:type="character" w:styleId="Sterkutheving">
    <w:name w:val="Intense Emphasis"/>
    <w:basedOn w:val="Standardskriftforavsnitt"/>
    <w:uiPriority w:val="21"/>
    <w:qFormat/>
    <w:rsid w:val="00D74A52"/>
    <w:rPr>
      <w:b/>
      <w:bCs/>
      <w:i/>
      <w:iCs/>
      <w:color w:val="156082" w:themeColor="accent1"/>
    </w:rPr>
  </w:style>
  <w:style w:type="character" w:styleId="Svakreferanse">
    <w:name w:val="Subtle Reference"/>
    <w:basedOn w:val="Standardskriftforavsnitt"/>
    <w:uiPriority w:val="31"/>
    <w:qFormat/>
    <w:rsid w:val="00D74A52"/>
    <w:rPr>
      <w:smallCaps/>
      <w:color w:val="E97132" w:themeColor="accent2"/>
      <w:u w:val="single"/>
    </w:rPr>
  </w:style>
  <w:style w:type="character" w:styleId="Sterkreferanse">
    <w:name w:val="Intense Reference"/>
    <w:basedOn w:val="Standardskriftforavsnitt"/>
    <w:uiPriority w:val="32"/>
    <w:qFormat/>
    <w:rsid w:val="00D74A52"/>
    <w:rPr>
      <w:b/>
      <w:bCs/>
      <w:smallCaps/>
      <w:color w:val="E97132" w:themeColor="accent2"/>
      <w:spacing w:val="5"/>
      <w:u w:val="single"/>
    </w:rPr>
  </w:style>
  <w:style w:type="character" w:styleId="Boktittel">
    <w:name w:val="Book Title"/>
    <w:basedOn w:val="Standardskriftforavsnitt"/>
    <w:uiPriority w:val="33"/>
    <w:qFormat/>
    <w:rsid w:val="00D74A52"/>
    <w:rPr>
      <w:b/>
      <w:bCs/>
      <w:smallCaps/>
      <w:spacing w:val="5"/>
    </w:rPr>
  </w:style>
  <w:style w:type="paragraph" w:styleId="Bibliografi">
    <w:name w:val="Bibliography"/>
    <w:basedOn w:val="Normal"/>
    <w:next w:val="Normal"/>
    <w:uiPriority w:val="37"/>
    <w:semiHidden/>
    <w:unhideWhenUsed/>
    <w:rsid w:val="00D74A52"/>
  </w:style>
  <w:style w:type="paragraph" w:styleId="Overskriftforinnholdsfortegnelse">
    <w:name w:val="TOC Heading"/>
    <w:basedOn w:val="Overskrift1"/>
    <w:next w:val="Normal"/>
    <w:uiPriority w:val="39"/>
    <w:semiHidden/>
    <w:unhideWhenUsed/>
    <w:qFormat/>
    <w:rsid w:val="00D74A52"/>
    <w:pPr>
      <w:numPr>
        <w:numId w:val="0"/>
      </w:numPr>
      <w:spacing w:before="480" w:after="0"/>
      <w:outlineLvl w:val="9"/>
    </w:pPr>
    <w:rPr>
      <w:rFonts w:asciiTheme="majorHAnsi" w:eastAsiaTheme="majorEastAsia" w:hAnsiTheme="majorHAnsi" w:cstheme="majorBidi"/>
      <w:bCs/>
      <w:color w:val="0F4761" w:themeColor="accent1" w:themeShade="BF"/>
      <w:spacing w:val="4"/>
      <w:kern w:val="0"/>
      <w:szCs w:val="28"/>
    </w:rPr>
  </w:style>
  <w:style w:type="numbering" w:customStyle="1" w:styleId="AlfaListeStil">
    <w:name w:val="AlfaListeStil"/>
    <w:uiPriority w:val="99"/>
    <w:rsid w:val="00D74A52"/>
    <w:pPr>
      <w:numPr>
        <w:numId w:val="36"/>
      </w:numPr>
    </w:pPr>
  </w:style>
  <w:style w:type="numbering" w:customStyle="1" w:styleId="NrListeStil">
    <w:name w:val="NrListeStil"/>
    <w:uiPriority w:val="99"/>
    <w:rsid w:val="00D74A52"/>
    <w:pPr>
      <w:numPr>
        <w:numId w:val="37"/>
      </w:numPr>
    </w:pPr>
  </w:style>
  <w:style w:type="numbering" w:customStyle="1" w:styleId="RomListeStil">
    <w:name w:val="RomListeStil"/>
    <w:uiPriority w:val="99"/>
    <w:rsid w:val="00D74A52"/>
    <w:pPr>
      <w:numPr>
        <w:numId w:val="38"/>
      </w:numPr>
    </w:pPr>
  </w:style>
  <w:style w:type="numbering" w:customStyle="1" w:styleId="StrekListeStil">
    <w:name w:val="StrekListeStil"/>
    <w:uiPriority w:val="99"/>
    <w:rsid w:val="00D74A52"/>
    <w:pPr>
      <w:numPr>
        <w:numId w:val="39"/>
      </w:numPr>
    </w:pPr>
  </w:style>
  <w:style w:type="numbering" w:customStyle="1" w:styleId="OpplistingListeStil">
    <w:name w:val="OpplistingListeStil"/>
    <w:uiPriority w:val="99"/>
    <w:rsid w:val="00D74A52"/>
    <w:pPr>
      <w:numPr>
        <w:numId w:val="40"/>
      </w:numPr>
    </w:pPr>
  </w:style>
  <w:style w:type="numbering" w:customStyle="1" w:styleId="l-NummerertListeStil">
    <w:name w:val="l-NummerertListeStil"/>
    <w:uiPriority w:val="99"/>
    <w:rsid w:val="00D74A52"/>
    <w:pPr>
      <w:numPr>
        <w:numId w:val="41"/>
      </w:numPr>
    </w:pPr>
  </w:style>
  <w:style w:type="numbering" w:customStyle="1" w:styleId="l-AlfaListeStil">
    <w:name w:val="l-AlfaListeStil"/>
    <w:uiPriority w:val="99"/>
    <w:rsid w:val="00D74A52"/>
    <w:pPr>
      <w:numPr>
        <w:numId w:val="42"/>
      </w:numPr>
    </w:pPr>
  </w:style>
  <w:style w:type="numbering" w:customStyle="1" w:styleId="OverskrifterListeStil">
    <w:name w:val="OverskrifterListeStil"/>
    <w:uiPriority w:val="99"/>
    <w:rsid w:val="00D74A52"/>
    <w:pPr>
      <w:numPr>
        <w:numId w:val="43"/>
      </w:numPr>
    </w:pPr>
  </w:style>
  <w:style w:type="numbering" w:customStyle="1" w:styleId="l-ListeStilMal">
    <w:name w:val="l-ListeStilMal"/>
    <w:uiPriority w:val="99"/>
    <w:rsid w:val="00D74A52"/>
    <w:pPr>
      <w:numPr>
        <w:numId w:val="44"/>
      </w:numPr>
    </w:pPr>
  </w:style>
  <w:style w:type="paragraph" w:styleId="Avsenderadresse">
    <w:name w:val="envelope return"/>
    <w:basedOn w:val="Normal"/>
    <w:uiPriority w:val="99"/>
    <w:semiHidden/>
    <w:unhideWhenUsed/>
    <w:rsid w:val="00D74A5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74A52"/>
  </w:style>
  <w:style w:type="character" w:customStyle="1" w:styleId="BrdtekstTegn">
    <w:name w:val="Brødtekst Tegn"/>
    <w:basedOn w:val="Standardskriftforavsnitt"/>
    <w:link w:val="Brdtekst"/>
    <w:semiHidden/>
    <w:rsid w:val="00D74A5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74A52"/>
    <w:pPr>
      <w:ind w:firstLine="360"/>
    </w:pPr>
  </w:style>
  <w:style w:type="character" w:customStyle="1" w:styleId="Brdtekst-frsteinnrykkTegn">
    <w:name w:val="Brødtekst - første innrykk Tegn"/>
    <w:basedOn w:val="BrdtekstTegn"/>
    <w:link w:val="Brdtekst-frsteinnrykk"/>
    <w:uiPriority w:val="99"/>
    <w:semiHidden/>
    <w:rsid w:val="00D74A5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74A52"/>
    <w:pPr>
      <w:ind w:left="283"/>
    </w:pPr>
  </w:style>
  <w:style w:type="character" w:customStyle="1" w:styleId="BrdtekstinnrykkTegn">
    <w:name w:val="Brødtekstinnrykk Tegn"/>
    <w:basedOn w:val="Standardskriftforavsnitt"/>
    <w:link w:val="Brdtekstinnrykk"/>
    <w:uiPriority w:val="99"/>
    <w:semiHidden/>
    <w:rsid w:val="00D74A5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74A52"/>
    <w:pPr>
      <w:ind w:left="360" w:firstLine="360"/>
    </w:pPr>
  </w:style>
  <w:style w:type="character" w:customStyle="1" w:styleId="Brdtekst-frsteinnrykk2Tegn">
    <w:name w:val="Brødtekst - første innrykk 2 Tegn"/>
    <w:basedOn w:val="BrdtekstinnrykkTegn"/>
    <w:link w:val="Brdtekst-frsteinnrykk2"/>
    <w:uiPriority w:val="99"/>
    <w:semiHidden/>
    <w:rsid w:val="00D74A5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74A52"/>
    <w:pPr>
      <w:spacing w:line="480" w:lineRule="auto"/>
    </w:pPr>
  </w:style>
  <w:style w:type="character" w:customStyle="1" w:styleId="Brdtekst2Tegn">
    <w:name w:val="Brødtekst 2 Tegn"/>
    <w:basedOn w:val="Standardskriftforavsnitt"/>
    <w:link w:val="Brdtekst2"/>
    <w:uiPriority w:val="99"/>
    <w:semiHidden/>
    <w:rsid w:val="00D74A5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74A52"/>
    <w:rPr>
      <w:sz w:val="16"/>
      <w:szCs w:val="16"/>
    </w:rPr>
  </w:style>
  <w:style w:type="character" w:customStyle="1" w:styleId="Brdtekst3Tegn">
    <w:name w:val="Brødtekst 3 Tegn"/>
    <w:basedOn w:val="Standardskriftforavsnitt"/>
    <w:link w:val="Brdtekst3"/>
    <w:uiPriority w:val="99"/>
    <w:semiHidden/>
    <w:rsid w:val="00D74A5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74A52"/>
    <w:pPr>
      <w:spacing w:line="480" w:lineRule="auto"/>
      <w:ind w:left="283"/>
    </w:pPr>
  </w:style>
  <w:style w:type="character" w:customStyle="1" w:styleId="Brdtekstinnrykk2Tegn">
    <w:name w:val="Brødtekstinnrykk 2 Tegn"/>
    <w:basedOn w:val="Standardskriftforavsnitt"/>
    <w:link w:val="Brdtekstinnrykk2"/>
    <w:uiPriority w:val="99"/>
    <w:semiHidden/>
    <w:rsid w:val="00D74A5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74A52"/>
    <w:pPr>
      <w:ind w:left="283"/>
    </w:pPr>
    <w:rPr>
      <w:sz w:val="16"/>
      <w:szCs w:val="16"/>
    </w:rPr>
  </w:style>
  <w:style w:type="character" w:customStyle="1" w:styleId="Brdtekstinnrykk3Tegn">
    <w:name w:val="Brødtekstinnrykk 3 Tegn"/>
    <w:basedOn w:val="Standardskriftforavsnitt"/>
    <w:link w:val="Brdtekstinnrykk3"/>
    <w:uiPriority w:val="99"/>
    <w:semiHidden/>
    <w:rsid w:val="00D74A5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74A52"/>
    <w:pPr>
      <w:numPr>
        <w:numId w:val="0"/>
      </w:numPr>
    </w:pPr>
  </w:style>
  <w:style w:type="paragraph" w:customStyle="1" w:styleId="TrykkeriMerknad">
    <w:name w:val="TrykkeriMerknad"/>
    <w:basedOn w:val="Normal"/>
    <w:qFormat/>
    <w:rsid w:val="00D74A5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74A52"/>
    <w:pPr>
      <w:shd w:val="clear" w:color="auto" w:fill="FFFF99"/>
      <w:spacing w:line="240" w:lineRule="auto"/>
    </w:pPr>
    <w:rPr>
      <w:color w:val="80340D" w:themeColor="accent2" w:themeShade="80"/>
    </w:rPr>
  </w:style>
  <w:style w:type="paragraph" w:customStyle="1" w:styleId="tblRad">
    <w:name w:val="tblRad"/>
    <w:rsid w:val="00D74A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74A52"/>
  </w:style>
  <w:style w:type="paragraph" w:customStyle="1" w:styleId="tbl2LinjeSumBold">
    <w:name w:val="tbl2LinjeSumBold"/>
    <w:basedOn w:val="tblRad"/>
    <w:rsid w:val="00D74A52"/>
  </w:style>
  <w:style w:type="paragraph" w:customStyle="1" w:styleId="tblDelsum1">
    <w:name w:val="tblDelsum1"/>
    <w:basedOn w:val="tblRad"/>
    <w:rsid w:val="00D74A52"/>
  </w:style>
  <w:style w:type="paragraph" w:customStyle="1" w:styleId="tblDelsum1-Kapittel">
    <w:name w:val="tblDelsum1 - Kapittel"/>
    <w:basedOn w:val="tblDelsum1"/>
    <w:rsid w:val="00D74A52"/>
    <w:pPr>
      <w:keepNext w:val="0"/>
    </w:pPr>
  </w:style>
  <w:style w:type="paragraph" w:customStyle="1" w:styleId="tblDelsum2">
    <w:name w:val="tblDelsum2"/>
    <w:basedOn w:val="tblRad"/>
    <w:rsid w:val="00D74A52"/>
  </w:style>
  <w:style w:type="paragraph" w:customStyle="1" w:styleId="tblDelsum2-Kapittel">
    <w:name w:val="tblDelsum2 - Kapittel"/>
    <w:basedOn w:val="tblDelsum2"/>
    <w:rsid w:val="00D74A52"/>
    <w:pPr>
      <w:keepNext w:val="0"/>
    </w:pPr>
  </w:style>
  <w:style w:type="paragraph" w:customStyle="1" w:styleId="tblTabelloverskrift">
    <w:name w:val="tblTabelloverskrift"/>
    <w:rsid w:val="00D74A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74A52"/>
    <w:pPr>
      <w:spacing w:after="0"/>
      <w:jc w:val="right"/>
    </w:pPr>
    <w:rPr>
      <w:b w:val="0"/>
      <w:caps w:val="0"/>
      <w:sz w:val="16"/>
    </w:rPr>
  </w:style>
  <w:style w:type="paragraph" w:customStyle="1" w:styleId="tblKategoriOverskrift">
    <w:name w:val="tblKategoriOverskrift"/>
    <w:basedOn w:val="tblRad"/>
    <w:rsid w:val="00D74A52"/>
    <w:pPr>
      <w:spacing w:before="120"/>
    </w:pPr>
  </w:style>
  <w:style w:type="paragraph" w:customStyle="1" w:styleId="tblKolonneoverskrift">
    <w:name w:val="tblKolonneoverskrift"/>
    <w:basedOn w:val="Normal"/>
    <w:rsid w:val="00D74A5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4A52"/>
    <w:pPr>
      <w:spacing w:after="360"/>
      <w:jc w:val="center"/>
    </w:pPr>
    <w:rPr>
      <w:b w:val="0"/>
      <w:caps w:val="0"/>
    </w:rPr>
  </w:style>
  <w:style w:type="paragraph" w:customStyle="1" w:styleId="tblKolonneoverskrift-Vedtak">
    <w:name w:val="tblKolonneoverskrift - Vedtak"/>
    <w:basedOn w:val="tblTabelloverskrift-Vedtak"/>
    <w:rsid w:val="00D74A52"/>
    <w:pPr>
      <w:spacing w:after="0"/>
    </w:pPr>
  </w:style>
  <w:style w:type="paragraph" w:customStyle="1" w:styleId="tblOverskrift-Vedtak">
    <w:name w:val="tblOverskrift - Vedtak"/>
    <w:basedOn w:val="tblRad"/>
    <w:rsid w:val="00D74A52"/>
    <w:pPr>
      <w:spacing w:before="360"/>
      <w:jc w:val="center"/>
    </w:pPr>
  </w:style>
  <w:style w:type="paragraph" w:customStyle="1" w:styleId="tblRadBold">
    <w:name w:val="tblRadBold"/>
    <w:basedOn w:val="tblRad"/>
    <w:rsid w:val="00D74A52"/>
  </w:style>
  <w:style w:type="paragraph" w:customStyle="1" w:styleId="tblRadItalic">
    <w:name w:val="tblRadItalic"/>
    <w:basedOn w:val="tblRad"/>
    <w:rsid w:val="00D74A52"/>
  </w:style>
  <w:style w:type="paragraph" w:customStyle="1" w:styleId="tblRadItalicSiste">
    <w:name w:val="tblRadItalicSiste"/>
    <w:basedOn w:val="tblRadItalic"/>
    <w:rsid w:val="00D74A52"/>
  </w:style>
  <w:style w:type="paragraph" w:customStyle="1" w:styleId="tblRadMedLuft">
    <w:name w:val="tblRadMedLuft"/>
    <w:basedOn w:val="tblRad"/>
    <w:rsid w:val="00D74A52"/>
    <w:pPr>
      <w:spacing w:before="120"/>
    </w:pPr>
  </w:style>
  <w:style w:type="paragraph" w:customStyle="1" w:styleId="tblRadMedLuftSiste">
    <w:name w:val="tblRadMedLuftSiste"/>
    <w:basedOn w:val="tblRadMedLuft"/>
    <w:rsid w:val="00D74A52"/>
    <w:pPr>
      <w:spacing w:after="120"/>
    </w:pPr>
  </w:style>
  <w:style w:type="paragraph" w:customStyle="1" w:styleId="tblRadMedLuftSiste-Vedtak">
    <w:name w:val="tblRadMedLuftSiste - Vedtak"/>
    <w:basedOn w:val="tblRadMedLuftSiste"/>
    <w:rsid w:val="00D74A52"/>
    <w:pPr>
      <w:keepNext w:val="0"/>
    </w:pPr>
  </w:style>
  <w:style w:type="paragraph" w:customStyle="1" w:styleId="tblRadSiste">
    <w:name w:val="tblRadSiste"/>
    <w:basedOn w:val="tblRad"/>
    <w:rsid w:val="00D74A52"/>
  </w:style>
  <w:style w:type="paragraph" w:customStyle="1" w:styleId="tblSluttsum">
    <w:name w:val="tblSluttsum"/>
    <w:basedOn w:val="tblRad"/>
    <w:rsid w:val="00D74A52"/>
    <w:pPr>
      <w:spacing w:before="120"/>
    </w:pPr>
  </w:style>
  <w:style w:type="table" w:customStyle="1" w:styleId="MetadataTabell">
    <w:name w:val="MetadataTabell"/>
    <w:basedOn w:val="Rutenettabelllys"/>
    <w:uiPriority w:val="99"/>
    <w:rsid w:val="00D74A5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74A52"/>
    <w:pPr>
      <w:spacing w:before="60" w:after="60"/>
    </w:pPr>
    <w:rPr>
      <w:rFonts w:ascii="Consolas" w:hAnsi="Consolas"/>
      <w:color w:val="E97132" w:themeColor="accent2"/>
      <w:sz w:val="26"/>
    </w:rPr>
  </w:style>
  <w:style w:type="table" w:styleId="Rutenettabelllys">
    <w:name w:val="Grid Table Light"/>
    <w:basedOn w:val="Vanligtabell"/>
    <w:uiPriority w:val="40"/>
    <w:rsid w:val="00D74A5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74A5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74A5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74A52"/>
    <w:rPr>
      <w:sz w:val="24"/>
    </w:rPr>
  </w:style>
  <w:style w:type="character" w:styleId="Emneknagg">
    <w:name w:val="Hashtag"/>
    <w:basedOn w:val="Standardskriftforavsnitt"/>
    <w:uiPriority w:val="99"/>
    <w:semiHidden/>
    <w:unhideWhenUsed/>
    <w:rsid w:val="00D74A52"/>
    <w:rPr>
      <w:color w:val="2B579A"/>
      <w:shd w:val="clear" w:color="auto" w:fill="E1DFDD"/>
    </w:rPr>
  </w:style>
  <w:style w:type="character" w:styleId="Omtale">
    <w:name w:val="Mention"/>
    <w:basedOn w:val="Standardskriftforavsnitt"/>
    <w:uiPriority w:val="99"/>
    <w:semiHidden/>
    <w:unhideWhenUsed/>
    <w:rsid w:val="00D74A52"/>
    <w:rPr>
      <w:color w:val="2B579A"/>
      <w:shd w:val="clear" w:color="auto" w:fill="E1DFDD"/>
    </w:rPr>
  </w:style>
  <w:style w:type="paragraph" w:styleId="Sitat0">
    <w:name w:val="Quote"/>
    <w:basedOn w:val="Normal"/>
    <w:next w:val="Normal"/>
    <w:link w:val="SitatTegn1"/>
    <w:uiPriority w:val="29"/>
    <w:qFormat/>
    <w:rsid w:val="00D74A5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74A52"/>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D74A52"/>
    <w:rPr>
      <w:u w:val="dotted"/>
    </w:rPr>
  </w:style>
  <w:style w:type="character" w:styleId="Smartkobling">
    <w:name w:val="Smart Link"/>
    <w:basedOn w:val="Standardskriftforavsnitt"/>
    <w:uiPriority w:val="99"/>
    <w:semiHidden/>
    <w:unhideWhenUsed/>
    <w:rsid w:val="00D74A52"/>
    <w:rPr>
      <w:color w:val="0000FF"/>
      <w:u w:val="single"/>
      <w:shd w:val="clear" w:color="auto" w:fill="F3F2F1"/>
    </w:rPr>
  </w:style>
  <w:style w:type="character" w:styleId="Ulstomtale">
    <w:name w:val="Unresolved Mention"/>
    <w:basedOn w:val="Standardskriftforavsnitt"/>
    <w:uiPriority w:val="99"/>
    <w:semiHidden/>
    <w:unhideWhenUsed/>
    <w:rsid w:val="00D74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Prop-mal-V11</Template>
  <TotalTime>17</TotalTime>
  <Pages>358</Pages>
  <Words>108715</Words>
  <Characters>620058</Characters>
  <Application>Microsoft Office Word</Application>
  <DocSecurity>0</DocSecurity>
  <Lines>5167</Lines>
  <Paragraphs>1454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Anne-Borghild Mortensen</cp:lastModifiedBy>
  <cp:revision>19</cp:revision>
  <dcterms:created xsi:type="dcterms:W3CDTF">2024-06-20T08:50:00Z</dcterms:created>
  <dcterms:modified xsi:type="dcterms:W3CDTF">2024-06-20T10:35:00Z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2024-06-20T10:34:29Z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08e8c416-c8ee-403a-b973-0f59508993ce</vt:lpwstr>
  </property>
  <property fmtid="{D5CDD505-2E9C-101B-9397-08002B2CF9AE}" pid="8" name="MSIP_Label_b22f7043-6caf-4431-9109-8eff758a1d8b_ContentBits">
    <vt:lpwstr>0</vt:lpwstr>
  </property>
</Properties>
</file>