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B5B68" w14:textId="77777777" w:rsidR="0027166A" w:rsidRDefault="00C610A4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783C092" wp14:editId="647F53B1">
                <wp:simplePos x="0" y="0"/>
                <wp:positionH relativeFrom="column">
                  <wp:posOffset>2967355</wp:posOffset>
                </wp:positionH>
                <wp:positionV relativeFrom="paragraph">
                  <wp:posOffset>3104</wp:posOffset>
                </wp:positionV>
                <wp:extent cx="2967355" cy="1404620"/>
                <wp:effectExtent l="0" t="0" r="4445" b="63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A8A8E" w14:textId="77777777" w:rsidR="004063D8" w:rsidRPr="00D23039" w:rsidRDefault="004063D8" w:rsidP="00C610A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230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Statens prosjektmodell</w:t>
                            </w:r>
                          </w:p>
                          <w:p w14:paraId="26620BE8" w14:textId="77777777" w:rsidR="004063D8" w:rsidRPr="00AC0E66" w:rsidRDefault="004063D8" w:rsidP="00C610A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C0E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</w:t>
                            </w:r>
                            <w:bookmarkStart w:id="0" w:name="_GoBack"/>
                            <w:bookmarkEnd w:id="0"/>
                            <w:r w:rsidRPr="00AC0E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raktisk veiledning for departementer og virksomheter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83C09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33.65pt;margin-top:.25pt;width:233.6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" stroked="f">
                <v:textbox style="mso-fit-shape-to-text:t">
                  <w:txbxContent>
                    <w:p w14:paraId="03BA8A8E" w14:textId="77777777" w:rsidR="004063D8" w:rsidRPr="00D23039" w:rsidRDefault="004063D8" w:rsidP="00C610A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23039">
                        <w:rPr>
                          <w:rFonts w:ascii="Arial" w:hAnsi="Arial" w:cs="Arial"/>
                          <w:sz w:val="28"/>
                          <w:szCs w:val="28"/>
                        </w:rPr>
                        <w:t>Statens prosjektmodell</w:t>
                      </w:r>
                    </w:p>
                    <w:p w14:paraId="26620BE8" w14:textId="77777777" w:rsidR="004063D8" w:rsidRPr="00AC0E66" w:rsidRDefault="004063D8" w:rsidP="00C610A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C0E66">
                        <w:rPr>
                          <w:rFonts w:ascii="Arial" w:hAnsi="Arial" w:cs="Arial"/>
                          <w:sz w:val="28"/>
                          <w:szCs w:val="28"/>
                        </w:rPr>
                        <w:t>praktisk veiledning for departementer og virksomheter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B463C3B" wp14:editId="00819D7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51888" cy="1085088"/>
            <wp:effectExtent l="0" t="0" r="1270" b="127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2Cb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888" cy="1085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E6A50" w14:textId="77777777" w:rsidR="00C610A4" w:rsidRDefault="00C610A4"/>
    <w:p w14:paraId="1CF16E7C" w14:textId="77777777" w:rsidR="00C610A4" w:rsidRDefault="00C610A4"/>
    <w:p w14:paraId="7528426A" w14:textId="77777777" w:rsidR="00C610A4" w:rsidRDefault="00C610A4"/>
    <w:p w14:paraId="2488E5A1" w14:textId="77777777" w:rsidR="00C610A4" w:rsidRDefault="00C610A4"/>
    <w:p w14:paraId="32DE148D" w14:textId="77777777" w:rsidR="00C610A4" w:rsidRDefault="00C610A4"/>
    <w:p w14:paraId="0CC72E82" w14:textId="77777777" w:rsidR="00C610A4" w:rsidRDefault="00C610A4"/>
    <w:p w14:paraId="504FD711" w14:textId="77777777" w:rsidR="00C610A4" w:rsidRDefault="00C610A4"/>
    <w:p w14:paraId="21FA769A" w14:textId="7FB84529" w:rsidR="00C610A4" w:rsidRDefault="00D1393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Konseptvalgutredning – kort veiledning</w:t>
      </w:r>
      <w:r w:rsidR="009B69B6">
        <w:rPr>
          <w:rFonts w:ascii="Arial" w:hAnsi="Arial" w:cs="Arial"/>
          <w:sz w:val="40"/>
          <w:szCs w:val="40"/>
        </w:rPr>
        <w:t xml:space="preserve"> etter endringer i 2019</w:t>
      </w:r>
    </w:p>
    <w:p w14:paraId="2442113A" w14:textId="10A3F5DD" w:rsidR="00D1393C" w:rsidRPr="008E0EFB" w:rsidRDefault="00D1393C">
      <w:pPr>
        <w:rPr>
          <w:rFonts w:ascii="Arial" w:hAnsi="Arial" w:cs="Arial"/>
          <w:sz w:val="40"/>
          <w:szCs w:val="40"/>
        </w:rPr>
      </w:pPr>
    </w:p>
    <w:p w14:paraId="11B00405" w14:textId="77777777" w:rsidR="00C12700" w:rsidRDefault="00D1393C" w:rsidP="00D1393C">
      <w:pPr>
        <w:rPr>
          <w:rFonts w:ascii="Arial" w:hAnsi="Arial" w:cs="Arial"/>
        </w:rPr>
      </w:pPr>
      <w:r w:rsidRPr="008E0EFB">
        <w:rPr>
          <w:rFonts w:ascii="Arial" w:hAnsi="Arial" w:cs="Arial"/>
        </w:rPr>
        <w:t>Dette notater gir en kort innføring i forholdet mellom utredningsinstruksen og kravene til konseptvalgutredninger (KVU)</w:t>
      </w:r>
      <w:r w:rsidR="00821C72">
        <w:rPr>
          <w:rFonts w:ascii="Arial" w:hAnsi="Arial" w:cs="Arial"/>
        </w:rPr>
        <w:t xml:space="preserve"> i Statens prosjektmodell</w:t>
      </w:r>
      <w:r w:rsidRPr="008E0EFB">
        <w:rPr>
          <w:rFonts w:ascii="Arial" w:hAnsi="Arial" w:cs="Arial"/>
        </w:rPr>
        <w:t xml:space="preserve">. Det går videre gjennom endringer i krav til KVU som kom i rundskriv R-108 </w:t>
      </w:r>
      <w:r w:rsidR="00821C72">
        <w:rPr>
          <w:rFonts w:ascii="Arial" w:hAnsi="Arial" w:cs="Arial"/>
        </w:rPr>
        <w:t>om Statens prosjektmodell</w:t>
      </w:r>
      <w:r w:rsidRPr="008E0EFB">
        <w:rPr>
          <w:rFonts w:ascii="Arial" w:hAnsi="Arial" w:cs="Arial"/>
        </w:rPr>
        <w:t xml:space="preserve"> og som ikke er omtalt i den gamle KVU veilederen. I tillegg gis det en oversikt over relevante veiledere og andre rapporter som kan være til hjelp i arbeidet med å utarbeide en KVU. </w:t>
      </w:r>
    </w:p>
    <w:p w14:paraId="6CB010B1" w14:textId="76F3F7B1" w:rsidR="00D1393C" w:rsidRPr="008E0EFB" w:rsidRDefault="00D1393C" w:rsidP="00D1393C">
      <w:pPr>
        <w:rPr>
          <w:rFonts w:ascii="Arial" w:hAnsi="Arial" w:cs="Arial"/>
        </w:rPr>
      </w:pPr>
      <w:r w:rsidRPr="008E0EFB">
        <w:rPr>
          <w:rFonts w:ascii="Arial" w:hAnsi="Arial" w:cs="Arial"/>
        </w:rPr>
        <w:t>Fin</w:t>
      </w:r>
      <w:r w:rsidR="001B3F0C">
        <w:rPr>
          <w:rFonts w:ascii="Arial" w:hAnsi="Arial" w:cs="Arial"/>
        </w:rPr>
        <w:t>an</w:t>
      </w:r>
      <w:r w:rsidRPr="008E0EFB">
        <w:rPr>
          <w:rFonts w:ascii="Arial" w:hAnsi="Arial" w:cs="Arial"/>
        </w:rPr>
        <w:t>sdepartementet planlegger en oppdatering av KVU veiled</w:t>
      </w:r>
      <w:r w:rsidR="000147E8">
        <w:rPr>
          <w:rFonts w:ascii="Arial" w:hAnsi="Arial" w:cs="Arial"/>
        </w:rPr>
        <w:t>e</w:t>
      </w:r>
      <w:r w:rsidRPr="008E0EFB">
        <w:rPr>
          <w:rFonts w:ascii="Arial" w:hAnsi="Arial" w:cs="Arial"/>
        </w:rPr>
        <w:t xml:space="preserve">ren. </w:t>
      </w:r>
      <w:r w:rsidR="000147E8">
        <w:rPr>
          <w:rFonts w:ascii="Arial" w:hAnsi="Arial" w:cs="Arial"/>
        </w:rPr>
        <w:t>I påvente av at arbeidet ferdigstilles hjelper forhåpentligvis dette notatet deg på vei.</w:t>
      </w:r>
    </w:p>
    <w:p w14:paraId="23AA03BD" w14:textId="6464835F" w:rsidR="00D1393C" w:rsidRPr="008E0EFB" w:rsidRDefault="00D1393C" w:rsidP="00D1393C">
      <w:pPr>
        <w:pStyle w:val="Listeavsnitt"/>
        <w:ind w:left="765"/>
        <w:rPr>
          <w:rFonts w:ascii="Arial" w:hAnsi="Arial" w:cs="Arial"/>
        </w:rPr>
      </w:pPr>
    </w:p>
    <w:p w14:paraId="7F10D18A" w14:textId="7237B37D" w:rsidR="00D1393C" w:rsidRPr="008E0EFB" w:rsidRDefault="00D1393C" w:rsidP="00D1393C">
      <w:pPr>
        <w:pStyle w:val="Undertittel"/>
        <w:rPr>
          <w:rFonts w:ascii="Arial" w:hAnsi="Arial" w:cs="Arial"/>
          <w:b/>
          <w:color w:val="auto"/>
        </w:rPr>
      </w:pPr>
      <w:r w:rsidRPr="008E0EFB">
        <w:rPr>
          <w:rFonts w:ascii="Arial" w:hAnsi="Arial" w:cs="Arial"/>
          <w:b/>
          <w:color w:val="auto"/>
        </w:rPr>
        <w:t>KVU og utredningsinstruksen</w:t>
      </w:r>
    </w:p>
    <w:p w14:paraId="5DEDA89C" w14:textId="051875E2" w:rsidR="00D1393C" w:rsidRPr="008E0EFB" w:rsidRDefault="004063D8" w:rsidP="00D1393C">
      <w:pPr>
        <w:rPr>
          <w:rFonts w:ascii="Arial" w:hAnsi="Arial" w:cs="Arial"/>
        </w:rPr>
      </w:pPr>
      <w:hyperlink r:id="rId9" w:history="1">
        <w:r w:rsidR="00D1393C" w:rsidRPr="008E0EFB">
          <w:rPr>
            <w:rStyle w:val="Hyperkobling"/>
            <w:rFonts w:ascii="Arial" w:hAnsi="Arial" w:cs="Arial"/>
          </w:rPr>
          <w:t>Utredningsinstruksen</w:t>
        </w:r>
      </w:hyperlink>
      <w:r w:rsidR="00D1393C" w:rsidRPr="008E0EFB">
        <w:rPr>
          <w:rFonts w:ascii="Arial" w:hAnsi="Arial" w:cs="Arial"/>
        </w:rPr>
        <w:t xml:space="preserve"> er etablert for å legge et godt grunnlag for beslutninger om statlige tiltak og stiller krav til utredning og involvering. Utredningsinstruksen gjelder for alle typer utredninger av statlige tiltak. Det er etablert et </w:t>
      </w:r>
      <w:r w:rsidR="001B3F0C" w:rsidRPr="008E0EFB">
        <w:rPr>
          <w:rFonts w:ascii="Arial" w:hAnsi="Arial" w:cs="Arial"/>
        </w:rPr>
        <w:t>minimumskrav</w:t>
      </w:r>
      <w:r w:rsidR="00D1393C" w:rsidRPr="008E0EFB">
        <w:rPr>
          <w:rFonts w:ascii="Arial" w:hAnsi="Arial" w:cs="Arial"/>
        </w:rPr>
        <w:t xml:space="preserve"> til utredning i form av seks spørsmål som skal besvares skriftli</w:t>
      </w:r>
      <w:r w:rsidR="00F107DA" w:rsidRPr="008E0EFB">
        <w:rPr>
          <w:rFonts w:ascii="Arial" w:hAnsi="Arial" w:cs="Arial"/>
        </w:rPr>
        <w:t>g. I tillegg er det presisert et</w:t>
      </w:r>
      <w:r w:rsidR="00D1393C" w:rsidRPr="008E0EFB">
        <w:rPr>
          <w:rFonts w:ascii="Arial" w:hAnsi="Arial" w:cs="Arial"/>
        </w:rPr>
        <w:t xml:space="preserve"> forholdsmessig krav til hvor grundige utredningene skal være, som innebærer at ressursene som brukes på utredning </w:t>
      </w:r>
      <w:r w:rsidR="00F107DA" w:rsidRPr="008E0EFB">
        <w:rPr>
          <w:rFonts w:ascii="Arial" w:hAnsi="Arial" w:cs="Arial"/>
        </w:rPr>
        <w:t>skal</w:t>
      </w:r>
      <w:r w:rsidR="00D1393C" w:rsidRPr="008E0EFB">
        <w:rPr>
          <w:rFonts w:ascii="Arial" w:hAnsi="Arial" w:cs="Arial"/>
        </w:rPr>
        <w:t xml:space="preserve"> stå i forhold til virkningene av tiltaket.</w:t>
      </w:r>
    </w:p>
    <w:p w14:paraId="24E86777" w14:textId="4B6C9003" w:rsidR="008E0EFB" w:rsidRDefault="00F107DA" w:rsidP="00D1393C">
      <w:pPr>
        <w:rPr>
          <w:rFonts w:ascii="Arial" w:hAnsi="Arial" w:cs="Arial"/>
        </w:rPr>
      </w:pPr>
      <w:r w:rsidRPr="008E0EFB">
        <w:rPr>
          <w:rFonts w:ascii="Arial" w:hAnsi="Arial" w:cs="Arial"/>
        </w:rPr>
        <w:t xml:space="preserve">For store statlige investeringsprosjekter har Finansdepartementet gjennom rundskriv </w:t>
      </w:r>
      <w:hyperlink r:id="rId10" w:history="1">
        <w:r w:rsidRPr="008E0EFB">
          <w:rPr>
            <w:rStyle w:val="Hyperkobling"/>
            <w:rFonts w:ascii="Arial" w:hAnsi="Arial" w:cs="Arial"/>
            <w:i/>
          </w:rPr>
          <w:t xml:space="preserve">R-108 Statens prosjektmodell – krev til utredning, planlegging og </w:t>
        </w:r>
        <w:r w:rsidR="001B3F0C" w:rsidRPr="008E0EFB">
          <w:rPr>
            <w:rStyle w:val="Hyperkobling"/>
            <w:rFonts w:ascii="Arial" w:hAnsi="Arial" w:cs="Arial"/>
            <w:i/>
          </w:rPr>
          <w:t>kvalitetssikring</w:t>
        </w:r>
        <w:r w:rsidRPr="008E0EFB">
          <w:rPr>
            <w:rStyle w:val="Hyperkobling"/>
            <w:rFonts w:ascii="Arial" w:hAnsi="Arial" w:cs="Arial"/>
            <w:i/>
          </w:rPr>
          <w:t xml:space="preserve"> av store investeringsprosjekter i staten</w:t>
        </w:r>
      </w:hyperlink>
      <w:r w:rsidRPr="008E0EFB">
        <w:rPr>
          <w:rFonts w:ascii="Arial" w:hAnsi="Arial" w:cs="Arial"/>
        </w:rPr>
        <w:t xml:space="preserve"> tydeliggjort hvordan kravet til forholdsmessighet skal forstås for store investeringsprosjekter, ved å stille mer konkrete krav til innhold og grundighet tilpasset denne type tiltak. Dette innebærer at utredninger etter KVU kravene oppfyller utredningsinstruksen krav til utredning for disse prosjektene. </w:t>
      </w:r>
    </w:p>
    <w:p w14:paraId="62B8FD7C" w14:textId="36C3292B" w:rsidR="00D1393C" w:rsidRPr="008E0EFB" w:rsidRDefault="00F107DA" w:rsidP="00D1393C">
      <w:pPr>
        <w:rPr>
          <w:rFonts w:ascii="Arial" w:hAnsi="Arial" w:cs="Arial"/>
        </w:rPr>
      </w:pPr>
      <w:r w:rsidRPr="008E0EFB">
        <w:rPr>
          <w:rFonts w:ascii="Arial" w:hAnsi="Arial" w:cs="Arial"/>
        </w:rPr>
        <w:t xml:space="preserve">Under </w:t>
      </w:r>
      <w:r w:rsidR="001B3F0C">
        <w:rPr>
          <w:rFonts w:ascii="Arial" w:hAnsi="Arial" w:cs="Arial"/>
        </w:rPr>
        <w:t>er det gitt en tabell</w:t>
      </w:r>
      <w:r w:rsidRPr="008E0EFB">
        <w:rPr>
          <w:rFonts w:ascii="Arial" w:hAnsi="Arial" w:cs="Arial"/>
        </w:rPr>
        <w:t xml:space="preserve">messig oversikt over sammenhengen mellom utredningsinstruksens seks spørsmål og kapitlene i en KVU. </w:t>
      </w:r>
    </w:p>
    <w:p w14:paraId="4D832617" w14:textId="02F80941" w:rsidR="003C25D3" w:rsidRPr="008E0EFB" w:rsidRDefault="003C25D3" w:rsidP="00D1393C">
      <w:pPr>
        <w:rPr>
          <w:rFonts w:ascii="Arial" w:hAnsi="Arial" w:cs="Arial"/>
        </w:rPr>
      </w:pPr>
    </w:p>
    <w:p w14:paraId="0087A54F" w14:textId="08DDE552" w:rsidR="003C25D3" w:rsidRPr="008E0EFB" w:rsidRDefault="003C25D3" w:rsidP="00D1393C">
      <w:pPr>
        <w:rPr>
          <w:rFonts w:ascii="Arial" w:hAnsi="Arial" w:cs="Arial"/>
        </w:rPr>
      </w:pPr>
    </w:p>
    <w:p w14:paraId="43B33742" w14:textId="465F16BC" w:rsidR="003C25D3" w:rsidRPr="008E0EFB" w:rsidRDefault="003C25D3" w:rsidP="00D1393C">
      <w:pPr>
        <w:rPr>
          <w:rFonts w:ascii="Arial" w:hAnsi="Arial" w:cs="Arial"/>
        </w:rPr>
      </w:pPr>
    </w:p>
    <w:p w14:paraId="48F7F66C" w14:textId="5C3E7D4F" w:rsidR="003C25D3" w:rsidRPr="008E0EFB" w:rsidRDefault="003C25D3" w:rsidP="00D1393C">
      <w:pPr>
        <w:rPr>
          <w:rFonts w:ascii="Arial" w:hAnsi="Arial" w:cs="Arial"/>
        </w:rPr>
      </w:pPr>
    </w:p>
    <w:p w14:paraId="645A23CD" w14:textId="77777777" w:rsidR="003C25D3" w:rsidRPr="008E0EFB" w:rsidRDefault="003C25D3" w:rsidP="00D1393C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2787"/>
        <w:gridCol w:w="3255"/>
      </w:tblGrid>
      <w:tr w:rsidR="00F107DA" w:rsidRPr="008E0EFB" w14:paraId="3C5AD9B6" w14:textId="77777777" w:rsidTr="000147E8">
        <w:tc>
          <w:tcPr>
            <w:tcW w:w="3020" w:type="dxa"/>
          </w:tcPr>
          <w:p w14:paraId="1E3022D7" w14:textId="03F893B9" w:rsidR="00F107DA" w:rsidRPr="008E0EFB" w:rsidRDefault="00F107DA" w:rsidP="00D1393C">
            <w:pPr>
              <w:rPr>
                <w:rFonts w:ascii="Arial" w:hAnsi="Arial" w:cs="Arial"/>
                <w:b/>
              </w:rPr>
            </w:pPr>
            <w:r w:rsidRPr="008E0EFB">
              <w:rPr>
                <w:rFonts w:ascii="Arial" w:hAnsi="Arial" w:cs="Arial"/>
                <w:b/>
              </w:rPr>
              <w:t>Utredningsinstruksen</w:t>
            </w:r>
          </w:p>
        </w:tc>
        <w:tc>
          <w:tcPr>
            <w:tcW w:w="2787" w:type="dxa"/>
          </w:tcPr>
          <w:p w14:paraId="37B55205" w14:textId="65E46184" w:rsidR="00F107DA" w:rsidRPr="008E0EFB" w:rsidRDefault="00F107DA" w:rsidP="00D1393C">
            <w:pPr>
              <w:rPr>
                <w:rFonts w:ascii="Arial" w:hAnsi="Arial" w:cs="Arial"/>
                <w:b/>
              </w:rPr>
            </w:pPr>
            <w:r w:rsidRPr="008E0EFB">
              <w:rPr>
                <w:rFonts w:ascii="Arial" w:hAnsi="Arial" w:cs="Arial"/>
                <w:b/>
              </w:rPr>
              <w:t>KVU</w:t>
            </w:r>
            <w:r w:rsidR="00821C72">
              <w:rPr>
                <w:rFonts w:ascii="Arial" w:hAnsi="Arial" w:cs="Arial"/>
                <w:b/>
              </w:rPr>
              <w:t>,</w:t>
            </w:r>
            <w:r w:rsidR="000F25D1">
              <w:rPr>
                <w:rFonts w:ascii="Arial" w:hAnsi="Arial" w:cs="Arial"/>
                <w:b/>
              </w:rPr>
              <w:t xml:space="preserve"> jf. R-108</w:t>
            </w:r>
          </w:p>
        </w:tc>
        <w:tc>
          <w:tcPr>
            <w:tcW w:w="3255" w:type="dxa"/>
          </w:tcPr>
          <w:p w14:paraId="42186155" w14:textId="20659A0A" w:rsidR="00F107DA" w:rsidRPr="008E0EFB" w:rsidRDefault="00F107DA" w:rsidP="00D1393C">
            <w:pPr>
              <w:rPr>
                <w:rFonts w:ascii="Arial" w:hAnsi="Arial" w:cs="Arial"/>
                <w:b/>
              </w:rPr>
            </w:pPr>
            <w:r w:rsidRPr="008E0EFB">
              <w:rPr>
                <w:rFonts w:ascii="Arial" w:hAnsi="Arial" w:cs="Arial"/>
                <w:b/>
              </w:rPr>
              <w:t>Kommentar</w:t>
            </w:r>
          </w:p>
        </w:tc>
      </w:tr>
      <w:tr w:rsidR="00F41713" w:rsidRPr="008E0EFB" w14:paraId="16ED7D70" w14:textId="77777777" w:rsidTr="000147E8">
        <w:trPr>
          <w:trHeight w:val="1009"/>
        </w:trPr>
        <w:tc>
          <w:tcPr>
            <w:tcW w:w="3020" w:type="dxa"/>
            <w:vMerge w:val="restart"/>
            <w:vAlign w:val="center"/>
          </w:tcPr>
          <w:p w14:paraId="045F012C" w14:textId="4C18E826" w:rsidR="00F41713" w:rsidRPr="008E0EFB" w:rsidRDefault="00F41713" w:rsidP="00D1393C">
            <w:pPr>
              <w:rPr>
                <w:rFonts w:ascii="Arial" w:hAnsi="Arial" w:cs="Arial"/>
              </w:rPr>
            </w:pPr>
            <w:r w:rsidRPr="008E0EFB">
              <w:rPr>
                <w:rFonts w:ascii="Arial" w:hAnsi="Arial" w:cs="Arial"/>
              </w:rPr>
              <w:t>Hva er problemet og hva vil vi oppnå?</w:t>
            </w:r>
          </w:p>
        </w:tc>
        <w:tc>
          <w:tcPr>
            <w:tcW w:w="2787" w:type="dxa"/>
            <w:vAlign w:val="center"/>
          </w:tcPr>
          <w:p w14:paraId="4BBCB798" w14:textId="737852CE" w:rsidR="00F41713" w:rsidRPr="008E0EFB" w:rsidRDefault="00F41713" w:rsidP="00D1393C">
            <w:pPr>
              <w:rPr>
                <w:rFonts w:ascii="Arial" w:hAnsi="Arial" w:cs="Arial"/>
              </w:rPr>
            </w:pPr>
            <w:r w:rsidRPr="008E0EFB">
              <w:rPr>
                <w:rFonts w:ascii="Arial" w:hAnsi="Arial" w:cs="Arial"/>
              </w:rPr>
              <w:t>Problembeskrivelse</w:t>
            </w:r>
          </w:p>
        </w:tc>
        <w:tc>
          <w:tcPr>
            <w:tcW w:w="3255" w:type="dxa"/>
            <w:vMerge w:val="restart"/>
          </w:tcPr>
          <w:p w14:paraId="21DC2E6B" w14:textId="49BE2D37" w:rsidR="00F41713" w:rsidRPr="008E0EFB" w:rsidRDefault="007C2AD4" w:rsidP="003C25D3">
            <w:pPr>
              <w:rPr>
                <w:rFonts w:ascii="Arial" w:hAnsi="Arial" w:cs="Arial"/>
              </w:rPr>
            </w:pPr>
            <w:r w:rsidRPr="008E0EFB">
              <w:rPr>
                <w:rFonts w:ascii="Arial" w:hAnsi="Arial" w:cs="Arial"/>
              </w:rPr>
              <w:t>For store investeringer forventes det en dokumentasjon som underbygger problemet og en grundig gjennomgang av behov</w:t>
            </w:r>
            <w:r w:rsidR="00C12700">
              <w:rPr>
                <w:rFonts w:ascii="Arial" w:hAnsi="Arial" w:cs="Arial"/>
              </w:rPr>
              <w:t xml:space="preserve"> samt strategiske mål</w:t>
            </w:r>
            <w:r w:rsidR="003C25D3" w:rsidRPr="008E0EFB">
              <w:rPr>
                <w:rFonts w:ascii="Arial" w:hAnsi="Arial" w:cs="Arial"/>
              </w:rPr>
              <w:t xml:space="preserve">. </w:t>
            </w:r>
            <w:r w:rsidR="001B3F0C" w:rsidRPr="008E0EFB">
              <w:rPr>
                <w:rFonts w:ascii="Arial" w:hAnsi="Arial" w:cs="Arial"/>
              </w:rPr>
              <w:t>Spørsmålet</w:t>
            </w:r>
            <w:r w:rsidR="003C25D3" w:rsidRPr="008E0EFB">
              <w:rPr>
                <w:rFonts w:ascii="Arial" w:hAnsi="Arial" w:cs="Arial"/>
              </w:rPr>
              <w:t xml:space="preserve"> </w:t>
            </w:r>
            <w:r w:rsidRPr="008E0EFB">
              <w:rPr>
                <w:rFonts w:ascii="Arial" w:hAnsi="Arial" w:cs="Arial"/>
              </w:rPr>
              <w:t xml:space="preserve">er derfor inndelt i tre kapitler for å strukturere arbeidet, bidra til økt </w:t>
            </w:r>
            <w:r w:rsidR="001B3F0C" w:rsidRPr="008E0EFB">
              <w:rPr>
                <w:rFonts w:ascii="Arial" w:hAnsi="Arial" w:cs="Arial"/>
              </w:rPr>
              <w:t>bevissthet</w:t>
            </w:r>
            <w:r w:rsidRPr="008E0EFB">
              <w:rPr>
                <w:rFonts w:ascii="Arial" w:hAnsi="Arial" w:cs="Arial"/>
              </w:rPr>
              <w:t xml:space="preserve"> om skillet mellom problem og behov og få en oversiktlig fremstilling.</w:t>
            </w:r>
            <w:r w:rsidR="00F850E1">
              <w:rPr>
                <w:rFonts w:ascii="Arial" w:hAnsi="Arial" w:cs="Arial"/>
              </w:rPr>
              <w:t xml:space="preserve"> Utredningsinstruksens krav til tidlig involvering av berørte aktører er også relevant i denne fasen, særlig gjennom interessentanalyse.</w:t>
            </w:r>
          </w:p>
        </w:tc>
      </w:tr>
      <w:tr w:rsidR="00F41713" w:rsidRPr="008E0EFB" w14:paraId="1F8E61B4" w14:textId="77777777" w:rsidTr="000147E8">
        <w:trPr>
          <w:trHeight w:val="1011"/>
        </w:trPr>
        <w:tc>
          <w:tcPr>
            <w:tcW w:w="3020" w:type="dxa"/>
            <w:vMerge/>
            <w:vAlign w:val="center"/>
          </w:tcPr>
          <w:p w14:paraId="61DDBFB8" w14:textId="77777777" w:rsidR="00F41713" w:rsidRPr="008E0EFB" w:rsidRDefault="00F41713" w:rsidP="00D1393C">
            <w:pPr>
              <w:rPr>
                <w:rFonts w:ascii="Arial" w:hAnsi="Arial" w:cs="Arial"/>
              </w:rPr>
            </w:pPr>
          </w:p>
        </w:tc>
        <w:tc>
          <w:tcPr>
            <w:tcW w:w="2787" w:type="dxa"/>
            <w:vAlign w:val="center"/>
          </w:tcPr>
          <w:p w14:paraId="1310D84D" w14:textId="2809B7EF" w:rsidR="00F41713" w:rsidRPr="008E0EFB" w:rsidRDefault="00F41713" w:rsidP="00D1393C">
            <w:pPr>
              <w:rPr>
                <w:rFonts w:ascii="Arial" w:hAnsi="Arial" w:cs="Arial"/>
              </w:rPr>
            </w:pPr>
            <w:r w:rsidRPr="008E0EFB">
              <w:rPr>
                <w:rFonts w:ascii="Arial" w:hAnsi="Arial" w:cs="Arial"/>
              </w:rPr>
              <w:t>Behovsanalyse</w:t>
            </w:r>
          </w:p>
        </w:tc>
        <w:tc>
          <w:tcPr>
            <w:tcW w:w="3255" w:type="dxa"/>
            <w:vMerge/>
          </w:tcPr>
          <w:p w14:paraId="0846CF61" w14:textId="77777777" w:rsidR="00F41713" w:rsidRPr="008E0EFB" w:rsidRDefault="00F41713" w:rsidP="00D1393C">
            <w:pPr>
              <w:rPr>
                <w:rFonts w:ascii="Arial" w:hAnsi="Arial" w:cs="Arial"/>
              </w:rPr>
            </w:pPr>
          </w:p>
        </w:tc>
      </w:tr>
      <w:tr w:rsidR="00F41713" w:rsidRPr="008E0EFB" w14:paraId="06B82888" w14:textId="77777777" w:rsidTr="000147E8">
        <w:tc>
          <w:tcPr>
            <w:tcW w:w="3020" w:type="dxa"/>
            <w:vMerge/>
            <w:vAlign w:val="center"/>
          </w:tcPr>
          <w:p w14:paraId="63818819" w14:textId="77777777" w:rsidR="00F41713" w:rsidRPr="008E0EFB" w:rsidRDefault="00F41713" w:rsidP="00D1393C">
            <w:pPr>
              <w:rPr>
                <w:rFonts w:ascii="Arial" w:hAnsi="Arial" w:cs="Arial"/>
              </w:rPr>
            </w:pPr>
          </w:p>
        </w:tc>
        <w:tc>
          <w:tcPr>
            <w:tcW w:w="2787" w:type="dxa"/>
            <w:vAlign w:val="center"/>
          </w:tcPr>
          <w:p w14:paraId="7B4F245C" w14:textId="7FB556C2" w:rsidR="00F41713" w:rsidRPr="008E0EFB" w:rsidRDefault="00F41713" w:rsidP="00D1393C">
            <w:pPr>
              <w:rPr>
                <w:rFonts w:ascii="Arial" w:hAnsi="Arial" w:cs="Arial"/>
              </w:rPr>
            </w:pPr>
            <w:r w:rsidRPr="008E0EFB">
              <w:rPr>
                <w:rFonts w:ascii="Arial" w:hAnsi="Arial" w:cs="Arial"/>
              </w:rPr>
              <w:t>Strategiske mål</w:t>
            </w:r>
          </w:p>
        </w:tc>
        <w:tc>
          <w:tcPr>
            <w:tcW w:w="3255" w:type="dxa"/>
            <w:vMerge/>
          </w:tcPr>
          <w:p w14:paraId="2632D23D" w14:textId="77777777" w:rsidR="00F41713" w:rsidRPr="008E0EFB" w:rsidRDefault="00F41713" w:rsidP="00D1393C">
            <w:pPr>
              <w:rPr>
                <w:rFonts w:ascii="Arial" w:hAnsi="Arial" w:cs="Arial"/>
              </w:rPr>
            </w:pPr>
          </w:p>
        </w:tc>
      </w:tr>
      <w:tr w:rsidR="00F107DA" w:rsidRPr="008E0EFB" w14:paraId="05CCFAF9" w14:textId="77777777" w:rsidTr="000147E8">
        <w:tc>
          <w:tcPr>
            <w:tcW w:w="3020" w:type="dxa"/>
            <w:vAlign w:val="center"/>
          </w:tcPr>
          <w:p w14:paraId="2FF1FEDD" w14:textId="6BC834BC" w:rsidR="00F107DA" w:rsidRPr="008E0EFB" w:rsidRDefault="00F107DA" w:rsidP="00D1393C">
            <w:pPr>
              <w:rPr>
                <w:rFonts w:ascii="Arial" w:hAnsi="Arial" w:cs="Arial"/>
              </w:rPr>
            </w:pPr>
            <w:r w:rsidRPr="008E0EFB">
              <w:rPr>
                <w:rFonts w:ascii="Arial" w:hAnsi="Arial" w:cs="Arial"/>
              </w:rPr>
              <w:t>Hvilke tiltak er relevante</w:t>
            </w:r>
            <w:r w:rsidR="00F41713" w:rsidRPr="008E0EFB">
              <w:rPr>
                <w:rFonts w:ascii="Arial" w:hAnsi="Arial" w:cs="Arial"/>
              </w:rPr>
              <w:t>?</w:t>
            </w:r>
          </w:p>
        </w:tc>
        <w:tc>
          <w:tcPr>
            <w:tcW w:w="2787" w:type="dxa"/>
            <w:vAlign w:val="center"/>
          </w:tcPr>
          <w:p w14:paraId="71CB4191" w14:textId="3B6A36FA" w:rsidR="00F107DA" w:rsidRPr="008E0EFB" w:rsidRDefault="00F41713" w:rsidP="00D1393C">
            <w:pPr>
              <w:rPr>
                <w:rFonts w:ascii="Arial" w:hAnsi="Arial" w:cs="Arial"/>
              </w:rPr>
            </w:pPr>
            <w:r w:rsidRPr="008E0EFB">
              <w:rPr>
                <w:rFonts w:ascii="Arial" w:hAnsi="Arial" w:cs="Arial"/>
              </w:rPr>
              <w:t>Mulighetsstudie</w:t>
            </w:r>
          </w:p>
        </w:tc>
        <w:tc>
          <w:tcPr>
            <w:tcW w:w="3255" w:type="dxa"/>
          </w:tcPr>
          <w:p w14:paraId="1D9F5D5A" w14:textId="77777777" w:rsidR="00F107DA" w:rsidRPr="008E0EFB" w:rsidRDefault="00F107DA" w:rsidP="00D1393C">
            <w:pPr>
              <w:rPr>
                <w:rFonts w:ascii="Arial" w:hAnsi="Arial" w:cs="Arial"/>
              </w:rPr>
            </w:pPr>
          </w:p>
        </w:tc>
      </w:tr>
      <w:tr w:rsidR="00F107DA" w:rsidRPr="008E0EFB" w14:paraId="4F80A07A" w14:textId="77777777" w:rsidTr="000147E8">
        <w:tc>
          <w:tcPr>
            <w:tcW w:w="3020" w:type="dxa"/>
            <w:vAlign w:val="center"/>
          </w:tcPr>
          <w:p w14:paraId="23C4DB8E" w14:textId="5D37B464" w:rsidR="00F107DA" w:rsidRPr="008E0EFB" w:rsidRDefault="00F107DA" w:rsidP="00D1393C">
            <w:pPr>
              <w:rPr>
                <w:rFonts w:ascii="Arial" w:hAnsi="Arial" w:cs="Arial"/>
              </w:rPr>
            </w:pPr>
            <w:r w:rsidRPr="008E0EFB">
              <w:rPr>
                <w:rFonts w:ascii="Arial" w:hAnsi="Arial" w:cs="Arial"/>
              </w:rPr>
              <w:t>Hvilke prinsipielle spørsmål reiser tiltakene?</w:t>
            </w:r>
          </w:p>
        </w:tc>
        <w:tc>
          <w:tcPr>
            <w:tcW w:w="2787" w:type="dxa"/>
            <w:vAlign w:val="center"/>
          </w:tcPr>
          <w:p w14:paraId="522799CC" w14:textId="6CF3522E" w:rsidR="00F41713" w:rsidRPr="008E0EFB" w:rsidRDefault="00F41713" w:rsidP="00F41713">
            <w:pPr>
              <w:rPr>
                <w:rFonts w:ascii="Arial" w:hAnsi="Arial" w:cs="Arial"/>
              </w:rPr>
            </w:pPr>
            <w:r w:rsidRPr="008E0EFB">
              <w:rPr>
                <w:rFonts w:ascii="Arial" w:hAnsi="Arial" w:cs="Arial"/>
              </w:rPr>
              <w:t>Rammebetingelser for konseptvalg</w:t>
            </w:r>
          </w:p>
        </w:tc>
        <w:tc>
          <w:tcPr>
            <w:tcW w:w="3255" w:type="dxa"/>
          </w:tcPr>
          <w:p w14:paraId="5443FE53" w14:textId="56A7E3CC" w:rsidR="00F107DA" w:rsidRPr="008E0EFB" w:rsidRDefault="003C25D3" w:rsidP="003C25D3">
            <w:pPr>
              <w:rPr>
                <w:rFonts w:ascii="Arial" w:hAnsi="Arial" w:cs="Arial"/>
              </w:rPr>
            </w:pPr>
            <w:r w:rsidRPr="008E0EFB">
              <w:rPr>
                <w:rFonts w:ascii="Arial" w:hAnsi="Arial" w:cs="Arial"/>
              </w:rPr>
              <w:t>Dersom det er relevante prinsipielle spørsmål knyttet til tiltakene</w:t>
            </w:r>
            <w:r w:rsidR="00E622BB">
              <w:rPr>
                <w:rFonts w:ascii="Arial" w:hAnsi="Arial" w:cs="Arial"/>
              </w:rPr>
              <w:t>,</w:t>
            </w:r>
            <w:r w:rsidRPr="008E0EFB">
              <w:rPr>
                <w:rFonts w:ascii="Arial" w:hAnsi="Arial" w:cs="Arial"/>
              </w:rPr>
              <w:t xml:space="preserve"> kan dette behandles som en rammebetingelse i KVUen. Dette er relevant for å sile ut tiltak som bryter med for eksempel etiske krav, i mulighetsstudien. I KVUen er derfor rekkefølgen på disse punktene byttet om.</w:t>
            </w:r>
            <w:r w:rsidR="00E277BA">
              <w:rPr>
                <w:rFonts w:ascii="Arial" w:hAnsi="Arial" w:cs="Arial"/>
              </w:rPr>
              <w:t xml:space="preserve"> Det kan i noen tilfeller også være viktig å få fram hvordan tiltak kan påvirke, både støtte opp under eller svekke, viktige samfunnsverdier eller prinsipielle hensyn</w:t>
            </w:r>
          </w:p>
        </w:tc>
      </w:tr>
      <w:tr w:rsidR="00F107DA" w:rsidRPr="008E0EFB" w14:paraId="4332243F" w14:textId="77777777" w:rsidTr="000147E8">
        <w:tc>
          <w:tcPr>
            <w:tcW w:w="3020" w:type="dxa"/>
            <w:vAlign w:val="center"/>
          </w:tcPr>
          <w:p w14:paraId="1499387F" w14:textId="6006EEEC" w:rsidR="00F107DA" w:rsidRPr="008E0EFB" w:rsidRDefault="00F41713" w:rsidP="00D1393C">
            <w:pPr>
              <w:rPr>
                <w:rFonts w:ascii="Arial" w:hAnsi="Arial" w:cs="Arial"/>
              </w:rPr>
            </w:pPr>
            <w:r w:rsidRPr="008E0EFB">
              <w:rPr>
                <w:rFonts w:ascii="Arial" w:hAnsi="Arial" w:cs="Arial"/>
              </w:rPr>
              <w:t>Hva er de positive og negative virkningene av tiltaket, hvor varige er de, og hvem blir berørt?</w:t>
            </w:r>
          </w:p>
        </w:tc>
        <w:tc>
          <w:tcPr>
            <w:tcW w:w="2787" w:type="dxa"/>
            <w:vAlign w:val="center"/>
          </w:tcPr>
          <w:p w14:paraId="55192140" w14:textId="18B383A5" w:rsidR="00F107DA" w:rsidRPr="008E0EFB" w:rsidRDefault="00F41713" w:rsidP="00D1393C">
            <w:pPr>
              <w:rPr>
                <w:rFonts w:ascii="Arial" w:hAnsi="Arial" w:cs="Arial"/>
              </w:rPr>
            </w:pPr>
            <w:r w:rsidRPr="008E0EFB">
              <w:rPr>
                <w:rFonts w:ascii="Arial" w:hAnsi="Arial" w:cs="Arial"/>
              </w:rPr>
              <w:t>Alternativanalysen</w:t>
            </w:r>
          </w:p>
        </w:tc>
        <w:tc>
          <w:tcPr>
            <w:tcW w:w="3255" w:type="dxa"/>
          </w:tcPr>
          <w:p w14:paraId="401D682C" w14:textId="45A2584C" w:rsidR="00F107DA" w:rsidRPr="008E0EFB" w:rsidRDefault="008E0EFB" w:rsidP="00D1393C">
            <w:pPr>
              <w:rPr>
                <w:rFonts w:ascii="Arial" w:hAnsi="Arial" w:cs="Arial"/>
              </w:rPr>
            </w:pPr>
            <w:r w:rsidRPr="008E0EFB">
              <w:rPr>
                <w:rFonts w:ascii="Arial" w:hAnsi="Arial" w:cs="Arial"/>
              </w:rPr>
              <w:t xml:space="preserve">KVU stiller krav om at relevante alternativer analyseres videre gjennom en samfunnsøkonomisk analyse i tråd med rundskriv </w:t>
            </w:r>
            <w:hyperlink r:id="rId11" w:history="1">
              <w:r w:rsidRPr="008E0EFB">
                <w:rPr>
                  <w:rStyle w:val="Hyperkobling"/>
                  <w:rFonts w:ascii="Arial" w:hAnsi="Arial" w:cs="Arial"/>
                </w:rPr>
                <w:t>R-109</w:t>
              </w:r>
            </w:hyperlink>
            <w:r w:rsidRPr="008E0EFB">
              <w:rPr>
                <w:rFonts w:ascii="Arial" w:hAnsi="Arial" w:cs="Arial"/>
              </w:rPr>
              <w:t>.</w:t>
            </w:r>
          </w:p>
        </w:tc>
      </w:tr>
      <w:tr w:rsidR="00F107DA" w:rsidRPr="008E0EFB" w14:paraId="2889FE90" w14:textId="77777777" w:rsidTr="000147E8">
        <w:tc>
          <w:tcPr>
            <w:tcW w:w="3020" w:type="dxa"/>
            <w:vAlign w:val="center"/>
          </w:tcPr>
          <w:p w14:paraId="75A54A91" w14:textId="7B370363" w:rsidR="00F107DA" w:rsidRPr="008E0EFB" w:rsidRDefault="008E0EFB" w:rsidP="00646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Hvilk</w:t>
            </w:r>
            <w:r w:rsidR="00F41713" w:rsidRPr="008E0EFB">
              <w:rPr>
                <w:rFonts w:ascii="Arial" w:hAnsi="Arial" w:cs="Arial"/>
              </w:rPr>
              <w:t>e til</w:t>
            </w:r>
            <w:r w:rsidR="00646B06" w:rsidRPr="008E0EFB">
              <w:rPr>
                <w:rFonts w:ascii="Arial" w:hAnsi="Arial" w:cs="Arial"/>
              </w:rPr>
              <w:t>t</w:t>
            </w:r>
            <w:r w:rsidR="00F41713" w:rsidRPr="008E0EFB">
              <w:rPr>
                <w:rFonts w:ascii="Arial" w:hAnsi="Arial" w:cs="Arial"/>
              </w:rPr>
              <w:t>ak anbefales, og hvorfor?</w:t>
            </w:r>
          </w:p>
        </w:tc>
        <w:tc>
          <w:tcPr>
            <w:tcW w:w="2787" w:type="dxa"/>
            <w:vAlign w:val="center"/>
          </w:tcPr>
          <w:p w14:paraId="612A9A07" w14:textId="15D6C820" w:rsidR="00F107DA" w:rsidRPr="008E0EFB" w:rsidRDefault="00F41713" w:rsidP="00D1393C">
            <w:pPr>
              <w:rPr>
                <w:rFonts w:ascii="Arial" w:hAnsi="Arial" w:cs="Arial"/>
              </w:rPr>
            </w:pPr>
            <w:r w:rsidRPr="008E0EFB">
              <w:rPr>
                <w:rFonts w:ascii="Arial" w:hAnsi="Arial" w:cs="Arial"/>
              </w:rPr>
              <w:t>Alternativanalysen</w:t>
            </w:r>
          </w:p>
        </w:tc>
        <w:tc>
          <w:tcPr>
            <w:tcW w:w="3255" w:type="dxa"/>
          </w:tcPr>
          <w:p w14:paraId="3A63FA66" w14:textId="1AD170FC" w:rsidR="00F107DA" w:rsidRPr="00793E46" w:rsidRDefault="00E277BA" w:rsidP="00E277BA">
            <w:pPr>
              <w:rPr>
                <w:rFonts w:ascii="Arial" w:hAnsi="Arial" w:cs="Arial"/>
              </w:rPr>
            </w:pPr>
            <w:r w:rsidRPr="00793E46">
              <w:rPr>
                <w:rFonts w:ascii="Arial" w:hAnsi="Arial" w:cs="Arial"/>
              </w:rPr>
              <w:t xml:space="preserve">Utgangspunktet i veilederen til UI er </w:t>
            </w:r>
            <w:r w:rsidR="00126B38" w:rsidRPr="00793E46">
              <w:rPr>
                <w:rFonts w:ascii="Arial" w:hAnsi="Arial" w:cs="Arial"/>
              </w:rPr>
              <w:t xml:space="preserve">å </w:t>
            </w:r>
            <w:r w:rsidRPr="00793E46">
              <w:rPr>
                <w:rFonts w:ascii="Arial" w:hAnsi="Arial" w:cs="Arial"/>
              </w:rPr>
              <w:t>a</w:t>
            </w:r>
            <w:r w:rsidRPr="00793E46">
              <w:rPr>
                <w:rFonts w:ascii="Arial" w:hAnsi="Arial" w:cs="Arial"/>
                <w:color w:val="000000"/>
              </w:rPr>
              <w:t xml:space="preserve">nbefale det tiltaket som vurderes å gi størst samlede positive virkninger i forhold til samlede negative virkninger for samfunnet. </w:t>
            </w:r>
            <w:r w:rsidR="00702263" w:rsidRPr="00793E46">
              <w:rPr>
                <w:rFonts w:ascii="Arial" w:hAnsi="Arial" w:cs="Arial"/>
                <w:color w:val="000000"/>
              </w:rPr>
              <w:t xml:space="preserve"> For tiltak som gjennomfører en samfunnsøkonomisk analyse etter R-109 rangeres alternativene etter </w:t>
            </w:r>
            <w:r w:rsidR="008F2EE1" w:rsidRPr="00793E46">
              <w:rPr>
                <w:rFonts w:ascii="Arial" w:hAnsi="Arial" w:cs="Arial"/>
                <w:color w:val="000000"/>
              </w:rPr>
              <w:t xml:space="preserve">hvor </w:t>
            </w:r>
            <w:r w:rsidR="00DB0CB8" w:rsidRPr="00793E46">
              <w:rPr>
                <w:rFonts w:ascii="Arial" w:hAnsi="Arial" w:cs="Arial"/>
                <w:color w:val="000000"/>
              </w:rPr>
              <w:t>samfunnsøkonomisk</w:t>
            </w:r>
            <w:r w:rsidR="008F2EE1" w:rsidRPr="00793E46">
              <w:rPr>
                <w:rFonts w:ascii="Arial" w:hAnsi="Arial" w:cs="Arial"/>
                <w:color w:val="000000"/>
              </w:rPr>
              <w:t xml:space="preserve"> lønnsomt tiltaket er (</w:t>
            </w:r>
            <w:r w:rsidR="00702263" w:rsidRPr="00793E46">
              <w:rPr>
                <w:rFonts w:ascii="Arial" w:hAnsi="Arial" w:cs="Arial"/>
                <w:color w:val="000000"/>
              </w:rPr>
              <w:t>n</w:t>
            </w:r>
            <w:r w:rsidR="008F2EE1" w:rsidRPr="00793E46">
              <w:rPr>
                <w:rFonts w:ascii="Arial" w:hAnsi="Arial" w:cs="Arial"/>
                <w:color w:val="000000"/>
              </w:rPr>
              <w:t>e</w:t>
            </w:r>
            <w:r w:rsidR="00702263" w:rsidRPr="00793E46">
              <w:rPr>
                <w:rFonts w:ascii="Arial" w:hAnsi="Arial" w:cs="Arial"/>
                <w:color w:val="000000"/>
              </w:rPr>
              <w:t xml:space="preserve">tto-nåverdi </w:t>
            </w:r>
            <w:r w:rsidR="008F2EE1" w:rsidRPr="00793E46">
              <w:rPr>
                <w:rFonts w:ascii="Arial" w:hAnsi="Arial" w:cs="Arial"/>
                <w:color w:val="000000"/>
              </w:rPr>
              <w:t xml:space="preserve">og </w:t>
            </w:r>
            <w:r w:rsidR="008F2EE1" w:rsidRPr="00793E46">
              <w:rPr>
                <w:rFonts w:ascii="Arial" w:hAnsi="Arial" w:cs="Arial"/>
                <w:color w:val="000000"/>
              </w:rPr>
              <w:lastRenderedPageBreak/>
              <w:t xml:space="preserve">ikke-prissatte virkninger). </w:t>
            </w:r>
            <w:r w:rsidRPr="00793E46">
              <w:rPr>
                <w:rFonts w:ascii="Arial" w:hAnsi="Arial" w:cs="Arial"/>
                <w:color w:val="000000"/>
              </w:rPr>
              <w:t>Prinsipielle hensyn eller fordelingsvirkninger kan påvirke om og hvordan anbefalingen gis</w:t>
            </w:r>
            <w:r w:rsidR="008F2EE1" w:rsidRPr="00793E46">
              <w:rPr>
                <w:rFonts w:ascii="Arial" w:hAnsi="Arial" w:cs="Arial"/>
                <w:color w:val="000000"/>
              </w:rPr>
              <w:t>. Usikkerhet om tiltaket, mulige opsjonsverdier, trinnvis gjennomføring osv. kan også være relevant for anbefalinger om investeringsprosjekter.</w:t>
            </w:r>
            <w:r w:rsidRPr="00793E46">
              <w:rPr>
                <w:rFonts w:ascii="Arial" w:hAnsi="Arial" w:cs="Arial"/>
                <w:color w:val="000000"/>
              </w:rPr>
              <w:t xml:space="preserve"> </w:t>
            </w:r>
            <w:r w:rsidRPr="00793E46">
              <w:rPr>
                <w:rFonts w:ascii="Arial" w:hAnsi="Arial" w:cs="Arial"/>
              </w:rPr>
              <w:t xml:space="preserve"> </w:t>
            </w:r>
          </w:p>
        </w:tc>
      </w:tr>
      <w:tr w:rsidR="00F107DA" w:rsidRPr="008E0EFB" w14:paraId="323A1246" w14:textId="77777777" w:rsidTr="000147E8">
        <w:tc>
          <w:tcPr>
            <w:tcW w:w="3020" w:type="dxa"/>
            <w:vAlign w:val="center"/>
          </w:tcPr>
          <w:p w14:paraId="18A9E742" w14:textId="1400613D" w:rsidR="00F107DA" w:rsidRPr="008E0EFB" w:rsidRDefault="00F41713" w:rsidP="00D1393C">
            <w:pPr>
              <w:rPr>
                <w:rFonts w:ascii="Arial" w:hAnsi="Arial" w:cs="Arial"/>
              </w:rPr>
            </w:pPr>
            <w:r w:rsidRPr="008E0EFB">
              <w:rPr>
                <w:rFonts w:ascii="Arial" w:hAnsi="Arial" w:cs="Arial"/>
              </w:rPr>
              <w:lastRenderedPageBreak/>
              <w:t xml:space="preserve">Hva er </w:t>
            </w:r>
            <w:r w:rsidR="001B3F0C" w:rsidRPr="008E0EFB">
              <w:rPr>
                <w:rFonts w:ascii="Arial" w:hAnsi="Arial" w:cs="Arial"/>
              </w:rPr>
              <w:t>forutsetningene</w:t>
            </w:r>
            <w:r w:rsidRPr="008E0EFB">
              <w:rPr>
                <w:rFonts w:ascii="Arial" w:hAnsi="Arial" w:cs="Arial"/>
              </w:rPr>
              <w:t xml:space="preserve"> for en vellykket gjennomføring?</w:t>
            </w:r>
          </w:p>
        </w:tc>
        <w:tc>
          <w:tcPr>
            <w:tcW w:w="2787" w:type="dxa"/>
            <w:vAlign w:val="center"/>
          </w:tcPr>
          <w:p w14:paraId="49198FF0" w14:textId="093D88BE" w:rsidR="00F107DA" w:rsidRPr="008E0EFB" w:rsidRDefault="00F41713" w:rsidP="00D1393C">
            <w:pPr>
              <w:rPr>
                <w:rFonts w:ascii="Arial" w:hAnsi="Arial" w:cs="Arial"/>
              </w:rPr>
            </w:pPr>
            <w:r w:rsidRPr="008E0EFB">
              <w:rPr>
                <w:rFonts w:ascii="Arial" w:hAnsi="Arial" w:cs="Arial"/>
              </w:rPr>
              <w:t>Føringer for forprosjektfasen</w:t>
            </w:r>
          </w:p>
        </w:tc>
        <w:tc>
          <w:tcPr>
            <w:tcW w:w="3255" w:type="dxa"/>
          </w:tcPr>
          <w:p w14:paraId="74B3D688" w14:textId="5162AA0B" w:rsidR="00F107DA" w:rsidRPr="008E0EFB" w:rsidRDefault="008E0EFB" w:rsidP="008E0EFB">
            <w:pPr>
              <w:rPr>
                <w:rFonts w:ascii="Arial" w:hAnsi="Arial" w:cs="Arial"/>
              </w:rPr>
            </w:pPr>
            <w:r w:rsidRPr="008E0EFB">
              <w:rPr>
                <w:rFonts w:ascii="Arial" w:hAnsi="Arial" w:cs="Arial"/>
              </w:rPr>
              <w:t>Investeringspros</w:t>
            </w:r>
            <w:r w:rsidR="003C25D3" w:rsidRPr="008E0EFB">
              <w:rPr>
                <w:rFonts w:ascii="Arial" w:hAnsi="Arial" w:cs="Arial"/>
              </w:rPr>
              <w:t>j</w:t>
            </w:r>
            <w:r w:rsidRPr="008E0EFB">
              <w:rPr>
                <w:rFonts w:ascii="Arial" w:hAnsi="Arial" w:cs="Arial"/>
              </w:rPr>
              <w:t>e</w:t>
            </w:r>
            <w:r w:rsidR="003C25D3" w:rsidRPr="008E0EFB">
              <w:rPr>
                <w:rFonts w:ascii="Arial" w:hAnsi="Arial" w:cs="Arial"/>
              </w:rPr>
              <w:t>kte</w:t>
            </w:r>
            <w:r w:rsidRPr="008E0EFB">
              <w:rPr>
                <w:rFonts w:ascii="Arial" w:hAnsi="Arial" w:cs="Arial"/>
              </w:rPr>
              <w:t>r skal bearbeides videre i en forpros</w:t>
            </w:r>
            <w:r w:rsidR="003C25D3" w:rsidRPr="008E0EFB">
              <w:rPr>
                <w:rFonts w:ascii="Arial" w:hAnsi="Arial" w:cs="Arial"/>
              </w:rPr>
              <w:t>j</w:t>
            </w:r>
            <w:r w:rsidRPr="008E0EFB">
              <w:rPr>
                <w:rFonts w:ascii="Arial" w:hAnsi="Arial" w:cs="Arial"/>
              </w:rPr>
              <w:t>e</w:t>
            </w:r>
            <w:r w:rsidR="003C25D3" w:rsidRPr="008E0EFB">
              <w:rPr>
                <w:rFonts w:ascii="Arial" w:hAnsi="Arial" w:cs="Arial"/>
              </w:rPr>
              <w:t>ktfase</w:t>
            </w:r>
            <w:r w:rsidRPr="008E0EFB">
              <w:rPr>
                <w:rFonts w:ascii="Arial" w:hAnsi="Arial" w:cs="Arial"/>
              </w:rPr>
              <w:t xml:space="preserve"> før tiltakene iverksettes. Kravene i KVUen er innrettet mot å utarbeide en god gjennomføringsplan for denne fasen slik at det hele veien er </w:t>
            </w:r>
            <w:r w:rsidR="001B3F0C" w:rsidRPr="008E0EFB">
              <w:rPr>
                <w:rFonts w:ascii="Arial" w:hAnsi="Arial" w:cs="Arial"/>
              </w:rPr>
              <w:t>tilstrekkelig</w:t>
            </w:r>
            <w:r w:rsidRPr="008E0EFB">
              <w:rPr>
                <w:rFonts w:ascii="Arial" w:hAnsi="Arial" w:cs="Arial"/>
              </w:rPr>
              <w:t xml:space="preserve"> oppmerksomhet om hva som kreves for å </w:t>
            </w:r>
            <w:r w:rsidR="00E622BB">
              <w:rPr>
                <w:rFonts w:ascii="Arial" w:hAnsi="Arial" w:cs="Arial"/>
              </w:rPr>
              <w:t xml:space="preserve">få </w:t>
            </w:r>
            <w:r w:rsidRPr="008E0EFB">
              <w:rPr>
                <w:rFonts w:ascii="Arial" w:hAnsi="Arial" w:cs="Arial"/>
              </w:rPr>
              <w:t>en vellykket gjennomføring.</w:t>
            </w:r>
          </w:p>
        </w:tc>
      </w:tr>
    </w:tbl>
    <w:p w14:paraId="22AEF128" w14:textId="424C8CA1" w:rsidR="00D1393C" w:rsidRDefault="00D1393C" w:rsidP="00D1393C"/>
    <w:p w14:paraId="0DBBC3C0" w14:textId="3F985908" w:rsidR="008E0EFB" w:rsidRDefault="008E0EFB" w:rsidP="00D1393C"/>
    <w:p w14:paraId="529C51A3" w14:textId="1BDBF07D" w:rsidR="008E0EFB" w:rsidRPr="008E0EFB" w:rsidRDefault="00821C72" w:rsidP="008E0EFB">
      <w:pPr>
        <w:pStyle w:val="Undertittel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br w:type="column"/>
      </w:r>
      <w:r w:rsidR="008E0EFB" w:rsidRPr="008E0EFB">
        <w:rPr>
          <w:rFonts w:ascii="Arial" w:hAnsi="Arial" w:cs="Arial"/>
          <w:b/>
          <w:color w:val="auto"/>
        </w:rPr>
        <w:lastRenderedPageBreak/>
        <w:t>Endringer i rundskriv for statens prosjektmodell sammenlignet med gammel KVU-veileder</w:t>
      </w:r>
    </w:p>
    <w:p w14:paraId="5A854748" w14:textId="77777777" w:rsidR="00821C72" w:rsidRDefault="000F25D1" w:rsidP="00D139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Rundskriv R-108 </w:t>
      </w:r>
      <w:r w:rsidR="00821C72">
        <w:rPr>
          <w:rFonts w:ascii="Arial" w:hAnsi="Arial" w:cs="Arial"/>
        </w:rPr>
        <w:t>om statens prosjektmodell</w:t>
      </w:r>
      <w:r>
        <w:rPr>
          <w:rFonts w:ascii="Arial" w:hAnsi="Arial" w:cs="Arial"/>
        </w:rPr>
        <w:t xml:space="preserve"> er det overordnede dokumentet som stiller krav til utredningen. Dersom det er avvik mellom veiledningsmateriell og rundskrivet er det rundskrivet som gjelder. </w:t>
      </w:r>
    </w:p>
    <w:p w14:paraId="4519F450" w14:textId="03B53A2B" w:rsidR="008E0EFB" w:rsidRDefault="000F25D1" w:rsidP="00D139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er også viktig å huske at dokumentene har ulike formål, rundskrivet stiller </w:t>
      </w:r>
      <w:r w:rsidR="001B3F0C">
        <w:rPr>
          <w:rFonts w:ascii="Arial" w:hAnsi="Arial" w:cs="Arial"/>
        </w:rPr>
        <w:t>overordnete</w:t>
      </w:r>
      <w:r>
        <w:rPr>
          <w:rFonts w:ascii="Arial" w:hAnsi="Arial" w:cs="Arial"/>
        </w:rPr>
        <w:t xml:space="preserve"> krav som skal gjelde for mange sektorer, mens </w:t>
      </w:r>
      <w:r w:rsidR="001B3F0C">
        <w:rPr>
          <w:rFonts w:ascii="Arial" w:hAnsi="Arial" w:cs="Arial"/>
        </w:rPr>
        <w:t>veilederne</w:t>
      </w:r>
      <w:r>
        <w:rPr>
          <w:rFonts w:ascii="Arial" w:hAnsi="Arial" w:cs="Arial"/>
        </w:rPr>
        <w:t xml:space="preserve"> skal gi råd om metodikk og arbeidsmåter som kan være relevante å ta i bruk for å oppfylle kravene. Det vil være ulike analysemetoder mellom ulike sektorer og på noen områder utarbeides det også egne sektorveiledere.</w:t>
      </w:r>
    </w:p>
    <w:p w14:paraId="19625335" w14:textId="5AC81CF3" w:rsidR="000F25D1" w:rsidRDefault="000F25D1" w:rsidP="00D1393C">
      <w:pPr>
        <w:rPr>
          <w:rFonts w:ascii="Arial" w:hAnsi="Arial" w:cs="Arial"/>
        </w:rPr>
      </w:pPr>
      <w:r>
        <w:rPr>
          <w:rFonts w:ascii="Arial" w:hAnsi="Arial" w:cs="Arial"/>
        </w:rPr>
        <w:t>Under gis det en o</w:t>
      </w:r>
      <w:r w:rsidR="001B3F0C">
        <w:rPr>
          <w:rFonts w:ascii="Arial" w:hAnsi="Arial" w:cs="Arial"/>
        </w:rPr>
        <w:t>verordnet oversikt over hvilke e</w:t>
      </w:r>
      <w:r>
        <w:rPr>
          <w:rFonts w:ascii="Arial" w:hAnsi="Arial" w:cs="Arial"/>
        </w:rPr>
        <w:t>n</w:t>
      </w:r>
      <w:r w:rsidR="001B3F0C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ringer som ble innarbeidet i forbindelse med R-108 sammenlignet med Finansdepartementets </w:t>
      </w:r>
      <w:r w:rsidR="001B3F0C">
        <w:rPr>
          <w:rFonts w:ascii="Arial" w:hAnsi="Arial" w:cs="Arial"/>
        </w:rPr>
        <w:t>veileder</w:t>
      </w:r>
      <w:r>
        <w:rPr>
          <w:rFonts w:ascii="Arial" w:hAnsi="Arial" w:cs="Arial"/>
        </w:rPr>
        <w:t xml:space="preserve"> nr. 9 Utarbeidelse av KVU/KL dokumenter fra 2010.</w:t>
      </w:r>
      <w:r w:rsidR="000E5F95">
        <w:rPr>
          <w:rFonts w:ascii="Arial" w:hAnsi="Arial" w:cs="Arial"/>
        </w:rPr>
        <w:t xml:space="preserve"> På enkelte områder er det </w:t>
      </w:r>
      <w:r w:rsidR="00A84B07">
        <w:rPr>
          <w:rFonts w:ascii="Arial" w:hAnsi="Arial" w:cs="Arial"/>
        </w:rPr>
        <w:t xml:space="preserve">utarbeidet egne tematiske </w:t>
      </w:r>
      <w:r w:rsidR="001B3F0C">
        <w:rPr>
          <w:rFonts w:ascii="Arial" w:hAnsi="Arial" w:cs="Arial"/>
        </w:rPr>
        <w:t>veiledere</w:t>
      </w:r>
      <w:r w:rsidR="00A84B07">
        <w:rPr>
          <w:rFonts w:ascii="Arial" w:hAnsi="Arial" w:cs="Arial"/>
        </w:rPr>
        <w:t xml:space="preserve"> som går nærmere inn på særskilte problemstillinger i tillegg til den </w:t>
      </w:r>
      <w:r w:rsidR="001B3F0C">
        <w:rPr>
          <w:rFonts w:ascii="Arial" w:hAnsi="Arial" w:cs="Arial"/>
        </w:rPr>
        <w:t>generelle</w:t>
      </w:r>
      <w:r w:rsidR="00A84B07">
        <w:rPr>
          <w:rFonts w:ascii="Arial" w:hAnsi="Arial" w:cs="Arial"/>
        </w:rPr>
        <w:t xml:space="preserve"> KVU-</w:t>
      </w:r>
      <w:r w:rsidR="001B3F0C">
        <w:rPr>
          <w:rFonts w:ascii="Arial" w:hAnsi="Arial" w:cs="Arial"/>
        </w:rPr>
        <w:t>veilederen</w:t>
      </w:r>
      <w:r w:rsidR="00A84B07">
        <w:rPr>
          <w:rFonts w:ascii="Arial" w:hAnsi="Arial" w:cs="Arial"/>
        </w:rPr>
        <w:t xml:space="preserve">. Dette er ikke omtalt, men det er lenket til </w:t>
      </w:r>
      <w:r w:rsidR="001B3F0C">
        <w:rPr>
          <w:rFonts w:ascii="Arial" w:hAnsi="Arial" w:cs="Arial"/>
        </w:rPr>
        <w:t>veiledere</w:t>
      </w:r>
      <w:r w:rsidR="00A84B07">
        <w:rPr>
          <w:rFonts w:ascii="Arial" w:hAnsi="Arial" w:cs="Arial"/>
        </w:rPr>
        <w:t xml:space="preserve"> som kan være </w:t>
      </w:r>
      <w:r w:rsidR="001B3F0C">
        <w:rPr>
          <w:rFonts w:ascii="Arial" w:hAnsi="Arial" w:cs="Arial"/>
        </w:rPr>
        <w:t>relevante</w:t>
      </w:r>
      <w:r w:rsidR="00A84B07">
        <w:rPr>
          <w:rFonts w:ascii="Arial" w:hAnsi="Arial" w:cs="Arial"/>
        </w:rPr>
        <w:t xml:space="preserve"> under.</w:t>
      </w:r>
    </w:p>
    <w:p w14:paraId="78D3048E" w14:textId="77777777" w:rsidR="000F25D1" w:rsidRDefault="000F25D1" w:rsidP="00D1393C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680"/>
      </w:tblGrid>
      <w:tr w:rsidR="000F25D1" w:rsidRPr="000F25D1" w14:paraId="492F5C01" w14:textId="77777777" w:rsidTr="000147E8">
        <w:tc>
          <w:tcPr>
            <w:tcW w:w="2547" w:type="dxa"/>
          </w:tcPr>
          <w:p w14:paraId="06949991" w14:textId="5505B3DB" w:rsidR="000F25D1" w:rsidRPr="000F25D1" w:rsidRDefault="000F25D1" w:rsidP="00D1393C">
            <w:pPr>
              <w:rPr>
                <w:rFonts w:ascii="Arial" w:hAnsi="Arial" w:cs="Arial"/>
                <w:b/>
              </w:rPr>
            </w:pPr>
            <w:r w:rsidRPr="000F25D1">
              <w:rPr>
                <w:rFonts w:ascii="Arial" w:hAnsi="Arial" w:cs="Arial"/>
                <w:b/>
              </w:rPr>
              <w:t>R-108/19</w:t>
            </w:r>
          </w:p>
        </w:tc>
        <w:tc>
          <w:tcPr>
            <w:tcW w:w="2835" w:type="dxa"/>
          </w:tcPr>
          <w:p w14:paraId="0DD3F7D7" w14:textId="74F8D493" w:rsidR="000F25D1" w:rsidRPr="000F25D1" w:rsidRDefault="000F25D1" w:rsidP="00D1393C">
            <w:pPr>
              <w:rPr>
                <w:rFonts w:ascii="Arial" w:hAnsi="Arial" w:cs="Arial"/>
                <w:b/>
              </w:rPr>
            </w:pPr>
            <w:r w:rsidRPr="000F25D1">
              <w:rPr>
                <w:rFonts w:ascii="Arial" w:hAnsi="Arial" w:cs="Arial"/>
                <w:b/>
              </w:rPr>
              <w:t>Veileder nr. 9 fra 2010</w:t>
            </w:r>
          </w:p>
        </w:tc>
        <w:tc>
          <w:tcPr>
            <w:tcW w:w="3680" w:type="dxa"/>
          </w:tcPr>
          <w:p w14:paraId="17D7B45F" w14:textId="74D595B3" w:rsidR="000F25D1" w:rsidRPr="000F25D1" w:rsidRDefault="000F25D1" w:rsidP="00D1393C">
            <w:pPr>
              <w:rPr>
                <w:rFonts w:ascii="Arial" w:hAnsi="Arial" w:cs="Arial"/>
                <w:b/>
              </w:rPr>
            </w:pPr>
            <w:r w:rsidRPr="000F25D1">
              <w:rPr>
                <w:rFonts w:ascii="Arial" w:hAnsi="Arial" w:cs="Arial"/>
                <w:b/>
              </w:rPr>
              <w:t>Kommentar</w:t>
            </w:r>
          </w:p>
        </w:tc>
      </w:tr>
      <w:tr w:rsidR="000F25D1" w:rsidRPr="000F25D1" w14:paraId="661CAFCE" w14:textId="77777777" w:rsidTr="000147E8">
        <w:tc>
          <w:tcPr>
            <w:tcW w:w="2547" w:type="dxa"/>
            <w:vAlign w:val="center"/>
          </w:tcPr>
          <w:p w14:paraId="38E974BF" w14:textId="6CB1706B" w:rsidR="000F25D1" w:rsidRPr="000F25D1" w:rsidRDefault="000F25D1" w:rsidP="000F25D1">
            <w:pPr>
              <w:rPr>
                <w:rFonts w:ascii="Arial" w:hAnsi="Arial" w:cs="Arial"/>
              </w:rPr>
            </w:pPr>
            <w:r w:rsidRPr="008E0EFB">
              <w:rPr>
                <w:rFonts w:ascii="Arial" w:hAnsi="Arial" w:cs="Arial"/>
              </w:rPr>
              <w:t>Problembeskrivelse</w:t>
            </w:r>
          </w:p>
        </w:tc>
        <w:tc>
          <w:tcPr>
            <w:tcW w:w="2835" w:type="dxa"/>
          </w:tcPr>
          <w:p w14:paraId="6F3089D1" w14:textId="7696E325" w:rsidR="000F25D1" w:rsidRPr="000F25D1" w:rsidRDefault="000F25D1" w:rsidP="000F25D1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34240D3D" w14:textId="6A611590" w:rsidR="000F25D1" w:rsidRPr="000F25D1" w:rsidRDefault="00B274D2" w:rsidP="00014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Dette er tatt inn som eget krav for å følge opp oppdatert utredningsinstruks og tydeliggjøre skillet mellom problem og </w:t>
            </w:r>
            <w:r w:rsidR="001B3F0C">
              <w:rPr>
                <w:rFonts w:ascii="Arial" w:hAnsi="Arial" w:cs="Arial"/>
              </w:rPr>
              <w:t>behov. Gjennomgang</w:t>
            </w:r>
            <w:r>
              <w:rPr>
                <w:rFonts w:ascii="Arial" w:hAnsi="Arial" w:cs="Arial"/>
              </w:rPr>
              <w:t xml:space="preserve"> av tidligere utredninger viste at beskrivelse av problemet i varierende grad ble inkludert i behovsanalysen og at enkelte utredninger manglet vurderinger av om det var reelle problemer. </w:t>
            </w:r>
          </w:p>
        </w:tc>
      </w:tr>
      <w:tr w:rsidR="000F25D1" w:rsidRPr="000F25D1" w14:paraId="6F18D224" w14:textId="77777777" w:rsidTr="00793E46">
        <w:tc>
          <w:tcPr>
            <w:tcW w:w="2547" w:type="dxa"/>
            <w:vAlign w:val="center"/>
          </w:tcPr>
          <w:p w14:paraId="75915916" w14:textId="6E32A597" w:rsidR="000F25D1" w:rsidRPr="000F25D1" w:rsidRDefault="000F25D1" w:rsidP="000F25D1">
            <w:pPr>
              <w:rPr>
                <w:rFonts w:ascii="Arial" w:hAnsi="Arial" w:cs="Arial"/>
              </w:rPr>
            </w:pPr>
            <w:r w:rsidRPr="008E0EFB">
              <w:rPr>
                <w:rFonts w:ascii="Arial" w:hAnsi="Arial" w:cs="Arial"/>
              </w:rPr>
              <w:t>Behovsanalyse</w:t>
            </w:r>
          </w:p>
        </w:tc>
        <w:tc>
          <w:tcPr>
            <w:tcW w:w="2835" w:type="dxa"/>
            <w:vAlign w:val="center"/>
          </w:tcPr>
          <w:p w14:paraId="6413865E" w14:textId="5C8542A4" w:rsidR="000F25D1" w:rsidRPr="000F25D1" w:rsidRDefault="00183D4C" w:rsidP="000F25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Behovsanalyse</w:t>
            </w:r>
          </w:p>
        </w:tc>
        <w:tc>
          <w:tcPr>
            <w:tcW w:w="3680" w:type="dxa"/>
          </w:tcPr>
          <w:p w14:paraId="5C16BB35" w14:textId="20FFBEDC" w:rsidR="000F25D1" w:rsidRPr="000F25D1" w:rsidRDefault="00B274D2" w:rsidP="000F25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Rendyrkes nå som en behovsanalyse.</w:t>
            </w:r>
          </w:p>
        </w:tc>
      </w:tr>
      <w:tr w:rsidR="000F25D1" w:rsidRPr="000F25D1" w14:paraId="13585BA2" w14:textId="77777777" w:rsidTr="00793E46">
        <w:tc>
          <w:tcPr>
            <w:tcW w:w="2547" w:type="dxa"/>
            <w:vAlign w:val="center"/>
          </w:tcPr>
          <w:p w14:paraId="2642B2E1" w14:textId="28078147" w:rsidR="000F25D1" w:rsidRPr="000F25D1" w:rsidRDefault="000F25D1" w:rsidP="000F25D1">
            <w:pPr>
              <w:rPr>
                <w:rFonts w:ascii="Arial" w:hAnsi="Arial" w:cs="Arial"/>
              </w:rPr>
            </w:pPr>
            <w:r w:rsidRPr="008E0EFB">
              <w:rPr>
                <w:rFonts w:ascii="Arial" w:hAnsi="Arial" w:cs="Arial"/>
              </w:rPr>
              <w:t>Strategiske mål</w:t>
            </w:r>
          </w:p>
        </w:tc>
        <w:tc>
          <w:tcPr>
            <w:tcW w:w="2835" w:type="dxa"/>
            <w:vAlign w:val="center"/>
          </w:tcPr>
          <w:p w14:paraId="67D528B1" w14:textId="75CB3B7C" w:rsidR="000F25D1" w:rsidRPr="000F25D1" w:rsidRDefault="00183D4C" w:rsidP="000F25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 overordnete strategidokumentet</w:t>
            </w:r>
          </w:p>
        </w:tc>
        <w:tc>
          <w:tcPr>
            <w:tcW w:w="3680" w:type="dxa"/>
          </w:tcPr>
          <w:p w14:paraId="77870F06" w14:textId="1F34270C" w:rsidR="000E5F95" w:rsidRPr="000F25D1" w:rsidRDefault="00B274D2" w:rsidP="00014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Innholdsmessig er det ikke endringer da kapittelet hele tiden har handlet om å fastsette mål for tiltaket. Overskriften er endret for å passe bedre til innholdet og </w:t>
            </w:r>
            <w:r w:rsidR="001B3F0C">
              <w:rPr>
                <w:rFonts w:ascii="Arial" w:hAnsi="Arial" w:cs="Arial"/>
              </w:rPr>
              <w:t>beskrivelse</w:t>
            </w:r>
            <w:r w:rsidR="00C12700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i R-108 er tilpasset til ny utredningsinstruks</w:t>
            </w:r>
            <w:r w:rsidR="000E5F95">
              <w:rPr>
                <w:rFonts w:ascii="Arial" w:hAnsi="Arial" w:cs="Arial"/>
              </w:rPr>
              <w:t>.</w:t>
            </w:r>
          </w:p>
        </w:tc>
      </w:tr>
      <w:tr w:rsidR="000F25D1" w:rsidRPr="000F25D1" w14:paraId="4ED142FA" w14:textId="77777777" w:rsidTr="00793E46">
        <w:tc>
          <w:tcPr>
            <w:tcW w:w="2547" w:type="dxa"/>
            <w:vAlign w:val="center"/>
          </w:tcPr>
          <w:p w14:paraId="3FC01278" w14:textId="21328604" w:rsidR="000F25D1" w:rsidRPr="000F25D1" w:rsidRDefault="000F25D1" w:rsidP="00D1393C">
            <w:pPr>
              <w:rPr>
                <w:rFonts w:ascii="Arial" w:hAnsi="Arial" w:cs="Arial"/>
              </w:rPr>
            </w:pPr>
            <w:r w:rsidRPr="008E0EFB">
              <w:rPr>
                <w:rFonts w:ascii="Arial" w:hAnsi="Arial" w:cs="Arial"/>
              </w:rPr>
              <w:t>Rammebetingelser for konseptvalg</w:t>
            </w:r>
          </w:p>
        </w:tc>
        <w:tc>
          <w:tcPr>
            <w:tcW w:w="2835" w:type="dxa"/>
            <w:vAlign w:val="center"/>
          </w:tcPr>
          <w:p w14:paraId="46915D69" w14:textId="0AFE0AD0" w:rsidR="000F25D1" w:rsidRPr="000F25D1" w:rsidRDefault="00183D4C" w:rsidP="00D13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Kravdokumentet</w:t>
            </w:r>
          </w:p>
        </w:tc>
        <w:tc>
          <w:tcPr>
            <w:tcW w:w="3680" w:type="dxa"/>
          </w:tcPr>
          <w:p w14:paraId="51B95A7D" w14:textId="3380DD74" w:rsidR="000F25D1" w:rsidRPr="000F25D1" w:rsidRDefault="00B274D2" w:rsidP="00D13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Gjennomgang av tidligere utredninger viste at begrepet krav ofte ble </w:t>
            </w:r>
            <w:r w:rsidR="001B3F0C">
              <w:rPr>
                <w:rFonts w:ascii="Arial" w:hAnsi="Arial" w:cs="Arial"/>
              </w:rPr>
              <w:t>misforstått</w:t>
            </w:r>
            <w:r>
              <w:rPr>
                <w:rFonts w:ascii="Arial" w:hAnsi="Arial" w:cs="Arial"/>
              </w:rPr>
              <w:t xml:space="preserve">, noe som kunne gi for mange og detaljerte føringer for mulige konsepter. </w:t>
            </w:r>
            <w:r w:rsidR="00C12700">
              <w:rPr>
                <w:rFonts w:ascii="Arial" w:hAnsi="Arial" w:cs="Arial"/>
              </w:rPr>
              <w:t>Dette er derfor nå endres til rammebetingelser</w:t>
            </w:r>
            <w:r>
              <w:rPr>
                <w:rFonts w:ascii="Arial" w:hAnsi="Arial" w:cs="Arial"/>
              </w:rPr>
              <w:t xml:space="preserve"> for at intensjonen med kapittelet skal komme bedre frem.</w:t>
            </w:r>
          </w:p>
        </w:tc>
      </w:tr>
      <w:tr w:rsidR="000F25D1" w:rsidRPr="000F25D1" w14:paraId="3B0A45EA" w14:textId="77777777" w:rsidTr="00793E46">
        <w:tc>
          <w:tcPr>
            <w:tcW w:w="2547" w:type="dxa"/>
            <w:vAlign w:val="center"/>
          </w:tcPr>
          <w:p w14:paraId="4D035B4B" w14:textId="45CDB4D2" w:rsidR="000F25D1" w:rsidRPr="000F25D1" w:rsidRDefault="000F25D1" w:rsidP="00D1393C">
            <w:pPr>
              <w:rPr>
                <w:rFonts w:ascii="Arial" w:hAnsi="Arial" w:cs="Arial"/>
              </w:rPr>
            </w:pPr>
            <w:r w:rsidRPr="008E0EFB">
              <w:rPr>
                <w:rFonts w:ascii="Arial" w:hAnsi="Arial" w:cs="Arial"/>
              </w:rPr>
              <w:t>Mulighetsstudie</w:t>
            </w:r>
          </w:p>
        </w:tc>
        <w:tc>
          <w:tcPr>
            <w:tcW w:w="2835" w:type="dxa"/>
            <w:vAlign w:val="center"/>
          </w:tcPr>
          <w:p w14:paraId="14D22A5C" w14:textId="71716A0A" w:rsidR="000F25D1" w:rsidRPr="000F25D1" w:rsidRDefault="000F25D1" w:rsidP="00D1393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5DAFC44A" w14:textId="64E263E3" w:rsidR="000F25D1" w:rsidRPr="000F25D1" w:rsidRDefault="00183D4C" w:rsidP="00D13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veileder nr</w:t>
            </w:r>
            <w:r w:rsidR="001B3F0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9 er det en kort omtale av </w:t>
            </w:r>
            <w:r w:rsidRPr="00183D4C">
              <w:rPr>
                <w:rFonts w:ascii="Arial" w:hAnsi="Arial" w:cs="Arial"/>
                <w:i/>
              </w:rPr>
              <w:t>Identifikasjon av alternativer</w:t>
            </w:r>
            <w:r>
              <w:rPr>
                <w:rFonts w:ascii="Arial" w:hAnsi="Arial" w:cs="Arial"/>
              </w:rPr>
              <w:t xml:space="preserve"> som en del av Alternativanalysen. </w:t>
            </w:r>
            <w:r w:rsidR="000E5F95">
              <w:rPr>
                <w:rFonts w:ascii="Arial" w:hAnsi="Arial" w:cs="Arial"/>
              </w:rPr>
              <w:t xml:space="preserve">Erfaringer viser behov for mer oppmerksomhet og </w:t>
            </w:r>
            <w:r w:rsidR="000E5F95">
              <w:rPr>
                <w:rFonts w:ascii="Arial" w:hAnsi="Arial" w:cs="Arial"/>
              </w:rPr>
              <w:lastRenderedPageBreak/>
              <w:t xml:space="preserve">bedre </w:t>
            </w:r>
            <w:r w:rsidR="001B3F0C">
              <w:rPr>
                <w:rFonts w:ascii="Arial" w:hAnsi="Arial" w:cs="Arial"/>
              </w:rPr>
              <w:t>veiledning</w:t>
            </w:r>
            <w:r w:rsidR="000E5F95">
              <w:rPr>
                <w:rFonts w:ascii="Arial" w:hAnsi="Arial" w:cs="Arial"/>
              </w:rPr>
              <w:t xml:space="preserve"> rundt hvordan man kan vurdere hele mulighetsrommet og tenke </w:t>
            </w:r>
            <w:r w:rsidR="001B3F0C">
              <w:rPr>
                <w:rFonts w:ascii="Arial" w:hAnsi="Arial" w:cs="Arial"/>
              </w:rPr>
              <w:t>alternative</w:t>
            </w:r>
            <w:r w:rsidR="000E5F95">
              <w:rPr>
                <w:rFonts w:ascii="Arial" w:hAnsi="Arial" w:cs="Arial"/>
              </w:rPr>
              <w:t xml:space="preserve"> konsepter.</w:t>
            </w:r>
          </w:p>
        </w:tc>
      </w:tr>
      <w:tr w:rsidR="000F25D1" w:rsidRPr="000F25D1" w14:paraId="2C576933" w14:textId="77777777" w:rsidTr="00793E46">
        <w:tc>
          <w:tcPr>
            <w:tcW w:w="2547" w:type="dxa"/>
            <w:vAlign w:val="center"/>
          </w:tcPr>
          <w:p w14:paraId="14290597" w14:textId="53A0A20D" w:rsidR="000F25D1" w:rsidRPr="000F25D1" w:rsidRDefault="000F25D1" w:rsidP="000F25D1">
            <w:pPr>
              <w:rPr>
                <w:rFonts w:ascii="Arial" w:hAnsi="Arial" w:cs="Arial"/>
              </w:rPr>
            </w:pPr>
            <w:r w:rsidRPr="008E0EFB">
              <w:rPr>
                <w:rFonts w:ascii="Arial" w:hAnsi="Arial" w:cs="Arial"/>
              </w:rPr>
              <w:lastRenderedPageBreak/>
              <w:t>Alternativanalysen</w:t>
            </w:r>
          </w:p>
        </w:tc>
        <w:tc>
          <w:tcPr>
            <w:tcW w:w="2835" w:type="dxa"/>
            <w:vAlign w:val="center"/>
          </w:tcPr>
          <w:p w14:paraId="04C834B2" w14:textId="07E8AF42" w:rsidR="000F25D1" w:rsidRPr="000F25D1" w:rsidRDefault="00183D4C" w:rsidP="000F25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Alternativanalysen</w:t>
            </w:r>
          </w:p>
        </w:tc>
        <w:tc>
          <w:tcPr>
            <w:tcW w:w="3680" w:type="dxa"/>
          </w:tcPr>
          <w:p w14:paraId="0F9A450B" w14:textId="71BC7D1C" w:rsidR="000F25D1" w:rsidRPr="000F25D1" w:rsidRDefault="00183D4C" w:rsidP="004C2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 å skille ut mulighetsstudien og føringer for forprosj</w:t>
            </w:r>
            <w:r w:rsidR="00B274D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ktfasen rendyrkes kapittelet som </w:t>
            </w:r>
            <w:r w:rsidR="004C2C38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 analyse av de aktuelle alternativene konseptene opp mot hverandre.</w:t>
            </w:r>
          </w:p>
        </w:tc>
      </w:tr>
      <w:tr w:rsidR="000F25D1" w:rsidRPr="000F25D1" w14:paraId="1978894F" w14:textId="77777777" w:rsidTr="000147E8">
        <w:tc>
          <w:tcPr>
            <w:tcW w:w="2547" w:type="dxa"/>
            <w:vAlign w:val="center"/>
          </w:tcPr>
          <w:p w14:paraId="27459C05" w14:textId="5475A297" w:rsidR="000F25D1" w:rsidRPr="000F25D1" w:rsidRDefault="000F25D1" w:rsidP="000F25D1">
            <w:pPr>
              <w:rPr>
                <w:rFonts w:ascii="Arial" w:hAnsi="Arial" w:cs="Arial"/>
              </w:rPr>
            </w:pPr>
            <w:r w:rsidRPr="008E0EFB">
              <w:rPr>
                <w:rFonts w:ascii="Arial" w:hAnsi="Arial" w:cs="Arial"/>
              </w:rPr>
              <w:t>Føringer for forprosjektfasen</w:t>
            </w:r>
          </w:p>
        </w:tc>
        <w:tc>
          <w:tcPr>
            <w:tcW w:w="2835" w:type="dxa"/>
          </w:tcPr>
          <w:p w14:paraId="347F3B04" w14:textId="77777777" w:rsidR="000F25D1" w:rsidRPr="000F25D1" w:rsidRDefault="000F25D1" w:rsidP="000F25D1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1007E212" w14:textId="43624945" w:rsidR="000F25D1" w:rsidRPr="000F25D1" w:rsidRDefault="00183D4C" w:rsidP="001B3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Føringer for forprosjektfasen er kort omtalt som en del av kapittelet </w:t>
            </w:r>
            <w:r w:rsidRPr="00183D4C">
              <w:rPr>
                <w:rFonts w:ascii="Arial" w:hAnsi="Arial" w:cs="Arial"/>
                <w:i/>
              </w:rPr>
              <w:t>Alternativanalysen</w:t>
            </w:r>
            <w:r>
              <w:rPr>
                <w:rFonts w:ascii="Arial" w:hAnsi="Arial" w:cs="Arial"/>
              </w:rPr>
              <w:t xml:space="preserve"> i </w:t>
            </w:r>
            <w:r w:rsidR="001B3F0C">
              <w:rPr>
                <w:rFonts w:ascii="Arial" w:hAnsi="Arial" w:cs="Arial"/>
              </w:rPr>
              <w:t>veileder</w:t>
            </w:r>
            <w:r>
              <w:rPr>
                <w:rFonts w:ascii="Arial" w:hAnsi="Arial" w:cs="Arial"/>
              </w:rPr>
              <w:t xml:space="preserve"> nr. 9. Ved å fremheve det som et eget punkt og </w:t>
            </w:r>
            <w:r w:rsidR="001B3F0C">
              <w:rPr>
                <w:rFonts w:ascii="Arial" w:hAnsi="Arial" w:cs="Arial"/>
              </w:rPr>
              <w:t>tydeliggjøre</w:t>
            </w:r>
            <w:r>
              <w:rPr>
                <w:rFonts w:ascii="Arial" w:hAnsi="Arial" w:cs="Arial"/>
              </w:rPr>
              <w:t xml:space="preserve"> forventningene til dette punktet er det et mål at det brukes mer ressurser på å planlegge for en vellykket gjennomføring i neste fase. Erfaringer fra tidligere prosjekter viser behov for økt </w:t>
            </w:r>
            <w:r w:rsidR="001B3F0C">
              <w:rPr>
                <w:rFonts w:ascii="Arial" w:hAnsi="Arial" w:cs="Arial"/>
              </w:rPr>
              <w:t>oppmerksomhet</w:t>
            </w:r>
            <w:r>
              <w:rPr>
                <w:rFonts w:ascii="Arial" w:hAnsi="Arial" w:cs="Arial"/>
              </w:rPr>
              <w:t xml:space="preserve"> om overgangen fra konseptfasen og til forprosjektering.</w:t>
            </w:r>
          </w:p>
        </w:tc>
      </w:tr>
    </w:tbl>
    <w:p w14:paraId="07434FE1" w14:textId="3DAB2973" w:rsidR="008E0EFB" w:rsidRDefault="008E0EFB" w:rsidP="00D1393C"/>
    <w:p w14:paraId="6A61EA81" w14:textId="2FF860E9" w:rsidR="000E5F95" w:rsidRPr="000147E8" w:rsidRDefault="000E5F95" w:rsidP="00D1393C">
      <w:pPr>
        <w:rPr>
          <w:rFonts w:ascii="Arial" w:hAnsi="Arial" w:cs="Arial"/>
          <w:b/>
        </w:rPr>
      </w:pPr>
      <w:r w:rsidRPr="000147E8">
        <w:rPr>
          <w:rFonts w:ascii="Arial" w:hAnsi="Arial" w:cs="Arial"/>
          <w:b/>
        </w:rPr>
        <w:t xml:space="preserve">Tilgjengelig </w:t>
      </w:r>
      <w:r w:rsidR="001B3F0C" w:rsidRPr="000147E8">
        <w:rPr>
          <w:rFonts w:ascii="Arial" w:hAnsi="Arial" w:cs="Arial"/>
          <w:b/>
        </w:rPr>
        <w:t>veiledningsmateriell</w:t>
      </w:r>
    </w:p>
    <w:p w14:paraId="4C6A2A84" w14:textId="1FF51AD5" w:rsidR="000E5F95" w:rsidRPr="000147E8" w:rsidRDefault="004063D8" w:rsidP="00D1393C">
      <w:pPr>
        <w:rPr>
          <w:rFonts w:ascii="Arial" w:hAnsi="Arial" w:cs="Arial"/>
        </w:rPr>
      </w:pPr>
      <w:hyperlink r:id="rId12" w:history="1">
        <w:r w:rsidR="000E5F95" w:rsidRPr="000147E8">
          <w:rPr>
            <w:rStyle w:val="Hyperkobling"/>
            <w:rFonts w:ascii="Arial" w:hAnsi="Arial" w:cs="Arial"/>
          </w:rPr>
          <w:t>Veileder til Utredningsinstruksen</w:t>
        </w:r>
      </w:hyperlink>
      <w:r w:rsidR="00A84B07" w:rsidRPr="000147E8">
        <w:rPr>
          <w:rFonts w:ascii="Arial" w:hAnsi="Arial" w:cs="Arial"/>
        </w:rPr>
        <w:t xml:space="preserve"> (DFØ 2018)</w:t>
      </w:r>
    </w:p>
    <w:p w14:paraId="48508292" w14:textId="09019C0C" w:rsidR="000E5F95" w:rsidRPr="000147E8" w:rsidRDefault="004063D8" w:rsidP="00D1393C">
      <w:pPr>
        <w:rPr>
          <w:rFonts w:ascii="Arial" w:hAnsi="Arial" w:cs="Arial"/>
        </w:rPr>
      </w:pPr>
      <w:hyperlink r:id="rId13" w:history="1">
        <w:r w:rsidR="000E5F95" w:rsidRPr="000147E8">
          <w:rPr>
            <w:rStyle w:val="Hyperkobling"/>
            <w:rFonts w:ascii="Arial" w:hAnsi="Arial" w:cs="Arial"/>
          </w:rPr>
          <w:t>Veileder i</w:t>
        </w:r>
        <w:r w:rsidR="00A84B07" w:rsidRPr="000147E8">
          <w:rPr>
            <w:rStyle w:val="Hyperkobling"/>
            <w:rFonts w:ascii="Arial" w:hAnsi="Arial" w:cs="Arial"/>
          </w:rPr>
          <w:t xml:space="preserve"> samfunnsøkonomisk analyse</w:t>
        </w:r>
      </w:hyperlink>
      <w:r w:rsidR="00A84B07" w:rsidRPr="000147E8">
        <w:rPr>
          <w:rFonts w:ascii="Arial" w:hAnsi="Arial" w:cs="Arial"/>
        </w:rPr>
        <w:t xml:space="preserve"> (DFØ 2018)</w:t>
      </w:r>
    </w:p>
    <w:p w14:paraId="34B63BAF" w14:textId="5F18F181" w:rsidR="000E5F95" w:rsidRPr="000147E8" w:rsidRDefault="004063D8" w:rsidP="00D1393C">
      <w:pPr>
        <w:rPr>
          <w:rFonts w:ascii="Arial" w:hAnsi="Arial" w:cs="Arial"/>
        </w:rPr>
      </w:pPr>
      <w:hyperlink r:id="rId14" w:history="1">
        <w:r w:rsidR="000E5F95" w:rsidRPr="000147E8">
          <w:rPr>
            <w:rStyle w:val="Hyperkobling"/>
            <w:rFonts w:ascii="Arial" w:hAnsi="Arial" w:cs="Arial"/>
          </w:rPr>
          <w:t xml:space="preserve">Veileder for </w:t>
        </w:r>
        <w:r w:rsidR="001B3F0C" w:rsidRPr="000147E8">
          <w:rPr>
            <w:rStyle w:val="Hyperkobling"/>
            <w:rFonts w:ascii="Arial" w:hAnsi="Arial" w:cs="Arial"/>
          </w:rPr>
          <w:t>digitaliseringsprosjekter</w:t>
        </w:r>
        <w:r w:rsidR="000E5F95" w:rsidRPr="000147E8">
          <w:rPr>
            <w:rStyle w:val="Hyperkobling"/>
            <w:rFonts w:ascii="Arial" w:hAnsi="Arial" w:cs="Arial"/>
          </w:rPr>
          <w:t xml:space="preserve"> i statens prosjektmodell</w:t>
        </w:r>
      </w:hyperlink>
      <w:r w:rsidR="000E5F95" w:rsidRPr="000147E8">
        <w:rPr>
          <w:rFonts w:ascii="Arial" w:hAnsi="Arial" w:cs="Arial"/>
        </w:rPr>
        <w:t xml:space="preserve"> (Finansdepartementet, 2020)</w:t>
      </w:r>
    </w:p>
    <w:p w14:paraId="2554A63A" w14:textId="258EEA36" w:rsidR="000E5F95" w:rsidRPr="000147E8" w:rsidRDefault="004063D8" w:rsidP="00D1393C">
      <w:pPr>
        <w:rPr>
          <w:rFonts w:ascii="Arial" w:hAnsi="Arial" w:cs="Arial"/>
        </w:rPr>
      </w:pPr>
      <w:hyperlink r:id="rId15" w:history="1">
        <w:r w:rsidR="000E5F95" w:rsidRPr="000147E8">
          <w:rPr>
            <w:rStyle w:val="Hyperkobling"/>
            <w:rFonts w:ascii="Arial" w:hAnsi="Arial" w:cs="Arial"/>
          </w:rPr>
          <w:t>Veileder for Utarbeidelse av KVU/KL dokumenter</w:t>
        </w:r>
      </w:hyperlink>
      <w:r w:rsidR="000E5F95" w:rsidRPr="000147E8">
        <w:rPr>
          <w:rFonts w:ascii="Arial" w:hAnsi="Arial" w:cs="Arial"/>
        </w:rPr>
        <w:t xml:space="preserve"> (Finansdepartementet, 2010)</w:t>
      </w:r>
    </w:p>
    <w:p w14:paraId="727C4CF3" w14:textId="75C82115" w:rsidR="000E5F95" w:rsidRPr="000147E8" w:rsidRDefault="004063D8" w:rsidP="00D1393C">
      <w:pPr>
        <w:rPr>
          <w:rFonts w:ascii="Arial" w:hAnsi="Arial" w:cs="Arial"/>
        </w:rPr>
      </w:pPr>
      <w:hyperlink r:id="rId16" w:history="1">
        <w:r w:rsidR="000E5F95" w:rsidRPr="000147E8">
          <w:rPr>
            <w:rStyle w:val="Hyperkobling"/>
            <w:rFonts w:ascii="Arial" w:hAnsi="Arial" w:cs="Arial"/>
          </w:rPr>
          <w:t>Veileder Konseptvalg og detaljeringsgrad</w:t>
        </w:r>
      </w:hyperlink>
      <w:r w:rsidR="000E5F95" w:rsidRPr="000147E8">
        <w:rPr>
          <w:rFonts w:ascii="Arial" w:hAnsi="Arial" w:cs="Arial"/>
        </w:rPr>
        <w:t xml:space="preserve"> (Finansdepartementet 2010)</w:t>
      </w:r>
    </w:p>
    <w:p w14:paraId="42F75AF9" w14:textId="211B33F6" w:rsidR="000E5F95" w:rsidRPr="000147E8" w:rsidRDefault="004063D8" w:rsidP="00D1393C">
      <w:pPr>
        <w:rPr>
          <w:rFonts w:ascii="Arial" w:hAnsi="Arial" w:cs="Arial"/>
        </w:rPr>
      </w:pPr>
      <w:hyperlink r:id="rId17" w:history="1">
        <w:r w:rsidR="000E5F95" w:rsidRPr="000147E8">
          <w:rPr>
            <w:rStyle w:val="Hyperkobling"/>
            <w:rFonts w:ascii="Arial" w:hAnsi="Arial" w:cs="Arial"/>
          </w:rPr>
          <w:t>Veil</w:t>
        </w:r>
        <w:r w:rsidR="00A84B07" w:rsidRPr="000147E8">
          <w:rPr>
            <w:rStyle w:val="Hyperkobling"/>
            <w:rFonts w:ascii="Arial" w:hAnsi="Arial" w:cs="Arial"/>
          </w:rPr>
          <w:t>eder Målstruktur og målformulering</w:t>
        </w:r>
      </w:hyperlink>
      <w:r w:rsidR="00A84B07" w:rsidRPr="000147E8">
        <w:rPr>
          <w:rFonts w:ascii="Arial" w:hAnsi="Arial" w:cs="Arial"/>
        </w:rPr>
        <w:t xml:space="preserve"> (Finansdepartementet 2010)</w:t>
      </w:r>
    </w:p>
    <w:p w14:paraId="556474DB" w14:textId="77777777" w:rsidR="00A84B07" w:rsidRPr="000147E8" w:rsidRDefault="00A84B07" w:rsidP="00D1393C">
      <w:pPr>
        <w:rPr>
          <w:rFonts w:ascii="Arial" w:hAnsi="Arial" w:cs="Arial"/>
        </w:rPr>
      </w:pPr>
    </w:p>
    <w:p w14:paraId="2BA5372A" w14:textId="3E663FA0" w:rsidR="00A84B07" w:rsidRPr="000147E8" w:rsidRDefault="00A84B07" w:rsidP="00D1393C">
      <w:pPr>
        <w:rPr>
          <w:rFonts w:ascii="Arial" w:hAnsi="Arial" w:cs="Arial"/>
        </w:rPr>
      </w:pPr>
      <w:r w:rsidRPr="000147E8">
        <w:rPr>
          <w:rFonts w:ascii="Arial" w:hAnsi="Arial" w:cs="Arial"/>
        </w:rPr>
        <w:t xml:space="preserve">Alle temahefter fra Concept-programmet finnes </w:t>
      </w:r>
      <w:hyperlink r:id="rId18" w:history="1">
        <w:r w:rsidRPr="000147E8">
          <w:rPr>
            <w:rStyle w:val="Hyperkobling"/>
            <w:rFonts w:ascii="Arial" w:hAnsi="Arial" w:cs="Arial"/>
          </w:rPr>
          <w:t>her</w:t>
        </w:r>
      </w:hyperlink>
      <w:r w:rsidRPr="000147E8">
        <w:rPr>
          <w:rFonts w:ascii="Arial" w:hAnsi="Arial" w:cs="Arial"/>
        </w:rPr>
        <w:t>. De mest relevante for KVU arbeidet er:</w:t>
      </w:r>
    </w:p>
    <w:p w14:paraId="03BC76AE" w14:textId="39E7026B" w:rsidR="00A84B07" w:rsidRPr="000147E8" w:rsidRDefault="004063D8" w:rsidP="00D1393C">
      <w:pPr>
        <w:rPr>
          <w:rFonts w:ascii="Arial" w:hAnsi="Arial" w:cs="Arial"/>
          <w:color w:val="6B6B6B"/>
        </w:rPr>
      </w:pPr>
      <w:hyperlink r:id="rId19" w:history="1">
        <w:r w:rsidR="00A84B07" w:rsidRPr="000147E8">
          <w:rPr>
            <w:rFonts w:ascii="Arial" w:hAnsi="Arial" w:cs="Arial"/>
            <w:bCs/>
            <w:color w:val="0B5FFF"/>
          </w:rPr>
          <w:t>Mulighetsrommet. Utgangspunktet for et godt konseptvalg</w:t>
        </w:r>
      </w:hyperlink>
    </w:p>
    <w:p w14:paraId="6E54858E" w14:textId="305A2D0A" w:rsidR="00A84B07" w:rsidRPr="000147E8" w:rsidRDefault="004063D8" w:rsidP="00D1393C">
      <w:pPr>
        <w:rPr>
          <w:rFonts w:ascii="Arial" w:hAnsi="Arial" w:cs="Arial"/>
          <w:color w:val="6B6B6B"/>
        </w:rPr>
      </w:pPr>
      <w:hyperlink r:id="rId20" w:history="1">
        <w:r w:rsidR="00A84B07" w:rsidRPr="000147E8">
          <w:rPr>
            <w:rFonts w:ascii="Arial" w:hAnsi="Arial" w:cs="Arial"/>
            <w:bCs/>
            <w:color w:val="0B5FFF"/>
          </w:rPr>
          <w:t>I riktig retning. Prosjekters mål og målstruktur</w:t>
        </w:r>
      </w:hyperlink>
    </w:p>
    <w:p w14:paraId="0E7EB672" w14:textId="622284F5" w:rsidR="00A84B07" w:rsidRPr="000147E8" w:rsidRDefault="004063D8" w:rsidP="00D1393C">
      <w:pPr>
        <w:rPr>
          <w:rFonts w:ascii="Arial" w:hAnsi="Arial" w:cs="Arial"/>
          <w:color w:val="6B6B6B"/>
        </w:rPr>
      </w:pPr>
      <w:hyperlink r:id="rId21" w:history="1">
        <w:r w:rsidR="00A84B07" w:rsidRPr="000147E8">
          <w:rPr>
            <w:rFonts w:ascii="Arial" w:hAnsi="Arial" w:cs="Arial"/>
            <w:bCs/>
            <w:color w:val="0B5FFF"/>
          </w:rPr>
          <w:t>Fremsynsmetoder</w:t>
        </w:r>
      </w:hyperlink>
    </w:p>
    <w:p w14:paraId="6153933A" w14:textId="76792DF4" w:rsidR="00A84B07" w:rsidRPr="000147E8" w:rsidRDefault="004063D8" w:rsidP="00D1393C">
      <w:pPr>
        <w:rPr>
          <w:rFonts w:ascii="Arial" w:hAnsi="Arial" w:cs="Arial"/>
        </w:rPr>
      </w:pPr>
      <w:hyperlink r:id="rId22" w:history="1">
        <w:r w:rsidR="00A84B07" w:rsidRPr="000147E8">
          <w:rPr>
            <w:rFonts w:ascii="Arial" w:hAnsi="Arial" w:cs="Arial"/>
            <w:bCs/>
            <w:color w:val="0B5FFF"/>
          </w:rPr>
          <w:t>Prosess for kostnadsestimering under usikkerhet</w:t>
        </w:r>
      </w:hyperlink>
    </w:p>
    <w:p w14:paraId="013D20AD" w14:textId="77777777" w:rsidR="00A84B07" w:rsidRDefault="00A84B07" w:rsidP="00D1393C"/>
    <w:p w14:paraId="4FAC8567" w14:textId="20E88A65" w:rsidR="00A84B07" w:rsidRPr="000147E8" w:rsidRDefault="000147E8" w:rsidP="00D1393C">
      <w:pPr>
        <w:rPr>
          <w:rFonts w:ascii="Arial" w:hAnsi="Arial" w:cs="Arial"/>
        </w:rPr>
      </w:pPr>
      <w:r w:rsidRPr="000147E8">
        <w:rPr>
          <w:rFonts w:ascii="Arial" w:hAnsi="Arial" w:cs="Arial"/>
        </w:rPr>
        <w:t>Relevante rapporter som beskriver erfaringer fra andre prosjekter</w:t>
      </w:r>
    </w:p>
    <w:p w14:paraId="141215D8" w14:textId="198E491C" w:rsidR="000147E8" w:rsidRPr="000147E8" w:rsidRDefault="004063D8" w:rsidP="00D1393C">
      <w:pPr>
        <w:rPr>
          <w:rFonts w:ascii="Arial" w:hAnsi="Arial" w:cs="Arial"/>
          <w:color w:val="6B6B6B"/>
        </w:rPr>
      </w:pPr>
      <w:hyperlink r:id="rId23" w:history="1">
        <w:r w:rsidR="000147E8" w:rsidRPr="000147E8">
          <w:rPr>
            <w:rFonts w:ascii="Arial" w:hAnsi="Arial" w:cs="Arial"/>
            <w:color w:val="0B5FFF"/>
          </w:rPr>
          <w:t>God praksis i arbeidet med konseptvalgutredninger</w:t>
        </w:r>
      </w:hyperlink>
    </w:p>
    <w:p w14:paraId="0297755E" w14:textId="7BA88C81" w:rsidR="000147E8" w:rsidRPr="000147E8" w:rsidRDefault="004063D8" w:rsidP="00D1393C">
      <w:pPr>
        <w:rPr>
          <w:rFonts w:ascii="Arial" w:hAnsi="Arial" w:cs="Arial"/>
          <w:color w:val="6B6B6B"/>
        </w:rPr>
      </w:pPr>
      <w:hyperlink r:id="rId24" w:history="1">
        <w:r w:rsidR="000147E8" w:rsidRPr="000147E8">
          <w:rPr>
            <w:rFonts w:ascii="Arial" w:hAnsi="Arial" w:cs="Arial"/>
            <w:color w:val="0B5FFF"/>
          </w:rPr>
          <w:t>Tidlige erfaringer med innføring av endringslogg i statlige prosjekter</w:t>
        </w:r>
      </w:hyperlink>
    </w:p>
    <w:p w14:paraId="239FEE4D" w14:textId="77777777" w:rsidR="000E5F95" w:rsidRPr="00D1393C" w:rsidRDefault="000E5F95" w:rsidP="00D1393C"/>
    <w:sectPr w:rsidR="000E5F95" w:rsidRPr="00D1393C" w:rsidSect="00793E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6C4D90"/>
    <w:lvl w:ilvl="0">
      <w:numFmt w:val="bullet"/>
      <w:lvlText w:val="*"/>
      <w:lvlJc w:val="left"/>
    </w:lvl>
  </w:abstractNum>
  <w:abstractNum w:abstractNumId="1" w15:restartNumberingAfterBreak="0">
    <w:nsid w:val="01A668DA"/>
    <w:multiLevelType w:val="hybridMultilevel"/>
    <w:tmpl w:val="7CDC6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D2CD9"/>
    <w:multiLevelType w:val="hybridMultilevel"/>
    <w:tmpl w:val="32EE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8741F"/>
    <w:multiLevelType w:val="hybridMultilevel"/>
    <w:tmpl w:val="49663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6725C"/>
    <w:multiLevelType w:val="hybridMultilevel"/>
    <w:tmpl w:val="E52C5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D77D6"/>
    <w:multiLevelType w:val="hybridMultilevel"/>
    <w:tmpl w:val="6254B33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7A2485C"/>
    <w:multiLevelType w:val="hybridMultilevel"/>
    <w:tmpl w:val="52060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A4"/>
    <w:rsid w:val="000147E8"/>
    <w:rsid w:val="000E5F95"/>
    <w:rsid w:val="000F25D1"/>
    <w:rsid w:val="00126B38"/>
    <w:rsid w:val="00183D4C"/>
    <w:rsid w:val="001B3F0C"/>
    <w:rsid w:val="0027166A"/>
    <w:rsid w:val="003C25D3"/>
    <w:rsid w:val="004063D8"/>
    <w:rsid w:val="004C2C38"/>
    <w:rsid w:val="00586AA9"/>
    <w:rsid w:val="005F0793"/>
    <w:rsid w:val="00646B06"/>
    <w:rsid w:val="00702263"/>
    <w:rsid w:val="007233B5"/>
    <w:rsid w:val="00793E46"/>
    <w:rsid w:val="007C2AD4"/>
    <w:rsid w:val="00821C72"/>
    <w:rsid w:val="008E0EFB"/>
    <w:rsid w:val="008F2EE1"/>
    <w:rsid w:val="009571B3"/>
    <w:rsid w:val="009B69B6"/>
    <w:rsid w:val="009E0C9C"/>
    <w:rsid w:val="00A84B07"/>
    <w:rsid w:val="00B274D2"/>
    <w:rsid w:val="00C12700"/>
    <w:rsid w:val="00C610A4"/>
    <w:rsid w:val="00CF3C42"/>
    <w:rsid w:val="00D1393C"/>
    <w:rsid w:val="00D24D7A"/>
    <w:rsid w:val="00DB0CB8"/>
    <w:rsid w:val="00E277BA"/>
    <w:rsid w:val="00E622BB"/>
    <w:rsid w:val="00EB04B3"/>
    <w:rsid w:val="00F107DA"/>
    <w:rsid w:val="00F41713"/>
    <w:rsid w:val="00F8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A7A8"/>
  <w15:chartTrackingRefBased/>
  <w15:docId w15:val="{ABD514F1-4E4B-48A8-B935-827A61FD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610A4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C610A4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D1393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1393C"/>
    <w:rPr>
      <w:rFonts w:eastAsiaTheme="minorEastAsia"/>
      <w:color w:val="5A5A5A" w:themeColor="text1" w:themeTint="A5"/>
      <w:spacing w:val="15"/>
      <w:lang w:val="nb-NO"/>
    </w:rPr>
  </w:style>
  <w:style w:type="table" w:styleId="Tabellrutenett">
    <w:name w:val="Table Grid"/>
    <w:basedOn w:val="Vanligtabell"/>
    <w:uiPriority w:val="39"/>
    <w:rsid w:val="00F1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4063D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063D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063D8"/>
    <w:rPr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063D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063D8"/>
    <w:rPr>
      <w:b/>
      <w:bCs/>
      <w:sz w:val="20"/>
      <w:szCs w:val="2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6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63D8"/>
    <w:rPr>
      <w:rFonts w:ascii="Segoe UI" w:hAnsi="Segoe UI" w:cs="Segoe UI"/>
      <w:sz w:val="18"/>
      <w:szCs w:val="18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7022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fo.no/fagomrader/utredning/samfunnsokonomisk-analyse" TargetMode="External"/><Relationship Id="rId18" Type="http://schemas.openxmlformats.org/officeDocument/2006/relationships/hyperlink" Target="https://www.ntnu.no/concept/concept-temahefter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tnu.no/documents/1261860271/1262010610/CONCEPT_tema_nr9+Komplett+webversjon.pdf/022216d4-c222-4fd6-9818-6334c4ec7bcb?version=1.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fo.no/publikasjoner/veileder-til-utredningsinstruksen" TargetMode="External"/><Relationship Id="rId17" Type="http://schemas.openxmlformats.org/officeDocument/2006/relationships/hyperlink" Target="https://www.ntnu.no/documents/1261860271/1263838555/Veileder%20nr%2010%20M%C3%A5lstruktur%20og%20m%C3%A5loppn%C3%A5else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tnu.no/documents/1261860271/1263838555/Veileder%20nr%2011%20Konseptvalg%20og%20detaljering.pdf" TargetMode="External"/><Relationship Id="rId20" Type="http://schemas.openxmlformats.org/officeDocument/2006/relationships/hyperlink" Target="https://www.ntnu.no/documents/1261860271/1262010610/CONCEPT_temahefte_nr5_2014.pdf/3d9d6c8f-b072-4ed5-a60d-049f08589a4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gjeringen.no/globalassets/upload/fin/vedlegg/okstyring/rundskriv/faste/r_109_2014.pdf" TargetMode="External"/><Relationship Id="rId24" Type="http://schemas.openxmlformats.org/officeDocument/2006/relationships/hyperlink" Target="https://www.ntnu.no/documents/1261860271/1262021752/Arbeidsrapport+2020-2+Tidlige+erfaringer+med+innf%C3%B8ring+av+endringslogg+i+statlige+prosjekter.pdf/17b950b5-b128-ee65-a9de-51812adbcd5d?t=1583143761931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tnu.no/documents/1261860271/1263838555/Veileder%20nr%209%20Utarbeidelse%20av%20KVU%20dokumenter.pdf" TargetMode="External"/><Relationship Id="rId23" Type="http://schemas.openxmlformats.org/officeDocument/2006/relationships/hyperlink" Target="https://www.ntnu.no/documents/1261860271/1262021752/1249+Gode+KVUer+-+Rapport_FINAL3.pdf/fce67f46-d91e-4a33-9b57-ae151971b666" TargetMode="External"/><Relationship Id="rId10" Type="http://schemas.openxmlformats.org/officeDocument/2006/relationships/hyperlink" Target="https://www.regjeringen.no/globalassets/upload/fin/vedlegg/okstyring/rundskriv/faste/r_108_2019.pdf" TargetMode="External"/><Relationship Id="rId19" Type="http://schemas.openxmlformats.org/officeDocument/2006/relationships/hyperlink" Target="https://www.ntnu.no/documents/1261860271/1262010610/CONCEPT_temahefte_nr7_hele_rapporten.pdf/22ffeeed-c01a-4ef5-ae46-ccc4ec4b664c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regjeringen.no/no/dokumenter/instruks-om-utredning-av-statlige-tiltak-utredningsinstruksen/id2476518/" TargetMode="External"/><Relationship Id="rId14" Type="http://schemas.openxmlformats.org/officeDocument/2006/relationships/hyperlink" Target="https://www.regjeringen.no/contentassets/b3bfe59c8ac84af9b303b810b8065898/veileder_digitaliseringsprosjekter.pdf" TargetMode="External"/><Relationship Id="rId22" Type="http://schemas.openxmlformats.org/officeDocument/2006/relationships/hyperlink" Target="https://www.ntnu.no/documents/1261860271/1262010610/Temahefte+-+Prosess+for+kostnadsestimering+under+usikkerhet+v6_TRYKK_2.pdf/2f0af938-88aa-41ad-9984-fbc77afb233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DE958E6DD59744AD0F508E69FFA200" ma:contentTypeVersion="9" ma:contentTypeDescription="Opprett et nytt dokument." ma:contentTypeScope="" ma:versionID="e784f182141f76e6cf33608ee6b82e22">
  <xsd:schema xmlns:xsd="http://www.w3.org/2001/XMLSchema" xmlns:xs="http://www.w3.org/2001/XMLSchema" xmlns:p="http://schemas.microsoft.com/office/2006/metadata/properties" xmlns:ns2="96c8cb33-150c-4dde-8028-d1fa8f51cde0" xmlns:ns3="63ecbd3b-b07c-4ac2-86c8-85f6b908bfa2" targetNamespace="http://schemas.microsoft.com/office/2006/metadata/properties" ma:root="true" ma:fieldsID="7cb918eedd8f350244da7700ffc7ea2c" ns2:_="" ns3:_="">
    <xsd:import namespace="96c8cb33-150c-4dde-8028-d1fa8f51cde0"/>
    <xsd:import namespace="63ecbd3b-b07c-4ac2-86c8-85f6b908bfa2"/>
    <xsd:element name="properties">
      <xsd:complexType>
        <xsd:sequence>
          <xsd:element name="documentManagement">
            <xsd:complexType>
              <xsd:all>
                <xsd:element ref="ns2:_x00c5_r" minOccurs="0"/>
                <xsd:element ref="ns2:Kategori" minOccurs="0"/>
                <xsd:element ref="ns2:Projekt_x0020_type" minOccurs="0"/>
                <xsd:element ref="ns2:Dok_x002e__x0020_type" minOccurs="0"/>
                <xsd:element ref="ns2:Dep" minOccurs="0"/>
                <xsd:element ref="ns2:Rapportn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8cb33-150c-4dde-8028-d1fa8f51cde0" elementFormDefault="qualified">
    <xsd:import namespace="http://schemas.microsoft.com/office/2006/documentManagement/types"/>
    <xsd:import namespace="http://schemas.microsoft.com/office/infopath/2007/PartnerControls"/>
    <xsd:element name="_x00c5_r" ma:index="1" nillable="true" ma:displayName="År" ma:format="Dropdown" ma:internalName="_x00c5_r" ma:readOnly="false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Kategori" ma:index="2" nillable="true" ma:displayName="Kategori" ma:format="Dropdown" ma:internalName="Kategori" ma:readOnly="false">
      <xsd:simpleType>
        <xsd:restriction base="dms:Choice">
          <xsd:enumeration value="Samferdsel"/>
          <xsd:enumeration value="Bygg"/>
          <xsd:enumeration value="Forsvar"/>
          <xsd:enumeration value="IKT-Teknologi"/>
          <xsd:enumeration value="Annet"/>
        </xsd:restriction>
      </xsd:simpleType>
    </xsd:element>
    <xsd:element name="Projekt_x0020_type" ma:index="3" nillable="true" ma:displayName="KS type" ma:format="Dropdown" ma:internalName="Projekt_x0020_type" ma:readOnly="false">
      <xsd:simpleType>
        <xsd:restriction base="dms:Choice">
          <xsd:enumeration value="KS1"/>
          <xsd:enumeration value="KS2"/>
          <xsd:enumeration value="Annet"/>
        </xsd:restriction>
      </xsd:simpleType>
    </xsd:element>
    <xsd:element name="Dok_x002e__x0020_type" ma:index="4" nillable="true" ma:displayName="Dok. type" ma:format="Dropdown" ma:internalName="Dok_x002e__x0020_type" ma:readOnly="false">
      <xsd:simpleType>
        <xsd:restriction base="dms:Choice">
          <xsd:enumeration value="Rapport"/>
          <xsd:enumeration value="Presentasjon"/>
        </xsd:restriction>
      </xsd:simpleType>
    </xsd:element>
    <xsd:element name="Dep" ma:index="5" nillable="true" ma:displayName="Dep" ma:internalName="Dep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D"/>
                    <xsd:enumeration value="AD"/>
                    <xsd:enumeration value="AID"/>
                    <xsd:enumeration value="BLD"/>
                    <xsd:enumeration value="FAD"/>
                    <xsd:enumeration value="FD"/>
                    <xsd:enumeration value="FIN"/>
                    <xsd:enumeration value="FKD"/>
                    <xsd:enumeration value="HOD"/>
                    <xsd:enumeration value="JD"/>
                    <xsd:enumeration value="KD"/>
                    <xsd:enumeration value="KLD"/>
                    <xsd:enumeration value="KMD"/>
                    <xsd:enumeration value="KUD"/>
                    <xsd:enumeration value="KKD"/>
                    <xsd:enumeration value="LMD"/>
                    <xsd:enumeration value="NFD"/>
                    <xsd:enumeration value="NHD"/>
                    <xsd:enumeration value="OED"/>
                    <xsd:enumeration value="SD"/>
                    <xsd:enumeration value="UD"/>
                    <xsd:enumeration value="YMS"/>
                  </xsd:restriction>
                </xsd:simpleType>
              </xsd:element>
            </xsd:sequence>
          </xsd:extension>
        </xsd:complexContent>
      </xsd:complexType>
    </xsd:element>
    <xsd:element name="Rapportnr" ma:index="6" nillable="true" ma:displayName="Rapportnr" ma:internalName="Rapportnr" ma:readOnly="false">
      <xsd:simpleType>
        <xsd:restriction base="dms:Text">
          <xsd:maxLength value="1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cbd3b-b07c-4ac2-86c8-85f6b908bfa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nholdstype"/>
        <xsd:element ref="dc:title" minOccurs="0" maxOccurs="1" ma:index="7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96c8cb33-150c-4dde-8028-d1fa8f51cde0" xsi:nil="true"/>
    <Dep xmlns="96c8cb33-150c-4dde-8028-d1fa8f51cde0"/>
    <Projekt_x0020_type xmlns="96c8cb33-150c-4dde-8028-d1fa8f51cde0" xsi:nil="true"/>
    <Rapportnr xmlns="96c8cb33-150c-4dde-8028-d1fa8f51cde0" xsi:nil="true"/>
    <Kategori xmlns="96c8cb33-150c-4dde-8028-d1fa8f51cde0" xsi:nil="true"/>
    <Dok_x002e__x0020_type xmlns="96c8cb33-150c-4dde-8028-d1fa8f51cde0" xsi:nil="true"/>
  </documentManagement>
</p:properties>
</file>

<file path=customXml/itemProps1.xml><?xml version="1.0" encoding="utf-8"?>
<ds:datastoreItem xmlns:ds="http://schemas.openxmlformats.org/officeDocument/2006/customXml" ds:itemID="{CADA922B-19A5-4C85-9CCB-CE7833ED6D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79F665-1AD9-49C6-B394-99ACBCECF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8cb33-150c-4dde-8028-d1fa8f51cde0"/>
    <ds:schemaRef ds:uri="63ecbd3b-b07c-4ac2-86c8-85f6b908b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CC12AB-D558-47D5-ACD0-FFCD6085B2E5}">
  <ds:schemaRefs>
    <ds:schemaRef ds:uri="http://schemas.openxmlformats.org/package/2006/metadata/core-properties"/>
    <ds:schemaRef ds:uri="http://schemas.microsoft.com/office/2006/documentManagement/types"/>
    <ds:schemaRef ds:uri="63ecbd3b-b07c-4ac2-86c8-85f6b908bfa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96c8cb33-150c-4dde-8028-d1fa8f51cde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Finansdepartementet</Company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Hanssen, Ingvild Melvær</dc:creator>
  <cp:keywords/>
  <dc:description/>
  <cp:lastModifiedBy>Hanssen, Ingvild Melvær</cp:lastModifiedBy>
  <cp:revision>14</cp:revision>
  <dcterms:created xsi:type="dcterms:W3CDTF">2020-04-08T07:37:00Z</dcterms:created>
  <dcterms:modified xsi:type="dcterms:W3CDTF">2020-04-15T12:57:00Z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0x01010047DE958E6DD59744AD0F508E69FFA200</vt:lpwstr>
  </property>
</Properties>
</file>