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B5B68" w14:textId="77777777" w:rsidR="0027166A" w:rsidRDefault="00C610A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3C092" wp14:editId="647F53B1">
                <wp:simplePos x="0" y="0"/>
                <wp:positionH relativeFrom="column">
                  <wp:posOffset>2967355</wp:posOffset>
                </wp:positionH>
                <wp:positionV relativeFrom="paragraph">
                  <wp:posOffset>3104</wp:posOffset>
                </wp:positionV>
                <wp:extent cx="2967355" cy="1404620"/>
                <wp:effectExtent l="0" t="0" r="4445" b="63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A8A8E" w14:textId="77777777" w:rsidR="00C610A4" w:rsidRPr="00D23039" w:rsidRDefault="00C610A4" w:rsidP="00C610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23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Statens prosjektmodell</w:t>
                            </w:r>
                          </w:p>
                          <w:p w14:paraId="26620BE8" w14:textId="4AC2CE85" w:rsidR="00C610A4" w:rsidRPr="00AC0E66" w:rsidRDefault="00C610A4" w:rsidP="00C610A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C0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praktisk veiledning for </w:t>
                            </w:r>
                            <w:r w:rsidR="00612B5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ekstern kvalitetsikrer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3C09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3.65pt;margin-top:.25pt;width:233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" stroked="f">
                <v:textbox style="mso-fit-shape-to-text:t">
                  <w:txbxContent>
                    <w:p w14:paraId="03BA8A8E" w14:textId="77777777" w:rsidR="00C610A4" w:rsidRPr="00D23039" w:rsidRDefault="00C610A4" w:rsidP="00C610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23039">
                        <w:rPr>
                          <w:rFonts w:ascii="Arial" w:hAnsi="Arial" w:cs="Arial"/>
                          <w:sz w:val="28"/>
                          <w:szCs w:val="28"/>
                        </w:rPr>
                        <w:t>Statens prosjektmodell</w:t>
                      </w:r>
                    </w:p>
                    <w:p w14:paraId="26620BE8" w14:textId="4AC2CE85" w:rsidR="00C610A4" w:rsidRPr="00AC0E66" w:rsidRDefault="00C610A4" w:rsidP="00C610A4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AC0E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praktisk veiledning for </w:t>
                      </w:r>
                      <w:r w:rsidR="00612B50">
                        <w:rPr>
                          <w:rFonts w:ascii="Arial" w:hAnsi="Arial" w:cs="Arial"/>
                          <w:sz w:val="28"/>
                          <w:szCs w:val="28"/>
                        </w:rPr>
                        <w:t>ekstern kvalitetsikrer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B463C3B" wp14:editId="00819D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1888" cy="1085088"/>
            <wp:effectExtent l="0" t="0" r="1270" b="127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2C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888" cy="1085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6E6A50" w14:textId="77777777" w:rsidR="00C610A4" w:rsidRDefault="00C610A4"/>
    <w:p w14:paraId="1CF16E7C" w14:textId="77777777" w:rsidR="00C610A4" w:rsidRDefault="00C610A4"/>
    <w:p w14:paraId="7528426A" w14:textId="77777777" w:rsidR="00C610A4" w:rsidRDefault="00C610A4"/>
    <w:p w14:paraId="2488E5A1" w14:textId="77777777" w:rsidR="00C610A4" w:rsidRDefault="00C610A4"/>
    <w:p w14:paraId="32DE148D" w14:textId="77777777" w:rsidR="00C610A4" w:rsidRDefault="00C610A4"/>
    <w:p w14:paraId="0CC72E82" w14:textId="77777777" w:rsidR="00C610A4" w:rsidRDefault="00C610A4"/>
    <w:p w14:paraId="504FD711" w14:textId="77777777" w:rsidR="00C610A4" w:rsidRDefault="00C610A4"/>
    <w:p w14:paraId="21FA769A" w14:textId="68A3051B" w:rsidR="00C610A4" w:rsidRDefault="00612B5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Covid-19 og usikkerhetsanalyser ved KS2</w:t>
      </w:r>
    </w:p>
    <w:p w14:paraId="0C8A2000" w14:textId="68F3B05D" w:rsidR="00612B50" w:rsidRPr="00612B50" w:rsidRDefault="00612B50" w:rsidP="00612B50">
      <w:pPr>
        <w:rPr>
          <w:rFonts w:ascii="Arial" w:hAnsi="Arial" w:cs="Arial"/>
          <w:b/>
        </w:rPr>
      </w:pPr>
      <w:r w:rsidRPr="00612B50">
        <w:rPr>
          <w:rFonts w:ascii="Arial" w:hAnsi="Arial" w:cs="Arial"/>
          <w:b/>
        </w:rPr>
        <w:t>Inneldning</w:t>
      </w:r>
    </w:p>
    <w:p w14:paraId="29FA64C9" w14:textId="77777777" w:rsidR="00612B50" w:rsidRPr="00612B50" w:rsidRDefault="00612B50" w:rsidP="00612B50">
      <w:pPr>
        <w:rPr>
          <w:rFonts w:ascii="Arial" w:hAnsi="Arial" w:cs="Arial"/>
        </w:rPr>
      </w:pPr>
      <w:r w:rsidRPr="00612B50">
        <w:rPr>
          <w:rFonts w:ascii="Arial" w:hAnsi="Arial" w:cs="Arial"/>
        </w:rPr>
        <w:t>I Finansdepartementets (FIN) KS-ordning er usikkerhetsanalyser av (primært) investeringskostnadene et sentralt element. Spesielt ved KS2 er analysene viktige beslutningsunderlag for prioritering/planlegging/budsjettering av statlige prosjekter de kommende årene.</w:t>
      </w:r>
    </w:p>
    <w:p w14:paraId="05F9431F" w14:textId="77777777" w:rsidR="00612B50" w:rsidRPr="00612B50" w:rsidRDefault="00612B50" w:rsidP="00612B50">
      <w:pPr>
        <w:rPr>
          <w:rFonts w:ascii="Arial" w:hAnsi="Arial" w:cs="Arial"/>
        </w:rPr>
      </w:pPr>
      <w:r w:rsidRPr="00612B50">
        <w:rPr>
          <w:rFonts w:ascii="Arial" w:hAnsi="Arial" w:cs="Arial"/>
        </w:rPr>
        <w:t>Covid-19 har på kort tid medført store økonomiske konsekvenser både i Norge og resten av verden. Det er stor usikkerhet knyttet både til omfang og varighet på disse konsekvensene.</w:t>
      </w:r>
    </w:p>
    <w:p w14:paraId="4690B668" w14:textId="77777777" w:rsidR="00612B50" w:rsidRPr="00612B50" w:rsidRDefault="00612B50" w:rsidP="00612B50">
      <w:pPr>
        <w:rPr>
          <w:rFonts w:ascii="Arial" w:hAnsi="Arial" w:cs="Arial"/>
        </w:rPr>
      </w:pPr>
      <w:r w:rsidRPr="00612B50">
        <w:rPr>
          <w:rFonts w:ascii="Arial" w:hAnsi="Arial" w:cs="Arial"/>
        </w:rPr>
        <w:t>Covid-19 vil uten tvil påvirke usikkerhetsbildet i alle prosjekter som nå og i nærmeste framtid er i KS2-prosess og denne usikkerheten er i betydelig grad systematisk. For det enkelte prosjekt og kvalitetssikrer er dette krevende og for FIN er det ønskelig at effektene behandles noenlunde likt i de ulike analysene.</w:t>
      </w:r>
    </w:p>
    <w:p w14:paraId="38B28BD3" w14:textId="77777777" w:rsidR="00612B50" w:rsidRPr="00612B50" w:rsidRDefault="00612B50" w:rsidP="00612B50">
      <w:pPr>
        <w:rPr>
          <w:rFonts w:ascii="Arial" w:hAnsi="Arial" w:cs="Arial"/>
        </w:rPr>
      </w:pPr>
      <w:r w:rsidRPr="00612B50">
        <w:rPr>
          <w:rFonts w:ascii="Arial" w:hAnsi="Arial" w:cs="Arial"/>
        </w:rPr>
        <w:t xml:space="preserve">I det følgende presenteres føringer for hvordan Covid-19 skal hensyntas i KS2 usikkerhetsanalyser. </w:t>
      </w:r>
    </w:p>
    <w:p w14:paraId="34AAE18A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For KS1 skal Covid-19 ikke hensyntas i usikkerhetsanalysene for investeringskostnadene, men effekter av Covid-19 skal drøftes i føringer for forprosjektfasen og gjennomføringstiden for forprosjekt.</w:t>
      </w:r>
    </w:p>
    <w:p w14:paraId="0FE9BCF6" w14:textId="14B3EAC3" w:rsidR="00612B50" w:rsidRPr="00612B50" w:rsidRDefault="00612B50" w:rsidP="00612B50">
      <w:pPr>
        <w:pStyle w:val="Overskri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Føringer</w:t>
      </w:r>
    </w:p>
    <w:p w14:paraId="0D60B5A7" w14:textId="77777777" w:rsidR="00612B50" w:rsidRPr="00612B50" w:rsidRDefault="00612B50" w:rsidP="00612B50">
      <w:pPr>
        <w:rPr>
          <w:rFonts w:ascii="Arial" w:hAnsi="Arial" w:cs="Arial"/>
        </w:rPr>
      </w:pPr>
      <w:r w:rsidRPr="00612B50">
        <w:rPr>
          <w:rFonts w:ascii="Arial" w:hAnsi="Arial" w:cs="Arial"/>
        </w:rPr>
        <w:t>Føringene gjelder for alle pågående og fremtidige KS2 inntil FIN kommer med nye eller reviderte føringer. For KS2-prosesser som er nær fullføring, skal KS-konstellasjon og FIN avklare hvordan Covid-19 hensyntas.</w:t>
      </w:r>
    </w:p>
    <w:p w14:paraId="52258F73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Alle KS2 skal vurdere effektene av Covid-19 i usikkerhetsanalyser av investeringskostnadene som grunnlag for å fastsette styrings- og kostnadsrammer.</w:t>
      </w:r>
    </w:p>
    <w:p w14:paraId="05FD0912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Det er stor usikkerhet knyttet til hvor lenge Covid-19 vil gi effekter. I KS2 skal det antas at effektene varer inntil 2 år fram i tid (til sommeren 2022).</w:t>
      </w:r>
    </w:p>
    <w:p w14:paraId="5751A64B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 xml:space="preserve">KS2 skal drøfte hvorvidt foreslått kontraktsstrategi er sårbar for Covid-19. Dersom alternativ kontraktsstrategi anbefales må dette drøftes underveis med oppdragsgiver. </w:t>
      </w:r>
    </w:p>
    <w:p w14:paraId="03045BC6" w14:textId="77777777" w:rsid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</w:p>
    <w:p w14:paraId="3E749A9C" w14:textId="77777777" w:rsid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</w:p>
    <w:p w14:paraId="72657245" w14:textId="5941700D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Analyse og rapport:</w:t>
      </w:r>
    </w:p>
    <w:p w14:paraId="38DDB7E7" w14:textId="77777777" w:rsidR="00612B50" w:rsidRPr="00612B50" w:rsidRDefault="00612B50" w:rsidP="00612B50">
      <w:pPr>
        <w:pStyle w:val="Overskrift"/>
        <w:numPr>
          <w:ilvl w:val="0"/>
          <w:numId w:val="12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Det gjennomføres først en full analyse uten å hensynta Covid-19. Basiskalkylen som underlag for analysen må da ikke inneholde påslag for Covid-19.</w:t>
      </w:r>
    </w:p>
    <w:p w14:paraId="2CE4F60E" w14:textId="77777777" w:rsidR="00612B50" w:rsidRPr="00612B50" w:rsidRDefault="00612B50" w:rsidP="00612B50">
      <w:pPr>
        <w:pStyle w:val="Overskrift"/>
        <w:numPr>
          <w:ilvl w:val="0"/>
          <w:numId w:val="12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Effektene av Covid-19 separeres i en egen, overordnet usikkerhetsdriver i analysen. Separasjonen sikrer likhet mellom de ulike KS-ene og muliggjør å isolere effekten på porteføljenivå.</w:t>
      </w:r>
      <w:r w:rsidRPr="00612B50">
        <w:rPr>
          <w:rFonts w:ascii="Arial" w:hAnsi="Arial" w:cs="Arial"/>
          <w:b w:val="0"/>
          <w:bCs w:val="0"/>
          <w:sz w:val="22"/>
          <w:szCs w:val="22"/>
        </w:rPr>
        <w:br/>
        <w:t>(se ‘drøfting og modellering av usikkerhet’ under)</w:t>
      </w:r>
    </w:p>
    <w:p w14:paraId="66C04875" w14:textId="77777777" w:rsidR="00612B50" w:rsidRPr="00612B50" w:rsidRDefault="00612B50" w:rsidP="00612B50">
      <w:pPr>
        <w:pStyle w:val="Overskrift"/>
        <w:numPr>
          <w:ilvl w:val="0"/>
          <w:numId w:val="12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KS2-rapporten skal inneholde resultater (tabeller, S-kurver, Tornado mv.) for prosjektet både med og uten Covid-19-effekten.</w:t>
      </w:r>
    </w:p>
    <w:p w14:paraId="79A89461" w14:textId="77777777" w:rsidR="00612B50" w:rsidRPr="00612B50" w:rsidRDefault="00612B50" w:rsidP="00612B50">
      <w:pPr>
        <w:pStyle w:val="Overskrift"/>
        <w:numPr>
          <w:ilvl w:val="0"/>
          <w:numId w:val="12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Anbefalinger for styrings- og kostnadsrammer skal baseres på analyse inkludert Covid-19-effekten og samtidig synliggjøre nettoeffekten på foreslåtte rammer.</w:t>
      </w:r>
    </w:p>
    <w:p w14:paraId="5351524F" w14:textId="73876E1B" w:rsidR="00612B50" w:rsidRDefault="00612B50" w:rsidP="00612B50">
      <w:pPr>
        <w:pStyle w:val="Overskrift"/>
        <w:numPr>
          <w:ilvl w:val="0"/>
          <w:numId w:val="12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Rapporten skal inneholde mulige forslag til usikkerhetsreduserende tiltak spesifikt knyttet til Covid-19.</w:t>
      </w:r>
    </w:p>
    <w:p w14:paraId="2D97ED08" w14:textId="77777777" w:rsidR="00612B50" w:rsidRPr="00612B50" w:rsidRDefault="00612B50" w:rsidP="00612B50">
      <w:pPr>
        <w:pStyle w:val="Overskrift"/>
        <w:ind w:left="720"/>
        <w:rPr>
          <w:rFonts w:ascii="Arial" w:hAnsi="Arial" w:cs="Arial"/>
          <w:b w:val="0"/>
          <w:bCs w:val="0"/>
          <w:sz w:val="22"/>
          <w:szCs w:val="22"/>
        </w:rPr>
      </w:pPr>
    </w:p>
    <w:p w14:paraId="4DE666B7" w14:textId="20DD8C28" w:rsidR="00612B50" w:rsidRPr="00612B50" w:rsidRDefault="00612B50" w:rsidP="00612B50">
      <w:pPr>
        <w:rPr>
          <w:rFonts w:ascii="Arial" w:hAnsi="Arial" w:cs="Arial"/>
          <w:b/>
          <w:bCs/>
        </w:rPr>
      </w:pPr>
      <w:r w:rsidRPr="00612B50">
        <w:rPr>
          <w:rFonts w:ascii="Arial" w:hAnsi="Arial" w:cs="Arial"/>
          <w:b/>
        </w:rPr>
        <w:t>Drøfting og modellering av usikkerhet i analysene</w:t>
      </w:r>
    </w:p>
    <w:p w14:paraId="71C76422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Covid-19 usikkerhetsdriveren antas å ikke påvirke estimatusikkerheten.</w:t>
      </w:r>
    </w:p>
    <w:p w14:paraId="09596DAE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Covid-19 kan gi ulike effekter for ulike prosjekter og vurderingen av usikkerhet bør favne bredt og reflektere at den nye usikkerheten både medfører trusler og muligheter knyttet til prosjektets kostnader.</w:t>
      </w:r>
    </w:p>
    <w:p w14:paraId="46D17378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Det forutsettes at KS ikke går for langt i spekulasjoner knyttet til effekten av framtidige statlige tiltak.</w:t>
      </w:r>
    </w:p>
    <w:p w14:paraId="6C479277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Drøftingen bør dekke følgende forhold men det må vurderes for hvert enkelt prosjekt i hvilken grad de enkelte forhold er relevante og om det er andre forhold som bør inkluderes:</w:t>
      </w:r>
    </w:p>
    <w:p w14:paraId="10CAD133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Hvordan Covid-19 kan påvirke i ulike faser i prosjektet</w:t>
      </w:r>
    </w:p>
    <w:p w14:paraId="4FC84FA4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Om prosjektets planlagte framdrift er sårbar for Covid-19</w:t>
      </w:r>
    </w:p>
    <w:p w14:paraId="52A436AC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Om prosjektets kompleksitet medfører økt usikkerhet knyttet til Covid-19</w:t>
      </w:r>
    </w:p>
    <w:p w14:paraId="00D23423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Om styring og organisering av prosjektet er sårbar for Covid-19</w:t>
      </w:r>
    </w:p>
    <w:p w14:paraId="1B26D96A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Om eierstyring og ulike offentlige prosesser kan være sårbar for Covid-19</w:t>
      </w:r>
    </w:p>
    <w:p w14:paraId="3C6F81EA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 xml:space="preserve">Om avhengigheter mot andre prosjekter (som også kan være påvirket) øker usikkerheten </w:t>
      </w:r>
    </w:p>
    <w:p w14:paraId="1CD7BB26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Om interessentbildet endres og interessenthåndtering blir mer krevende</w:t>
      </w:r>
    </w:p>
    <w:p w14:paraId="1B336764" w14:textId="77777777" w:rsidR="00612B50" w:rsidRPr="00612B50" w:rsidRDefault="00612B50" w:rsidP="00612B50">
      <w:pPr>
        <w:pStyle w:val="Overskrift"/>
        <w:numPr>
          <w:ilvl w:val="0"/>
          <w:numId w:val="11"/>
        </w:numPr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Hvordan Covid-19 endrer leverandørmarked og markedsusikkerhet</w:t>
      </w:r>
      <w:r w:rsidRPr="00612B50">
        <w:rPr>
          <w:rFonts w:ascii="Arial" w:hAnsi="Arial" w:cs="Arial"/>
          <w:b w:val="0"/>
          <w:bCs w:val="0"/>
          <w:sz w:val="22"/>
          <w:szCs w:val="22"/>
        </w:rPr>
        <w:br/>
      </w:r>
    </w:p>
    <w:p w14:paraId="1E121EDA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Basert på drøftingen av usikkerhet beskrives og kvantifiseres et p10-scenario, et ‘mest sannsynlig’ scenario og et p90-scenario.</w:t>
      </w:r>
    </w:p>
    <w:p w14:paraId="38365B86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  <w:r w:rsidRPr="00612B50">
        <w:rPr>
          <w:rFonts w:ascii="Arial" w:hAnsi="Arial" w:cs="Arial"/>
          <w:b w:val="0"/>
          <w:bCs w:val="0"/>
          <w:sz w:val="22"/>
          <w:szCs w:val="22"/>
        </w:rPr>
        <w:t>Covid-19 er en felles, bakenforliggende årsak til alle underliggende usikkerhetsbidrag for Covid-19 usikkerhetsdriveren. Det er derfor høy grad av korrelasjon mellom underliggende forhold for driveren. En forenklet og akseptabel tilnærming er derfor å summere delbidrag til aggregerte p10- og p90-verdier.</w:t>
      </w:r>
    </w:p>
    <w:p w14:paraId="186204B7" w14:textId="77777777" w:rsidR="00612B50" w:rsidRPr="00612B50" w:rsidRDefault="00612B50" w:rsidP="00612B50">
      <w:pPr>
        <w:pStyle w:val="Overskrift"/>
        <w:rPr>
          <w:rFonts w:ascii="Arial" w:hAnsi="Arial" w:cs="Arial"/>
          <w:b w:val="0"/>
          <w:bCs w:val="0"/>
          <w:sz w:val="22"/>
          <w:szCs w:val="22"/>
        </w:rPr>
      </w:pPr>
    </w:p>
    <w:p w14:paraId="035B9C94" w14:textId="77777777" w:rsidR="00612B50" w:rsidRPr="00612B50" w:rsidRDefault="00612B50" w:rsidP="00612B50">
      <w:pPr>
        <w:pStyle w:val="Undertittel"/>
        <w:rPr>
          <w:rFonts w:ascii="Arial" w:hAnsi="Arial" w:cs="Arial"/>
          <w:b/>
          <w:color w:val="auto"/>
        </w:rPr>
      </w:pPr>
      <w:r w:rsidRPr="00612B50">
        <w:rPr>
          <w:rFonts w:ascii="Arial" w:hAnsi="Arial" w:cs="Arial"/>
          <w:b/>
          <w:color w:val="auto"/>
        </w:rPr>
        <w:t>Valutausikkerhet</w:t>
      </w:r>
    </w:p>
    <w:p w14:paraId="6C9280CD" w14:textId="77777777" w:rsidR="00612B50" w:rsidRPr="00612B50" w:rsidRDefault="00612B50" w:rsidP="00612B50">
      <w:pPr>
        <w:rPr>
          <w:rFonts w:ascii="Arial" w:hAnsi="Arial" w:cs="Arial"/>
        </w:rPr>
      </w:pPr>
      <w:r w:rsidRPr="00612B50">
        <w:rPr>
          <w:rFonts w:ascii="Arial" w:hAnsi="Arial" w:cs="Arial"/>
        </w:rPr>
        <w:t>På vanlig måte skal ikke valutausikkerhet inkluderes i usikkerhetsanalysen. I lys av endringene som har vært den siste tiden er det viktig å følge opp i prosjekter som vil være eksponert for endringer i valutakurser. Følgende kan legges til grunn som hovedprinsipper:</w:t>
      </w:r>
    </w:p>
    <w:p w14:paraId="4B642AAA" w14:textId="77777777" w:rsidR="00612B50" w:rsidRPr="00612B50" w:rsidRDefault="00612B50" w:rsidP="00612B50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612B50">
        <w:rPr>
          <w:rFonts w:ascii="Arial" w:hAnsi="Arial" w:cs="Arial"/>
        </w:rPr>
        <w:t>Finansdepartementet angir valutakurser som skal legges til grunn for budsjettforslagene det enkelte år i de årlige budsjettrundskrivene. For innspill til 2021-budsjettet skal valutakurser 1. juni 2020 legges til grunn.</w:t>
      </w:r>
    </w:p>
    <w:p w14:paraId="5CC58EB4" w14:textId="77777777" w:rsidR="00612B50" w:rsidRPr="00612B50" w:rsidRDefault="00612B50" w:rsidP="00612B50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612B50">
        <w:rPr>
          <w:rFonts w:ascii="Arial" w:hAnsi="Arial" w:cs="Arial"/>
        </w:rPr>
        <w:t xml:space="preserve">Det må tydelig fremgå hvilken valutakurs som er benyttet der dette er relevant. </w:t>
      </w:r>
    </w:p>
    <w:p w14:paraId="22006C27" w14:textId="77777777" w:rsidR="00612B50" w:rsidRPr="00612B50" w:rsidRDefault="00612B50" w:rsidP="00612B50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612B50">
        <w:rPr>
          <w:rFonts w:ascii="Arial" w:hAnsi="Arial" w:cs="Arial"/>
        </w:rPr>
        <w:t xml:space="preserve">Dersom vesentlige deler av prosjektets utgifter vil være i fremmed valuta skal det gis en omtale av hvor stor eksponeringen er. </w:t>
      </w:r>
    </w:p>
    <w:p w14:paraId="0541E911" w14:textId="77777777" w:rsidR="00612B50" w:rsidRPr="00612B50" w:rsidRDefault="00612B50" w:rsidP="00612B50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612B50">
        <w:rPr>
          <w:rFonts w:ascii="Arial" w:hAnsi="Arial" w:cs="Arial"/>
        </w:rPr>
        <w:t>Kostnadsanslagene skal utarbeides slik at det er mulig å oppdatere anslagene dersom det kommer vesentlige endringer i valutakurs frem mot en investeringsbeslutning. Behovet for oppdateringer avklares mellom ansvarlig departement og Finansdepartementet.</w:t>
      </w:r>
    </w:p>
    <w:p w14:paraId="4C96DCEF" w14:textId="77777777" w:rsidR="00612B50" w:rsidRPr="00612B50" w:rsidRDefault="00612B50" w:rsidP="00612B50">
      <w:pPr>
        <w:pStyle w:val="Listeavsnitt"/>
        <w:numPr>
          <w:ilvl w:val="0"/>
          <w:numId w:val="13"/>
        </w:numPr>
        <w:rPr>
          <w:rFonts w:ascii="Arial" w:hAnsi="Arial" w:cs="Arial"/>
        </w:rPr>
      </w:pPr>
      <w:r w:rsidRPr="00612B50">
        <w:rPr>
          <w:rFonts w:ascii="Arial" w:hAnsi="Arial" w:cs="Arial"/>
        </w:rPr>
        <w:t>Finansdepartementet legger til grunn at prosjektene i sin kostnadsstyring jevnlig følger med på hvordan valutakursendringer påvirker kostnadene og orienterer Finansdepartementet i forbindelse med de årlige budsjettrundene om utviklingen og muligheten for at dette kan skape problemer med å overholde vedtatte rammer.</w:t>
      </w:r>
    </w:p>
    <w:p w14:paraId="75417DF8" w14:textId="77777777" w:rsidR="00612B50" w:rsidRDefault="00612B50" w:rsidP="00DD205A">
      <w:pPr>
        <w:rPr>
          <w:rFonts w:ascii="Arial" w:hAnsi="Arial" w:cs="Arial"/>
          <w:i/>
          <w:sz w:val="24"/>
          <w:szCs w:val="24"/>
        </w:rPr>
      </w:pPr>
    </w:p>
    <w:p w14:paraId="68F3D2C6" w14:textId="77777777" w:rsidR="00243345" w:rsidRPr="005428E6" w:rsidRDefault="00243345" w:rsidP="00243345"/>
    <w:p w14:paraId="6CE9DADB" w14:textId="77777777" w:rsidR="00243345" w:rsidRPr="005428E6" w:rsidRDefault="00243345" w:rsidP="00243345"/>
    <w:p w14:paraId="6C67FC63" w14:textId="77777777" w:rsidR="00243345" w:rsidRPr="00243345" w:rsidRDefault="00243345" w:rsidP="00243345"/>
    <w:sectPr w:rsidR="00243345" w:rsidRPr="00243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6C4D90"/>
    <w:lvl w:ilvl="0">
      <w:numFmt w:val="bullet"/>
      <w:lvlText w:val="*"/>
      <w:lvlJc w:val="left"/>
    </w:lvl>
  </w:abstractNum>
  <w:abstractNum w:abstractNumId="1" w15:restartNumberingAfterBreak="0">
    <w:nsid w:val="01A668DA"/>
    <w:multiLevelType w:val="hybridMultilevel"/>
    <w:tmpl w:val="7CDC6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D2CD9"/>
    <w:multiLevelType w:val="hybridMultilevel"/>
    <w:tmpl w:val="32EE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8741F"/>
    <w:multiLevelType w:val="hybridMultilevel"/>
    <w:tmpl w:val="49663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6725C"/>
    <w:multiLevelType w:val="hybridMultilevel"/>
    <w:tmpl w:val="E52C5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485C"/>
    <w:multiLevelType w:val="hybridMultilevel"/>
    <w:tmpl w:val="52060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872"/>
    <w:multiLevelType w:val="hybridMultilevel"/>
    <w:tmpl w:val="236C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25E66"/>
    <w:multiLevelType w:val="hybridMultilevel"/>
    <w:tmpl w:val="4F865D08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0137F8A"/>
    <w:multiLevelType w:val="hybridMultilevel"/>
    <w:tmpl w:val="6062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466B3"/>
    <w:multiLevelType w:val="hybridMultilevel"/>
    <w:tmpl w:val="71C4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12814"/>
    <w:multiLevelType w:val="hybridMultilevel"/>
    <w:tmpl w:val="5F20B3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67279"/>
    <w:multiLevelType w:val="hybridMultilevel"/>
    <w:tmpl w:val="9FEA5F2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A4"/>
    <w:rsid w:val="000E650B"/>
    <w:rsid w:val="00243345"/>
    <w:rsid w:val="0027166A"/>
    <w:rsid w:val="002F1D75"/>
    <w:rsid w:val="003B1185"/>
    <w:rsid w:val="00493C27"/>
    <w:rsid w:val="00586AA9"/>
    <w:rsid w:val="005F0793"/>
    <w:rsid w:val="00612B50"/>
    <w:rsid w:val="007233B5"/>
    <w:rsid w:val="009571B3"/>
    <w:rsid w:val="009E21FF"/>
    <w:rsid w:val="00A00434"/>
    <w:rsid w:val="00B4744F"/>
    <w:rsid w:val="00C610A4"/>
    <w:rsid w:val="00CC2A71"/>
    <w:rsid w:val="00DD205A"/>
    <w:rsid w:val="00EB04B3"/>
    <w:rsid w:val="00EB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A7A8"/>
  <w15:chartTrackingRefBased/>
  <w15:docId w15:val="{ABD514F1-4E4B-48A8-B935-827A61FD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4334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3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C610A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C610A4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24334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3345"/>
    <w:rPr>
      <w:rFonts w:eastAsiaTheme="minorEastAsia"/>
      <w:color w:val="5A5A5A" w:themeColor="text1" w:themeTint="A5"/>
      <w:spacing w:val="15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433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433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B4C3B"/>
    <w:rPr>
      <w:color w:val="954F72" w:themeColor="followedHyperlink"/>
      <w:u w:val="single"/>
    </w:rPr>
  </w:style>
  <w:style w:type="paragraph" w:customStyle="1" w:styleId="Overskrift">
    <w:name w:val="Overskrift"/>
    <w:basedOn w:val="Normal"/>
    <w:link w:val="OverskriftChar"/>
    <w:qFormat/>
    <w:rsid w:val="00612B50"/>
    <w:rPr>
      <w:b/>
      <w:bCs/>
      <w:sz w:val="28"/>
      <w:szCs w:val="28"/>
    </w:rPr>
  </w:style>
  <w:style w:type="character" w:customStyle="1" w:styleId="OverskriftChar">
    <w:name w:val="Overskrift Char"/>
    <w:basedOn w:val="Standardskriftforavsnitt"/>
    <w:link w:val="Overskrift"/>
    <w:rsid w:val="00612B50"/>
    <w:rPr>
      <w:b/>
      <w:bCs/>
      <w:sz w:val="28"/>
      <w:szCs w:val="2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461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218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9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1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90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96c8cb33-150c-4dde-8028-d1fa8f51cde0" xsi:nil="true"/>
    <Dep xmlns="96c8cb33-150c-4dde-8028-d1fa8f51cde0"/>
    <Projekt_x0020_type xmlns="96c8cb33-150c-4dde-8028-d1fa8f51cde0" xsi:nil="true"/>
    <Rapportnr xmlns="96c8cb33-150c-4dde-8028-d1fa8f51cde0" xsi:nil="true"/>
    <Kategori xmlns="96c8cb33-150c-4dde-8028-d1fa8f51cde0" xsi:nil="true"/>
    <Dok_x002e__x0020_type xmlns="96c8cb33-150c-4dde-8028-d1fa8f51cd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DE958E6DD59744AD0F508E69FFA200" ma:contentTypeVersion="9" ma:contentTypeDescription="Opprett et nytt dokument." ma:contentTypeScope="" ma:versionID="e784f182141f76e6cf33608ee6b82e22">
  <xsd:schema xmlns:xsd="http://www.w3.org/2001/XMLSchema" xmlns:xs="http://www.w3.org/2001/XMLSchema" xmlns:p="http://schemas.microsoft.com/office/2006/metadata/properties" xmlns:ns2="96c8cb33-150c-4dde-8028-d1fa8f51cde0" xmlns:ns3="63ecbd3b-b07c-4ac2-86c8-85f6b908bfa2" targetNamespace="http://schemas.microsoft.com/office/2006/metadata/properties" ma:root="true" ma:fieldsID="7cb918eedd8f350244da7700ffc7ea2c" ns2:_="" ns3:_="">
    <xsd:import namespace="96c8cb33-150c-4dde-8028-d1fa8f51cde0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2:_x00c5_r" minOccurs="0"/>
                <xsd:element ref="ns2:Kategori" minOccurs="0"/>
                <xsd:element ref="ns2:Projekt_x0020_type" minOccurs="0"/>
                <xsd:element ref="ns2:Dok_x002e__x0020_type" minOccurs="0"/>
                <xsd:element ref="ns2:Dep" minOccurs="0"/>
                <xsd:element ref="ns2:Rapportn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8cb33-150c-4dde-8028-d1fa8f51cde0" elementFormDefault="qualified">
    <xsd:import namespace="http://schemas.microsoft.com/office/2006/documentManagement/types"/>
    <xsd:import namespace="http://schemas.microsoft.com/office/infopath/2007/PartnerControls"/>
    <xsd:element name="_x00c5_r" ma:index="1" nillable="true" ma:displayName="År" ma:format="Dropdown" ma:internalName="_x00c5_r" ma:readOnly="false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Kategori" ma:index="2" nillable="true" ma:displayName="Kategori" ma:format="Dropdown" ma:internalName="Kategori" ma:readOnly="false">
      <xsd:simpleType>
        <xsd:restriction base="dms:Choice">
          <xsd:enumeration value="Samferdsel"/>
          <xsd:enumeration value="Bygg"/>
          <xsd:enumeration value="Forsvar"/>
          <xsd:enumeration value="IKT-Teknologi"/>
          <xsd:enumeration value="Annet"/>
        </xsd:restriction>
      </xsd:simpleType>
    </xsd:element>
    <xsd:element name="Projekt_x0020_type" ma:index="3" nillable="true" ma:displayName="KS type" ma:format="Dropdown" ma:internalName="Projekt_x0020_type" ma:readOnly="false">
      <xsd:simpleType>
        <xsd:restriction base="dms:Choice">
          <xsd:enumeration value="KS1"/>
          <xsd:enumeration value="KS2"/>
          <xsd:enumeration value="Annet"/>
        </xsd:restriction>
      </xsd:simpleType>
    </xsd:element>
    <xsd:element name="Dok_x002e__x0020_type" ma:index="4" nillable="true" ma:displayName="Dok. type" ma:format="Dropdown" ma:internalName="Dok_x002e__x0020_type" ma:readOnly="false">
      <xsd:simpleType>
        <xsd:restriction base="dms:Choice">
          <xsd:enumeration value="Rapport"/>
          <xsd:enumeration value="Presentasjon"/>
        </xsd:restriction>
      </xsd:simpleType>
    </xsd:element>
    <xsd:element name="Dep" ma:index="5" nillable="true" ma:displayName="Dep" ma:internalName="Dep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D"/>
                    <xsd:enumeration value="AD"/>
                    <xsd:enumeration value="AID"/>
                    <xsd:enumeration value="BLD"/>
                    <xsd:enumeration value="FAD"/>
                    <xsd:enumeration value="FD"/>
                    <xsd:enumeration value="FIN"/>
                    <xsd:enumeration value="FKD"/>
                    <xsd:enumeration value="HOD"/>
                    <xsd:enumeration value="JD"/>
                    <xsd:enumeration value="KD"/>
                    <xsd:enumeration value="KLD"/>
                    <xsd:enumeration value="KMD"/>
                    <xsd:enumeration value="KUD"/>
                    <xsd:enumeration value="KKD"/>
                    <xsd:enumeration value="LMD"/>
                    <xsd:enumeration value="NFD"/>
                    <xsd:enumeration value="NHD"/>
                    <xsd:enumeration value="OED"/>
                    <xsd:enumeration value="SD"/>
                    <xsd:enumeration value="UD"/>
                    <xsd:enumeration value="YMS"/>
                  </xsd:restriction>
                </xsd:simpleType>
              </xsd:element>
            </xsd:sequence>
          </xsd:extension>
        </xsd:complexContent>
      </xsd:complexType>
    </xsd:element>
    <xsd:element name="Rapportnr" ma:index="6" nillable="true" ma:displayName="Rapportnr" ma:internalName="Rapportnr" ma:readOnly="false">
      <xsd:simpleType>
        <xsd:restriction base="dms:Text">
          <xsd:maxLength value="1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C12AB-D558-47D5-ACD0-FFCD6085B2E5}">
  <ds:schemaRefs>
    <ds:schemaRef ds:uri="http://purl.org/dc/terms/"/>
    <ds:schemaRef ds:uri="http://schemas.microsoft.com/office/2006/documentManagement/types"/>
    <ds:schemaRef ds:uri="63ecbd3b-b07c-4ac2-86c8-85f6b908bfa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6c8cb33-150c-4dde-8028-d1fa8f51cd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06EDA-71C6-429C-AE80-A710A4569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8cb33-150c-4dde-8028-d1fa8f51cde0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A922B-19A5-4C85-9CCB-CE7833ED6D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Finansdepartementet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Hanssen, Ingvild Melvær</dc:creator>
  <cp:keywords/>
  <dc:description/>
  <cp:lastModifiedBy>Hanssen, Ingvild Melvær</cp:lastModifiedBy>
  <cp:revision>3</cp:revision>
  <dcterms:created xsi:type="dcterms:W3CDTF">2020-04-30T06:36:00Z</dcterms:created>
  <dcterms:modified xsi:type="dcterms:W3CDTF">2020-04-30T06:45:00Z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0x01010047DE958E6DD59744AD0F508E69FFA200</vt:lpwstr>
  </property>
</Properties>
</file>